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3471CD" w:rsidRDefault="00111C2E" w:rsidP="00DA30CF">
      <w:pPr>
        <w:tabs>
          <w:tab w:val="right" w:pos="9360"/>
        </w:tabs>
        <w:spacing w:after="0" w:line="210" w:lineRule="exact"/>
        <w:rPr>
          <w:rFonts w:ascii="Times New Roman" w:hAnsi="Times New Roman"/>
          <w:sz w:val="21"/>
          <w:szCs w:val="21"/>
        </w:rPr>
      </w:pPr>
      <w:r w:rsidRPr="003471CD">
        <w:rPr>
          <w:rFonts w:ascii="Times New Roman" w:hAnsi="Times New Roman"/>
          <w:noProof/>
          <w:lang w:eastAsia="en-AU"/>
        </w:rPr>
        <w:drawing>
          <wp:anchor distT="0" distB="0" distL="114300" distR="114300" simplePos="0" relativeHeight="251657728" behindDoc="0" locked="0" layoutInCell="1" allowOverlap="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3471CD">
        <w:rPr>
          <w:rFonts w:ascii="Times New Roman" w:hAnsi="Times New Roman"/>
          <w:sz w:val="21"/>
          <w:szCs w:val="21"/>
        </w:rPr>
        <w:t xml:space="preserve">No. </w:t>
      </w:r>
      <w:r w:rsidR="00E27AD7">
        <w:rPr>
          <w:rFonts w:ascii="Times New Roman" w:hAnsi="Times New Roman"/>
          <w:sz w:val="21"/>
          <w:szCs w:val="21"/>
        </w:rPr>
        <w:t>82</w:t>
      </w:r>
      <w:r w:rsidR="00DA30CF" w:rsidRPr="003471CD">
        <w:rPr>
          <w:rFonts w:ascii="Times New Roman" w:hAnsi="Times New Roman"/>
          <w:sz w:val="21"/>
          <w:szCs w:val="21"/>
        </w:rPr>
        <w:tab/>
      </w:r>
      <w:r w:rsidR="00575614" w:rsidRPr="003471CD">
        <w:rPr>
          <w:rFonts w:ascii="Times New Roman" w:hAnsi="Times New Roman"/>
          <w:sz w:val="21"/>
          <w:szCs w:val="21"/>
        </w:rPr>
        <w:t xml:space="preserve">p. </w:t>
      </w:r>
      <w:r w:rsidR="00E27AD7">
        <w:rPr>
          <w:rFonts w:ascii="Times New Roman" w:hAnsi="Times New Roman"/>
          <w:sz w:val="21"/>
          <w:szCs w:val="21"/>
        </w:rPr>
        <w:t>4615</w:t>
      </w:r>
    </w:p>
    <w:p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rsidR="008008DD" w:rsidRPr="003471CD" w:rsidRDefault="008008DD" w:rsidP="008008DD">
      <w:pPr>
        <w:pBdr>
          <w:top w:val="single" w:sz="6" w:space="0" w:color="auto"/>
        </w:pBdr>
        <w:spacing w:after="0" w:line="240" w:lineRule="auto"/>
        <w:jc w:val="center"/>
        <w:rPr>
          <w:rFonts w:ascii="Times New Roman" w:hAnsi="Times New Roman"/>
          <w:color w:val="000000"/>
          <w:sz w:val="20"/>
        </w:rPr>
      </w:pPr>
    </w:p>
    <w:p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6F34FE" w:rsidRPr="003471CD">
        <w:rPr>
          <w:rFonts w:ascii="Times New Roman" w:hAnsi="Times New Roman"/>
          <w:smallCaps/>
          <w:color w:val="000000"/>
          <w:sz w:val="28"/>
          <w:szCs w:val="26"/>
        </w:rPr>
        <w:t>T</w:t>
      </w:r>
      <w:r w:rsidR="002B2F50" w:rsidRPr="003471CD">
        <w:rPr>
          <w:rFonts w:ascii="Times New Roman" w:hAnsi="Times New Roman"/>
          <w:smallCaps/>
          <w:color w:val="000000"/>
          <w:sz w:val="28"/>
          <w:szCs w:val="26"/>
        </w:rPr>
        <w:t>hur</w:t>
      </w:r>
      <w:r w:rsidR="006F34FE" w:rsidRPr="003471CD">
        <w:rPr>
          <w:rFonts w:ascii="Times New Roman" w:hAnsi="Times New Roman"/>
          <w:smallCaps/>
          <w:color w:val="000000"/>
          <w:sz w:val="28"/>
          <w:szCs w:val="26"/>
        </w:rPr>
        <w:t>s</w:t>
      </w:r>
      <w:r w:rsidR="0004369E" w:rsidRPr="003471CD">
        <w:rPr>
          <w:rFonts w:ascii="Times New Roman" w:hAnsi="Times New Roman"/>
          <w:smallCaps/>
          <w:color w:val="000000"/>
          <w:sz w:val="28"/>
          <w:szCs w:val="26"/>
        </w:rPr>
        <w:t>day</w:t>
      </w:r>
      <w:r w:rsidRPr="003471CD">
        <w:rPr>
          <w:rFonts w:ascii="Times New Roman" w:hAnsi="Times New Roman"/>
          <w:smallCaps/>
          <w:color w:val="000000"/>
          <w:sz w:val="28"/>
          <w:szCs w:val="26"/>
        </w:rPr>
        <w:t xml:space="preserve">, </w:t>
      </w:r>
      <w:r w:rsidR="00E27AD7">
        <w:rPr>
          <w:rFonts w:ascii="Times New Roman" w:hAnsi="Times New Roman"/>
          <w:smallCaps/>
          <w:color w:val="000000"/>
          <w:sz w:val="28"/>
          <w:szCs w:val="26"/>
        </w:rPr>
        <w:t>23</w:t>
      </w:r>
      <w:r w:rsidR="0004369E" w:rsidRPr="003471CD">
        <w:rPr>
          <w:rFonts w:ascii="Times New Roman" w:hAnsi="Times New Roman"/>
          <w:smallCaps/>
          <w:color w:val="000000"/>
          <w:sz w:val="28"/>
          <w:szCs w:val="26"/>
        </w:rPr>
        <w:t xml:space="preserve"> </w:t>
      </w:r>
      <w:r w:rsidR="00E27AD7">
        <w:rPr>
          <w:rFonts w:ascii="Times New Roman" w:hAnsi="Times New Roman"/>
          <w:smallCaps/>
          <w:color w:val="000000"/>
          <w:sz w:val="28"/>
          <w:szCs w:val="26"/>
        </w:rPr>
        <w:t>December</w:t>
      </w:r>
      <w:r w:rsidRPr="003471CD">
        <w:rPr>
          <w:rFonts w:ascii="Times New Roman" w:hAnsi="Times New Roman"/>
          <w:smallCaps/>
          <w:color w:val="000000"/>
          <w:sz w:val="28"/>
          <w:szCs w:val="26"/>
        </w:rPr>
        <w:t xml:space="preserve"> 20</w:t>
      </w:r>
      <w:r w:rsidR="00E02241" w:rsidRPr="003471CD">
        <w:rPr>
          <w:rFonts w:ascii="Times New Roman" w:hAnsi="Times New Roman"/>
          <w:smallCaps/>
          <w:color w:val="000000"/>
          <w:sz w:val="28"/>
          <w:szCs w:val="26"/>
        </w:rPr>
        <w:t>2</w:t>
      </w:r>
      <w:r w:rsidR="00693DF1" w:rsidRPr="003471CD">
        <w:rPr>
          <w:rFonts w:ascii="Times New Roman" w:hAnsi="Times New Roman"/>
          <w:smallCaps/>
          <w:color w:val="000000"/>
          <w:sz w:val="28"/>
          <w:szCs w:val="26"/>
        </w:rPr>
        <w:t>1</w:t>
      </w:r>
    </w:p>
    <w:p w:rsidR="008008DD" w:rsidRPr="003471CD" w:rsidRDefault="008008DD" w:rsidP="008008DD">
      <w:pPr>
        <w:spacing w:after="0" w:line="240" w:lineRule="exact"/>
        <w:jc w:val="center"/>
        <w:rPr>
          <w:rFonts w:ascii="Times New Roman" w:hAnsi="Times New Roman"/>
          <w:color w:val="000000"/>
          <w:sz w:val="20"/>
        </w:rPr>
      </w:pPr>
    </w:p>
    <w:p w:rsidR="008008DD" w:rsidRPr="003471CD" w:rsidRDefault="008008DD" w:rsidP="007C4A68">
      <w:pPr>
        <w:pBdr>
          <w:top w:val="single" w:sz="6" w:space="1" w:color="auto"/>
        </w:pBdr>
        <w:spacing w:after="0" w:line="120" w:lineRule="exact"/>
        <w:jc w:val="center"/>
        <w:rPr>
          <w:rFonts w:ascii="Times New Roman" w:hAnsi="Times New Roman"/>
          <w:color w:val="000000"/>
          <w:sz w:val="20"/>
          <w:szCs w:val="20"/>
        </w:rPr>
      </w:pPr>
    </w:p>
    <w:p w:rsidR="001B7138" w:rsidRPr="003471CD" w:rsidRDefault="001B7138" w:rsidP="008277B1">
      <w:pPr>
        <w:spacing w:before="120"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rsidR="001B7138" w:rsidRPr="003471CD" w:rsidRDefault="001B7138" w:rsidP="00FB48A8">
      <w:pPr>
        <w:spacing w:after="0" w:line="320" w:lineRule="exact"/>
        <w:ind w:left="2268" w:right="2414" w:firstLine="142"/>
        <w:rPr>
          <w:rFonts w:ascii="Times New Roman" w:hAnsi="Times New Roman"/>
          <w:smallCaps/>
          <w:sz w:val="17"/>
          <w:szCs w:val="17"/>
        </w:rPr>
      </w:pPr>
    </w:p>
    <w:p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9D586E">
          <w:headerReference w:type="even" r:id="rId9"/>
          <w:headerReference w:type="default" r:id="rId10"/>
          <w:footerReference w:type="default" r:id="rId11"/>
          <w:footerReference w:type="first" r:id="rId12"/>
          <w:pgSz w:w="11906" w:h="16838"/>
          <w:pgMar w:top="1134" w:right="1256" w:bottom="1134" w:left="1290" w:header="708" w:footer="1200"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rsidR="00D0155D"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91161232" w:history="1">
            <w:r w:rsidR="00D0155D" w:rsidRPr="002B0638">
              <w:rPr>
                <w:rStyle w:val="Hyperlink"/>
                <w:noProof/>
              </w:rPr>
              <w:t>Governor’s Instruments</w:t>
            </w:r>
          </w:hyperlink>
        </w:p>
        <w:p w:rsidR="00D0155D" w:rsidRDefault="00BE58B6">
          <w:pPr>
            <w:pStyle w:val="TOC2"/>
            <w:rPr>
              <w:rFonts w:asciiTheme="minorHAnsi" w:eastAsiaTheme="minorEastAsia" w:hAnsiTheme="minorHAnsi" w:cstheme="minorBidi"/>
              <w:noProof/>
              <w:sz w:val="22"/>
              <w:lang w:eastAsia="en-AU"/>
            </w:rPr>
          </w:pPr>
          <w:hyperlink w:anchor="_Toc91161233" w:history="1">
            <w:r w:rsidR="00D0155D" w:rsidRPr="002B0638">
              <w:rPr>
                <w:rStyle w:val="Hyperlink"/>
                <w:noProof/>
              </w:rPr>
              <w:t>Appointments</w:t>
            </w:r>
            <w:r w:rsidR="00D0155D">
              <w:rPr>
                <w:noProof/>
                <w:webHidden/>
              </w:rPr>
              <w:tab/>
            </w:r>
            <w:r w:rsidR="00D0155D">
              <w:rPr>
                <w:noProof/>
                <w:webHidden/>
              </w:rPr>
              <w:fldChar w:fldCharType="begin"/>
            </w:r>
            <w:r w:rsidR="00D0155D">
              <w:rPr>
                <w:noProof/>
                <w:webHidden/>
              </w:rPr>
              <w:instrText xml:space="preserve"> PAGEREF _Toc91161233 \h </w:instrText>
            </w:r>
            <w:r w:rsidR="00D0155D">
              <w:rPr>
                <w:noProof/>
                <w:webHidden/>
              </w:rPr>
            </w:r>
            <w:r w:rsidR="00D0155D">
              <w:rPr>
                <w:noProof/>
                <w:webHidden/>
              </w:rPr>
              <w:fldChar w:fldCharType="separate"/>
            </w:r>
            <w:r w:rsidR="007C4A68">
              <w:rPr>
                <w:noProof/>
                <w:webHidden/>
              </w:rPr>
              <w:t>4616</w:t>
            </w:r>
            <w:r w:rsidR="00D0155D">
              <w:rPr>
                <w:noProof/>
                <w:webHidden/>
              </w:rPr>
              <w:fldChar w:fldCharType="end"/>
            </w:r>
          </w:hyperlink>
        </w:p>
        <w:p w:rsidR="00D0155D" w:rsidRDefault="00BE58B6" w:rsidP="00C91BE6">
          <w:pPr>
            <w:pStyle w:val="TOC2"/>
            <w:spacing w:before="20"/>
            <w:rPr>
              <w:rFonts w:asciiTheme="minorHAnsi" w:eastAsiaTheme="minorEastAsia" w:hAnsiTheme="minorHAnsi" w:cstheme="minorBidi"/>
              <w:noProof/>
              <w:sz w:val="22"/>
              <w:lang w:eastAsia="en-AU"/>
            </w:rPr>
          </w:pPr>
          <w:hyperlink w:anchor="_Toc91161234" w:history="1">
            <w:r w:rsidR="00D0155D" w:rsidRPr="002B0638">
              <w:rPr>
                <w:rStyle w:val="Hyperlink"/>
                <w:noProof/>
              </w:rPr>
              <w:t>Proclamations</w:t>
            </w:r>
            <w:r w:rsidR="00703F8C">
              <w:rPr>
                <w:noProof/>
                <w:webHidden/>
              </w:rPr>
              <w:t>—</w:t>
            </w:r>
          </w:hyperlink>
        </w:p>
        <w:p w:rsidR="00D0155D" w:rsidRDefault="00BE58B6">
          <w:pPr>
            <w:pStyle w:val="TOC3"/>
            <w:tabs>
              <w:tab w:val="right" w:leader="dot" w:pos="4549"/>
            </w:tabs>
            <w:rPr>
              <w:rFonts w:asciiTheme="minorHAnsi" w:eastAsiaTheme="minorEastAsia" w:hAnsiTheme="minorHAnsi" w:cstheme="minorBidi"/>
              <w:noProof/>
              <w:sz w:val="22"/>
              <w:szCs w:val="22"/>
              <w:lang w:eastAsia="en-AU"/>
            </w:rPr>
          </w:pPr>
          <w:hyperlink w:anchor="_Toc91161235" w:history="1">
            <w:r w:rsidR="00D0155D" w:rsidRPr="002B0638">
              <w:rPr>
                <w:rStyle w:val="Hyperlink"/>
                <w:noProof/>
                <w:lang w:eastAsia="en-AU"/>
              </w:rPr>
              <w:t xml:space="preserve">Correctional Services (Accountability and Other </w:t>
            </w:r>
            <w:r w:rsidR="002552B2">
              <w:rPr>
                <w:rStyle w:val="Hyperlink"/>
                <w:noProof/>
                <w:lang w:eastAsia="en-AU"/>
              </w:rPr>
              <w:br/>
            </w:r>
            <w:r w:rsidR="00D0155D" w:rsidRPr="002B0638">
              <w:rPr>
                <w:rStyle w:val="Hyperlink"/>
                <w:noProof/>
                <w:lang w:eastAsia="en-AU"/>
              </w:rPr>
              <w:t>Measures) Amendment Act (Commencement) Proclamation 2021</w:t>
            </w:r>
            <w:r w:rsidR="00D0155D">
              <w:rPr>
                <w:noProof/>
                <w:webHidden/>
              </w:rPr>
              <w:tab/>
            </w:r>
            <w:r w:rsidR="00D0155D">
              <w:rPr>
                <w:noProof/>
                <w:webHidden/>
              </w:rPr>
              <w:fldChar w:fldCharType="begin"/>
            </w:r>
            <w:r w:rsidR="00D0155D">
              <w:rPr>
                <w:noProof/>
                <w:webHidden/>
              </w:rPr>
              <w:instrText xml:space="preserve"> PAGEREF _Toc91161235 \h </w:instrText>
            </w:r>
            <w:r w:rsidR="00D0155D">
              <w:rPr>
                <w:noProof/>
                <w:webHidden/>
              </w:rPr>
            </w:r>
            <w:r w:rsidR="00D0155D">
              <w:rPr>
                <w:noProof/>
                <w:webHidden/>
              </w:rPr>
              <w:fldChar w:fldCharType="separate"/>
            </w:r>
            <w:r w:rsidR="007C4A68">
              <w:rPr>
                <w:noProof/>
                <w:webHidden/>
              </w:rPr>
              <w:t>4618</w:t>
            </w:r>
            <w:r w:rsidR="00D0155D">
              <w:rPr>
                <w:noProof/>
                <w:webHidden/>
              </w:rPr>
              <w:fldChar w:fldCharType="end"/>
            </w:r>
          </w:hyperlink>
        </w:p>
        <w:p w:rsidR="00D0155D" w:rsidRDefault="00BE58B6">
          <w:pPr>
            <w:pStyle w:val="TOC3"/>
            <w:tabs>
              <w:tab w:val="right" w:leader="dot" w:pos="4549"/>
            </w:tabs>
            <w:rPr>
              <w:rFonts w:asciiTheme="minorHAnsi" w:eastAsiaTheme="minorEastAsia" w:hAnsiTheme="minorHAnsi" w:cstheme="minorBidi"/>
              <w:noProof/>
              <w:sz w:val="22"/>
              <w:szCs w:val="22"/>
              <w:lang w:eastAsia="en-AU"/>
            </w:rPr>
          </w:pPr>
          <w:hyperlink w:anchor="_Toc91161236" w:history="1">
            <w:r w:rsidR="00D0155D" w:rsidRPr="002B0638">
              <w:rPr>
                <w:rStyle w:val="Hyperlink"/>
                <w:noProof/>
                <w:lang w:eastAsia="en-AU"/>
              </w:rPr>
              <w:t xml:space="preserve">Firearms (Miscellaneous) Amendment Act </w:t>
            </w:r>
            <w:r w:rsidR="002552B2">
              <w:rPr>
                <w:rStyle w:val="Hyperlink"/>
                <w:noProof/>
                <w:lang w:eastAsia="en-AU"/>
              </w:rPr>
              <w:br/>
            </w:r>
            <w:r w:rsidR="00D0155D" w:rsidRPr="002B0638">
              <w:rPr>
                <w:rStyle w:val="Hyperlink"/>
                <w:noProof/>
                <w:lang w:eastAsia="en-AU"/>
              </w:rPr>
              <w:t>(Commencement) Proclamation 2021</w:t>
            </w:r>
            <w:r w:rsidR="00D0155D">
              <w:rPr>
                <w:noProof/>
                <w:webHidden/>
              </w:rPr>
              <w:tab/>
            </w:r>
            <w:r w:rsidR="00D0155D">
              <w:rPr>
                <w:noProof/>
                <w:webHidden/>
              </w:rPr>
              <w:fldChar w:fldCharType="begin"/>
            </w:r>
            <w:r w:rsidR="00D0155D">
              <w:rPr>
                <w:noProof/>
                <w:webHidden/>
              </w:rPr>
              <w:instrText xml:space="preserve"> PAGEREF _Toc91161236 \h </w:instrText>
            </w:r>
            <w:r w:rsidR="00D0155D">
              <w:rPr>
                <w:noProof/>
                <w:webHidden/>
              </w:rPr>
            </w:r>
            <w:r w:rsidR="00D0155D">
              <w:rPr>
                <w:noProof/>
                <w:webHidden/>
              </w:rPr>
              <w:fldChar w:fldCharType="separate"/>
            </w:r>
            <w:r w:rsidR="007C4A68">
              <w:rPr>
                <w:noProof/>
                <w:webHidden/>
              </w:rPr>
              <w:t>4618</w:t>
            </w:r>
            <w:r w:rsidR="00D0155D">
              <w:rPr>
                <w:noProof/>
                <w:webHidden/>
              </w:rPr>
              <w:fldChar w:fldCharType="end"/>
            </w:r>
          </w:hyperlink>
        </w:p>
        <w:p w:rsidR="00D0155D" w:rsidRDefault="00BE58B6">
          <w:pPr>
            <w:pStyle w:val="TOC3"/>
            <w:tabs>
              <w:tab w:val="right" w:leader="dot" w:pos="4549"/>
            </w:tabs>
            <w:rPr>
              <w:rFonts w:asciiTheme="minorHAnsi" w:eastAsiaTheme="minorEastAsia" w:hAnsiTheme="minorHAnsi" w:cstheme="minorBidi"/>
              <w:noProof/>
              <w:sz w:val="22"/>
              <w:szCs w:val="22"/>
              <w:lang w:eastAsia="en-AU"/>
            </w:rPr>
          </w:pPr>
          <w:hyperlink w:anchor="_Toc91161237" w:history="1">
            <w:r w:rsidR="00D0155D" w:rsidRPr="002B0638">
              <w:rPr>
                <w:rStyle w:val="Hyperlink"/>
                <w:noProof/>
                <w:lang w:eastAsia="en-AU"/>
              </w:rPr>
              <w:t>Legislation Interpretation Act (Commencement) Proclamation 2021</w:t>
            </w:r>
            <w:r w:rsidR="00D0155D">
              <w:rPr>
                <w:noProof/>
                <w:webHidden/>
              </w:rPr>
              <w:tab/>
            </w:r>
            <w:r w:rsidR="00D0155D">
              <w:rPr>
                <w:noProof/>
                <w:webHidden/>
              </w:rPr>
              <w:fldChar w:fldCharType="begin"/>
            </w:r>
            <w:r w:rsidR="00D0155D">
              <w:rPr>
                <w:noProof/>
                <w:webHidden/>
              </w:rPr>
              <w:instrText xml:space="preserve"> PAGEREF _Toc91161237 \h </w:instrText>
            </w:r>
            <w:r w:rsidR="00D0155D">
              <w:rPr>
                <w:noProof/>
                <w:webHidden/>
              </w:rPr>
            </w:r>
            <w:r w:rsidR="00D0155D">
              <w:rPr>
                <w:noProof/>
                <w:webHidden/>
              </w:rPr>
              <w:fldChar w:fldCharType="separate"/>
            </w:r>
            <w:r w:rsidR="007C4A68">
              <w:rPr>
                <w:noProof/>
                <w:webHidden/>
              </w:rPr>
              <w:t>4619</w:t>
            </w:r>
            <w:r w:rsidR="00D0155D">
              <w:rPr>
                <w:noProof/>
                <w:webHidden/>
              </w:rPr>
              <w:fldChar w:fldCharType="end"/>
            </w:r>
          </w:hyperlink>
        </w:p>
        <w:p w:rsidR="00D0155D" w:rsidRDefault="00BE58B6">
          <w:pPr>
            <w:pStyle w:val="TOC3"/>
            <w:tabs>
              <w:tab w:val="right" w:leader="dot" w:pos="4549"/>
            </w:tabs>
            <w:rPr>
              <w:rFonts w:asciiTheme="minorHAnsi" w:eastAsiaTheme="minorEastAsia" w:hAnsiTheme="minorHAnsi" w:cstheme="minorBidi"/>
              <w:noProof/>
              <w:sz w:val="22"/>
              <w:szCs w:val="22"/>
              <w:lang w:eastAsia="en-AU"/>
            </w:rPr>
          </w:pPr>
          <w:hyperlink w:anchor="_Toc91161238" w:history="1">
            <w:r w:rsidR="00D0155D" w:rsidRPr="002B0638">
              <w:rPr>
                <w:rStyle w:val="Hyperlink"/>
                <w:noProof/>
                <w:lang w:eastAsia="en-AU"/>
              </w:rPr>
              <w:t xml:space="preserve">Statutes Amendment (Local Government Review) </w:t>
            </w:r>
            <w:r w:rsidR="002552B2">
              <w:rPr>
                <w:rStyle w:val="Hyperlink"/>
                <w:noProof/>
                <w:lang w:eastAsia="en-AU"/>
              </w:rPr>
              <w:br/>
            </w:r>
            <w:r w:rsidR="00D0155D" w:rsidRPr="002B0638">
              <w:rPr>
                <w:rStyle w:val="Hyperlink"/>
                <w:noProof/>
                <w:lang w:eastAsia="en-AU"/>
              </w:rPr>
              <w:t>Act (Commencement) Proclamation 2021</w:t>
            </w:r>
            <w:r w:rsidR="00D0155D">
              <w:rPr>
                <w:noProof/>
                <w:webHidden/>
              </w:rPr>
              <w:tab/>
            </w:r>
            <w:r w:rsidR="00D0155D">
              <w:rPr>
                <w:noProof/>
                <w:webHidden/>
              </w:rPr>
              <w:fldChar w:fldCharType="begin"/>
            </w:r>
            <w:r w:rsidR="00D0155D">
              <w:rPr>
                <w:noProof/>
                <w:webHidden/>
              </w:rPr>
              <w:instrText xml:space="preserve"> PAGEREF _Toc91161238 \h </w:instrText>
            </w:r>
            <w:r w:rsidR="00D0155D">
              <w:rPr>
                <w:noProof/>
                <w:webHidden/>
              </w:rPr>
            </w:r>
            <w:r w:rsidR="00D0155D">
              <w:rPr>
                <w:noProof/>
                <w:webHidden/>
              </w:rPr>
              <w:fldChar w:fldCharType="separate"/>
            </w:r>
            <w:r w:rsidR="007C4A68">
              <w:rPr>
                <w:noProof/>
                <w:webHidden/>
              </w:rPr>
              <w:t>4619</w:t>
            </w:r>
            <w:r w:rsidR="00D0155D">
              <w:rPr>
                <w:noProof/>
                <w:webHidden/>
              </w:rPr>
              <w:fldChar w:fldCharType="end"/>
            </w:r>
          </w:hyperlink>
        </w:p>
        <w:p w:rsidR="00D0155D" w:rsidRDefault="00BE58B6">
          <w:pPr>
            <w:pStyle w:val="TOC3"/>
            <w:tabs>
              <w:tab w:val="right" w:leader="dot" w:pos="4549"/>
            </w:tabs>
            <w:rPr>
              <w:rFonts w:asciiTheme="minorHAnsi" w:eastAsiaTheme="minorEastAsia" w:hAnsiTheme="minorHAnsi" w:cstheme="minorBidi"/>
              <w:noProof/>
              <w:sz w:val="22"/>
              <w:szCs w:val="22"/>
              <w:lang w:eastAsia="en-AU"/>
            </w:rPr>
          </w:pPr>
          <w:hyperlink w:anchor="_Toc91161239" w:history="1">
            <w:r w:rsidR="00D0155D" w:rsidRPr="002B0638">
              <w:rPr>
                <w:rStyle w:val="Hyperlink"/>
                <w:noProof/>
                <w:lang w:eastAsia="en-AU"/>
              </w:rPr>
              <w:t xml:space="preserve">Administrative Arrangements (Administration of </w:t>
            </w:r>
            <w:r w:rsidR="002552B2">
              <w:rPr>
                <w:rStyle w:val="Hyperlink"/>
                <w:noProof/>
                <w:lang w:eastAsia="en-AU"/>
              </w:rPr>
              <w:br/>
            </w:r>
            <w:r w:rsidR="00D0155D" w:rsidRPr="002B0638">
              <w:rPr>
                <w:rStyle w:val="Hyperlink"/>
                <w:noProof/>
                <w:lang w:eastAsia="en-AU"/>
              </w:rPr>
              <w:t>Legislation Interpretation Act) Proclamation 2021</w:t>
            </w:r>
            <w:r w:rsidR="00D0155D">
              <w:rPr>
                <w:noProof/>
                <w:webHidden/>
              </w:rPr>
              <w:tab/>
            </w:r>
            <w:r w:rsidR="00D0155D">
              <w:rPr>
                <w:noProof/>
                <w:webHidden/>
              </w:rPr>
              <w:fldChar w:fldCharType="begin"/>
            </w:r>
            <w:r w:rsidR="00D0155D">
              <w:rPr>
                <w:noProof/>
                <w:webHidden/>
              </w:rPr>
              <w:instrText xml:space="preserve"> PAGEREF _Toc91161239 \h </w:instrText>
            </w:r>
            <w:r w:rsidR="00D0155D">
              <w:rPr>
                <w:noProof/>
                <w:webHidden/>
              </w:rPr>
            </w:r>
            <w:r w:rsidR="00D0155D">
              <w:rPr>
                <w:noProof/>
                <w:webHidden/>
              </w:rPr>
              <w:fldChar w:fldCharType="separate"/>
            </w:r>
            <w:r w:rsidR="007C4A68">
              <w:rPr>
                <w:noProof/>
                <w:webHidden/>
              </w:rPr>
              <w:t>4621</w:t>
            </w:r>
            <w:r w:rsidR="00D0155D">
              <w:rPr>
                <w:noProof/>
                <w:webHidden/>
              </w:rPr>
              <w:fldChar w:fldCharType="end"/>
            </w:r>
          </w:hyperlink>
        </w:p>
        <w:p w:rsidR="00D0155D" w:rsidRDefault="00BE58B6">
          <w:pPr>
            <w:pStyle w:val="TOC3"/>
            <w:tabs>
              <w:tab w:val="right" w:leader="dot" w:pos="4549"/>
            </w:tabs>
            <w:rPr>
              <w:rFonts w:asciiTheme="minorHAnsi" w:eastAsiaTheme="minorEastAsia" w:hAnsiTheme="minorHAnsi" w:cstheme="minorBidi"/>
              <w:noProof/>
              <w:sz w:val="22"/>
              <w:szCs w:val="22"/>
              <w:lang w:eastAsia="en-AU"/>
            </w:rPr>
          </w:pPr>
          <w:hyperlink w:anchor="_Toc91161240" w:history="1">
            <w:r w:rsidR="00D0155D" w:rsidRPr="002B0638">
              <w:rPr>
                <w:rStyle w:val="Hyperlink"/>
                <w:noProof/>
                <w:lang w:eastAsia="en-AU"/>
              </w:rPr>
              <w:t xml:space="preserve">Administrative Arrangements (Administration of </w:t>
            </w:r>
            <w:r w:rsidR="002552B2">
              <w:rPr>
                <w:rStyle w:val="Hyperlink"/>
                <w:noProof/>
                <w:lang w:eastAsia="en-AU"/>
              </w:rPr>
              <w:br/>
            </w:r>
            <w:r w:rsidR="00D0155D" w:rsidRPr="002B0638">
              <w:rPr>
                <w:rStyle w:val="Hyperlink"/>
                <w:noProof/>
                <w:lang w:eastAsia="en-AU"/>
              </w:rPr>
              <w:t>Recreational Greenways Act) Proclamation 2021</w:t>
            </w:r>
            <w:r w:rsidR="00D0155D">
              <w:rPr>
                <w:noProof/>
                <w:webHidden/>
              </w:rPr>
              <w:tab/>
            </w:r>
            <w:r w:rsidR="00D0155D">
              <w:rPr>
                <w:noProof/>
                <w:webHidden/>
              </w:rPr>
              <w:fldChar w:fldCharType="begin"/>
            </w:r>
            <w:r w:rsidR="00D0155D">
              <w:rPr>
                <w:noProof/>
                <w:webHidden/>
              </w:rPr>
              <w:instrText xml:space="preserve"> PAGEREF _Toc91161240 \h </w:instrText>
            </w:r>
            <w:r w:rsidR="00D0155D">
              <w:rPr>
                <w:noProof/>
                <w:webHidden/>
              </w:rPr>
            </w:r>
            <w:r w:rsidR="00D0155D">
              <w:rPr>
                <w:noProof/>
                <w:webHidden/>
              </w:rPr>
              <w:fldChar w:fldCharType="separate"/>
            </w:r>
            <w:r w:rsidR="007C4A68">
              <w:rPr>
                <w:noProof/>
                <w:webHidden/>
              </w:rPr>
              <w:t>4621</w:t>
            </w:r>
            <w:r w:rsidR="00D0155D">
              <w:rPr>
                <w:noProof/>
                <w:webHidden/>
              </w:rPr>
              <w:fldChar w:fldCharType="end"/>
            </w:r>
          </w:hyperlink>
        </w:p>
        <w:p w:rsidR="00D0155D" w:rsidRDefault="00BE58B6">
          <w:pPr>
            <w:pStyle w:val="TOC3"/>
            <w:tabs>
              <w:tab w:val="right" w:leader="dot" w:pos="4549"/>
            </w:tabs>
            <w:rPr>
              <w:rFonts w:asciiTheme="minorHAnsi" w:eastAsiaTheme="minorEastAsia" w:hAnsiTheme="minorHAnsi" w:cstheme="minorBidi"/>
              <w:noProof/>
              <w:sz w:val="22"/>
              <w:szCs w:val="22"/>
              <w:lang w:eastAsia="en-AU"/>
            </w:rPr>
          </w:pPr>
          <w:hyperlink w:anchor="_Toc91161241" w:history="1">
            <w:r w:rsidR="00D0155D" w:rsidRPr="002B0638">
              <w:rPr>
                <w:rStyle w:val="Hyperlink"/>
                <w:noProof/>
                <w:lang w:eastAsia="en-AU"/>
              </w:rPr>
              <w:t>Administrative Arrangements (Reference to Minister) Proclamation 2021</w:t>
            </w:r>
            <w:r w:rsidR="00D0155D">
              <w:rPr>
                <w:noProof/>
                <w:webHidden/>
              </w:rPr>
              <w:tab/>
            </w:r>
            <w:r w:rsidR="00D0155D">
              <w:rPr>
                <w:noProof/>
                <w:webHidden/>
              </w:rPr>
              <w:fldChar w:fldCharType="begin"/>
            </w:r>
            <w:r w:rsidR="00D0155D">
              <w:rPr>
                <w:noProof/>
                <w:webHidden/>
              </w:rPr>
              <w:instrText xml:space="preserve"> PAGEREF _Toc91161241 \h </w:instrText>
            </w:r>
            <w:r w:rsidR="00D0155D">
              <w:rPr>
                <w:noProof/>
                <w:webHidden/>
              </w:rPr>
            </w:r>
            <w:r w:rsidR="00D0155D">
              <w:rPr>
                <w:noProof/>
                <w:webHidden/>
              </w:rPr>
              <w:fldChar w:fldCharType="separate"/>
            </w:r>
            <w:r w:rsidR="007C4A68">
              <w:rPr>
                <w:noProof/>
                <w:webHidden/>
              </w:rPr>
              <w:t>4622</w:t>
            </w:r>
            <w:r w:rsidR="00D0155D">
              <w:rPr>
                <w:noProof/>
                <w:webHidden/>
              </w:rPr>
              <w:fldChar w:fldCharType="end"/>
            </w:r>
          </w:hyperlink>
        </w:p>
        <w:p w:rsidR="00D0155D" w:rsidRDefault="00BE58B6">
          <w:pPr>
            <w:pStyle w:val="TOC3"/>
            <w:tabs>
              <w:tab w:val="right" w:leader="dot" w:pos="4549"/>
            </w:tabs>
            <w:rPr>
              <w:rFonts w:asciiTheme="minorHAnsi" w:eastAsiaTheme="minorEastAsia" w:hAnsiTheme="minorHAnsi" w:cstheme="minorBidi"/>
              <w:noProof/>
              <w:sz w:val="22"/>
              <w:szCs w:val="22"/>
              <w:lang w:eastAsia="en-AU"/>
            </w:rPr>
          </w:pPr>
          <w:hyperlink w:anchor="_Toc91161242" w:history="1">
            <w:r w:rsidR="00D0155D" w:rsidRPr="002B0638">
              <w:rPr>
                <w:rStyle w:val="Hyperlink"/>
                <w:noProof/>
                <w:lang w:eastAsia="en-AU"/>
              </w:rPr>
              <w:t xml:space="preserve">South Australian Civil and Administrative Tribunal </w:t>
            </w:r>
            <w:r w:rsidR="002552B2">
              <w:rPr>
                <w:rStyle w:val="Hyperlink"/>
                <w:noProof/>
                <w:lang w:eastAsia="en-AU"/>
              </w:rPr>
              <w:br/>
            </w:r>
            <w:r w:rsidR="00D0155D" w:rsidRPr="002B0638">
              <w:rPr>
                <w:rStyle w:val="Hyperlink"/>
                <w:noProof/>
                <w:lang w:eastAsia="en-AU"/>
              </w:rPr>
              <w:t>(Designation of Magistrate as Member of Tribunal) Proclamation 2021</w:t>
            </w:r>
            <w:r w:rsidR="00D0155D">
              <w:rPr>
                <w:noProof/>
                <w:webHidden/>
              </w:rPr>
              <w:tab/>
            </w:r>
            <w:r w:rsidR="00D0155D">
              <w:rPr>
                <w:noProof/>
                <w:webHidden/>
              </w:rPr>
              <w:fldChar w:fldCharType="begin"/>
            </w:r>
            <w:r w:rsidR="00D0155D">
              <w:rPr>
                <w:noProof/>
                <w:webHidden/>
              </w:rPr>
              <w:instrText xml:space="preserve"> PAGEREF _Toc91161242 \h </w:instrText>
            </w:r>
            <w:r w:rsidR="00D0155D">
              <w:rPr>
                <w:noProof/>
                <w:webHidden/>
              </w:rPr>
            </w:r>
            <w:r w:rsidR="00D0155D">
              <w:rPr>
                <w:noProof/>
                <w:webHidden/>
              </w:rPr>
              <w:fldChar w:fldCharType="separate"/>
            </w:r>
            <w:r w:rsidR="007C4A68">
              <w:rPr>
                <w:noProof/>
                <w:webHidden/>
              </w:rPr>
              <w:t>4623</w:t>
            </w:r>
            <w:r w:rsidR="00D0155D">
              <w:rPr>
                <w:noProof/>
                <w:webHidden/>
              </w:rPr>
              <w:fldChar w:fldCharType="end"/>
            </w:r>
          </w:hyperlink>
        </w:p>
        <w:p w:rsidR="00D0155D" w:rsidRDefault="00BE58B6">
          <w:pPr>
            <w:pStyle w:val="TOC3"/>
            <w:tabs>
              <w:tab w:val="right" w:leader="dot" w:pos="4549"/>
            </w:tabs>
            <w:rPr>
              <w:rFonts w:asciiTheme="minorHAnsi" w:eastAsiaTheme="minorEastAsia" w:hAnsiTheme="minorHAnsi" w:cstheme="minorBidi"/>
              <w:noProof/>
              <w:sz w:val="22"/>
              <w:szCs w:val="22"/>
              <w:lang w:eastAsia="en-AU"/>
            </w:rPr>
          </w:pPr>
          <w:hyperlink w:anchor="_Toc91161244" w:history="1">
            <w:r w:rsidR="00D0155D" w:rsidRPr="002B0638">
              <w:rPr>
                <w:rStyle w:val="Hyperlink"/>
                <w:noProof/>
                <w:lang w:eastAsia="en-AU"/>
              </w:rPr>
              <w:t xml:space="preserve">Youth Court (Designation and Classification of </w:t>
            </w:r>
            <w:r w:rsidR="0008545B">
              <w:rPr>
                <w:rStyle w:val="Hyperlink"/>
                <w:noProof/>
                <w:lang w:eastAsia="en-AU"/>
              </w:rPr>
              <w:br/>
            </w:r>
            <w:r w:rsidR="00D0155D" w:rsidRPr="002B0638">
              <w:rPr>
                <w:rStyle w:val="Hyperlink"/>
                <w:noProof/>
                <w:lang w:eastAsia="en-AU"/>
              </w:rPr>
              <w:t xml:space="preserve">Magistrate) (Ancillary Judiciary) </w:t>
            </w:r>
            <w:r w:rsidR="0008545B">
              <w:rPr>
                <w:rStyle w:val="Hyperlink"/>
                <w:noProof/>
                <w:lang w:eastAsia="en-AU"/>
              </w:rPr>
              <w:br/>
            </w:r>
            <w:r w:rsidR="00D0155D" w:rsidRPr="002B0638">
              <w:rPr>
                <w:rStyle w:val="Hyperlink"/>
                <w:noProof/>
                <w:lang w:eastAsia="en-AU"/>
              </w:rPr>
              <w:t>Proclamation 2021</w:t>
            </w:r>
            <w:r w:rsidR="00D0155D">
              <w:rPr>
                <w:noProof/>
                <w:webHidden/>
              </w:rPr>
              <w:tab/>
            </w:r>
            <w:r w:rsidR="00D0155D">
              <w:rPr>
                <w:noProof/>
                <w:webHidden/>
              </w:rPr>
              <w:fldChar w:fldCharType="begin"/>
            </w:r>
            <w:r w:rsidR="00D0155D">
              <w:rPr>
                <w:noProof/>
                <w:webHidden/>
              </w:rPr>
              <w:instrText xml:space="preserve"> PAGEREF _Toc91161244 \h </w:instrText>
            </w:r>
            <w:r w:rsidR="00D0155D">
              <w:rPr>
                <w:noProof/>
                <w:webHidden/>
              </w:rPr>
            </w:r>
            <w:r w:rsidR="00D0155D">
              <w:rPr>
                <w:noProof/>
                <w:webHidden/>
              </w:rPr>
              <w:fldChar w:fldCharType="separate"/>
            </w:r>
            <w:r w:rsidR="007C4A68">
              <w:rPr>
                <w:noProof/>
                <w:webHidden/>
              </w:rPr>
              <w:t>4625</w:t>
            </w:r>
            <w:r w:rsidR="00D0155D">
              <w:rPr>
                <w:noProof/>
                <w:webHidden/>
              </w:rPr>
              <w:fldChar w:fldCharType="end"/>
            </w:r>
          </w:hyperlink>
        </w:p>
        <w:p w:rsidR="00D0155D" w:rsidRDefault="00BE58B6" w:rsidP="00356830">
          <w:pPr>
            <w:pStyle w:val="TOC2"/>
            <w:spacing w:before="20"/>
            <w:rPr>
              <w:rFonts w:asciiTheme="minorHAnsi" w:eastAsiaTheme="minorEastAsia" w:hAnsiTheme="minorHAnsi" w:cstheme="minorBidi"/>
              <w:noProof/>
              <w:sz w:val="22"/>
              <w:lang w:eastAsia="en-AU"/>
            </w:rPr>
          </w:pPr>
          <w:hyperlink w:anchor="_Toc91161246" w:history="1">
            <w:r w:rsidR="00D0155D" w:rsidRPr="002B0638">
              <w:rPr>
                <w:rStyle w:val="Hyperlink"/>
                <w:noProof/>
              </w:rPr>
              <w:t>Regulations</w:t>
            </w:r>
            <w:r w:rsidR="00703F8C">
              <w:rPr>
                <w:noProof/>
                <w:webHidden/>
              </w:rPr>
              <w:t>—</w:t>
            </w:r>
          </w:hyperlink>
        </w:p>
        <w:p w:rsidR="00D0155D" w:rsidRDefault="00BE58B6">
          <w:pPr>
            <w:pStyle w:val="TOC3"/>
            <w:tabs>
              <w:tab w:val="right" w:leader="dot" w:pos="4549"/>
            </w:tabs>
            <w:rPr>
              <w:rFonts w:asciiTheme="minorHAnsi" w:eastAsiaTheme="minorEastAsia" w:hAnsiTheme="minorHAnsi" w:cstheme="minorBidi"/>
              <w:noProof/>
              <w:sz w:val="22"/>
              <w:szCs w:val="22"/>
              <w:lang w:eastAsia="en-AU"/>
            </w:rPr>
          </w:pPr>
          <w:hyperlink w:anchor="_Toc91161247" w:history="1">
            <w:r w:rsidR="00D0155D" w:rsidRPr="002B0638">
              <w:rPr>
                <w:rStyle w:val="Hyperlink"/>
                <w:noProof/>
                <w:lang w:eastAsia="en-AU"/>
              </w:rPr>
              <w:t>Legislation Interpretation Regulations 2021</w:t>
            </w:r>
            <w:r w:rsidR="00F8244F">
              <w:rPr>
                <w:rStyle w:val="Hyperlink"/>
                <w:noProof/>
                <w:lang w:eastAsia="en-AU"/>
              </w:rPr>
              <w:t>—</w:t>
            </w:r>
            <w:r w:rsidR="00F8244F">
              <w:rPr>
                <w:rStyle w:val="Hyperlink"/>
                <w:noProof/>
                <w:lang w:eastAsia="en-AU"/>
              </w:rPr>
              <w:br/>
              <w:t>No. 192 of 2021</w:t>
            </w:r>
            <w:r w:rsidR="00D0155D">
              <w:rPr>
                <w:noProof/>
                <w:webHidden/>
              </w:rPr>
              <w:tab/>
            </w:r>
            <w:r w:rsidR="00D0155D">
              <w:rPr>
                <w:noProof/>
                <w:webHidden/>
              </w:rPr>
              <w:fldChar w:fldCharType="begin"/>
            </w:r>
            <w:r w:rsidR="00D0155D">
              <w:rPr>
                <w:noProof/>
                <w:webHidden/>
              </w:rPr>
              <w:instrText xml:space="preserve"> PAGEREF _Toc91161247 \h </w:instrText>
            </w:r>
            <w:r w:rsidR="00D0155D">
              <w:rPr>
                <w:noProof/>
                <w:webHidden/>
              </w:rPr>
            </w:r>
            <w:r w:rsidR="00D0155D">
              <w:rPr>
                <w:noProof/>
                <w:webHidden/>
              </w:rPr>
              <w:fldChar w:fldCharType="separate"/>
            </w:r>
            <w:r w:rsidR="007C4A68">
              <w:rPr>
                <w:noProof/>
                <w:webHidden/>
              </w:rPr>
              <w:t>4627</w:t>
            </w:r>
            <w:r w:rsidR="00D0155D">
              <w:rPr>
                <w:noProof/>
                <w:webHidden/>
              </w:rPr>
              <w:fldChar w:fldCharType="end"/>
            </w:r>
          </w:hyperlink>
        </w:p>
        <w:p w:rsidR="00D0155D" w:rsidRDefault="00BE58B6">
          <w:pPr>
            <w:pStyle w:val="TOC3"/>
            <w:tabs>
              <w:tab w:val="right" w:leader="dot" w:pos="4549"/>
            </w:tabs>
            <w:rPr>
              <w:rFonts w:asciiTheme="minorHAnsi" w:eastAsiaTheme="minorEastAsia" w:hAnsiTheme="minorHAnsi" w:cstheme="minorBidi"/>
              <w:noProof/>
              <w:sz w:val="22"/>
              <w:szCs w:val="22"/>
              <w:lang w:eastAsia="en-AU"/>
            </w:rPr>
          </w:pPr>
          <w:hyperlink w:anchor="_Toc91161248" w:history="1">
            <w:r w:rsidR="00D0155D" w:rsidRPr="002B0638">
              <w:rPr>
                <w:rStyle w:val="Hyperlink"/>
                <w:noProof/>
                <w:lang w:eastAsia="en-AU"/>
              </w:rPr>
              <w:t xml:space="preserve">Legislation Revision and Publication (Legislation </w:t>
            </w:r>
            <w:r w:rsidR="0008545B">
              <w:rPr>
                <w:rStyle w:val="Hyperlink"/>
                <w:noProof/>
                <w:lang w:eastAsia="en-AU"/>
              </w:rPr>
              <w:br/>
            </w:r>
            <w:r w:rsidR="00D0155D" w:rsidRPr="002B0638">
              <w:rPr>
                <w:rStyle w:val="Hyperlink"/>
                <w:noProof/>
                <w:lang w:eastAsia="en-AU"/>
              </w:rPr>
              <w:t>Interpretation) Amendment Regulations 2021</w:t>
            </w:r>
            <w:r w:rsidR="00F8244F">
              <w:rPr>
                <w:rStyle w:val="Hyperlink"/>
                <w:noProof/>
                <w:lang w:eastAsia="en-AU"/>
              </w:rPr>
              <w:t>—</w:t>
            </w:r>
            <w:r w:rsidR="007D40A3">
              <w:rPr>
                <w:rStyle w:val="Hyperlink"/>
                <w:noProof/>
                <w:lang w:eastAsia="en-AU"/>
              </w:rPr>
              <w:br/>
            </w:r>
            <w:r w:rsidR="00F8244F">
              <w:rPr>
                <w:rStyle w:val="Hyperlink"/>
                <w:noProof/>
                <w:lang w:eastAsia="en-AU"/>
              </w:rPr>
              <w:t>No.193 of 2021</w:t>
            </w:r>
            <w:r w:rsidR="00D0155D">
              <w:rPr>
                <w:noProof/>
                <w:webHidden/>
              </w:rPr>
              <w:tab/>
            </w:r>
            <w:r w:rsidR="00D0155D">
              <w:rPr>
                <w:noProof/>
                <w:webHidden/>
              </w:rPr>
              <w:fldChar w:fldCharType="begin"/>
            </w:r>
            <w:r w:rsidR="00D0155D">
              <w:rPr>
                <w:noProof/>
                <w:webHidden/>
              </w:rPr>
              <w:instrText xml:space="preserve"> PAGEREF _Toc91161248 \h </w:instrText>
            </w:r>
            <w:r w:rsidR="00D0155D">
              <w:rPr>
                <w:noProof/>
                <w:webHidden/>
              </w:rPr>
            </w:r>
            <w:r w:rsidR="00D0155D">
              <w:rPr>
                <w:noProof/>
                <w:webHidden/>
              </w:rPr>
              <w:fldChar w:fldCharType="separate"/>
            </w:r>
            <w:r w:rsidR="007C4A68">
              <w:rPr>
                <w:noProof/>
                <w:webHidden/>
              </w:rPr>
              <w:t>4629</w:t>
            </w:r>
            <w:r w:rsidR="00D0155D">
              <w:rPr>
                <w:noProof/>
                <w:webHidden/>
              </w:rPr>
              <w:fldChar w:fldCharType="end"/>
            </w:r>
          </w:hyperlink>
        </w:p>
        <w:p w:rsidR="00D0155D" w:rsidRDefault="00BE58B6">
          <w:pPr>
            <w:pStyle w:val="TOC3"/>
            <w:tabs>
              <w:tab w:val="right" w:leader="dot" w:pos="4549"/>
            </w:tabs>
            <w:rPr>
              <w:rFonts w:asciiTheme="minorHAnsi" w:eastAsiaTheme="minorEastAsia" w:hAnsiTheme="minorHAnsi" w:cstheme="minorBidi"/>
              <w:noProof/>
              <w:sz w:val="22"/>
              <w:szCs w:val="22"/>
              <w:lang w:eastAsia="en-AU"/>
            </w:rPr>
          </w:pPr>
          <w:hyperlink w:anchor="_Toc91161249" w:history="1">
            <w:r w:rsidR="00D0155D" w:rsidRPr="002B0638">
              <w:rPr>
                <w:rStyle w:val="Hyperlink"/>
                <w:noProof/>
                <w:lang w:eastAsia="en-AU"/>
              </w:rPr>
              <w:t xml:space="preserve">Local Government (Financial Management) (Review) </w:t>
            </w:r>
            <w:r w:rsidR="0008545B">
              <w:rPr>
                <w:rStyle w:val="Hyperlink"/>
                <w:noProof/>
                <w:lang w:eastAsia="en-AU"/>
              </w:rPr>
              <w:br/>
            </w:r>
            <w:r w:rsidR="00D0155D" w:rsidRPr="002B0638">
              <w:rPr>
                <w:rStyle w:val="Hyperlink"/>
                <w:noProof/>
                <w:lang w:eastAsia="en-AU"/>
              </w:rPr>
              <w:t>Variation Regulations 2021</w:t>
            </w:r>
            <w:r w:rsidR="00F8244F">
              <w:rPr>
                <w:rStyle w:val="Hyperlink"/>
                <w:noProof/>
                <w:lang w:eastAsia="en-AU"/>
              </w:rPr>
              <w:t>—No.194</w:t>
            </w:r>
            <w:r w:rsidR="00F8244F" w:rsidRPr="00F8244F">
              <w:rPr>
                <w:rStyle w:val="Hyperlink"/>
                <w:noProof/>
                <w:lang w:eastAsia="en-AU"/>
              </w:rPr>
              <w:t xml:space="preserve"> of 2021</w:t>
            </w:r>
            <w:r w:rsidR="00D0155D">
              <w:rPr>
                <w:noProof/>
                <w:webHidden/>
              </w:rPr>
              <w:tab/>
            </w:r>
            <w:r w:rsidR="00D0155D">
              <w:rPr>
                <w:noProof/>
                <w:webHidden/>
              </w:rPr>
              <w:fldChar w:fldCharType="begin"/>
            </w:r>
            <w:r w:rsidR="00D0155D">
              <w:rPr>
                <w:noProof/>
                <w:webHidden/>
              </w:rPr>
              <w:instrText xml:space="preserve"> PAGEREF _Toc91161249 \h </w:instrText>
            </w:r>
            <w:r w:rsidR="00D0155D">
              <w:rPr>
                <w:noProof/>
                <w:webHidden/>
              </w:rPr>
            </w:r>
            <w:r w:rsidR="00D0155D">
              <w:rPr>
                <w:noProof/>
                <w:webHidden/>
              </w:rPr>
              <w:fldChar w:fldCharType="separate"/>
            </w:r>
            <w:r w:rsidR="007C4A68">
              <w:rPr>
                <w:noProof/>
                <w:webHidden/>
              </w:rPr>
              <w:t>4631</w:t>
            </w:r>
            <w:r w:rsidR="00D0155D">
              <w:rPr>
                <w:noProof/>
                <w:webHidden/>
              </w:rPr>
              <w:fldChar w:fldCharType="end"/>
            </w:r>
          </w:hyperlink>
        </w:p>
        <w:p w:rsidR="00D0155D" w:rsidRDefault="00BE58B6">
          <w:pPr>
            <w:pStyle w:val="TOC3"/>
            <w:tabs>
              <w:tab w:val="right" w:leader="dot" w:pos="4549"/>
            </w:tabs>
            <w:rPr>
              <w:rFonts w:asciiTheme="minorHAnsi" w:eastAsiaTheme="minorEastAsia" w:hAnsiTheme="minorHAnsi" w:cstheme="minorBidi"/>
              <w:noProof/>
              <w:sz w:val="22"/>
              <w:szCs w:val="22"/>
              <w:lang w:eastAsia="en-AU"/>
            </w:rPr>
          </w:pPr>
          <w:hyperlink w:anchor="_Toc91161250" w:history="1">
            <w:r w:rsidR="00D0155D" w:rsidRPr="002B0638">
              <w:rPr>
                <w:rStyle w:val="Hyperlink"/>
                <w:noProof/>
                <w:lang w:eastAsia="en-AU"/>
              </w:rPr>
              <w:t xml:space="preserve">Local Government (General) (Annual Reports) </w:t>
            </w:r>
            <w:r w:rsidR="0008545B">
              <w:rPr>
                <w:rStyle w:val="Hyperlink"/>
                <w:noProof/>
                <w:lang w:eastAsia="en-AU"/>
              </w:rPr>
              <w:br/>
            </w:r>
            <w:r w:rsidR="00D0155D" w:rsidRPr="002B0638">
              <w:rPr>
                <w:rStyle w:val="Hyperlink"/>
                <w:noProof/>
                <w:lang w:eastAsia="en-AU"/>
              </w:rPr>
              <w:t>Variation Regulations 2021</w:t>
            </w:r>
            <w:r w:rsidR="00F8244F">
              <w:rPr>
                <w:rStyle w:val="Hyperlink"/>
                <w:noProof/>
                <w:lang w:eastAsia="en-AU"/>
              </w:rPr>
              <w:t>—No.195</w:t>
            </w:r>
            <w:r w:rsidR="00F8244F" w:rsidRPr="00F8244F">
              <w:rPr>
                <w:rStyle w:val="Hyperlink"/>
                <w:noProof/>
                <w:lang w:eastAsia="en-AU"/>
              </w:rPr>
              <w:t xml:space="preserve"> of 2021</w:t>
            </w:r>
            <w:r w:rsidR="00D0155D">
              <w:rPr>
                <w:noProof/>
                <w:webHidden/>
              </w:rPr>
              <w:tab/>
            </w:r>
            <w:r w:rsidR="00D0155D">
              <w:rPr>
                <w:noProof/>
                <w:webHidden/>
              </w:rPr>
              <w:fldChar w:fldCharType="begin"/>
            </w:r>
            <w:r w:rsidR="00D0155D">
              <w:rPr>
                <w:noProof/>
                <w:webHidden/>
              </w:rPr>
              <w:instrText xml:space="preserve"> PAGEREF _Toc91161250 \h </w:instrText>
            </w:r>
            <w:r w:rsidR="00D0155D">
              <w:rPr>
                <w:noProof/>
                <w:webHidden/>
              </w:rPr>
            </w:r>
            <w:r w:rsidR="00D0155D">
              <w:rPr>
                <w:noProof/>
                <w:webHidden/>
              </w:rPr>
              <w:fldChar w:fldCharType="separate"/>
            </w:r>
            <w:r w:rsidR="007C4A68">
              <w:rPr>
                <w:noProof/>
                <w:webHidden/>
              </w:rPr>
              <w:t>4634</w:t>
            </w:r>
            <w:r w:rsidR="00D0155D">
              <w:rPr>
                <w:noProof/>
                <w:webHidden/>
              </w:rPr>
              <w:fldChar w:fldCharType="end"/>
            </w:r>
          </w:hyperlink>
        </w:p>
        <w:p w:rsidR="00D0155D" w:rsidRDefault="0042134D">
          <w:pPr>
            <w:pStyle w:val="TOC3"/>
            <w:tabs>
              <w:tab w:val="right" w:leader="dot" w:pos="4549"/>
            </w:tabs>
            <w:rPr>
              <w:rFonts w:asciiTheme="minorHAnsi" w:eastAsiaTheme="minorEastAsia" w:hAnsiTheme="minorHAnsi" w:cstheme="minorBidi"/>
              <w:noProof/>
              <w:sz w:val="22"/>
              <w:szCs w:val="22"/>
              <w:lang w:eastAsia="en-AU"/>
            </w:rPr>
          </w:pPr>
          <w:r>
            <w:rPr>
              <w:rStyle w:val="Hyperlink"/>
              <w:noProof/>
            </w:rPr>
            <w:br w:type="column"/>
          </w:r>
          <w:hyperlink w:anchor="_Toc91161251" w:history="1">
            <w:r w:rsidR="00D0155D" w:rsidRPr="002B0638">
              <w:rPr>
                <w:rStyle w:val="Hyperlink"/>
                <w:noProof/>
                <w:lang w:eastAsia="en-AU"/>
              </w:rPr>
              <w:t>Local Government (Amendment of Schedule 4 of Act) Regulations 2021</w:t>
            </w:r>
            <w:r w:rsidR="00F8244F">
              <w:rPr>
                <w:rStyle w:val="Hyperlink"/>
                <w:noProof/>
                <w:lang w:eastAsia="en-AU"/>
              </w:rPr>
              <w:t>—No.196</w:t>
            </w:r>
            <w:r w:rsidR="00F8244F" w:rsidRPr="00F8244F">
              <w:rPr>
                <w:rStyle w:val="Hyperlink"/>
                <w:noProof/>
                <w:lang w:eastAsia="en-AU"/>
              </w:rPr>
              <w:t xml:space="preserve"> of 2021</w:t>
            </w:r>
            <w:r w:rsidR="00D0155D">
              <w:rPr>
                <w:noProof/>
                <w:webHidden/>
              </w:rPr>
              <w:tab/>
            </w:r>
            <w:r w:rsidR="00D0155D">
              <w:rPr>
                <w:noProof/>
                <w:webHidden/>
              </w:rPr>
              <w:fldChar w:fldCharType="begin"/>
            </w:r>
            <w:r w:rsidR="00D0155D">
              <w:rPr>
                <w:noProof/>
                <w:webHidden/>
              </w:rPr>
              <w:instrText xml:space="preserve"> PAGEREF _Toc91161251 \h </w:instrText>
            </w:r>
            <w:r w:rsidR="00D0155D">
              <w:rPr>
                <w:noProof/>
                <w:webHidden/>
              </w:rPr>
            </w:r>
            <w:r w:rsidR="00D0155D">
              <w:rPr>
                <w:noProof/>
                <w:webHidden/>
              </w:rPr>
              <w:fldChar w:fldCharType="separate"/>
            </w:r>
            <w:r w:rsidR="007C4A68">
              <w:rPr>
                <w:noProof/>
                <w:webHidden/>
              </w:rPr>
              <w:t>4636</w:t>
            </w:r>
            <w:r w:rsidR="00D0155D">
              <w:rPr>
                <w:noProof/>
                <w:webHidden/>
              </w:rPr>
              <w:fldChar w:fldCharType="end"/>
            </w:r>
          </w:hyperlink>
        </w:p>
        <w:p w:rsidR="00D0155D" w:rsidRDefault="00BE58B6">
          <w:pPr>
            <w:pStyle w:val="TOC3"/>
            <w:tabs>
              <w:tab w:val="right" w:leader="dot" w:pos="4549"/>
            </w:tabs>
            <w:rPr>
              <w:rFonts w:asciiTheme="minorHAnsi" w:eastAsiaTheme="minorEastAsia" w:hAnsiTheme="minorHAnsi" w:cstheme="minorBidi"/>
              <w:noProof/>
              <w:sz w:val="22"/>
              <w:szCs w:val="22"/>
              <w:lang w:eastAsia="en-AU"/>
            </w:rPr>
          </w:pPr>
          <w:hyperlink w:anchor="_Toc91161252" w:history="1">
            <w:r w:rsidR="00D0155D" w:rsidRPr="002B0638">
              <w:rPr>
                <w:rStyle w:val="Hyperlink"/>
                <w:noProof/>
                <w:lang w:eastAsia="en-AU"/>
              </w:rPr>
              <w:t xml:space="preserve">Local Government (Transitional Provisions) (Stage 2) </w:t>
            </w:r>
            <w:r w:rsidR="0008545B">
              <w:rPr>
                <w:rStyle w:val="Hyperlink"/>
                <w:noProof/>
                <w:lang w:eastAsia="en-AU"/>
              </w:rPr>
              <w:br/>
            </w:r>
            <w:r w:rsidR="00D0155D" w:rsidRPr="002B0638">
              <w:rPr>
                <w:rStyle w:val="Hyperlink"/>
                <w:noProof/>
                <w:lang w:eastAsia="en-AU"/>
              </w:rPr>
              <w:t>Variation Regulations 2021</w:t>
            </w:r>
            <w:r w:rsidR="00F8244F">
              <w:rPr>
                <w:rStyle w:val="Hyperlink"/>
                <w:noProof/>
                <w:lang w:eastAsia="en-AU"/>
              </w:rPr>
              <w:t>—No.197</w:t>
            </w:r>
            <w:r w:rsidR="00F8244F" w:rsidRPr="00F8244F">
              <w:rPr>
                <w:rStyle w:val="Hyperlink"/>
                <w:noProof/>
                <w:lang w:eastAsia="en-AU"/>
              </w:rPr>
              <w:t xml:space="preserve"> of 2021</w:t>
            </w:r>
            <w:r w:rsidR="00D0155D">
              <w:rPr>
                <w:noProof/>
                <w:webHidden/>
              </w:rPr>
              <w:tab/>
            </w:r>
            <w:r w:rsidR="00D0155D">
              <w:rPr>
                <w:noProof/>
                <w:webHidden/>
              </w:rPr>
              <w:fldChar w:fldCharType="begin"/>
            </w:r>
            <w:r w:rsidR="00D0155D">
              <w:rPr>
                <w:noProof/>
                <w:webHidden/>
              </w:rPr>
              <w:instrText xml:space="preserve"> PAGEREF _Toc91161252 \h </w:instrText>
            </w:r>
            <w:r w:rsidR="00D0155D">
              <w:rPr>
                <w:noProof/>
                <w:webHidden/>
              </w:rPr>
            </w:r>
            <w:r w:rsidR="00D0155D">
              <w:rPr>
                <w:noProof/>
                <w:webHidden/>
              </w:rPr>
              <w:fldChar w:fldCharType="separate"/>
            </w:r>
            <w:r w:rsidR="007C4A68">
              <w:rPr>
                <w:noProof/>
                <w:webHidden/>
              </w:rPr>
              <w:t>4638</w:t>
            </w:r>
            <w:r w:rsidR="00D0155D">
              <w:rPr>
                <w:noProof/>
                <w:webHidden/>
              </w:rPr>
              <w:fldChar w:fldCharType="end"/>
            </w:r>
          </w:hyperlink>
        </w:p>
        <w:p w:rsidR="00D0155D" w:rsidRDefault="00BE58B6">
          <w:pPr>
            <w:pStyle w:val="TOC3"/>
            <w:tabs>
              <w:tab w:val="right" w:leader="dot" w:pos="4549"/>
            </w:tabs>
            <w:rPr>
              <w:rFonts w:asciiTheme="minorHAnsi" w:eastAsiaTheme="minorEastAsia" w:hAnsiTheme="minorHAnsi" w:cstheme="minorBidi"/>
              <w:noProof/>
              <w:sz w:val="22"/>
              <w:szCs w:val="22"/>
              <w:lang w:eastAsia="en-AU"/>
            </w:rPr>
          </w:pPr>
          <w:hyperlink w:anchor="_Toc91161253" w:history="1">
            <w:r w:rsidR="00D0155D" w:rsidRPr="002B0638">
              <w:rPr>
                <w:rStyle w:val="Hyperlink"/>
                <w:noProof/>
                <w:lang w:eastAsia="en-AU"/>
              </w:rPr>
              <w:t xml:space="preserve">Fire and Emergency Services Variation </w:t>
            </w:r>
            <w:r w:rsidR="0008545B">
              <w:rPr>
                <w:rStyle w:val="Hyperlink"/>
                <w:noProof/>
                <w:lang w:eastAsia="en-AU"/>
              </w:rPr>
              <w:br/>
            </w:r>
            <w:r w:rsidR="00D0155D" w:rsidRPr="002B0638">
              <w:rPr>
                <w:rStyle w:val="Hyperlink"/>
                <w:noProof/>
                <w:lang w:eastAsia="en-AU"/>
              </w:rPr>
              <w:t>Regulations 2021</w:t>
            </w:r>
            <w:r w:rsidR="00F8244F">
              <w:rPr>
                <w:rStyle w:val="Hyperlink"/>
                <w:noProof/>
                <w:lang w:eastAsia="en-AU"/>
              </w:rPr>
              <w:t>—No.198</w:t>
            </w:r>
            <w:r w:rsidR="00F8244F" w:rsidRPr="00F8244F">
              <w:rPr>
                <w:rStyle w:val="Hyperlink"/>
                <w:noProof/>
                <w:lang w:eastAsia="en-AU"/>
              </w:rPr>
              <w:t xml:space="preserve"> of 2021</w:t>
            </w:r>
            <w:r w:rsidR="00D0155D">
              <w:rPr>
                <w:noProof/>
                <w:webHidden/>
              </w:rPr>
              <w:tab/>
            </w:r>
            <w:r w:rsidR="00D0155D">
              <w:rPr>
                <w:noProof/>
                <w:webHidden/>
              </w:rPr>
              <w:fldChar w:fldCharType="begin"/>
            </w:r>
            <w:r w:rsidR="00D0155D">
              <w:rPr>
                <w:noProof/>
                <w:webHidden/>
              </w:rPr>
              <w:instrText xml:space="preserve"> PAGEREF _Toc91161253 \h </w:instrText>
            </w:r>
            <w:r w:rsidR="00D0155D">
              <w:rPr>
                <w:noProof/>
                <w:webHidden/>
              </w:rPr>
            </w:r>
            <w:r w:rsidR="00D0155D">
              <w:rPr>
                <w:noProof/>
                <w:webHidden/>
              </w:rPr>
              <w:fldChar w:fldCharType="separate"/>
            </w:r>
            <w:r w:rsidR="007C4A68">
              <w:rPr>
                <w:noProof/>
                <w:webHidden/>
              </w:rPr>
              <w:t>4641</w:t>
            </w:r>
            <w:r w:rsidR="00D0155D">
              <w:rPr>
                <w:noProof/>
                <w:webHidden/>
              </w:rPr>
              <w:fldChar w:fldCharType="end"/>
            </w:r>
          </w:hyperlink>
        </w:p>
        <w:p w:rsidR="00D0155D" w:rsidRDefault="00BE58B6" w:rsidP="00C91BE6">
          <w:pPr>
            <w:pStyle w:val="TOC1"/>
            <w:spacing w:before="20"/>
            <w:rPr>
              <w:rFonts w:asciiTheme="minorHAnsi" w:eastAsiaTheme="minorEastAsia" w:hAnsiTheme="minorHAnsi" w:cstheme="minorBidi"/>
              <w:b w:val="0"/>
              <w:smallCaps w:val="0"/>
              <w:noProof/>
              <w:sz w:val="22"/>
              <w:lang w:eastAsia="en-AU"/>
            </w:rPr>
          </w:pPr>
          <w:hyperlink w:anchor="_Toc91161254" w:history="1">
            <w:r w:rsidR="00D0155D" w:rsidRPr="002B0638">
              <w:rPr>
                <w:rStyle w:val="Hyperlink"/>
                <w:noProof/>
              </w:rPr>
              <w:t>State Government Instruments</w:t>
            </w:r>
          </w:hyperlink>
        </w:p>
        <w:p w:rsidR="00D0155D" w:rsidRDefault="00BE58B6">
          <w:pPr>
            <w:pStyle w:val="TOC2"/>
            <w:rPr>
              <w:rFonts w:asciiTheme="minorHAnsi" w:eastAsiaTheme="minorEastAsia" w:hAnsiTheme="minorHAnsi" w:cstheme="minorBidi"/>
              <w:noProof/>
              <w:sz w:val="22"/>
              <w:lang w:eastAsia="en-AU"/>
            </w:rPr>
          </w:pPr>
          <w:hyperlink w:anchor="_Toc91161255" w:history="1">
            <w:r w:rsidR="00D0155D" w:rsidRPr="002B0638">
              <w:rPr>
                <w:rStyle w:val="Hyperlink"/>
                <w:noProof/>
              </w:rPr>
              <w:t>Aquaculture Act 2001</w:t>
            </w:r>
            <w:r w:rsidR="00D0155D">
              <w:rPr>
                <w:noProof/>
                <w:webHidden/>
              </w:rPr>
              <w:tab/>
            </w:r>
            <w:r w:rsidR="00D0155D">
              <w:rPr>
                <w:noProof/>
                <w:webHidden/>
              </w:rPr>
              <w:fldChar w:fldCharType="begin"/>
            </w:r>
            <w:r w:rsidR="00D0155D">
              <w:rPr>
                <w:noProof/>
                <w:webHidden/>
              </w:rPr>
              <w:instrText xml:space="preserve"> PAGEREF _Toc91161255 \h </w:instrText>
            </w:r>
            <w:r w:rsidR="00D0155D">
              <w:rPr>
                <w:noProof/>
                <w:webHidden/>
              </w:rPr>
            </w:r>
            <w:r w:rsidR="00D0155D">
              <w:rPr>
                <w:noProof/>
                <w:webHidden/>
              </w:rPr>
              <w:fldChar w:fldCharType="separate"/>
            </w:r>
            <w:r w:rsidR="007C4A68">
              <w:rPr>
                <w:noProof/>
                <w:webHidden/>
              </w:rPr>
              <w:t>4643</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56" w:history="1">
            <w:r w:rsidR="00D0155D" w:rsidRPr="002B0638">
              <w:rPr>
                <w:rStyle w:val="Hyperlink"/>
                <w:noProof/>
              </w:rPr>
              <w:t>Casino Act 1997</w:t>
            </w:r>
            <w:r w:rsidR="00D0155D">
              <w:rPr>
                <w:noProof/>
                <w:webHidden/>
              </w:rPr>
              <w:tab/>
            </w:r>
            <w:r w:rsidR="00D0155D">
              <w:rPr>
                <w:noProof/>
                <w:webHidden/>
              </w:rPr>
              <w:fldChar w:fldCharType="begin"/>
            </w:r>
            <w:r w:rsidR="00D0155D">
              <w:rPr>
                <w:noProof/>
                <w:webHidden/>
              </w:rPr>
              <w:instrText xml:space="preserve"> PAGEREF _Toc91161256 \h </w:instrText>
            </w:r>
            <w:r w:rsidR="00D0155D">
              <w:rPr>
                <w:noProof/>
                <w:webHidden/>
              </w:rPr>
            </w:r>
            <w:r w:rsidR="00D0155D">
              <w:rPr>
                <w:noProof/>
                <w:webHidden/>
              </w:rPr>
              <w:fldChar w:fldCharType="separate"/>
            </w:r>
            <w:r w:rsidR="007C4A68">
              <w:rPr>
                <w:noProof/>
                <w:webHidden/>
              </w:rPr>
              <w:t>4643</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57" w:history="1">
            <w:r w:rsidR="00D0155D" w:rsidRPr="002B0638">
              <w:rPr>
                <w:rStyle w:val="Hyperlink"/>
                <w:noProof/>
              </w:rPr>
              <w:t>Controlled Substances (Poisons) Regulations 2011</w:t>
            </w:r>
            <w:r w:rsidR="00D0155D">
              <w:rPr>
                <w:noProof/>
                <w:webHidden/>
              </w:rPr>
              <w:tab/>
            </w:r>
            <w:r w:rsidR="00D0155D">
              <w:rPr>
                <w:noProof/>
                <w:webHidden/>
              </w:rPr>
              <w:fldChar w:fldCharType="begin"/>
            </w:r>
            <w:r w:rsidR="00D0155D">
              <w:rPr>
                <w:noProof/>
                <w:webHidden/>
              </w:rPr>
              <w:instrText xml:space="preserve"> PAGEREF _Toc91161257 \h </w:instrText>
            </w:r>
            <w:r w:rsidR="00D0155D">
              <w:rPr>
                <w:noProof/>
                <w:webHidden/>
              </w:rPr>
            </w:r>
            <w:r w:rsidR="00D0155D">
              <w:rPr>
                <w:noProof/>
                <w:webHidden/>
              </w:rPr>
              <w:fldChar w:fldCharType="separate"/>
            </w:r>
            <w:r w:rsidR="007C4A68">
              <w:rPr>
                <w:noProof/>
                <w:webHidden/>
              </w:rPr>
              <w:t>4647</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58" w:history="1">
            <w:r w:rsidR="00D0155D" w:rsidRPr="002B0638">
              <w:rPr>
                <w:rStyle w:val="Hyperlink"/>
                <w:noProof/>
              </w:rPr>
              <w:t>Electoral Act 1985</w:t>
            </w:r>
            <w:r w:rsidR="00D0155D">
              <w:rPr>
                <w:noProof/>
                <w:webHidden/>
              </w:rPr>
              <w:tab/>
            </w:r>
            <w:r w:rsidR="00D0155D">
              <w:rPr>
                <w:noProof/>
                <w:webHidden/>
              </w:rPr>
              <w:fldChar w:fldCharType="begin"/>
            </w:r>
            <w:r w:rsidR="00D0155D">
              <w:rPr>
                <w:noProof/>
                <w:webHidden/>
              </w:rPr>
              <w:instrText xml:space="preserve"> PAGEREF _Toc91161258 \h </w:instrText>
            </w:r>
            <w:r w:rsidR="00D0155D">
              <w:rPr>
                <w:noProof/>
                <w:webHidden/>
              </w:rPr>
            </w:r>
            <w:r w:rsidR="00D0155D">
              <w:rPr>
                <w:noProof/>
                <w:webHidden/>
              </w:rPr>
              <w:fldChar w:fldCharType="separate"/>
            </w:r>
            <w:r w:rsidR="007C4A68">
              <w:rPr>
                <w:noProof/>
                <w:webHidden/>
              </w:rPr>
              <w:t>4647</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59" w:history="1">
            <w:r w:rsidR="00D0155D" w:rsidRPr="002B0638">
              <w:rPr>
                <w:rStyle w:val="Hyperlink"/>
                <w:noProof/>
              </w:rPr>
              <w:t>Electricity Act 1996</w:t>
            </w:r>
            <w:r w:rsidR="00D0155D">
              <w:rPr>
                <w:noProof/>
                <w:webHidden/>
              </w:rPr>
              <w:tab/>
            </w:r>
            <w:r w:rsidR="00D0155D">
              <w:rPr>
                <w:noProof/>
                <w:webHidden/>
              </w:rPr>
              <w:fldChar w:fldCharType="begin"/>
            </w:r>
            <w:r w:rsidR="00D0155D">
              <w:rPr>
                <w:noProof/>
                <w:webHidden/>
              </w:rPr>
              <w:instrText xml:space="preserve"> PAGEREF _Toc91161259 \h </w:instrText>
            </w:r>
            <w:r w:rsidR="00D0155D">
              <w:rPr>
                <w:noProof/>
                <w:webHidden/>
              </w:rPr>
            </w:r>
            <w:r w:rsidR="00D0155D">
              <w:rPr>
                <w:noProof/>
                <w:webHidden/>
              </w:rPr>
              <w:fldChar w:fldCharType="separate"/>
            </w:r>
            <w:r w:rsidR="007C4A68">
              <w:rPr>
                <w:noProof/>
                <w:webHidden/>
              </w:rPr>
              <w:t>4648</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60" w:history="1">
            <w:r w:rsidR="00D0155D" w:rsidRPr="002B0638">
              <w:rPr>
                <w:rStyle w:val="Hyperlink"/>
                <w:noProof/>
              </w:rPr>
              <w:t>Environment Protection Act 1993</w:t>
            </w:r>
            <w:r w:rsidR="00D0155D">
              <w:rPr>
                <w:noProof/>
                <w:webHidden/>
              </w:rPr>
              <w:tab/>
            </w:r>
            <w:r w:rsidR="00D0155D">
              <w:rPr>
                <w:noProof/>
                <w:webHidden/>
              </w:rPr>
              <w:fldChar w:fldCharType="begin"/>
            </w:r>
            <w:r w:rsidR="00D0155D">
              <w:rPr>
                <w:noProof/>
                <w:webHidden/>
              </w:rPr>
              <w:instrText xml:space="preserve"> PAGEREF _Toc91161260 \h </w:instrText>
            </w:r>
            <w:r w:rsidR="00D0155D">
              <w:rPr>
                <w:noProof/>
                <w:webHidden/>
              </w:rPr>
            </w:r>
            <w:r w:rsidR="00D0155D">
              <w:rPr>
                <w:noProof/>
                <w:webHidden/>
              </w:rPr>
              <w:fldChar w:fldCharType="separate"/>
            </w:r>
            <w:r w:rsidR="007C4A68">
              <w:rPr>
                <w:noProof/>
                <w:webHidden/>
              </w:rPr>
              <w:t>4649</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61" w:history="1">
            <w:r w:rsidR="00D0155D" w:rsidRPr="002B0638">
              <w:rPr>
                <w:rStyle w:val="Hyperlink"/>
                <w:noProof/>
              </w:rPr>
              <w:t>Equal Opportunity Act 1984</w:t>
            </w:r>
            <w:r w:rsidR="00D0155D">
              <w:rPr>
                <w:noProof/>
                <w:webHidden/>
              </w:rPr>
              <w:tab/>
            </w:r>
            <w:r w:rsidR="00D0155D">
              <w:rPr>
                <w:noProof/>
                <w:webHidden/>
              </w:rPr>
              <w:fldChar w:fldCharType="begin"/>
            </w:r>
            <w:r w:rsidR="00D0155D">
              <w:rPr>
                <w:noProof/>
                <w:webHidden/>
              </w:rPr>
              <w:instrText xml:space="preserve"> PAGEREF _Toc91161261 \h </w:instrText>
            </w:r>
            <w:r w:rsidR="00D0155D">
              <w:rPr>
                <w:noProof/>
                <w:webHidden/>
              </w:rPr>
            </w:r>
            <w:r w:rsidR="00D0155D">
              <w:rPr>
                <w:noProof/>
                <w:webHidden/>
              </w:rPr>
              <w:fldChar w:fldCharType="separate"/>
            </w:r>
            <w:r w:rsidR="007C4A68">
              <w:rPr>
                <w:noProof/>
                <w:webHidden/>
              </w:rPr>
              <w:t>4655</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62" w:history="1">
            <w:r w:rsidR="00D0155D" w:rsidRPr="002B0638">
              <w:rPr>
                <w:rStyle w:val="Hyperlink"/>
                <w:noProof/>
              </w:rPr>
              <w:t>Fisheries Management Act 2007</w:t>
            </w:r>
            <w:r w:rsidR="00D0155D">
              <w:rPr>
                <w:noProof/>
                <w:webHidden/>
              </w:rPr>
              <w:tab/>
            </w:r>
            <w:r w:rsidR="00D0155D">
              <w:rPr>
                <w:noProof/>
                <w:webHidden/>
              </w:rPr>
              <w:fldChar w:fldCharType="begin"/>
            </w:r>
            <w:r w:rsidR="00D0155D">
              <w:rPr>
                <w:noProof/>
                <w:webHidden/>
              </w:rPr>
              <w:instrText xml:space="preserve"> PAGEREF _Toc91161262 \h </w:instrText>
            </w:r>
            <w:r w:rsidR="00D0155D">
              <w:rPr>
                <w:noProof/>
                <w:webHidden/>
              </w:rPr>
            </w:r>
            <w:r w:rsidR="00D0155D">
              <w:rPr>
                <w:noProof/>
                <w:webHidden/>
              </w:rPr>
              <w:fldChar w:fldCharType="separate"/>
            </w:r>
            <w:r w:rsidR="007C4A68">
              <w:rPr>
                <w:noProof/>
                <w:webHidden/>
              </w:rPr>
              <w:t>4656</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63" w:history="1">
            <w:r w:rsidR="00D0155D" w:rsidRPr="002B0638">
              <w:rPr>
                <w:rStyle w:val="Hyperlink"/>
                <w:noProof/>
                <w:lang w:eastAsia="en-AU"/>
              </w:rPr>
              <w:t>Gambling Administration Act 2019</w:t>
            </w:r>
            <w:r w:rsidR="00D0155D">
              <w:rPr>
                <w:noProof/>
                <w:webHidden/>
              </w:rPr>
              <w:tab/>
            </w:r>
            <w:r w:rsidR="00D0155D">
              <w:rPr>
                <w:noProof/>
                <w:webHidden/>
              </w:rPr>
              <w:fldChar w:fldCharType="begin"/>
            </w:r>
            <w:r w:rsidR="00D0155D">
              <w:rPr>
                <w:noProof/>
                <w:webHidden/>
              </w:rPr>
              <w:instrText xml:space="preserve"> PAGEREF _Toc91161263 \h </w:instrText>
            </w:r>
            <w:r w:rsidR="00D0155D">
              <w:rPr>
                <w:noProof/>
                <w:webHidden/>
              </w:rPr>
            </w:r>
            <w:r w:rsidR="00D0155D">
              <w:rPr>
                <w:noProof/>
                <w:webHidden/>
              </w:rPr>
              <w:fldChar w:fldCharType="separate"/>
            </w:r>
            <w:r w:rsidR="007C4A68">
              <w:rPr>
                <w:noProof/>
                <w:webHidden/>
              </w:rPr>
              <w:t>4661</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64" w:history="1">
            <w:r w:rsidR="00D0155D" w:rsidRPr="002B0638">
              <w:rPr>
                <w:rStyle w:val="Hyperlink"/>
                <w:noProof/>
              </w:rPr>
              <w:t>Geographical Names Act 1991</w:t>
            </w:r>
            <w:r w:rsidR="00D0155D">
              <w:rPr>
                <w:noProof/>
                <w:webHidden/>
              </w:rPr>
              <w:tab/>
            </w:r>
            <w:r w:rsidR="00D0155D">
              <w:rPr>
                <w:noProof/>
                <w:webHidden/>
              </w:rPr>
              <w:fldChar w:fldCharType="begin"/>
            </w:r>
            <w:r w:rsidR="00D0155D">
              <w:rPr>
                <w:noProof/>
                <w:webHidden/>
              </w:rPr>
              <w:instrText xml:space="preserve"> PAGEREF _Toc91161264 \h </w:instrText>
            </w:r>
            <w:r w:rsidR="00D0155D">
              <w:rPr>
                <w:noProof/>
                <w:webHidden/>
              </w:rPr>
            </w:r>
            <w:r w:rsidR="00D0155D">
              <w:rPr>
                <w:noProof/>
                <w:webHidden/>
              </w:rPr>
              <w:fldChar w:fldCharType="separate"/>
            </w:r>
            <w:r w:rsidR="007C4A68">
              <w:rPr>
                <w:noProof/>
                <w:webHidden/>
              </w:rPr>
              <w:t>4696</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65" w:history="1">
            <w:r w:rsidR="00D0155D" w:rsidRPr="002B0638">
              <w:rPr>
                <w:rStyle w:val="Hyperlink"/>
                <w:noProof/>
              </w:rPr>
              <w:t>Housing Improvement Act 2016</w:t>
            </w:r>
            <w:r w:rsidR="00D0155D">
              <w:rPr>
                <w:noProof/>
                <w:webHidden/>
              </w:rPr>
              <w:tab/>
            </w:r>
            <w:r w:rsidR="00D0155D">
              <w:rPr>
                <w:noProof/>
                <w:webHidden/>
              </w:rPr>
              <w:fldChar w:fldCharType="begin"/>
            </w:r>
            <w:r w:rsidR="00D0155D">
              <w:rPr>
                <w:noProof/>
                <w:webHidden/>
              </w:rPr>
              <w:instrText xml:space="preserve"> PAGEREF _Toc91161265 \h </w:instrText>
            </w:r>
            <w:r w:rsidR="00D0155D">
              <w:rPr>
                <w:noProof/>
                <w:webHidden/>
              </w:rPr>
            </w:r>
            <w:r w:rsidR="00D0155D">
              <w:rPr>
                <w:noProof/>
                <w:webHidden/>
              </w:rPr>
              <w:fldChar w:fldCharType="separate"/>
            </w:r>
            <w:r w:rsidR="007C4A68">
              <w:rPr>
                <w:noProof/>
                <w:webHidden/>
              </w:rPr>
              <w:t>4696</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66" w:history="1">
            <w:r w:rsidR="00D0155D" w:rsidRPr="002B0638">
              <w:rPr>
                <w:rStyle w:val="Hyperlink"/>
                <w:noProof/>
              </w:rPr>
              <w:t>Landscape South Australia Act 2019</w:t>
            </w:r>
            <w:r w:rsidR="00D0155D">
              <w:rPr>
                <w:noProof/>
                <w:webHidden/>
              </w:rPr>
              <w:tab/>
            </w:r>
            <w:r w:rsidR="00D0155D">
              <w:rPr>
                <w:noProof/>
                <w:webHidden/>
              </w:rPr>
              <w:fldChar w:fldCharType="begin"/>
            </w:r>
            <w:r w:rsidR="00D0155D">
              <w:rPr>
                <w:noProof/>
                <w:webHidden/>
              </w:rPr>
              <w:instrText xml:space="preserve"> PAGEREF _Toc91161266 \h </w:instrText>
            </w:r>
            <w:r w:rsidR="00D0155D">
              <w:rPr>
                <w:noProof/>
                <w:webHidden/>
              </w:rPr>
            </w:r>
            <w:r w:rsidR="00D0155D">
              <w:rPr>
                <w:noProof/>
                <w:webHidden/>
              </w:rPr>
              <w:fldChar w:fldCharType="separate"/>
            </w:r>
            <w:r w:rsidR="007C4A68">
              <w:rPr>
                <w:noProof/>
                <w:webHidden/>
              </w:rPr>
              <w:t>4697</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67" w:history="1">
            <w:r w:rsidR="00D0155D" w:rsidRPr="002B0638">
              <w:rPr>
                <w:rStyle w:val="Hyperlink"/>
                <w:noProof/>
                <w:lang w:eastAsia="en-AU"/>
              </w:rPr>
              <w:t>Liquor Licensing Act 1997</w:t>
            </w:r>
            <w:r w:rsidR="00D0155D">
              <w:rPr>
                <w:noProof/>
                <w:webHidden/>
              </w:rPr>
              <w:tab/>
            </w:r>
            <w:r w:rsidR="00D0155D">
              <w:rPr>
                <w:noProof/>
                <w:webHidden/>
              </w:rPr>
              <w:fldChar w:fldCharType="begin"/>
            </w:r>
            <w:r w:rsidR="00D0155D">
              <w:rPr>
                <w:noProof/>
                <w:webHidden/>
              </w:rPr>
              <w:instrText xml:space="preserve"> PAGEREF _Toc91161267 \h </w:instrText>
            </w:r>
            <w:r w:rsidR="00D0155D">
              <w:rPr>
                <w:noProof/>
                <w:webHidden/>
              </w:rPr>
            </w:r>
            <w:r w:rsidR="00D0155D">
              <w:rPr>
                <w:noProof/>
                <w:webHidden/>
              </w:rPr>
              <w:fldChar w:fldCharType="separate"/>
            </w:r>
            <w:r w:rsidR="007C4A68">
              <w:rPr>
                <w:noProof/>
                <w:webHidden/>
              </w:rPr>
              <w:t>4699</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68" w:history="1">
            <w:r w:rsidR="00D0155D" w:rsidRPr="002B0638">
              <w:rPr>
                <w:rStyle w:val="Hyperlink"/>
                <w:noProof/>
              </w:rPr>
              <w:t>Local Government Act 1999</w:t>
            </w:r>
            <w:r w:rsidR="00D0155D">
              <w:rPr>
                <w:noProof/>
                <w:webHidden/>
              </w:rPr>
              <w:tab/>
            </w:r>
            <w:r w:rsidR="00D0155D">
              <w:rPr>
                <w:noProof/>
                <w:webHidden/>
              </w:rPr>
              <w:fldChar w:fldCharType="begin"/>
            </w:r>
            <w:r w:rsidR="00D0155D">
              <w:rPr>
                <w:noProof/>
                <w:webHidden/>
              </w:rPr>
              <w:instrText xml:space="preserve"> PAGEREF _Toc91161268 \h </w:instrText>
            </w:r>
            <w:r w:rsidR="00D0155D">
              <w:rPr>
                <w:noProof/>
                <w:webHidden/>
              </w:rPr>
            </w:r>
            <w:r w:rsidR="00D0155D">
              <w:rPr>
                <w:noProof/>
                <w:webHidden/>
              </w:rPr>
              <w:fldChar w:fldCharType="separate"/>
            </w:r>
            <w:r w:rsidR="007C4A68">
              <w:rPr>
                <w:noProof/>
                <w:webHidden/>
              </w:rPr>
              <w:t>4713</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69" w:history="1">
            <w:r w:rsidR="00D0155D" w:rsidRPr="002B0638">
              <w:rPr>
                <w:rStyle w:val="Hyperlink"/>
                <w:noProof/>
              </w:rPr>
              <w:t>Mental Health Act 2009</w:t>
            </w:r>
            <w:r w:rsidR="00D0155D">
              <w:rPr>
                <w:noProof/>
                <w:webHidden/>
              </w:rPr>
              <w:tab/>
            </w:r>
            <w:r w:rsidR="00D0155D">
              <w:rPr>
                <w:noProof/>
                <w:webHidden/>
              </w:rPr>
              <w:fldChar w:fldCharType="begin"/>
            </w:r>
            <w:r w:rsidR="00D0155D">
              <w:rPr>
                <w:noProof/>
                <w:webHidden/>
              </w:rPr>
              <w:instrText xml:space="preserve"> PAGEREF _Toc91161269 \h </w:instrText>
            </w:r>
            <w:r w:rsidR="00D0155D">
              <w:rPr>
                <w:noProof/>
                <w:webHidden/>
              </w:rPr>
            </w:r>
            <w:r w:rsidR="00D0155D">
              <w:rPr>
                <w:noProof/>
                <w:webHidden/>
              </w:rPr>
              <w:fldChar w:fldCharType="separate"/>
            </w:r>
            <w:r w:rsidR="007C4A68">
              <w:rPr>
                <w:noProof/>
                <w:webHidden/>
              </w:rPr>
              <w:t>4714</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70" w:history="1">
            <w:r w:rsidR="00D0155D" w:rsidRPr="002B0638">
              <w:rPr>
                <w:rStyle w:val="Hyperlink"/>
                <w:noProof/>
              </w:rPr>
              <w:t>Petroleum and Geothermal Energy Act 2000</w:t>
            </w:r>
            <w:r w:rsidR="00D0155D">
              <w:rPr>
                <w:noProof/>
                <w:webHidden/>
              </w:rPr>
              <w:tab/>
            </w:r>
            <w:r w:rsidR="00D0155D">
              <w:rPr>
                <w:noProof/>
                <w:webHidden/>
              </w:rPr>
              <w:fldChar w:fldCharType="begin"/>
            </w:r>
            <w:r w:rsidR="00D0155D">
              <w:rPr>
                <w:noProof/>
                <w:webHidden/>
              </w:rPr>
              <w:instrText xml:space="preserve"> PAGEREF _Toc91161270 \h </w:instrText>
            </w:r>
            <w:r w:rsidR="00D0155D">
              <w:rPr>
                <w:noProof/>
                <w:webHidden/>
              </w:rPr>
            </w:r>
            <w:r w:rsidR="00D0155D">
              <w:rPr>
                <w:noProof/>
                <w:webHidden/>
              </w:rPr>
              <w:fldChar w:fldCharType="separate"/>
            </w:r>
            <w:r w:rsidR="007C4A68">
              <w:rPr>
                <w:noProof/>
                <w:webHidden/>
              </w:rPr>
              <w:t>4714</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71" w:history="1">
            <w:r w:rsidR="00D0155D" w:rsidRPr="002B0638">
              <w:rPr>
                <w:rStyle w:val="Hyperlink"/>
                <w:noProof/>
              </w:rPr>
              <w:t>Professional Standards Act 2004</w:t>
            </w:r>
            <w:r w:rsidR="00D0155D">
              <w:rPr>
                <w:noProof/>
                <w:webHidden/>
              </w:rPr>
              <w:tab/>
            </w:r>
            <w:r w:rsidR="00D0155D">
              <w:rPr>
                <w:noProof/>
                <w:webHidden/>
              </w:rPr>
              <w:fldChar w:fldCharType="begin"/>
            </w:r>
            <w:r w:rsidR="00D0155D">
              <w:rPr>
                <w:noProof/>
                <w:webHidden/>
              </w:rPr>
              <w:instrText xml:space="preserve"> PAGEREF _Toc91161271 \h </w:instrText>
            </w:r>
            <w:r w:rsidR="00D0155D">
              <w:rPr>
                <w:noProof/>
                <w:webHidden/>
              </w:rPr>
            </w:r>
            <w:r w:rsidR="00D0155D">
              <w:rPr>
                <w:noProof/>
                <w:webHidden/>
              </w:rPr>
              <w:fldChar w:fldCharType="separate"/>
            </w:r>
            <w:r w:rsidR="007C4A68">
              <w:rPr>
                <w:noProof/>
                <w:webHidden/>
              </w:rPr>
              <w:t>4715</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72" w:history="1">
            <w:r w:rsidR="00D0155D" w:rsidRPr="002B0638">
              <w:rPr>
                <w:rStyle w:val="Hyperlink"/>
                <w:noProof/>
              </w:rPr>
              <w:t>Road Traffic (Road Rules—Ancillary and Miscellaneous Provisions) Regulations 2014</w:t>
            </w:r>
            <w:r w:rsidR="00D0155D">
              <w:rPr>
                <w:noProof/>
                <w:webHidden/>
              </w:rPr>
              <w:tab/>
            </w:r>
            <w:r w:rsidR="00D0155D">
              <w:rPr>
                <w:noProof/>
                <w:webHidden/>
              </w:rPr>
              <w:fldChar w:fldCharType="begin"/>
            </w:r>
            <w:r w:rsidR="00D0155D">
              <w:rPr>
                <w:noProof/>
                <w:webHidden/>
              </w:rPr>
              <w:instrText xml:space="preserve"> PAGEREF _Toc91161272 \h </w:instrText>
            </w:r>
            <w:r w:rsidR="00D0155D">
              <w:rPr>
                <w:noProof/>
                <w:webHidden/>
              </w:rPr>
            </w:r>
            <w:r w:rsidR="00D0155D">
              <w:rPr>
                <w:noProof/>
                <w:webHidden/>
              </w:rPr>
              <w:fldChar w:fldCharType="separate"/>
            </w:r>
            <w:r w:rsidR="007C4A68">
              <w:rPr>
                <w:noProof/>
                <w:webHidden/>
              </w:rPr>
              <w:t>4715</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73" w:history="1">
            <w:r w:rsidR="00D0155D" w:rsidRPr="002B0638">
              <w:rPr>
                <w:rStyle w:val="Hyperlink"/>
                <w:noProof/>
              </w:rPr>
              <w:t>Roads (Opening and Closing) Act 1991</w:t>
            </w:r>
            <w:r w:rsidR="00D0155D">
              <w:rPr>
                <w:noProof/>
                <w:webHidden/>
              </w:rPr>
              <w:tab/>
            </w:r>
            <w:r w:rsidR="00D0155D">
              <w:rPr>
                <w:noProof/>
                <w:webHidden/>
              </w:rPr>
              <w:fldChar w:fldCharType="begin"/>
            </w:r>
            <w:r w:rsidR="00D0155D">
              <w:rPr>
                <w:noProof/>
                <w:webHidden/>
              </w:rPr>
              <w:instrText xml:space="preserve"> PAGEREF _Toc91161273 \h </w:instrText>
            </w:r>
            <w:r w:rsidR="00D0155D">
              <w:rPr>
                <w:noProof/>
                <w:webHidden/>
              </w:rPr>
            </w:r>
            <w:r w:rsidR="00D0155D">
              <w:rPr>
                <w:noProof/>
                <w:webHidden/>
              </w:rPr>
              <w:fldChar w:fldCharType="separate"/>
            </w:r>
            <w:r w:rsidR="007C4A68">
              <w:rPr>
                <w:noProof/>
                <w:webHidden/>
              </w:rPr>
              <w:t>4717</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74" w:history="1">
            <w:r w:rsidR="00D0155D" w:rsidRPr="002B0638">
              <w:rPr>
                <w:rStyle w:val="Hyperlink"/>
                <w:noProof/>
              </w:rPr>
              <w:t>South Australian Skills Act 2008</w:t>
            </w:r>
            <w:r w:rsidR="00D0155D">
              <w:rPr>
                <w:noProof/>
                <w:webHidden/>
              </w:rPr>
              <w:tab/>
            </w:r>
            <w:r w:rsidR="00D0155D">
              <w:rPr>
                <w:noProof/>
                <w:webHidden/>
              </w:rPr>
              <w:fldChar w:fldCharType="begin"/>
            </w:r>
            <w:r w:rsidR="00D0155D">
              <w:rPr>
                <w:noProof/>
                <w:webHidden/>
              </w:rPr>
              <w:instrText xml:space="preserve"> PAGEREF _Toc91161274 \h </w:instrText>
            </w:r>
            <w:r w:rsidR="00D0155D">
              <w:rPr>
                <w:noProof/>
                <w:webHidden/>
              </w:rPr>
            </w:r>
            <w:r w:rsidR="00D0155D">
              <w:rPr>
                <w:noProof/>
                <w:webHidden/>
              </w:rPr>
              <w:fldChar w:fldCharType="separate"/>
            </w:r>
            <w:r w:rsidR="007C4A68">
              <w:rPr>
                <w:noProof/>
                <w:webHidden/>
              </w:rPr>
              <w:t>4718</w:t>
            </w:r>
            <w:r w:rsidR="00D0155D">
              <w:rPr>
                <w:noProof/>
                <w:webHidden/>
              </w:rPr>
              <w:fldChar w:fldCharType="end"/>
            </w:r>
          </w:hyperlink>
        </w:p>
        <w:p w:rsidR="00D0155D" w:rsidRDefault="00BE58B6" w:rsidP="00C91BE6">
          <w:pPr>
            <w:pStyle w:val="TOC1"/>
            <w:spacing w:before="20"/>
            <w:rPr>
              <w:rFonts w:asciiTheme="minorHAnsi" w:eastAsiaTheme="minorEastAsia" w:hAnsiTheme="minorHAnsi" w:cstheme="minorBidi"/>
              <w:b w:val="0"/>
              <w:smallCaps w:val="0"/>
              <w:noProof/>
              <w:sz w:val="22"/>
              <w:lang w:eastAsia="en-AU"/>
            </w:rPr>
          </w:pPr>
          <w:hyperlink w:anchor="_Toc91161275" w:history="1">
            <w:r w:rsidR="00D0155D" w:rsidRPr="002B0638">
              <w:rPr>
                <w:rStyle w:val="Hyperlink"/>
                <w:noProof/>
              </w:rPr>
              <w:t>Local Government Instruments</w:t>
            </w:r>
          </w:hyperlink>
        </w:p>
        <w:p w:rsidR="00D0155D" w:rsidRDefault="00BE58B6">
          <w:pPr>
            <w:pStyle w:val="TOC2"/>
            <w:rPr>
              <w:rFonts w:asciiTheme="minorHAnsi" w:eastAsiaTheme="minorEastAsia" w:hAnsiTheme="minorHAnsi" w:cstheme="minorBidi"/>
              <w:noProof/>
              <w:sz w:val="22"/>
              <w:lang w:eastAsia="en-AU"/>
            </w:rPr>
          </w:pPr>
          <w:hyperlink w:anchor="_Toc91161276" w:history="1">
            <w:r w:rsidR="00D0155D" w:rsidRPr="002B0638">
              <w:rPr>
                <w:rStyle w:val="Hyperlink"/>
                <w:noProof/>
              </w:rPr>
              <w:t>City of Adelaide</w:t>
            </w:r>
            <w:r w:rsidR="00D0155D">
              <w:rPr>
                <w:noProof/>
                <w:webHidden/>
              </w:rPr>
              <w:tab/>
            </w:r>
            <w:r w:rsidR="00D0155D">
              <w:rPr>
                <w:noProof/>
                <w:webHidden/>
              </w:rPr>
              <w:fldChar w:fldCharType="begin"/>
            </w:r>
            <w:r w:rsidR="00D0155D">
              <w:rPr>
                <w:noProof/>
                <w:webHidden/>
              </w:rPr>
              <w:instrText xml:space="preserve"> PAGEREF _Toc91161276 \h </w:instrText>
            </w:r>
            <w:r w:rsidR="00D0155D">
              <w:rPr>
                <w:noProof/>
                <w:webHidden/>
              </w:rPr>
            </w:r>
            <w:r w:rsidR="00D0155D">
              <w:rPr>
                <w:noProof/>
                <w:webHidden/>
              </w:rPr>
              <w:fldChar w:fldCharType="separate"/>
            </w:r>
            <w:r w:rsidR="007C4A68">
              <w:rPr>
                <w:noProof/>
                <w:webHidden/>
              </w:rPr>
              <w:t>4755</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77" w:history="1">
            <w:r w:rsidR="00D0155D" w:rsidRPr="002B0638">
              <w:rPr>
                <w:rStyle w:val="Hyperlink"/>
                <w:noProof/>
              </w:rPr>
              <w:t>City of Tea Tree Gully</w:t>
            </w:r>
            <w:r w:rsidR="00D0155D">
              <w:rPr>
                <w:noProof/>
                <w:webHidden/>
              </w:rPr>
              <w:tab/>
            </w:r>
            <w:r w:rsidR="00D0155D">
              <w:rPr>
                <w:noProof/>
                <w:webHidden/>
              </w:rPr>
              <w:fldChar w:fldCharType="begin"/>
            </w:r>
            <w:r w:rsidR="00D0155D">
              <w:rPr>
                <w:noProof/>
                <w:webHidden/>
              </w:rPr>
              <w:instrText xml:space="preserve"> PAGEREF _Toc91161277 \h </w:instrText>
            </w:r>
            <w:r w:rsidR="00D0155D">
              <w:rPr>
                <w:noProof/>
                <w:webHidden/>
              </w:rPr>
            </w:r>
            <w:r w:rsidR="00D0155D">
              <w:rPr>
                <w:noProof/>
                <w:webHidden/>
              </w:rPr>
              <w:fldChar w:fldCharType="separate"/>
            </w:r>
            <w:r w:rsidR="007C4A68">
              <w:rPr>
                <w:noProof/>
                <w:webHidden/>
              </w:rPr>
              <w:t>4755</w:t>
            </w:r>
            <w:r w:rsidR="00D0155D">
              <w:rPr>
                <w:noProof/>
                <w:webHidden/>
              </w:rPr>
              <w:fldChar w:fldCharType="end"/>
            </w:r>
          </w:hyperlink>
        </w:p>
        <w:p w:rsidR="00D0155D" w:rsidRDefault="00BE58B6" w:rsidP="00C91BE6">
          <w:pPr>
            <w:pStyle w:val="TOC1"/>
            <w:spacing w:before="20"/>
            <w:rPr>
              <w:rFonts w:asciiTheme="minorHAnsi" w:eastAsiaTheme="minorEastAsia" w:hAnsiTheme="minorHAnsi" w:cstheme="minorBidi"/>
              <w:b w:val="0"/>
              <w:smallCaps w:val="0"/>
              <w:noProof/>
              <w:sz w:val="22"/>
              <w:lang w:eastAsia="en-AU"/>
            </w:rPr>
          </w:pPr>
          <w:hyperlink w:anchor="_Toc91161278" w:history="1">
            <w:r w:rsidR="00D0155D" w:rsidRPr="002B0638">
              <w:rPr>
                <w:rStyle w:val="Hyperlink"/>
                <w:noProof/>
              </w:rPr>
              <w:t>Public Notices</w:t>
            </w:r>
          </w:hyperlink>
        </w:p>
        <w:p w:rsidR="00D0155D" w:rsidRDefault="00BE58B6">
          <w:pPr>
            <w:pStyle w:val="TOC2"/>
            <w:rPr>
              <w:rFonts w:asciiTheme="minorHAnsi" w:eastAsiaTheme="minorEastAsia" w:hAnsiTheme="minorHAnsi" w:cstheme="minorBidi"/>
              <w:noProof/>
              <w:sz w:val="22"/>
              <w:lang w:eastAsia="en-AU"/>
            </w:rPr>
          </w:pPr>
          <w:hyperlink w:anchor="_Toc91161279" w:history="1">
            <w:r w:rsidR="00D0155D" w:rsidRPr="002B0638">
              <w:rPr>
                <w:rStyle w:val="Hyperlink"/>
                <w:noProof/>
              </w:rPr>
              <w:t>National Electricity Law</w:t>
            </w:r>
            <w:r w:rsidR="00D0155D">
              <w:rPr>
                <w:noProof/>
                <w:webHidden/>
              </w:rPr>
              <w:tab/>
            </w:r>
            <w:r w:rsidR="00D0155D">
              <w:rPr>
                <w:noProof/>
                <w:webHidden/>
              </w:rPr>
              <w:fldChar w:fldCharType="begin"/>
            </w:r>
            <w:r w:rsidR="00D0155D">
              <w:rPr>
                <w:noProof/>
                <w:webHidden/>
              </w:rPr>
              <w:instrText xml:space="preserve"> PAGEREF _Toc91161279 \h </w:instrText>
            </w:r>
            <w:r w:rsidR="00D0155D">
              <w:rPr>
                <w:noProof/>
                <w:webHidden/>
              </w:rPr>
            </w:r>
            <w:r w:rsidR="00D0155D">
              <w:rPr>
                <w:noProof/>
                <w:webHidden/>
              </w:rPr>
              <w:fldChar w:fldCharType="separate"/>
            </w:r>
            <w:r w:rsidR="007C4A68">
              <w:rPr>
                <w:noProof/>
                <w:webHidden/>
              </w:rPr>
              <w:t>4756</w:t>
            </w:r>
            <w:r w:rsidR="00D0155D">
              <w:rPr>
                <w:noProof/>
                <w:webHidden/>
              </w:rPr>
              <w:fldChar w:fldCharType="end"/>
            </w:r>
          </w:hyperlink>
        </w:p>
        <w:p w:rsidR="00D0155D" w:rsidRDefault="00BE58B6">
          <w:pPr>
            <w:pStyle w:val="TOC2"/>
            <w:rPr>
              <w:rFonts w:asciiTheme="minorHAnsi" w:eastAsiaTheme="minorEastAsia" w:hAnsiTheme="minorHAnsi" w:cstheme="minorBidi"/>
              <w:noProof/>
              <w:sz w:val="22"/>
              <w:lang w:eastAsia="en-AU"/>
            </w:rPr>
          </w:pPr>
          <w:hyperlink w:anchor="_Toc91161280" w:history="1">
            <w:r w:rsidR="00D0155D" w:rsidRPr="002B0638">
              <w:rPr>
                <w:rStyle w:val="Hyperlink"/>
                <w:noProof/>
              </w:rPr>
              <w:t>Water Industry Act 2012</w:t>
            </w:r>
            <w:r w:rsidR="00D0155D">
              <w:rPr>
                <w:noProof/>
                <w:webHidden/>
              </w:rPr>
              <w:tab/>
            </w:r>
            <w:r w:rsidR="00D0155D">
              <w:rPr>
                <w:noProof/>
                <w:webHidden/>
              </w:rPr>
              <w:fldChar w:fldCharType="begin"/>
            </w:r>
            <w:r w:rsidR="00D0155D">
              <w:rPr>
                <w:noProof/>
                <w:webHidden/>
              </w:rPr>
              <w:instrText xml:space="preserve"> PAGEREF _Toc91161280 \h </w:instrText>
            </w:r>
            <w:r w:rsidR="00D0155D">
              <w:rPr>
                <w:noProof/>
                <w:webHidden/>
              </w:rPr>
            </w:r>
            <w:r w:rsidR="00D0155D">
              <w:rPr>
                <w:noProof/>
                <w:webHidden/>
              </w:rPr>
              <w:fldChar w:fldCharType="separate"/>
            </w:r>
            <w:r w:rsidR="007C4A68">
              <w:rPr>
                <w:noProof/>
                <w:webHidden/>
              </w:rPr>
              <w:t>4756</w:t>
            </w:r>
            <w:r w:rsidR="00D0155D">
              <w:rPr>
                <w:noProof/>
                <w:webHidden/>
              </w:rPr>
              <w:fldChar w:fldCharType="end"/>
            </w:r>
          </w:hyperlink>
        </w:p>
        <w:p w:rsidR="00D746A9" w:rsidRPr="003471CD" w:rsidRDefault="00831E93" w:rsidP="00831E93">
          <w:pPr>
            <w:pStyle w:val="TOC1"/>
          </w:pPr>
          <w:r>
            <w:rPr>
              <w:rFonts w:ascii="Calibri" w:hAnsi="Calibri"/>
              <w:bCs/>
              <w:noProof/>
              <w:color w:val="000000"/>
              <w:sz w:val="22"/>
              <w:lang w:bidi="en-US"/>
            </w:rPr>
            <w:fldChar w:fldCharType="end"/>
          </w:r>
        </w:p>
      </w:sdtContent>
    </w:sdt>
    <w:p w:rsidR="00386A74" w:rsidRDefault="00386A74"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sectPr w:rsidR="00386A74" w:rsidSect="00781B55">
          <w:headerReference w:type="even" r:id="rId13"/>
          <w:headerReference w:type="default" r:id="rId14"/>
          <w:footerReference w:type="default" r:id="rId15"/>
          <w:footerReference w:type="first" r:id="rId16"/>
          <w:type w:val="continuous"/>
          <w:pgSz w:w="11906" w:h="16838"/>
          <w:pgMar w:top="1134" w:right="1274" w:bottom="1134" w:left="1276" w:header="1077" w:footer="1134" w:gutter="0"/>
          <w:cols w:num="2" w:space="238"/>
          <w:docGrid w:linePitch="360"/>
        </w:sectPr>
      </w:pPr>
    </w:p>
    <w:p w:rsidR="00164C3B" w:rsidRPr="003471CD" w:rsidRDefault="00164C3B" w:rsidP="009C23A5">
      <w:pPr>
        <w:pStyle w:val="Heading1"/>
      </w:pPr>
      <w:bookmarkStart w:id="0" w:name="_Toc91161232"/>
      <w:r w:rsidRPr="003471CD">
        <w:lastRenderedPageBreak/>
        <w:t>Governor</w:t>
      </w:r>
      <w:r w:rsidR="008F7C9F" w:rsidRPr="003471CD">
        <w:t>’</w:t>
      </w:r>
      <w:r w:rsidRPr="003471CD">
        <w:t>s Instruments</w:t>
      </w:r>
      <w:bookmarkEnd w:id="0"/>
    </w:p>
    <w:p w:rsidR="00A13ED9" w:rsidRPr="00A13ED9" w:rsidRDefault="00E673C6" w:rsidP="00E673C6">
      <w:pPr>
        <w:pStyle w:val="Heading2"/>
      </w:pPr>
      <w:bookmarkStart w:id="1" w:name="_Toc91161233"/>
      <w:r w:rsidRPr="00A13ED9">
        <w:t>Appointments</w:t>
      </w:r>
      <w:bookmarkEnd w:id="1"/>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Department of the Premier and Cabinet</w:t>
      </w:r>
    </w:p>
    <w:p w:rsidR="00A13ED9" w:rsidRPr="00A13ED9" w:rsidRDefault="00A13ED9" w:rsidP="00A13ED9">
      <w:pPr>
        <w:jc w:val="right"/>
        <w:rPr>
          <w:rFonts w:ascii="Times New Roman" w:eastAsiaTheme="minorHAnsi" w:hAnsi="Times New Roman"/>
          <w:sz w:val="17"/>
          <w:szCs w:val="17"/>
        </w:rPr>
      </w:pPr>
      <w:r w:rsidRPr="00A13ED9">
        <w:rPr>
          <w:rFonts w:ascii="Times New Roman" w:eastAsiaTheme="minorHAnsi" w:hAnsi="Times New Roman"/>
          <w:sz w:val="17"/>
          <w:szCs w:val="17"/>
        </w:rPr>
        <w:t>Adelaide, 23 December 2021</w:t>
      </w:r>
    </w:p>
    <w:p w:rsidR="00A13ED9" w:rsidRPr="00A13ED9" w:rsidRDefault="00A13ED9" w:rsidP="00A13ED9">
      <w:pPr>
        <w:rPr>
          <w:rFonts w:ascii="Times New Roman" w:eastAsia="Times New Roman" w:hAnsi="Times New Roman"/>
          <w:sz w:val="17"/>
          <w:szCs w:val="17"/>
        </w:rPr>
      </w:pPr>
      <w:r w:rsidRPr="00A13ED9">
        <w:rPr>
          <w:rFonts w:ascii="Times New Roman" w:eastAsia="Times New Roman" w:hAnsi="Times New Roman"/>
          <w:sz w:val="17"/>
          <w:szCs w:val="17"/>
        </w:rPr>
        <w:t>Her Excellency the Governor in Executive Council has been pleased to appoint Justin Peter Wickens as a Magistrate commencing on 6 January 2022 - pursuant to section 5 of the Magistrates Act 1983.</w:t>
      </w:r>
    </w:p>
    <w:p w:rsidR="00A13ED9" w:rsidRPr="00A13ED9" w:rsidRDefault="00A13ED9" w:rsidP="00A13ED9">
      <w:pPr>
        <w:spacing w:after="0"/>
        <w:jc w:val="center"/>
        <w:rPr>
          <w:rFonts w:ascii="Times New Roman" w:eastAsia="Times New Roman" w:hAnsi="Times New Roman"/>
          <w:sz w:val="17"/>
          <w:szCs w:val="17"/>
        </w:rPr>
      </w:pPr>
      <w:r w:rsidRPr="00A13ED9">
        <w:rPr>
          <w:rFonts w:ascii="Times New Roman" w:eastAsia="Times New Roman" w:hAnsi="Times New Roman"/>
          <w:sz w:val="17"/>
          <w:szCs w:val="17"/>
        </w:rPr>
        <w:t>By command,</w:t>
      </w:r>
    </w:p>
    <w:p w:rsidR="00A13ED9" w:rsidRPr="00A13ED9" w:rsidRDefault="00A13ED9" w:rsidP="00A13ED9">
      <w:pPr>
        <w:spacing w:after="0"/>
        <w:jc w:val="right"/>
        <w:rPr>
          <w:rFonts w:ascii="Times New Roman" w:eastAsiaTheme="minorHAnsi" w:hAnsi="Times New Roman"/>
          <w:smallCaps/>
          <w:sz w:val="17"/>
          <w:szCs w:val="17"/>
        </w:rPr>
      </w:pPr>
      <w:r w:rsidRPr="00A13ED9">
        <w:rPr>
          <w:rFonts w:ascii="Times New Roman" w:eastAsiaTheme="minorHAnsi" w:hAnsi="Times New Roman"/>
          <w:smallCaps/>
          <w:sz w:val="17"/>
          <w:szCs w:val="17"/>
        </w:rPr>
        <w:t>Steven Spence Marshall</w:t>
      </w: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Premier</w:t>
      </w:r>
    </w:p>
    <w:p w:rsidR="00A13ED9" w:rsidRPr="00A13ED9" w:rsidRDefault="00A13ED9" w:rsidP="00A13ED9">
      <w:pPr>
        <w:spacing w:after="0"/>
        <w:jc w:val="left"/>
        <w:rPr>
          <w:rFonts w:ascii="Times New Roman" w:eastAsiaTheme="minorHAnsi" w:hAnsi="Times New Roman"/>
          <w:sz w:val="17"/>
          <w:szCs w:val="17"/>
        </w:rPr>
      </w:pPr>
      <w:r w:rsidRPr="00A13ED9">
        <w:rPr>
          <w:rFonts w:ascii="Times New Roman" w:eastAsiaTheme="minorHAnsi" w:hAnsi="Times New Roman"/>
          <w:sz w:val="17"/>
          <w:szCs w:val="17"/>
        </w:rPr>
        <w:t>AGO0201-21CS</w:t>
      </w:r>
    </w:p>
    <w:p w:rsidR="00A13ED9" w:rsidRPr="00A13ED9" w:rsidRDefault="00A13ED9" w:rsidP="00A13ED9">
      <w:pPr>
        <w:pBdr>
          <w:top w:val="single" w:sz="4" w:space="1" w:color="auto"/>
        </w:pBdr>
        <w:spacing w:before="100" w:after="0" w:line="14" w:lineRule="exact"/>
        <w:jc w:val="center"/>
        <w:rPr>
          <w:rFonts w:ascii="Times New Roman" w:eastAsiaTheme="minorHAnsi" w:hAnsi="Times New Roman"/>
          <w:sz w:val="17"/>
          <w:szCs w:val="17"/>
        </w:rPr>
      </w:pPr>
    </w:p>
    <w:p w:rsidR="00A13ED9" w:rsidRPr="00A13ED9" w:rsidRDefault="00A13ED9" w:rsidP="00A13ED9">
      <w:pPr>
        <w:spacing w:after="0"/>
        <w:rPr>
          <w:rFonts w:ascii="Times New Roman" w:eastAsia="Times New Roman" w:hAnsi="Times New Roman"/>
          <w:sz w:val="17"/>
          <w:szCs w:val="17"/>
        </w:rPr>
      </w:pP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Department of the Premier and Cabinet</w:t>
      </w:r>
    </w:p>
    <w:p w:rsidR="00A13ED9" w:rsidRPr="00A13ED9" w:rsidRDefault="00A13ED9" w:rsidP="00A13ED9">
      <w:pPr>
        <w:jc w:val="right"/>
        <w:rPr>
          <w:rFonts w:ascii="Times New Roman" w:eastAsiaTheme="minorHAnsi" w:hAnsi="Times New Roman"/>
          <w:sz w:val="17"/>
          <w:szCs w:val="17"/>
        </w:rPr>
      </w:pPr>
      <w:r w:rsidRPr="00A13ED9">
        <w:rPr>
          <w:rFonts w:ascii="Times New Roman" w:eastAsiaTheme="minorHAnsi" w:hAnsi="Times New Roman"/>
          <w:sz w:val="17"/>
          <w:szCs w:val="17"/>
        </w:rPr>
        <w:t>Adelaide, 23 December 2021</w:t>
      </w:r>
    </w:p>
    <w:p w:rsidR="00A13ED9" w:rsidRPr="00A13ED9" w:rsidRDefault="00A13ED9" w:rsidP="00A13ED9">
      <w:pPr>
        <w:rPr>
          <w:rFonts w:ascii="Times New Roman" w:eastAsia="Times New Roman" w:hAnsi="Times New Roman"/>
          <w:sz w:val="17"/>
          <w:szCs w:val="17"/>
        </w:rPr>
      </w:pPr>
      <w:r w:rsidRPr="00A13ED9">
        <w:rPr>
          <w:rFonts w:ascii="Times New Roman" w:eastAsia="Times New Roman" w:hAnsi="Times New Roman"/>
          <w:sz w:val="17"/>
          <w:szCs w:val="17"/>
        </w:rPr>
        <w:t>Her Excellency the Governor in Executive Council has been pleased to appoint Edward Paul Stratton-Smith as a Magistrate commencing on 17 January 2022 - pursuant to section 5 of the Magistrates Act 1983.</w:t>
      </w:r>
    </w:p>
    <w:p w:rsidR="00A13ED9" w:rsidRPr="00A13ED9" w:rsidRDefault="00A13ED9" w:rsidP="00A13ED9">
      <w:pPr>
        <w:spacing w:after="0"/>
        <w:jc w:val="center"/>
        <w:rPr>
          <w:rFonts w:ascii="Times New Roman" w:eastAsia="Times New Roman" w:hAnsi="Times New Roman"/>
          <w:sz w:val="17"/>
          <w:szCs w:val="17"/>
        </w:rPr>
      </w:pPr>
      <w:r w:rsidRPr="00A13ED9">
        <w:rPr>
          <w:rFonts w:ascii="Times New Roman" w:eastAsia="Times New Roman" w:hAnsi="Times New Roman"/>
          <w:sz w:val="17"/>
          <w:szCs w:val="17"/>
        </w:rPr>
        <w:t>By command,</w:t>
      </w:r>
    </w:p>
    <w:p w:rsidR="00A13ED9" w:rsidRPr="00A13ED9" w:rsidRDefault="00A13ED9" w:rsidP="00A13ED9">
      <w:pPr>
        <w:spacing w:after="0"/>
        <w:jc w:val="right"/>
        <w:rPr>
          <w:rFonts w:ascii="Times New Roman" w:eastAsiaTheme="minorHAnsi" w:hAnsi="Times New Roman"/>
          <w:smallCaps/>
          <w:sz w:val="17"/>
          <w:szCs w:val="17"/>
        </w:rPr>
      </w:pPr>
      <w:r w:rsidRPr="00A13ED9">
        <w:rPr>
          <w:rFonts w:ascii="Times New Roman" w:eastAsiaTheme="minorHAnsi" w:hAnsi="Times New Roman"/>
          <w:smallCaps/>
          <w:sz w:val="17"/>
          <w:szCs w:val="17"/>
        </w:rPr>
        <w:t>Steven Spence Marshall</w:t>
      </w: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Premier</w:t>
      </w:r>
    </w:p>
    <w:p w:rsidR="00A13ED9" w:rsidRPr="00A13ED9" w:rsidRDefault="00A13ED9" w:rsidP="00A13ED9">
      <w:pPr>
        <w:spacing w:after="0"/>
        <w:jc w:val="left"/>
        <w:rPr>
          <w:rFonts w:ascii="Times New Roman" w:eastAsiaTheme="minorHAnsi" w:hAnsi="Times New Roman"/>
          <w:sz w:val="17"/>
          <w:szCs w:val="17"/>
        </w:rPr>
      </w:pPr>
      <w:r w:rsidRPr="00A13ED9">
        <w:rPr>
          <w:rFonts w:ascii="Times New Roman" w:eastAsiaTheme="minorHAnsi" w:hAnsi="Times New Roman"/>
          <w:sz w:val="17"/>
          <w:szCs w:val="17"/>
        </w:rPr>
        <w:t>AGO0201-21CS</w:t>
      </w:r>
    </w:p>
    <w:p w:rsidR="00A13ED9" w:rsidRPr="00A13ED9" w:rsidRDefault="00A13ED9" w:rsidP="00A13ED9">
      <w:pPr>
        <w:pBdr>
          <w:top w:val="single" w:sz="4" w:space="1" w:color="auto"/>
        </w:pBdr>
        <w:spacing w:before="100" w:after="0" w:line="14" w:lineRule="exact"/>
        <w:jc w:val="center"/>
        <w:rPr>
          <w:rFonts w:ascii="Times New Roman" w:eastAsiaTheme="minorHAnsi" w:hAnsi="Times New Roman"/>
          <w:sz w:val="17"/>
          <w:szCs w:val="17"/>
        </w:rPr>
      </w:pPr>
    </w:p>
    <w:p w:rsidR="00A13ED9" w:rsidRPr="00A13ED9" w:rsidRDefault="00A13ED9" w:rsidP="00A13ED9">
      <w:pPr>
        <w:spacing w:after="0" w:line="259" w:lineRule="auto"/>
        <w:jc w:val="left"/>
        <w:rPr>
          <w:rFonts w:ascii="Times New Roman" w:eastAsiaTheme="minorHAnsi" w:hAnsi="Times New Roman"/>
          <w:sz w:val="17"/>
          <w:szCs w:val="17"/>
        </w:rPr>
      </w:pPr>
    </w:p>
    <w:p w:rsidR="00A13ED9" w:rsidRPr="00A13ED9" w:rsidRDefault="00A13ED9" w:rsidP="00A13ED9">
      <w:pPr>
        <w:spacing w:after="0"/>
        <w:jc w:val="right"/>
        <w:rPr>
          <w:rFonts w:ascii="Times New Roman" w:eastAsia="Times New Roman" w:hAnsi="Times New Roman"/>
          <w:sz w:val="17"/>
          <w:szCs w:val="17"/>
        </w:rPr>
      </w:pPr>
      <w:r w:rsidRPr="00A13ED9">
        <w:rPr>
          <w:rFonts w:ascii="Times New Roman" w:eastAsia="Times New Roman" w:hAnsi="Times New Roman"/>
          <w:sz w:val="17"/>
          <w:szCs w:val="17"/>
        </w:rPr>
        <w:t>Department of the Premier and Cabinet</w:t>
      </w:r>
    </w:p>
    <w:p w:rsidR="00A13ED9" w:rsidRPr="00A13ED9" w:rsidRDefault="00A13ED9" w:rsidP="00A13ED9">
      <w:pPr>
        <w:jc w:val="right"/>
        <w:rPr>
          <w:rFonts w:ascii="Times New Roman" w:eastAsia="Times New Roman" w:hAnsi="Times New Roman"/>
          <w:sz w:val="17"/>
          <w:szCs w:val="17"/>
        </w:rPr>
      </w:pPr>
      <w:r w:rsidRPr="00A13ED9">
        <w:rPr>
          <w:rFonts w:ascii="Times New Roman" w:eastAsia="Times New Roman" w:hAnsi="Times New Roman"/>
          <w:sz w:val="17"/>
          <w:szCs w:val="17"/>
        </w:rPr>
        <w:t>Adelaide, 23 December 2021</w:t>
      </w:r>
    </w:p>
    <w:p w:rsidR="00A13ED9" w:rsidRPr="00A13ED9" w:rsidRDefault="00A13ED9" w:rsidP="00A13ED9">
      <w:pPr>
        <w:rPr>
          <w:rFonts w:ascii="Times New Roman" w:eastAsia="Times New Roman" w:hAnsi="Times New Roman"/>
          <w:sz w:val="17"/>
          <w:szCs w:val="17"/>
        </w:rPr>
      </w:pPr>
      <w:r w:rsidRPr="00A13ED9">
        <w:rPr>
          <w:rFonts w:ascii="Times New Roman" w:eastAsia="Times New Roman" w:hAnsi="Times New Roman"/>
          <w:sz w:val="17"/>
          <w:szCs w:val="17"/>
        </w:rPr>
        <w:t>Her Excellency the Governor in Executive Council has been pleased to appoint the undermentioned to the Adelaide Festival Centre Trust, pursuant to the provisions of the Adelaide Festival Centre Trust Act 1971:</w:t>
      </w:r>
    </w:p>
    <w:p w:rsidR="00A13ED9" w:rsidRPr="00A13ED9" w:rsidRDefault="00A13ED9" w:rsidP="00A13ED9">
      <w:pPr>
        <w:spacing w:after="0"/>
        <w:ind w:left="142"/>
        <w:jc w:val="left"/>
        <w:rPr>
          <w:rFonts w:ascii="Times New Roman" w:eastAsiaTheme="minorHAnsi" w:hAnsi="Times New Roman"/>
          <w:sz w:val="17"/>
          <w:szCs w:val="17"/>
        </w:rPr>
      </w:pPr>
      <w:r w:rsidRPr="00A13ED9">
        <w:rPr>
          <w:rFonts w:ascii="Times New Roman" w:eastAsiaTheme="minorHAnsi" w:hAnsi="Times New Roman"/>
          <w:sz w:val="17"/>
          <w:szCs w:val="17"/>
        </w:rPr>
        <w:t>Member: from 21 January 2022 until 20 January 2025</w:t>
      </w:r>
    </w:p>
    <w:p w:rsidR="00A13ED9" w:rsidRPr="00A13ED9" w:rsidRDefault="00A13ED9" w:rsidP="00A13ED9">
      <w:pPr>
        <w:ind w:left="284"/>
        <w:jc w:val="left"/>
        <w:rPr>
          <w:rFonts w:ascii="Times New Roman" w:eastAsiaTheme="minorHAnsi" w:hAnsi="Times New Roman"/>
          <w:sz w:val="17"/>
          <w:szCs w:val="17"/>
        </w:rPr>
      </w:pPr>
      <w:r w:rsidRPr="00A13ED9">
        <w:rPr>
          <w:rFonts w:ascii="Times New Roman" w:eastAsiaTheme="minorHAnsi" w:hAnsi="Times New Roman"/>
          <w:sz w:val="17"/>
          <w:szCs w:val="17"/>
        </w:rPr>
        <w:t xml:space="preserve">Bruce James Carter </w:t>
      </w:r>
    </w:p>
    <w:p w:rsidR="00A13ED9" w:rsidRPr="00A13ED9" w:rsidRDefault="00A13ED9" w:rsidP="00A13ED9">
      <w:pPr>
        <w:spacing w:after="0"/>
        <w:ind w:left="142"/>
        <w:jc w:val="left"/>
        <w:rPr>
          <w:rFonts w:ascii="Times New Roman" w:eastAsiaTheme="minorHAnsi" w:hAnsi="Times New Roman"/>
          <w:sz w:val="17"/>
          <w:szCs w:val="17"/>
        </w:rPr>
      </w:pPr>
      <w:r w:rsidRPr="00A13ED9">
        <w:rPr>
          <w:rFonts w:ascii="Times New Roman" w:eastAsiaTheme="minorHAnsi" w:hAnsi="Times New Roman"/>
          <w:sz w:val="17"/>
          <w:szCs w:val="17"/>
        </w:rPr>
        <w:t>Presiding Member: from 21 January 2022 until 8 September 2024</w:t>
      </w:r>
    </w:p>
    <w:p w:rsidR="00A13ED9" w:rsidRPr="00A13ED9" w:rsidRDefault="00A13ED9" w:rsidP="00A13ED9">
      <w:pPr>
        <w:spacing w:after="0"/>
        <w:ind w:left="284"/>
        <w:jc w:val="left"/>
        <w:rPr>
          <w:rFonts w:ascii="Times New Roman" w:eastAsiaTheme="minorHAnsi" w:hAnsi="Times New Roman"/>
          <w:sz w:val="17"/>
          <w:szCs w:val="17"/>
        </w:rPr>
      </w:pPr>
      <w:r w:rsidRPr="00A13ED9">
        <w:rPr>
          <w:rFonts w:ascii="Times New Roman" w:eastAsiaTheme="minorHAnsi" w:hAnsi="Times New Roman"/>
          <w:sz w:val="17"/>
          <w:szCs w:val="17"/>
        </w:rPr>
        <w:t xml:space="preserve">Hieu Van Le </w:t>
      </w:r>
    </w:p>
    <w:p w:rsidR="00A13ED9" w:rsidRPr="00A13ED9" w:rsidRDefault="00A13ED9" w:rsidP="00A13ED9">
      <w:pPr>
        <w:spacing w:after="0"/>
        <w:jc w:val="center"/>
        <w:rPr>
          <w:rFonts w:ascii="Times New Roman" w:eastAsiaTheme="minorHAnsi" w:hAnsi="Times New Roman"/>
          <w:sz w:val="17"/>
          <w:szCs w:val="17"/>
        </w:rPr>
      </w:pPr>
      <w:r w:rsidRPr="00A13ED9">
        <w:rPr>
          <w:rFonts w:ascii="Times New Roman" w:eastAsiaTheme="minorHAnsi" w:hAnsi="Times New Roman"/>
          <w:sz w:val="17"/>
          <w:szCs w:val="17"/>
        </w:rPr>
        <w:t>By command,</w:t>
      </w:r>
    </w:p>
    <w:p w:rsidR="00A13ED9" w:rsidRPr="00A13ED9" w:rsidRDefault="00A13ED9" w:rsidP="00A13ED9">
      <w:pPr>
        <w:spacing w:after="0"/>
        <w:jc w:val="right"/>
        <w:rPr>
          <w:rFonts w:ascii="Times New Roman" w:eastAsiaTheme="minorHAnsi" w:hAnsi="Times New Roman"/>
          <w:smallCaps/>
          <w:sz w:val="17"/>
          <w:szCs w:val="17"/>
        </w:rPr>
      </w:pPr>
      <w:r w:rsidRPr="00A13ED9">
        <w:rPr>
          <w:rFonts w:ascii="Times New Roman" w:eastAsiaTheme="minorHAnsi" w:hAnsi="Times New Roman"/>
          <w:smallCaps/>
          <w:sz w:val="17"/>
          <w:szCs w:val="17"/>
        </w:rPr>
        <w:t>Steven Spence Marshall</w:t>
      </w: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Premier</w:t>
      </w:r>
    </w:p>
    <w:p w:rsidR="00A13ED9" w:rsidRPr="00A13ED9" w:rsidRDefault="00A13ED9" w:rsidP="00A13ED9">
      <w:pPr>
        <w:spacing w:after="0"/>
        <w:jc w:val="left"/>
        <w:rPr>
          <w:rFonts w:ascii="Times New Roman" w:eastAsiaTheme="minorHAnsi" w:hAnsi="Times New Roman"/>
          <w:sz w:val="17"/>
          <w:szCs w:val="17"/>
        </w:rPr>
      </w:pPr>
      <w:r w:rsidRPr="00A13ED9">
        <w:rPr>
          <w:rFonts w:ascii="Times New Roman" w:eastAsiaTheme="minorHAnsi" w:hAnsi="Times New Roman"/>
          <w:sz w:val="17"/>
          <w:szCs w:val="17"/>
        </w:rPr>
        <w:t>DPC21/083CS</w:t>
      </w:r>
    </w:p>
    <w:p w:rsidR="00A13ED9" w:rsidRPr="00A13ED9" w:rsidRDefault="00A13ED9" w:rsidP="00A13ED9">
      <w:pPr>
        <w:pBdr>
          <w:top w:val="single" w:sz="4" w:space="1" w:color="auto"/>
        </w:pBdr>
        <w:spacing w:before="100" w:after="0" w:line="14" w:lineRule="exact"/>
        <w:jc w:val="center"/>
        <w:rPr>
          <w:rFonts w:ascii="Times New Roman" w:eastAsiaTheme="minorHAnsi" w:hAnsi="Times New Roman"/>
          <w:sz w:val="17"/>
          <w:szCs w:val="17"/>
        </w:rPr>
      </w:pPr>
    </w:p>
    <w:p w:rsidR="00A13ED9" w:rsidRPr="00A13ED9" w:rsidRDefault="00A13ED9" w:rsidP="00A13ED9">
      <w:pPr>
        <w:spacing w:after="0"/>
        <w:rPr>
          <w:rFonts w:ascii="Times New Roman" w:eastAsia="Times New Roman" w:hAnsi="Times New Roman"/>
          <w:sz w:val="17"/>
          <w:szCs w:val="17"/>
        </w:rPr>
      </w:pPr>
    </w:p>
    <w:p w:rsidR="00A13ED9" w:rsidRPr="00A13ED9" w:rsidRDefault="00A13ED9" w:rsidP="00A13ED9">
      <w:pPr>
        <w:spacing w:after="0"/>
        <w:jc w:val="right"/>
        <w:rPr>
          <w:rFonts w:ascii="Times New Roman" w:eastAsia="Times New Roman" w:hAnsi="Times New Roman"/>
          <w:sz w:val="17"/>
          <w:szCs w:val="17"/>
        </w:rPr>
      </w:pPr>
      <w:r w:rsidRPr="00A13ED9">
        <w:rPr>
          <w:rFonts w:ascii="Times New Roman" w:eastAsia="Times New Roman" w:hAnsi="Times New Roman"/>
          <w:sz w:val="17"/>
          <w:szCs w:val="17"/>
        </w:rPr>
        <w:t>Department of the Premier and Cabinet</w:t>
      </w:r>
    </w:p>
    <w:p w:rsidR="00A13ED9" w:rsidRPr="00A13ED9" w:rsidRDefault="00A13ED9" w:rsidP="00A13ED9">
      <w:pPr>
        <w:jc w:val="right"/>
        <w:rPr>
          <w:rFonts w:ascii="Times New Roman" w:eastAsia="Times New Roman" w:hAnsi="Times New Roman"/>
          <w:sz w:val="17"/>
          <w:szCs w:val="17"/>
        </w:rPr>
      </w:pPr>
      <w:r w:rsidRPr="00A13ED9">
        <w:rPr>
          <w:rFonts w:ascii="Times New Roman" w:eastAsia="Times New Roman" w:hAnsi="Times New Roman"/>
          <w:sz w:val="17"/>
          <w:szCs w:val="17"/>
        </w:rPr>
        <w:t>Adelaide, 23 December 2021</w:t>
      </w:r>
    </w:p>
    <w:p w:rsidR="00A13ED9" w:rsidRPr="00A13ED9" w:rsidRDefault="00A13ED9" w:rsidP="00A13ED9">
      <w:pPr>
        <w:rPr>
          <w:rFonts w:ascii="Times New Roman" w:eastAsia="Times New Roman" w:hAnsi="Times New Roman"/>
          <w:sz w:val="17"/>
          <w:szCs w:val="17"/>
        </w:rPr>
      </w:pPr>
      <w:r w:rsidRPr="00A13ED9">
        <w:rPr>
          <w:rFonts w:ascii="Times New Roman" w:eastAsia="Times New Roman" w:hAnsi="Times New Roman"/>
          <w:sz w:val="17"/>
          <w:szCs w:val="17"/>
        </w:rPr>
        <w:t>Her Excellency the Governor in Executive Council has been pleased to appoint the undermentioned to the State Bushfire Coordination Committee, pursuant to the provisions of the Fire and Emergency Services Act 2005:</w:t>
      </w:r>
    </w:p>
    <w:p w:rsidR="00A13ED9" w:rsidRPr="00A13ED9" w:rsidRDefault="00A13ED9" w:rsidP="00A13ED9">
      <w:pPr>
        <w:spacing w:after="0"/>
        <w:ind w:left="142"/>
        <w:jc w:val="left"/>
        <w:rPr>
          <w:rFonts w:ascii="Times New Roman" w:eastAsiaTheme="minorHAnsi" w:hAnsi="Times New Roman"/>
          <w:sz w:val="17"/>
          <w:szCs w:val="17"/>
        </w:rPr>
      </w:pPr>
      <w:r w:rsidRPr="00A13ED9">
        <w:rPr>
          <w:rFonts w:ascii="Times New Roman" w:eastAsiaTheme="minorHAnsi" w:hAnsi="Times New Roman"/>
          <w:sz w:val="17"/>
          <w:szCs w:val="17"/>
        </w:rPr>
        <w:t>Member: from 23 December 2021 until 13 November 2023</w:t>
      </w:r>
    </w:p>
    <w:p w:rsidR="00A13ED9" w:rsidRPr="00A13ED9" w:rsidRDefault="00A13ED9" w:rsidP="00A13ED9">
      <w:pPr>
        <w:ind w:left="284"/>
        <w:jc w:val="left"/>
        <w:rPr>
          <w:rFonts w:ascii="Times New Roman" w:eastAsiaTheme="minorHAnsi" w:hAnsi="Times New Roman"/>
          <w:sz w:val="17"/>
          <w:szCs w:val="17"/>
        </w:rPr>
      </w:pPr>
      <w:r w:rsidRPr="00A13ED9">
        <w:rPr>
          <w:rFonts w:ascii="Times New Roman" w:eastAsiaTheme="minorHAnsi" w:hAnsi="Times New Roman"/>
          <w:sz w:val="17"/>
          <w:szCs w:val="17"/>
        </w:rPr>
        <w:t xml:space="preserve">Troy Alexander Fountain </w:t>
      </w:r>
    </w:p>
    <w:p w:rsidR="00A13ED9" w:rsidRPr="00A13ED9" w:rsidRDefault="00A13ED9" w:rsidP="00A13ED9">
      <w:pPr>
        <w:spacing w:after="0"/>
        <w:ind w:left="142"/>
        <w:jc w:val="left"/>
        <w:rPr>
          <w:rFonts w:ascii="Times New Roman" w:eastAsiaTheme="minorHAnsi" w:hAnsi="Times New Roman"/>
          <w:sz w:val="17"/>
          <w:szCs w:val="17"/>
        </w:rPr>
      </w:pPr>
      <w:r w:rsidRPr="00A13ED9">
        <w:rPr>
          <w:rFonts w:ascii="Times New Roman" w:eastAsiaTheme="minorHAnsi" w:hAnsi="Times New Roman"/>
          <w:sz w:val="17"/>
          <w:szCs w:val="17"/>
        </w:rPr>
        <w:t>Deputy Member: from 23 December 2021 until 13 November 2023</w:t>
      </w:r>
    </w:p>
    <w:p w:rsidR="00A13ED9" w:rsidRPr="00A13ED9" w:rsidRDefault="00A13ED9" w:rsidP="00A13ED9">
      <w:pPr>
        <w:spacing w:after="0"/>
        <w:ind w:left="284"/>
        <w:jc w:val="left"/>
        <w:rPr>
          <w:rFonts w:ascii="Times New Roman" w:eastAsiaTheme="minorHAnsi" w:hAnsi="Times New Roman"/>
          <w:sz w:val="17"/>
          <w:szCs w:val="17"/>
        </w:rPr>
      </w:pPr>
      <w:r w:rsidRPr="00A13ED9">
        <w:rPr>
          <w:rFonts w:ascii="Times New Roman" w:eastAsiaTheme="minorHAnsi" w:hAnsi="Times New Roman"/>
          <w:sz w:val="17"/>
          <w:szCs w:val="17"/>
        </w:rPr>
        <w:t>Rhiannon Kate Hardy (Deputy to Fountain)</w:t>
      </w:r>
    </w:p>
    <w:p w:rsidR="00A13ED9" w:rsidRPr="00A13ED9" w:rsidRDefault="00A13ED9" w:rsidP="00A13ED9">
      <w:pPr>
        <w:spacing w:after="0"/>
        <w:jc w:val="center"/>
        <w:rPr>
          <w:rFonts w:ascii="Times New Roman" w:eastAsiaTheme="minorHAnsi" w:hAnsi="Times New Roman"/>
          <w:sz w:val="17"/>
          <w:szCs w:val="17"/>
        </w:rPr>
      </w:pPr>
      <w:r w:rsidRPr="00A13ED9">
        <w:rPr>
          <w:rFonts w:ascii="Times New Roman" w:eastAsiaTheme="minorHAnsi" w:hAnsi="Times New Roman"/>
          <w:sz w:val="17"/>
          <w:szCs w:val="17"/>
        </w:rPr>
        <w:t>By command,</w:t>
      </w:r>
    </w:p>
    <w:p w:rsidR="00A13ED9" w:rsidRPr="00A13ED9" w:rsidRDefault="00A13ED9" w:rsidP="00A13ED9">
      <w:pPr>
        <w:spacing w:after="0"/>
        <w:jc w:val="right"/>
        <w:rPr>
          <w:rFonts w:ascii="Times New Roman" w:eastAsiaTheme="minorHAnsi" w:hAnsi="Times New Roman"/>
          <w:smallCaps/>
          <w:sz w:val="17"/>
          <w:szCs w:val="17"/>
        </w:rPr>
      </w:pPr>
      <w:r w:rsidRPr="00A13ED9">
        <w:rPr>
          <w:rFonts w:ascii="Times New Roman" w:eastAsiaTheme="minorHAnsi" w:hAnsi="Times New Roman"/>
          <w:smallCaps/>
          <w:sz w:val="17"/>
          <w:szCs w:val="17"/>
        </w:rPr>
        <w:t>Steven Spence Marshall</w:t>
      </w: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Premier</w:t>
      </w:r>
    </w:p>
    <w:p w:rsidR="00A13ED9" w:rsidRPr="00A13ED9" w:rsidRDefault="00A13ED9" w:rsidP="00A13ED9">
      <w:pPr>
        <w:spacing w:after="0"/>
        <w:jc w:val="left"/>
        <w:rPr>
          <w:rFonts w:ascii="Times New Roman" w:eastAsiaTheme="minorHAnsi" w:hAnsi="Times New Roman"/>
          <w:sz w:val="17"/>
          <w:szCs w:val="17"/>
        </w:rPr>
      </w:pPr>
      <w:r w:rsidRPr="00A13ED9">
        <w:rPr>
          <w:rFonts w:ascii="Times New Roman" w:eastAsiaTheme="minorHAnsi" w:hAnsi="Times New Roman"/>
          <w:sz w:val="17"/>
          <w:szCs w:val="17"/>
        </w:rPr>
        <w:t>21EMS0005CS</w:t>
      </w:r>
    </w:p>
    <w:p w:rsidR="00A13ED9" w:rsidRPr="00A13ED9" w:rsidRDefault="00A13ED9" w:rsidP="00A13ED9">
      <w:pPr>
        <w:pBdr>
          <w:top w:val="single" w:sz="4" w:space="1" w:color="auto"/>
        </w:pBdr>
        <w:spacing w:before="100" w:after="0" w:line="14" w:lineRule="exact"/>
        <w:jc w:val="center"/>
        <w:rPr>
          <w:rFonts w:ascii="Times New Roman" w:eastAsiaTheme="minorHAnsi" w:hAnsi="Times New Roman"/>
          <w:sz w:val="17"/>
          <w:szCs w:val="17"/>
        </w:rPr>
      </w:pPr>
    </w:p>
    <w:p w:rsidR="00A13ED9" w:rsidRPr="00A13ED9" w:rsidRDefault="00A13ED9" w:rsidP="00A13ED9">
      <w:pPr>
        <w:spacing w:after="0"/>
        <w:rPr>
          <w:rFonts w:ascii="Times New Roman" w:eastAsia="Times New Roman" w:hAnsi="Times New Roman"/>
          <w:sz w:val="17"/>
          <w:szCs w:val="17"/>
        </w:rPr>
      </w:pPr>
    </w:p>
    <w:p w:rsidR="00A13ED9" w:rsidRPr="00A13ED9" w:rsidRDefault="00A13ED9" w:rsidP="00A13ED9">
      <w:pPr>
        <w:spacing w:after="0"/>
        <w:jc w:val="right"/>
        <w:rPr>
          <w:rFonts w:ascii="Times New Roman" w:eastAsia="Times New Roman" w:hAnsi="Times New Roman"/>
          <w:sz w:val="17"/>
          <w:szCs w:val="17"/>
        </w:rPr>
      </w:pPr>
      <w:r w:rsidRPr="00A13ED9">
        <w:rPr>
          <w:rFonts w:ascii="Times New Roman" w:eastAsia="Times New Roman" w:hAnsi="Times New Roman"/>
          <w:sz w:val="17"/>
          <w:szCs w:val="17"/>
        </w:rPr>
        <w:t>Department of the Premier and Cabinet</w:t>
      </w:r>
    </w:p>
    <w:p w:rsidR="00A13ED9" w:rsidRPr="00A13ED9" w:rsidRDefault="00A13ED9" w:rsidP="00A13ED9">
      <w:pPr>
        <w:jc w:val="right"/>
        <w:rPr>
          <w:rFonts w:ascii="Times New Roman" w:eastAsia="Times New Roman" w:hAnsi="Times New Roman"/>
          <w:sz w:val="17"/>
          <w:szCs w:val="17"/>
        </w:rPr>
      </w:pPr>
      <w:r w:rsidRPr="00A13ED9">
        <w:rPr>
          <w:rFonts w:ascii="Times New Roman" w:eastAsia="Times New Roman" w:hAnsi="Times New Roman"/>
          <w:sz w:val="17"/>
          <w:szCs w:val="17"/>
        </w:rPr>
        <w:t>Adelaide, 23 December 2021</w:t>
      </w:r>
    </w:p>
    <w:p w:rsidR="00A13ED9" w:rsidRPr="00A13ED9" w:rsidRDefault="00A13ED9" w:rsidP="00A13ED9">
      <w:pPr>
        <w:rPr>
          <w:rFonts w:ascii="Times New Roman" w:eastAsia="Times New Roman" w:hAnsi="Times New Roman"/>
          <w:sz w:val="17"/>
          <w:szCs w:val="17"/>
        </w:rPr>
      </w:pPr>
      <w:r w:rsidRPr="00A13ED9">
        <w:rPr>
          <w:rFonts w:ascii="Times New Roman" w:eastAsia="Times New Roman" w:hAnsi="Times New Roman"/>
          <w:sz w:val="17"/>
          <w:szCs w:val="17"/>
        </w:rPr>
        <w:t>Her Excellency the Governor in Executive Council has been pleased to appoint the undermentioned to the Police Disciplinary Tribunal, pursuant to the provisions of the Police Complaints and Discipline Act 2016:</w:t>
      </w:r>
    </w:p>
    <w:p w:rsidR="00A13ED9" w:rsidRPr="00A13ED9" w:rsidRDefault="00A13ED9" w:rsidP="00A13ED9">
      <w:pPr>
        <w:spacing w:after="0"/>
        <w:ind w:left="142"/>
        <w:jc w:val="left"/>
        <w:rPr>
          <w:rFonts w:ascii="Times New Roman" w:eastAsiaTheme="minorHAnsi" w:hAnsi="Times New Roman"/>
          <w:sz w:val="17"/>
          <w:szCs w:val="17"/>
        </w:rPr>
      </w:pPr>
      <w:r w:rsidRPr="00A13ED9">
        <w:rPr>
          <w:rFonts w:ascii="Times New Roman" w:eastAsiaTheme="minorHAnsi" w:hAnsi="Times New Roman"/>
          <w:sz w:val="17"/>
          <w:szCs w:val="17"/>
        </w:rPr>
        <w:t>Panel Member: from 6 January 2022 until 28 April 2023</w:t>
      </w:r>
    </w:p>
    <w:p w:rsidR="00A13ED9" w:rsidRPr="00A13ED9" w:rsidRDefault="00A13ED9" w:rsidP="00A13ED9">
      <w:pPr>
        <w:ind w:left="284"/>
        <w:jc w:val="left"/>
        <w:rPr>
          <w:rFonts w:ascii="Times New Roman" w:eastAsiaTheme="minorHAnsi" w:hAnsi="Times New Roman"/>
          <w:sz w:val="17"/>
          <w:szCs w:val="17"/>
        </w:rPr>
      </w:pPr>
      <w:r w:rsidRPr="00A13ED9">
        <w:rPr>
          <w:rFonts w:ascii="Times New Roman" w:eastAsiaTheme="minorHAnsi" w:hAnsi="Times New Roman"/>
          <w:sz w:val="17"/>
          <w:szCs w:val="17"/>
        </w:rPr>
        <w:t xml:space="preserve">Justin Peter Wickens </w:t>
      </w:r>
    </w:p>
    <w:p w:rsidR="00A13ED9" w:rsidRPr="00A13ED9" w:rsidRDefault="00A13ED9" w:rsidP="00A13ED9">
      <w:pPr>
        <w:spacing w:after="0"/>
        <w:ind w:left="142"/>
        <w:jc w:val="left"/>
        <w:rPr>
          <w:rFonts w:ascii="Times New Roman" w:eastAsiaTheme="minorHAnsi" w:hAnsi="Times New Roman"/>
          <w:sz w:val="17"/>
          <w:szCs w:val="17"/>
        </w:rPr>
      </w:pPr>
      <w:r w:rsidRPr="00A13ED9">
        <w:rPr>
          <w:rFonts w:ascii="Times New Roman" w:eastAsiaTheme="minorHAnsi" w:hAnsi="Times New Roman"/>
          <w:sz w:val="17"/>
          <w:szCs w:val="17"/>
        </w:rPr>
        <w:t>Panel Member: from 17 January 2022 until 28 April 2023</w:t>
      </w:r>
    </w:p>
    <w:p w:rsidR="00A13ED9" w:rsidRPr="00A13ED9" w:rsidRDefault="00A13ED9" w:rsidP="00A13ED9">
      <w:pPr>
        <w:spacing w:after="0"/>
        <w:ind w:left="284"/>
        <w:jc w:val="left"/>
        <w:rPr>
          <w:rFonts w:ascii="Times New Roman" w:eastAsiaTheme="minorHAnsi" w:hAnsi="Times New Roman"/>
          <w:sz w:val="17"/>
          <w:szCs w:val="17"/>
        </w:rPr>
      </w:pPr>
      <w:r w:rsidRPr="00A13ED9">
        <w:rPr>
          <w:rFonts w:ascii="Times New Roman" w:eastAsiaTheme="minorHAnsi" w:hAnsi="Times New Roman"/>
          <w:sz w:val="17"/>
          <w:szCs w:val="17"/>
        </w:rPr>
        <w:t xml:space="preserve">Edward Paul Stratton-Smith </w:t>
      </w:r>
    </w:p>
    <w:p w:rsidR="00A13ED9" w:rsidRPr="00A13ED9" w:rsidRDefault="00A13ED9" w:rsidP="00A13ED9">
      <w:pPr>
        <w:spacing w:after="0"/>
        <w:jc w:val="center"/>
        <w:rPr>
          <w:rFonts w:ascii="Times New Roman" w:eastAsiaTheme="minorHAnsi" w:hAnsi="Times New Roman"/>
          <w:sz w:val="17"/>
          <w:szCs w:val="17"/>
        </w:rPr>
      </w:pPr>
      <w:r w:rsidRPr="00A13ED9">
        <w:rPr>
          <w:rFonts w:ascii="Times New Roman" w:eastAsiaTheme="minorHAnsi" w:hAnsi="Times New Roman"/>
          <w:sz w:val="17"/>
          <w:szCs w:val="17"/>
        </w:rPr>
        <w:t>By command,</w:t>
      </w:r>
    </w:p>
    <w:p w:rsidR="00A13ED9" w:rsidRPr="00A13ED9" w:rsidRDefault="00A13ED9" w:rsidP="00A13ED9">
      <w:pPr>
        <w:spacing w:after="0"/>
        <w:jc w:val="right"/>
        <w:rPr>
          <w:rFonts w:ascii="Times New Roman" w:eastAsiaTheme="minorHAnsi" w:hAnsi="Times New Roman"/>
          <w:smallCaps/>
          <w:sz w:val="17"/>
          <w:szCs w:val="17"/>
        </w:rPr>
      </w:pPr>
      <w:r w:rsidRPr="00A13ED9">
        <w:rPr>
          <w:rFonts w:ascii="Times New Roman" w:eastAsiaTheme="minorHAnsi" w:hAnsi="Times New Roman"/>
          <w:smallCaps/>
          <w:sz w:val="17"/>
          <w:szCs w:val="17"/>
        </w:rPr>
        <w:t>Steven Spence Marshall</w:t>
      </w: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Premier</w:t>
      </w:r>
    </w:p>
    <w:p w:rsidR="00A13ED9" w:rsidRPr="00A13ED9" w:rsidRDefault="00A13ED9" w:rsidP="00A13ED9">
      <w:pPr>
        <w:spacing w:after="0"/>
        <w:jc w:val="left"/>
        <w:rPr>
          <w:rFonts w:ascii="Times New Roman" w:eastAsiaTheme="minorHAnsi" w:hAnsi="Times New Roman"/>
          <w:sz w:val="17"/>
          <w:szCs w:val="17"/>
        </w:rPr>
      </w:pPr>
      <w:r w:rsidRPr="00A13ED9">
        <w:rPr>
          <w:rFonts w:ascii="Times New Roman" w:eastAsiaTheme="minorHAnsi" w:hAnsi="Times New Roman"/>
          <w:sz w:val="17"/>
          <w:szCs w:val="17"/>
        </w:rPr>
        <w:t>AGO0201-21CS</w:t>
      </w:r>
    </w:p>
    <w:p w:rsidR="00A13ED9" w:rsidRPr="00A13ED9" w:rsidRDefault="00A13ED9" w:rsidP="00A13ED9">
      <w:pPr>
        <w:pBdr>
          <w:top w:val="single" w:sz="4" w:space="1" w:color="auto"/>
        </w:pBdr>
        <w:spacing w:before="100" w:after="0" w:line="14" w:lineRule="exact"/>
        <w:jc w:val="center"/>
        <w:rPr>
          <w:rFonts w:ascii="Times New Roman" w:eastAsiaTheme="minorHAnsi" w:hAnsi="Times New Roman"/>
          <w:sz w:val="17"/>
          <w:szCs w:val="17"/>
        </w:rPr>
      </w:pPr>
    </w:p>
    <w:p w:rsidR="00A13ED9" w:rsidRPr="00A13ED9" w:rsidRDefault="00A13ED9" w:rsidP="00A13ED9">
      <w:pPr>
        <w:spacing w:after="0"/>
        <w:rPr>
          <w:rFonts w:ascii="Times New Roman" w:eastAsia="Times New Roman" w:hAnsi="Times New Roman"/>
          <w:sz w:val="17"/>
          <w:szCs w:val="17"/>
        </w:rPr>
      </w:pPr>
    </w:p>
    <w:p w:rsidR="00A13ED9" w:rsidRPr="00A13ED9" w:rsidRDefault="00A13ED9" w:rsidP="00A13ED9">
      <w:pPr>
        <w:spacing w:after="0" w:line="240" w:lineRule="auto"/>
        <w:jc w:val="left"/>
        <w:rPr>
          <w:rFonts w:ascii="Times New Roman" w:eastAsia="Times New Roman" w:hAnsi="Times New Roman"/>
          <w:sz w:val="17"/>
          <w:szCs w:val="17"/>
        </w:rPr>
      </w:pPr>
      <w:r w:rsidRPr="00A13ED9">
        <w:rPr>
          <w:rFonts w:ascii="Segoe UI Light" w:eastAsiaTheme="minorHAnsi" w:hAnsi="Segoe UI Light" w:cstheme="minorBidi"/>
        </w:rPr>
        <w:br w:type="page"/>
      </w:r>
    </w:p>
    <w:p w:rsidR="00A13ED9" w:rsidRPr="00A13ED9" w:rsidRDefault="00A13ED9" w:rsidP="00A13ED9">
      <w:pPr>
        <w:spacing w:after="0"/>
        <w:jc w:val="right"/>
        <w:rPr>
          <w:rFonts w:ascii="Times New Roman" w:eastAsia="Times New Roman" w:hAnsi="Times New Roman"/>
          <w:sz w:val="17"/>
          <w:szCs w:val="17"/>
        </w:rPr>
      </w:pPr>
      <w:r w:rsidRPr="00A13ED9">
        <w:rPr>
          <w:rFonts w:ascii="Times New Roman" w:eastAsia="Times New Roman" w:hAnsi="Times New Roman"/>
          <w:sz w:val="17"/>
          <w:szCs w:val="17"/>
        </w:rPr>
        <w:lastRenderedPageBreak/>
        <w:t>Department of the Premier and Cabinet</w:t>
      </w:r>
    </w:p>
    <w:p w:rsidR="00A13ED9" w:rsidRPr="00A13ED9" w:rsidRDefault="00A13ED9" w:rsidP="00A13ED9">
      <w:pPr>
        <w:jc w:val="right"/>
        <w:rPr>
          <w:rFonts w:ascii="Times New Roman" w:eastAsia="Times New Roman" w:hAnsi="Times New Roman"/>
          <w:sz w:val="17"/>
          <w:szCs w:val="17"/>
        </w:rPr>
      </w:pPr>
      <w:r w:rsidRPr="00A13ED9">
        <w:rPr>
          <w:rFonts w:ascii="Times New Roman" w:eastAsia="Times New Roman" w:hAnsi="Times New Roman"/>
          <w:sz w:val="17"/>
          <w:szCs w:val="17"/>
        </w:rPr>
        <w:t>Adelaide, 23 December 2021</w:t>
      </w:r>
    </w:p>
    <w:p w:rsidR="00A13ED9" w:rsidRPr="00A13ED9" w:rsidRDefault="00A13ED9" w:rsidP="00A13ED9">
      <w:pPr>
        <w:rPr>
          <w:rFonts w:ascii="Times New Roman" w:eastAsia="Times New Roman" w:hAnsi="Times New Roman"/>
          <w:sz w:val="17"/>
          <w:szCs w:val="17"/>
        </w:rPr>
      </w:pPr>
      <w:r w:rsidRPr="00A13ED9">
        <w:rPr>
          <w:rFonts w:ascii="Times New Roman" w:eastAsia="Times New Roman" w:hAnsi="Times New Roman"/>
          <w:sz w:val="17"/>
          <w:szCs w:val="17"/>
        </w:rPr>
        <w:t>Her Excellency the Governor in Executive Council has been pleased to appoint the undermentioned to the Protective Security Officers Disciplinary Tribunal, pursuant to the provisions of the Protective Security Act 2007:</w:t>
      </w:r>
    </w:p>
    <w:p w:rsidR="00A13ED9" w:rsidRPr="00A13ED9" w:rsidRDefault="00A13ED9" w:rsidP="00A13ED9">
      <w:pPr>
        <w:spacing w:after="0"/>
        <w:ind w:left="142"/>
        <w:jc w:val="left"/>
        <w:rPr>
          <w:rFonts w:ascii="Times New Roman" w:eastAsiaTheme="minorHAnsi" w:hAnsi="Times New Roman"/>
          <w:sz w:val="17"/>
          <w:szCs w:val="17"/>
        </w:rPr>
      </w:pPr>
      <w:r w:rsidRPr="00A13ED9">
        <w:rPr>
          <w:rFonts w:ascii="Times New Roman" w:eastAsiaTheme="minorHAnsi" w:hAnsi="Times New Roman"/>
          <w:sz w:val="17"/>
          <w:szCs w:val="17"/>
        </w:rPr>
        <w:t>Panel Member: from 6 January 2022 until 28 April 2023</w:t>
      </w:r>
    </w:p>
    <w:p w:rsidR="00A13ED9" w:rsidRPr="00A13ED9" w:rsidRDefault="00A13ED9" w:rsidP="00A13ED9">
      <w:pPr>
        <w:ind w:left="284"/>
        <w:jc w:val="left"/>
        <w:rPr>
          <w:rFonts w:ascii="Times New Roman" w:eastAsiaTheme="minorHAnsi" w:hAnsi="Times New Roman"/>
          <w:sz w:val="17"/>
          <w:szCs w:val="17"/>
        </w:rPr>
      </w:pPr>
      <w:r w:rsidRPr="00A13ED9">
        <w:rPr>
          <w:rFonts w:ascii="Times New Roman" w:eastAsiaTheme="minorHAnsi" w:hAnsi="Times New Roman"/>
          <w:sz w:val="17"/>
          <w:szCs w:val="17"/>
        </w:rPr>
        <w:t xml:space="preserve">Justin Peter Wickens </w:t>
      </w:r>
    </w:p>
    <w:p w:rsidR="00A13ED9" w:rsidRPr="00A13ED9" w:rsidRDefault="00A13ED9" w:rsidP="00A13ED9">
      <w:pPr>
        <w:spacing w:after="0"/>
        <w:ind w:left="142"/>
        <w:jc w:val="left"/>
        <w:rPr>
          <w:rFonts w:ascii="Times New Roman" w:eastAsiaTheme="minorHAnsi" w:hAnsi="Times New Roman"/>
          <w:sz w:val="17"/>
          <w:szCs w:val="17"/>
        </w:rPr>
      </w:pPr>
      <w:r w:rsidRPr="00A13ED9">
        <w:rPr>
          <w:rFonts w:ascii="Times New Roman" w:eastAsiaTheme="minorHAnsi" w:hAnsi="Times New Roman"/>
          <w:sz w:val="17"/>
          <w:szCs w:val="17"/>
        </w:rPr>
        <w:t>Panel Member: from 17 January 2022 until 28 April 2023</w:t>
      </w:r>
    </w:p>
    <w:p w:rsidR="00A13ED9" w:rsidRPr="00A13ED9" w:rsidRDefault="00A13ED9" w:rsidP="00A13ED9">
      <w:pPr>
        <w:spacing w:after="0"/>
        <w:ind w:left="284"/>
        <w:jc w:val="left"/>
        <w:rPr>
          <w:rFonts w:ascii="Times New Roman" w:eastAsiaTheme="minorHAnsi" w:hAnsi="Times New Roman"/>
          <w:sz w:val="17"/>
          <w:szCs w:val="17"/>
        </w:rPr>
      </w:pPr>
      <w:r w:rsidRPr="00A13ED9">
        <w:rPr>
          <w:rFonts w:ascii="Times New Roman" w:eastAsiaTheme="minorHAnsi" w:hAnsi="Times New Roman"/>
          <w:sz w:val="17"/>
          <w:szCs w:val="17"/>
        </w:rPr>
        <w:t xml:space="preserve">Edward Paul Stratton-Smith </w:t>
      </w:r>
    </w:p>
    <w:p w:rsidR="00A13ED9" w:rsidRPr="00A13ED9" w:rsidRDefault="00A13ED9" w:rsidP="00A13ED9">
      <w:pPr>
        <w:spacing w:after="0"/>
        <w:jc w:val="center"/>
        <w:rPr>
          <w:rFonts w:ascii="Times New Roman" w:eastAsiaTheme="minorHAnsi" w:hAnsi="Times New Roman"/>
          <w:sz w:val="17"/>
          <w:szCs w:val="17"/>
        </w:rPr>
      </w:pPr>
      <w:r w:rsidRPr="00A13ED9">
        <w:rPr>
          <w:rFonts w:ascii="Times New Roman" w:eastAsiaTheme="minorHAnsi" w:hAnsi="Times New Roman"/>
          <w:sz w:val="17"/>
          <w:szCs w:val="17"/>
        </w:rPr>
        <w:t>By command,</w:t>
      </w:r>
    </w:p>
    <w:p w:rsidR="00A13ED9" w:rsidRPr="00A13ED9" w:rsidRDefault="00A13ED9" w:rsidP="00A13ED9">
      <w:pPr>
        <w:spacing w:after="0"/>
        <w:jc w:val="right"/>
        <w:rPr>
          <w:rFonts w:ascii="Times New Roman" w:eastAsiaTheme="minorHAnsi" w:hAnsi="Times New Roman"/>
          <w:smallCaps/>
          <w:sz w:val="17"/>
          <w:szCs w:val="17"/>
        </w:rPr>
      </w:pPr>
      <w:r w:rsidRPr="00A13ED9">
        <w:rPr>
          <w:rFonts w:ascii="Times New Roman" w:eastAsiaTheme="minorHAnsi" w:hAnsi="Times New Roman"/>
          <w:smallCaps/>
          <w:sz w:val="17"/>
          <w:szCs w:val="17"/>
        </w:rPr>
        <w:t>Steven Spence Marshall</w:t>
      </w: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Premier</w:t>
      </w:r>
    </w:p>
    <w:p w:rsidR="00A13ED9" w:rsidRPr="00A13ED9" w:rsidRDefault="00A13ED9" w:rsidP="00A13ED9">
      <w:pPr>
        <w:spacing w:after="0"/>
        <w:jc w:val="left"/>
        <w:rPr>
          <w:rFonts w:ascii="Times New Roman" w:eastAsiaTheme="minorHAnsi" w:hAnsi="Times New Roman"/>
          <w:sz w:val="17"/>
          <w:szCs w:val="17"/>
        </w:rPr>
      </w:pPr>
      <w:r w:rsidRPr="00A13ED9">
        <w:rPr>
          <w:rFonts w:ascii="Times New Roman" w:eastAsiaTheme="minorHAnsi" w:hAnsi="Times New Roman"/>
          <w:sz w:val="17"/>
          <w:szCs w:val="17"/>
        </w:rPr>
        <w:t>AGO0201-21CS</w:t>
      </w:r>
    </w:p>
    <w:p w:rsidR="00A13ED9" w:rsidRPr="00A13ED9" w:rsidRDefault="00A13ED9" w:rsidP="00A13ED9">
      <w:pPr>
        <w:pBdr>
          <w:top w:val="single" w:sz="4" w:space="1" w:color="auto"/>
        </w:pBdr>
        <w:spacing w:before="100" w:after="0" w:line="14" w:lineRule="exact"/>
        <w:jc w:val="center"/>
        <w:rPr>
          <w:rFonts w:ascii="Segoe UI Light" w:eastAsiaTheme="minorHAnsi" w:hAnsi="Segoe UI Light" w:cstheme="minorBidi"/>
        </w:rPr>
      </w:pPr>
    </w:p>
    <w:p w:rsidR="00A13ED9" w:rsidRPr="00A13ED9" w:rsidRDefault="00A13ED9" w:rsidP="00A13ED9">
      <w:pPr>
        <w:spacing w:after="0"/>
        <w:rPr>
          <w:rFonts w:ascii="Times New Roman" w:eastAsia="Times New Roman" w:hAnsi="Times New Roman"/>
          <w:sz w:val="17"/>
          <w:szCs w:val="17"/>
        </w:rPr>
      </w:pP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Department of the Premier and Cabinet</w:t>
      </w:r>
    </w:p>
    <w:p w:rsidR="00A13ED9" w:rsidRPr="00A13ED9" w:rsidRDefault="00A13ED9" w:rsidP="00A13ED9">
      <w:pPr>
        <w:jc w:val="right"/>
        <w:rPr>
          <w:rFonts w:ascii="Times New Roman" w:eastAsiaTheme="minorHAnsi" w:hAnsi="Times New Roman"/>
          <w:sz w:val="17"/>
          <w:szCs w:val="17"/>
        </w:rPr>
      </w:pPr>
      <w:r w:rsidRPr="00A13ED9">
        <w:rPr>
          <w:rFonts w:ascii="Times New Roman" w:eastAsiaTheme="minorHAnsi" w:hAnsi="Times New Roman"/>
          <w:sz w:val="17"/>
          <w:szCs w:val="17"/>
        </w:rPr>
        <w:t>Adelaide, 23 December 2021</w:t>
      </w:r>
    </w:p>
    <w:p w:rsidR="00A13ED9" w:rsidRPr="00A13ED9" w:rsidRDefault="00A13ED9" w:rsidP="00A13ED9">
      <w:pPr>
        <w:spacing w:after="0"/>
        <w:rPr>
          <w:rFonts w:ascii="Times New Roman" w:eastAsia="Times New Roman" w:hAnsi="Times New Roman"/>
          <w:sz w:val="17"/>
          <w:szCs w:val="17"/>
        </w:rPr>
      </w:pPr>
      <w:r w:rsidRPr="00A13ED9">
        <w:rPr>
          <w:rFonts w:ascii="Times New Roman" w:eastAsia="Times New Roman" w:hAnsi="Times New Roman"/>
          <w:sz w:val="17"/>
          <w:szCs w:val="17"/>
        </w:rPr>
        <w:t>Her Excellency the Governor in Executive Council has been pleased to appoint Michael Thomas Boylan QC as the Judicial Conduct Commissioner for a term of three years commencing on 7 January 2022 and expiring on 6 January 2025 - pursuant to section 7 of the Judicial Conduct Commissioner Act 2015.</w:t>
      </w:r>
    </w:p>
    <w:p w:rsidR="00A13ED9" w:rsidRPr="00A13ED9" w:rsidRDefault="00A13ED9" w:rsidP="00A13ED9">
      <w:pPr>
        <w:spacing w:after="0"/>
        <w:jc w:val="center"/>
        <w:rPr>
          <w:rFonts w:ascii="Times New Roman" w:eastAsia="Times New Roman" w:hAnsi="Times New Roman"/>
          <w:sz w:val="17"/>
          <w:szCs w:val="17"/>
        </w:rPr>
      </w:pPr>
      <w:r w:rsidRPr="00A13ED9">
        <w:rPr>
          <w:rFonts w:ascii="Times New Roman" w:eastAsia="Times New Roman" w:hAnsi="Times New Roman"/>
          <w:sz w:val="17"/>
          <w:szCs w:val="17"/>
        </w:rPr>
        <w:t>By command,</w:t>
      </w:r>
    </w:p>
    <w:p w:rsidR="00A13ED9" w:rsidRPr="00A13ED9" w:rsidRDefault="00A13ED9" w:rsidP="00A13ED9">
      <w:pPr>
        <w:spacing w:after="0"/>
        <w:jc w:val="right"/>
        <w:rPr>
          <w:rFonts w:ascii="Times New Roman" w:eastAsiaTheme="minorHAnsi" w:hAnsi="Times New Roman"/>
          <w:smallCaps/>
          <w:sz w:val="17"/>
          <w:szCs w:val="17"/>
        </w:rPr>
      </w:pPr>
      <w:r w:rsidRPr="00A13ED9">
        <w:rPr>
          <w:rFonts w:ascii="Times New Roman" w:eastAsiaTheme="minorHAnsi" w:hAnsi="Times New Roman"/>
          <w:smallCaps/>
          <w:sz w:val="17"/>
          <w:szCs w:val="17"/>
        </w:rPr>
        <w:t>Steven Spence Marshall</w:t>
      </w: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Premier</w:t>
      </w:r>
    </w:p>
    <w:p w:rsidR="00A13ED9" w:rsidRPr="00A13ED9" w:rsidRDefault="00A13ED9" w:rsidP="00A13ED9">
      <w:pPr>
        <w:spacing w:after="0"/>
        <w:jc w:val="left"/>
        <w:rPr>
          <w:rFonts w:ascii="Times New Roman" w:eastAsiaTheme="minorHAnsi" w:hAnsi="Times New Roman"/>
          <w:sz w:val="17"/>
          <w:szCs w:val="17"/>
        </w:rPr>
      </w:pPr>
      <w:r w:rsidRPr="00A13ED9">
        <w:rPr>
          <w:rFonts w:ascii="Times New Roman" w:eastAsiaTheme="minorHAnsi" w:hAnsi="Times New Roman"/>
          <w:sz w:val="17"/>
          <w:szCs w:val="17"/>
        </w:rPr>
        <w:t>AGO0202-21CS</w:t>
      </w:r>
    </w:p>
    <w:p w:rsidR="00A13ED9" w:rsidRPr="00A13ED9" w:rsidRDefault="00A13ED9" w:rsidP="00A13ED9">
      <w:pPr>
        <w:pBdr>
          <w:top w:val="single" w:sz="4" w:space="1" w:color="auto"/>
        </w:pBdr>
        <w:spacing w:before="100" w:after="0" w:line="14" w:lineRule="exact"/>
        <w:jc w:val="center"/>
        <w:rPr>
          <w:rFonts w:ascii="Times New Roman" w:eastAsiaTheme="minorHAnsi" w:hAnsi="Times New Roman"/>
          <w:sz w:val="17"/>
          <w:szCs w:val="17"/>
        </w:rPr>
      </w:pPr>
    </w:p>
    <w:p w:rsidR="00A13ED9" w:rsidRPr="00A13ED9" w:rsidRDefault="00A13ED9" w:rsidP="00A13ED9">
      <w:pPr>
        <w:spacing w:after="0"/>
        <w:rPr>
          <w:rFonts w:ascii="Times New Roman" w:eastAsia="Times New Roman" w:hAnsi="Times New Roman"/>
          <w:sz w:val="17"/>
          <w:szCs w:val="17"/>
        </w:rPr>
      </w:pP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Department of the Premier and Cabinet</w:t>
      </w:r>
    </w:p>
    <w:p w:rsidR="00A13ED9" w:rsidRPr="00A13ED9" w:rsidRDefault="00A13ED9" w:rsidP="00A13ED9">
      <w:pPr>
        <w:jc w:val="right"/>
        <w:rPr>
          <w:rFonts w:ascii="Times New Roman" w:eastAsiaTheme="minorHAnsi" w:hAnsi="Times New Roman"/>
          <w:sz w:val="17"/>
          <w:szCs w:val="17"/>
        </w:rPr>
      </w:pPr>
      <w:r w:rsidRPr="00A13ED9">
        <w:rPr>
          <w:rFonts w:ascii="Times New Roman" w:eastAsiaTheme="minorHAnsi" w:hAnsi="Times New Roman"/>
          <w:sz w:val="17"/>
          <w:szCs w:val="17"/>
        </w:rPr>
        <w:t>Adelaide, 23 December 2021</w:t>
      </w:r>
    </w:p>
    <w:p w:rsidR="00A13ED9" w:rsidRPr="00A13ED9" w:rsidRDefault="00A13ED9" w:rsidP="00A13ED9">
      <w:pPr>
        <w:rPr>
          <w:rFonts w:ascii="Times New Roman" w:eastAsia="Times New Roman" w:hAnsi="Times New Roman"/>
          <w:sz w:val="17"/>
          <w:szCs w:val="17"/>
        </w:rPr>
      </w:pPr>
      <w:r w:rsidRPr="00A13ED9">
        <w:rPr>
          <w:rFonts w:ascii="Times New Roman" w:eastAsia="Times New Roman" w:hAnsi="Times New Roman"/>
          <w:sz w:val="17"/>
          <w:szCs w:val="17"/>
        </w:rPr>
        <w:t>Her Excellency the Governor in Executive Council has been pleased to appoint Anne Elizabeth Lindsay to the position of Principal Registrar of the South Australian Civil and Administrative Tribunal for a term of three years commencing on 28 March 2022 and expiring on 27 March 2025 - pursuant to the provisions of the South Australian Civil and Administrative Tribunal Act 2013.</w:t>
      </w:r>
    </w:p>
    <w:p w:rsidR="00A13ED9" w:rsidRPr="00A13ED9" w:rsidRDefault="00A13ED9" w:rsidP="00A13ED9">
      <w:pPr>
        <w:spacing w:after="0"/>
        <w:jc w:val="center"/>
        <w:rPr>
          <w:rFonts w:ascii="Times New Roman" w:eastAsia="Times New Roman" w:hAnsi="Times New Roman"/>
          <w:sz w:val="17"/>
          <w:szCs w:val="17"/>
        </w:rPr>
      </w:pPr>
      <w:r w:rsidRPr="00A13ED9">
        <w:rPr>
          <w:rFonts w:ascii="Times New Roman" w:eastAsia="Times New Roman" w:hAnsi="Times New Roman"/>
          <w:sz w:val="17"/>
          <w:szCs w:val="17"/>
        </w:rPr>
        <w:t>By command,</w:t>
      </w:r>
    </w:p>
    <w:p w:rsidR="00A13ED9" w:rsidRPr="00A13ED9" w:rsidRDefault="00A13ED9" w:rsidP="00A13ED9">
      <w:pPr>
        <w:spacing w:after="0"/>
        <w:jc w:val="right"/>
        <w:rPr>
          <w:rFonts w:ascii="Times New Roman" w:eastAsiaTheme="minorHAnsi" w:hAnsi="Times New Roman"/>
          <w:smallCaps/>
          <w:sz w:val="17"/>
          <w:szCs w:val="17"/>
        </w:rPr>
      </w:pPr>
      <w:r w:rsidRPr="00A13ED9">
        <w:rPr>
          <w:rFonts w:ascii="Times New Roman" w:eastAsiaTheme="minorHAnsi" w:hAnsi="Times New Roman"/>
          <w:smallCaps/>
          <w:sz w:val="17"/>
          <w:szCs w:val="17"/>
        </w:rPr>
        <w:t>Steven Spence Marshall</w:t>
      </w: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Premier</w:t>
      </w:r>
    </w:p>
    <w:p w:rsidR="00A13ED9" w:rsidRPr="00A13ED9" w:rsidRDefault="00A13ED9" w:rsidP="00A13ED9">
      <w:pPr>
        <w:spacing w:after="0"/>
        <w:jc w:val="left"/>
        <w:rPr>
          <w:rFonts w:ascii="Times New Roman" w:eastAsiaTheme="minorHAnsi" w:hAnsi="Times New Roman"/>
          <w:sz w:val="17"/>
          <w:szCs w:val="17"/>
        </w:rPr>
      </w:pPr>
      <w:r w:rsidRPr="00A13ED9">
        <w:rPr>
          <w:rFonts w:ascii="Times New Roman" w:eastAsiaTheme="minorHAnsi" w:hAnsi="Times New Roman"/>
          <w:sz w:val="17"/>
          <w:szCs w:val="17"/>
        </w:rPr>
        <w:t>AGO0199-21CS</w:t>
      </w:r>
    </w:p>
    <w:p w:rsidR="00A13ED9" w:rsidRPr="00A13ED9" w:rsidRDefault="00A13ED9" w:rsidP="00A13ED9">
      <w:pPr>
        <w:pBdr>
          <w:top w:val="single" w:sz="4" w:space="1" w:color="auto"/>
        </w:pBdr>
        <w:spacing w:before="100" w:after="0" w:line="14" w:lineRule="exact"/>
        <w:jc w:val="center"/>
        <w:rPr>
          <w:rFonts w:ascii="Times New Roman" w:eastAsiaTheme="minorHAnsi" w:hAnsi="Times New Roman"/>
          <w:sz w:val="17"/>
          <w:szCs w:val="17"/>
        </w:rPr>
      </w:pPr>
    </w:p>
    <w:p w:rsidR="00A13ED9" w:rsidRPr="00A13ED9" w:rsidRDefault="00A13ED9" w:rsidP="00A13ED9">
      <w:pPr>
        <w:spacing w:after="0"/>
        <w:rPr>
          <w:rFonts w:ascii="Times New Roman" w:eastAsia="Times New Roman" w:hAnsi="Times New Roman"/>
          <w:sz w:val="17"/>
          <w:szCs w:val="17"/>
        </w:rPr>
      </w:pP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Department of the Premier and Cabinet</w:t>
      </w:r>
    </w:p>
    <w:p w:rsidR="00A13ED9" w:rsidRPr="00A13ED9" w:rsidRDefault="00A13ED9" w:rsidP="00A13ED9">
      <w:pPr>
        <w:jc w:val="right"/>
        <w:rPr>
          <w:rFonts w:ascii="Times New Roman" w:eastAsiaTheme="minorHAnsi" w:hAnsi="Times New Roman"/>
          <w:sz w:val="17"/>
          <w:szCs w:val="17"/>
        </w:rPr>
      </w:pPr>
      <w:r w:rsidRPr="00A13ED9">
        <w:rPr>
          <w:rFonts w:ascii="Times New Roman" w:eastAsiaTheme="minorHAnsi" w:hAnsi="Times New Roman"/>
          <w:sz w:val="17"/>
          <w:szCs w:val="17"/>
        </w:rPr>
        <w:t>Adelaide, 23 December 2021</w:t>
      </w:r>
    </w:p>
    <w:p w:rsidR="00A13ED9" w:rsidRPr="00A13ED9" w:rsidRDefault="00A13ED9" w:rsidP="00A13ED9">
      <w:pPr>
        <w:rPr>
          <w:rFonts w:ascii="Times New Roman" w:eastAsia="Times New Roman" w:hAnsi="Times New Roman"/>
          <w:sz w:val="17"/>
          <w:szCs w:val="17"/>
        </w:rPr>
      </w:pPr>
      <w:r w:rsidRPr="00A13ED9">
        <w:rPr>
          <w:rFonts w:ascii="Times New Roman" w:eastAsia="Times New Roman" w:hAnsi="Times New Roman"/>
          <w:sz w:val="17"/>
          <w:szCs w:val="17"/>
        </w:rPr>
        <w:t>Her Excellency the Governor in Executive Council has been pleased to appoint Lauren Ashleigh Messmer, Joanne Margaret Battersby, Tristan Luke Colmer, Timothy Francis John Fitzgerald and Wayne Nicholas Mackay to the office of Official Visitor for a term of three years commencing on 19 January 2022 and expiring on 18 January 2025 - pursuant to section 20(1) of the Correctional Services Act 1982.</w:t>
      </w:r>
    </w:p>
    <w:p w:rsidR="00A13ED9" w:rsidRPr="00A13ED9" w:rsidRDefault="00A13ED9" w:rsidP="00A13ED9">
      <w:pPr>
        <w:spacing w:after="0"/>
        <w:jc w:val="center"/>
        <w:rPr>
          <w:rFonts w:ascii="Times New Roman" w:eastAsia="Times New Roman" w:hAnsi="Times New Roman"/>
          <w:sz w:val="17"/>
          <w:szCs w:val="17"/>
        </w:rPr>
      </w:pPr>
      <w:r w:rsidRPr="00A13ED9">
        <w:rPr>
          <w:rFonts w:ascii="Times New Roman" w:eastAsia="Times New Roman" w:hAnsi="Times New Roman"/>
          <w:sz w:val="17"/>
          <w:szCs w:val="17"/>
        </w:rPr>
        <w:t>By command,</w:t>
      </w:r>
    </w:p>
    <w:p w:rsidR="00A13ED9" w:rsidRPr="00A13ED9" w:rsidRDefault="00A13ED9" w:rsidP="00A13ED9">
      <w:pPr>
        <w:spacing w:after="0"/>
        <w:jc w:val="right"/>
        <w:rPr>
          <w:rFonts w:ascii="Times New Roman" w:eastAsiaTheme="minorHAnsi" w:hAnsi="Times New Roman"/>
          <w:smallCaps/>
          <w:sz w:val="17"/>
          <w:szCs w:val="17"/>
        </w:rPr>
      </w:pPr>
      <w:r w:rsidRPr="00A13ED9">
        <w:rPr>
          <w:rFonts w:ascii="Times New Roman" w:eastAsiaTheme="minorHAnsi" w:hAnsi="Times New Roman"/>
          <w:smallCaps/>
          <w:sz w:val="17"/>
          <w:szCs w:val="17"/>
        </w:rPr>
        <w:t>Steven Spence Marshall</w:t>
      </w: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Premier</w:t>
      </w:r>
    </w:p>
    <w:p w:rsidR="00A13ED9" w:rsidRPr="00A13ED9" w:rsidRDefault="00A13ED9" w:rsidP="00A13ED9">
      <w:pPr>
        <w:spacing w:after="0"/>
        <w:jc w:val="left"/>
        <w:rPr>
          <w:rFonts w:ascii="Times New Roman" w:eastAsiaTheme="minorHAnsi" w:hAnsi="Times New Roman"/>
          <w:sz w:val="17"/>
          <w:szCs w:val="17"/>
        </w:rPr>
      </w:pPr>
      <w:r w:rsidRPr="00A13ED9">
        <w:rPr>
          <w:rFonts w:ascii="Times New Roman" w:eastAsiaTheme="minorHAnsi" w:hAnsi="Times New Roman"/>
          <w:sz w:val="17"/>
          <w:szCs w:val="17"/>
        </w:rPr>
        <w:t>21COR0006CS</w:t>
      </w:r>
    </w:p>
    <w:p w:rsidR="00A13ED9" w:rsidRPr="00A13ED9" w:rsidRDefault="00A13ED9" w:rsidP="00A13ED9">
      <w:pPr>
        <w:pBdr>
          <w:top w:val="single" w:sz="4" w:space="1" w:color="auto"/>
        </w:pBdr>
        <w:spacing w:before="100" w:after="0" w:line="14" w:lineRule="exact"/>
        <w:jc w:val="center"/>
        <w:rPr>
          <w:rFonts w:ascii="Times New Roman" w:eastAsiaTheme="minorHAnsi" w:hAnsi="Times New Roman"/>
          <w:sz w:val="17"/>
          <w:szCs w:val="17"/>
        </w:rPr>
      </w:pPr>
    </w:p>
    <w:p w:rsidR="00A13ED9" w:rsidRPr="00A13ED9" w:rsidRDefault="00A13ED9" w:rsidP="00A13ED9">
      <w:pPr>
        <w:spacing w:after="0"/>
        <w:rPr>
          <w:rFonts w:ascii="Times New Roman" w:eastAsia="Times New Roman" w:hAnsi="Times New Roman"/>
          <w:sz w:val="17"/>
          <w:szCs w:val="17"/>
        </w:rPr>
      </w:pP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Department of the Premier and Cabinet</w:t>
      </w:r>
    </w:p>
    <w:p w:rsidR="00A13ED9" w:rsidRPr="00A13ED9" w:rsidRDefault="00A13ED9" w:rsidP="00A13ED9">
      <w:pPr>
        <w:jc w:val="right"/>
        <w:rPr>
          <w:rFonts w:ascii="Times New Roman" w:eastAsiaTheme="minorHAnsi" w:hAnsi="Times New Roman"/>
          <w:sz w:val="17"/>
          <w:szCs w:val="17"/>
        </w:rPr>
      </w:pPr>
      <w:r w:rsidRPr="00A13ED9">
        <w:rPr>
          <w:rFonts w:ascii="Times New Roman" w:eastAsiaTheme="minorHAnsi" w:hAnsi="Times New Roman"/>
          <w:sz w:val="17"/>
          <w:szCs w:val="17"/>
        </w:rPr>
        <w:t>Adelaide, 23 December 2021</w:t>
      </w:r>
    </w:p>
    <w:p w:rsidR="00A13ED9" w:rsidRPr="00A13ED9" w:rsidRDefault="00A13ED9" w:rsidP="00A13ED9">
      <w:pPr>
        <w:spacing w:after="0"/>
        <w:rPr>
          <w:rFonts w:ascii="Times New Roman" w:eastAsia="Times New Roman" w:hAnsi="Times New Roman"/>
          <w:sz w:val="17"/>
          <w:szCs w:val="17"/>
        </w:rPr>
      </w:pPr>
      <w:r w:rsidRPr="00A13ED9">
        <w:rPr>
          <w:rFonts w:ascii="Times New Roman" w:eastAsia="Times New Roman" w:hAnsi="Times New Roman"/>
          <w:sz w:val="17"/>
          <w:szCs w:val="17"/>
        </w:rPr>
        <w:t>Her Excellency the Governor in Executive Council has revoked the appointment of Ruth Mackenzie Ambler and Alistair David Coombe as Clerks of Executive Council effective from 23 December 2021 - pursuant to the Letters Patent, section 68 of the Constitution Act 1934 and section 36 of the Acts Interpretation Act 1915.</w:t>
      </w:r>
    </w:p>
    <w:p w:rsidR="00A13ED9" w:rsidRPr="00A13ED9" w:rsidRDefault="00A13ED9" w:rsidP="00A13ED9">
      <w:pPr>
        <w:spacing w:after="0"/>
        <w:jc w:val="center"/>
        <w:rPr>
          <w:rFonts w:ascii="Times New Roman" w:eastAsia="Times New Roman" w:hAnsi="Times New Roman"/>
          <w:sz w:val="17"/>
          <w:szCs w:val="17"/>
        </w:rPr>
      </w:pPr>
      <w:r w:rsidRPr="00A13ED9">
        <w:rPr>
          <w:rFonts w:ascii="Times New Roman" w:eastAsia="Times New Roman" w:hAnsi="Times New Roman"/>
          <w:sz w:val="17"/>
          <w:szCs w:val="17"/>
        </w:rPr>
        <w:t>By command,</w:t>
      </w:r>
    </w:p>
    <w:p w:rsidR="00A13ED9" w:rsidRPr="00A13ED9" w:rsidRDefault="00A13ED9" w:rsidP="00A13ED9">
      <w:pPr>
        <w:spacing w:after="0"/>
        <w:jc w:val="right"/>
        <w:rPr>
          <w:rFonts w:ascii="Times New Roman" w:eastAsiaTheme="minorHAnsi" w:hAnsi="Times New Roman"/>
          <w:smallCaps/>
          <w:sz w:val="17"/>
          <w:szCs w:val="17"/>
        </w:rPr>
      </w:pPr>
      <w:r w:rsidRPr="00A13ED9">
        <w:rPr>
          <w:rFonts w:ascii="Times New Roman" w:eastAsiaTheme="minorHAnsi" w:hAnsi="Times New Roman"/>
          <w:smallCaps/>
          <w:sz w:val="17"/>
          <w:szCs w:val="17"/>
        </w:rPr>
        <w:t>Steven Spence Marshall</w:t>
      </w: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Premier</w:t>
      </w:r>
    </w:p>
    <w:p w:rsidR="00A13ED9" w:rsidRPr="00A13ED9" w:rsidRDefault="00A13ED9" w:rsidP="00A13ED9">
      <w:pPr>
        <w:spacing w:after="0"/>
        <w:jc w:val="left"/>
        <w:rPr>
          <w:rFonts w:ascii="Times New Roman" w:eastAsiaTheme="minorHAnsi" w:hAnsi="Times New Roman"/>
          <w:sz w:val="17"/>
          <w:szCs w:val="17"/>
        </w:rPr>
      </w:pPr>
      <w:r w:rsidRPr="00A13ED9">
        <w:rPr>
          <w:rFonts w:ascii="Times New Roman" w:eastAsiaTheme="minorHAnsi" w:hAnsi="Times New Roman"/>
          <w:sz w:val="17"/>
          <w:szCs w:val="17"/>
        </w:rPr>
        <w:t>DPC21/105CS</w:t>
      </w:r>
    </w:p>
    <w:p w:rsidR="00A13ED9" w:rsidRPr="00A13ED9" w:rsidRDefault="00A13ED9" w:rsidP="00A13ED9">
      <w:pPr>
        <w:pBdr>
          <w:top w:val="single" w:sz="4" w:space="1" w:color="auto"/>
        </w:pBdr>
        <w:spacing w:before="100" w:after="0" w:line="14" w:lineRule="exact"/>
        <w:jc w:val="center"/>
        <w:rPr>
          <w:rFonts w:ascii="Times New Roman" w:eastAsiaTheme="minorHAnsi" w:hAnsi="Times New Roman"/>
          <w:sz w:val="17"/>
          <w:szCs w:val="17"/>
        </w:rPr>
      </w:pPr>
    </w:p>
    <w:p w:rsidR="00A13ED9" w:rsidRPr="00A13ED9" w:rsidRDefault="00A13ED9" w:rsidP="00A13ED9">
      <w:pPr>
        <w:spacing w:after="0"/>
        <w:rPr>
          <w:rFonts w:ascii="Times New Roman" w:eastAsia="Times New Roman" w:hAnsi="Times New Roman"/>
          <w:sz w:val="17"/>
          <w:szCs w:val="17"/>
        </w:rPr>
      </w:pP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Department of the Premier and Cabinet</w:t>
      </w:r>
    </w:p>
    <w:p w:rsidR="00A13ED9" w:rsidRPr="00A13ED9" w:rsidRDefault="00A13ED9" w:rsidP="00A13ED9">
      <w:pPr>
        <w:jc w:val="right"/>
        <w:rPr>
          <w:rFonts w:ascii="Times New Roman" w:eastAsiaTheme="minorHAnsi" w:hAnsi="Times New Roman"/>
          <w:sz w:val="17"/>
          <w:szCs w:val="17"/>
        </w:rPr>
      </w:pPr>
      <w:r w:rsidRPr="00A13ED9">
        <w:rPr>
          <w:rFonts w:ascii="Times New Roman" w:eastAsiaTheme="minorHAnsi" w:hAnsi="Times New Roman"/>
          <w:sz w:val="17"/>
          <w:szCs w:val="17"/>
        </w:rPr>
        <w:t>Adelaide, 23 December 2021</w:t>
      </w:r>
    </w:p>
    <w:p w:rsidR="00A13ED9" w:rsidRPr="00A13ED9" w:rsidRDefault="00A13ED9" w:rsidP="00A13ED9">
      <w:pPr>
        <w:spacing w:after="0"/>
        <w:rPr>
          <w:rFonts w:ascii="Times New Roman" w:eastAsia="Times New Roman" w:hAnsi="Times New Roman"/>
          <w:sz w:val="17"/>
          <w:szCs w:val="17"/>
        </w:rPr>
      </w:pPr>
      <w:r w:rsidRPr="00A13ED9">
        <w:rPr>
          <w:rFonts w:ascii="Times New Roman" w:eastAsia="Times New Roman" w:hAnsi="Times New Roman"/>
          <w:sz w:val="17"/>
          <w:szCs w:val="17"/>
        </w:rPr>
        <w:t>Her Excellency the Governor in Executive Council has been pleased to appoint Alison Ellen Lloydd-Wright, Robyn Sonya Green, Gareth James Butler and Leigh Dillon Todd as Clerks of Executive Council commencing on 23 December 2021 - pursuant to the Letters Patent and section 68 of the Constitution Act 1934.</w:t>
      </w:r>
    </w:p>
    <w:p w:rsidR="00A13ED9" w:rsidRPr="00A13ED9" w:rsidRDefault="00A13ED9" w:rsidP="00A13ED9">
      <w:pPr>
        <w:spacing w:after="0"/>
        <w:jc w:val="center"/>
        <w:rPr>
          <w:rFonts w:ascii="Times New Roman" w:eastAsia="Times New Roman" w:hAnsi="Times New Roman"/>
          <w:sz w:val="17"/>
          <w:szCs w:val="17"/>
        </w:rPr>
      </w:pPr>
      <w:r w:rsidRPr="00A13ED9">
        <w:rPr>
          <w:rFonts w:ascii="Times New Roman" w:eastAsia="Times New Roman" w:hAnsi="Times New Roman"/>
          <w:sz w:val="17"/>
          <w:szCs w:val="17"/>
        </w:rPr>
        <w:t>By command,</w:t>
      </w:r>
    </w:p>
    <w:p w:rsidR="00A13ED9" w:rsidRPr="00A13ED9" w:rsidRDefault="00A13ED9" w:rsidP="00A13ED9">
      <w:pPr>
        <w:spacing w:after="0"/>
        <w:jc w:val="right"/>
        <w:rPr>
          <w:rFonts w:ascii="Times New Roman" w:eastAsiaTheme="minorHAnsi" w:hAnsi="Times New Roman"/>
          <w:smallCaps/>
          <w:sz w:val="17"/>
          <w:szCs w:val="17"/>
        </w:rPr>
      </w:pPr>
      <w:r w:rsidRPr="00A13ED9">
        <w:rPr>
          <w:rFonts w:ascii="Times New Roman" w:eastAsiaTheme="minorHAnsi" w:hAnsi="Times New Roman"/>
          <w:smallCaps/>
          <w:sz w:val="17"/>
          <w:szCs w:val="17"/>
        </w:rPr>
        <w:t>Steven Spence Marshall</w:t>
      </w:r>
    </w:p>
    <w:p w:rsidR="00A13ED9" w:rsidRPr="00A13ED9" w:rsidRDefault="00A13ED9" w:rsidP="00A13ED9">
      <w:pPr>
        <w:spacing w:after="0"/>
        <w:jc w:val="right"/>
        <w:rPr>
          <w:rFonts w:ascii="Times New Roman" w:eastAsiaTheme="minorHAnsi" w:hAnsi="Times New Roman"/>
          <w:sz w:val="17"/>
          <w:szCs w:val="17"/>
        </w:rPr>
      </w:pPr>
      <w:r w:rsidRPr="00A13ED9">
        <w:rPr>
          <w:rFonts w:ascii="Times New Roman" w:eastAsiaTheme="minorHAnsi" w:hAnsi="Times New Roman"/>
          <w:sz w:val="17"/>
          <w:szCs w:val="17"/>
        </w:rPr>
        <w:t>Premier</w:t>
      </w:r>
    </w:p>
    <w:p w:rsidR="00A13ED9" w:rsidRPr="00A13ED9" w:rsidRDefault="00A13ED9" w:rsidP="00A13ED9">
      <w:pPr>
        <w:spacing w:after="0"/>
        <w:jc w:val="left"/>
        <w:rPr>
          <w:rFonts w:ascii="Times New Roman" w:eastAsiaTheme="minorHAnsi" w:hAnsi="Times New Roman"/>
          <w:sz w:val="17"/>
          <w:szCs w:val="17"/>
        </w:rPr>
      </w:pPr>
      <w:r w:rsidRPr="00A13ED9">
        <w:rPr>
          <w:rFonts w:ascii="Times New Roman" w:eastAsiaTheme="minorHAnsi" w:hAnsi="Times New Roman"/>
          <w:sz w:val="17"/>
          <w:szCs w:val="17"/>
        </w:rPr>
        <w:t>DPC21/105CS</w:t>
      </w:r>
    </w:p>
    <w:p w:rsidR="00A13ED9" w:rsidRPr="00A13ED9" w:rsidRDefault="00A13ED9" w:rsidP="00A13ED9">
      <w:pPr>
        <w:pBdr>
          <w:bottom w:val="single" w:sz="4" w:space="1" w:color="auto"/>
        </w:pBdr>
        <w:spacing w:after="0" w:line="52" w:lineRule="exact"/>
        <w:jc w:val="center"/>
        <w:rPr>
          <w:rFonts w:ascii="Times New Roman" w:eastAsiaTheme="minorHAnsi" w:hAnsi="Times New Roman"/>
          <w:sz w:val="17"/>
          <w:szCs w:val="17"/>
        </w:rPr>
      </w:pPr>
    </w:p>
    <w:p w:rsidR="00A13ED9" w:rsidRPr="00A13ED9" w:rsidRDefault="00A13ED9" w:rsidP="00A13ED9">
      <w:pPr>
        <w:pBdr>
          <w:top w:val="single" w:sz="4" w:space="1" w:color="auto"/>
        </w:pBdr>
        <w:spacing w:before="34" w:after="0" w:line="14" w:lineRule="exact"/>
        <w:jc w:val="center"/>
        <w:rPr>
          <w:rFonts w:ascii="Times New Roman" w:eastAsiaTheme="minorHAnsi" w:hAnsi="Times New Roman"/>
          <w:sz w:val="17"/>
          <w:szCs w:val="17"/>
        </w:rPr>
      </w:pPr>
    </w:p>
    <w:p w:rsidR="00164C3B" w:rsidRPr="003471CD" w:rsidRDefault="00164C3B" w:rsidP="00CF262F">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2" w:name="_Toc91161234"/>
      <w:r w:rsidRPr="003471CD">
        <w:lastRenderedPageBreak/>
        <w:t>Proclamations</w:t>
      </w:r>
      <w:bookmarkEnd w:id="2"/>
    </w:p>
    <w:p w:rsidR="00B32312" w:rsidRPr="00B32312" w:rsidRDefault="00B32312" w:rsidP="00B32312">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B32312">
        <w:rPr>
          <w:rFonts w:ascii="Times New Roman" w:eastAsia="Times New Roman" w:hAnsi="Times New Roman"/>
          <w:color w:val="000000"/>
          <w:sz w:val="28"/>
          <w:szCs w:val="28"/>
          <w:lang w:eastAsia="en-AU"/>
        </w:rPr>
        <w:t>South Australia</w:t>
      </w:r>
    </w:p>
    <w:p w:rsidR="00B32312" w:rsidRPr="00B32312" w:rsidRDefault="00B32312" w:rsidP="00D8720A">
      <w:pPr>
        <w:pStyle w:val="Heading3"/>
        <w:rPr>
          <w:lang w:eastAsia="en-AU"/>
        </w:rPr>
      </w:pPr>
      <w:bookmarkStart w:id="3" w:name="_Toc91161235"/>
      <w:r w:rsidRPr="00B32312">
        <w:rPr>
          <w:lang w:eastAsia="en-AU"/>
        </w:rPr>
        <w:t>Correctional Services (Accountability and Other Measures) Amendment Act (Commencement) Proclamation 2021</w:t>
      </w:r>
      <w:bookmarkEnd w:id="3"/>
    </w:p>
    <w:p w:rsidR="00B32312" w:rsidRPr="00B32312" w:rsidRDefault="00B32312" w:rsidP="00B3231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32312">
        <w:rPr>
          <w:rFonts w:ascii="Times New Roman" w:eastAsia="Times New Roman" w:hAnsi="Times New Roman"/>
          <w:b/>
          <w:bCs/>
          <w:color w:val="000000"/>
          <w:sz w:val="26"/>
          <w:szCs w:val="26"/>
          <w:lang w:eastAsia="en-AU"/>
        </w:rPr>
        <w:t>1—Short title</w:t>
      </w:r>
    </w:p>
    <w:p w:rsidR="00B32312" w:rsidRPr="00B32312" w:rsidRDefault="00B32312" w:rsidP="00B3231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32312">
        <w:rPr>
          <w:rFonts w:ascii="Times New Roman" w:eastAsia="Times New Roman" w:hAnsi="Times New Roman"/>
          <w:color w:val="000000"/>
          <w:sz w:val="23"/>
          <w:szCs w:val="23"/>
          <w:lang w:eastAsia="en-AU"/>
        </w:rPr>
        <w:t xml:space="preserve">This proclamation may be cited as the </w:t>
      </w:r>
      <w:r w:rsidRPr="00B32312">
        <w:rPr>
          <w:rFonts w:ascii="Times New Roman" w:eastAsia="Times New Roman" w:hAnsi="Times New Roman"/>
          <w:i/>
          <w:iCs/>
          <w:color w:val="000000"/>
          <w:sz w:val="23"/>
          <w:szCs w:val="23"/>
          <w:lang w:eastAsia="en-AU"/>
        </w:rPr>
        <w:t>Correctional Services (Accountability and Other Measures) Amendment Act (Commencement) Proclamation 2021</w:t>
      </w:r>
      <w:r w:rsidRPr="00B32312">
        <w:rPr>
          <w:rFonts w:ascii="Times New Roman" w:eastAsia="Times New Roman" w:hAnsi="Times New Roman"/>
          <w:color w:val="000000"/>
          <w:sz w:val="23"/>
          <w:szCs w:val="23"/>
          <w:lang w:eastAsia="en-AU"/>
        </w:rPr>
        <w:t>.</w:t>
      </w:r>
    </w:p>
    <w:p w:rsidR="00B32312" w:rsidRPr="00B32312" w:rsidRDefault="00B32312" w:rsidP="00B3231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32312">
        <w:rPr>
          <w:rFonts w:ascii="Times New Roman" w:eastAsia="Times New Roman" w:hAnsi="Times New Roman"/>
          <w:b/>
          <w:bCs/>
          <w:color w:val="000000"/>
          <w:sz w:val="26"/>
          <w:szCs w:val="26"/>
          <w:lang w:eastAsia="en-AU"/>
        </w:rPr>
        <w:t>2—Commencement of suspended provisions</w:t>
      </w:r>
    </w:p>
    <w:p w:rsidR="00B32312" w:rsidRPr="00B32312" w:rsidRDefault="00B32312" w:rsidP="00B32312">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32312">
        <w:rPr>
          <w:rFonts w:ascii="Times New Roman" w:eastAsia="Times New Roman" w:hAnsi="Times New Roman"/>
          <w:color w:val="000000"/>
          <w:sz w:val="23"/>
          <w:szCs w:val="23"/>
          <w:lang w:eastAsia="en-AU"/>
        </w:rPr>
        <w:t xml:space="preserve">The following provisions of the </w:t>
      </w:r>
      <w:hyperlink r:id="rId17" w:history="1">
        <w:r w:rsidRPr="00B32312">
          <w:rPr>
            <w:rFonts w:ascii="Times New Roman" w:eastAsia="Times New Roman" w:hAnsi="Times New Roman"/>
            <w:i/>
            <w:iCs/>
            <w:color w:val="000000"/>
            <w:sz w:val="23"/>
            <w:szCs w:val="23"/>
            <w:lang w:eastAsia="en-AU"/>
          </w:rPr>
          <w:t>Correctional Services (Accountability and Other Measures) Amendment Act 2021</w:t>
        </w:r>
      </w:hyperlink>
      <w:r w:rsidRPr="00B32312">
        <w:rPr>
          <w:rFonts w:ascii="Times New Roman" w:eastAsia="Times New Roman" w:hAnsi="Times New Roman"/>
          <w:color w:val="000000"/>
          <w:sz w:val="23"/>
          <w:szCs w:val="23"/>
          <w:lang w:eastAsia="en-AU"/>
        </w:rPr>
        <w:t xml:space="preserve"> (No 12 of 2021) come into operation on 19 January 2022:</w:t>
      </w:r>
    </w:p>
    <w:p w:rsidR="00B32312" w:rsidRPr="00B32312" w:rsidRDefault="00B32312" w:rsidP="00B32312">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B32312">
        <w:rPr>
          <w:rFonts w:ascii="Times New Roman" w:eastAsia="Times New Roman" w:hAnsi="Times New Roman"/>
          <w:color w:val="000000"/>
          <w:sz w:val="23"/>
          <w:szCs w:val="23"/>
          <w:lang w:eastAsia="en-AU"/>
        </w:rPr>
        <w:tab/>
        <w:t>(a)</w:t>
      </w:r>
      <w:r w:rsidRPr="00B32312">
        <w:rPr>
          <w:rFonts w:ascii="Times New Roman" w:eastAsia="Times New Roman" w:hAnsi="Times New Roman"/>
          <w:color w:val="000000"/>
          <w:sz w:val="23"/>
          <w:szCs w:val="23"/>
          <w:lang w:eastAsia="en-AU"/>
        </w:rPr>
        <w:tab/>
        <w:t>section 5;</w:t>
      </w:r>
    </w:p>
    <w:p w:rsidR="00B32312" w:rsidRPr="00B32312" w:rsidRDefault="00B32312" w:rsidP="00B32312">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B32312">
        <w:rPr>
          <w:rFonts w:ascii="Times New Roman" w:eastAsia="Times New Roman" w:hAnsi="Times New Roman"/>
          <w:color w:val="000000"/>
          <w:sz w:val="23"/>
          <w:szCs w:val="23"/>
          <w:lang w:eastAsia="en-AU"/>
        </w:rPr>
        <w:tab/>
        <w:t>(b)</w:t>
      </w:r>
      <w:r w:rsidRPr="00B32312">
        <w:rPr>
          <w:rFonts w:ascii="Times New Roman" w:eastAsia="Times New Roman" w:hAnsi="Times New Roman"/>
          <w:color w:val="000000"/>
          <w:sz w:val="23"/>
          <w:szCs w:val="23"/>
          <w:lang w:eastAsia="en-AU"/>
        </w:rPr>
        <w:tab/>
        <w:t>section 9;</w:t>
      </w:r>
    </w:p>
    <w:p w:rsidR="00B32312" w:rsidRPr="00B32312" w:rsidRDefault="00B32312" w:rsidP="00B32312">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B32312">
        <w:rPr>
          <w:rFonts w:ascii="Times New Roman" w:eastAsia="Times New Roman" w:hAnsi="Times New Roman"/>
          <w:color w:val="000000"/>
          <w:sz w:val="23"/>
          <w:szCs w:val="23"/>
          <w:lang w:eastAsia="en-AU"/>
        </w:rPr>
        <w:tab/>
        <w:t>(c)</w:t>
      </w:r>
      <w:r w:rsidRPr="00B32312">
        <w:rPr>
          <w:rFonts w:ascii="Times New Roman" w:eastAsia="Times New Roman" w:hAnsi="Times New Roman"/>
          <w:color w:val="000000"/>
          <w:sz w:val="23"/>
          <w:szCs w:val="23"/>
          <w:lang w:eastAsia="en-AU"/>
        </w:rPr>
        <w:tab/>
        <w:t>section 11;</w:t>
      </w:r>
    </w:p>
    <w:p w:rsidR="00B32312" w:rsidRPr="00B32312" w:rsidRDefault="00B32312" w:rsidP="00B32312">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B32312">
        <w:rPr>
          <w:rFonts w:ascii="Times New Roman" w:eastAsia="Times New Roman" w:hAnsi="Times New Roman"/>
          <w:color w:val="000000"/>
          <w:sz w:val="23"/>
          <w:szCs w:val="23"/>
          <w:lang w:eastAsia="en-AU"/>
        </w:rPr>
        <w:tab/>
        <w:t>(d)</w:t>
      </w:r>
      <w:r w:rsidRPr="00B32312">
        <w:rPr>
          <w:rFonts w:ascii="Times New Roman" w:eastAsia="Times New Roman" w:hAnsi="Times New Roman"/>
          <w:color w:val="000000"/>
          <w:sz w:val="23"/>
          <w:szCs w:val="23"/>
          <w:lang w:eastAsia="en-AU"/>
        </w:rPr>
        <w:tab/>
        <w:t>section 12(3);</w:t>
      </w:r>
    </w:p>
    <w:p w:rsidR="00B32312" w:rsidRPr="00B32312" w:rsidRDefault="00B32312" w:rsidP="00B32312">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B32312">
        <w:rPr>
          <w:rFonts w:ascii="Times New Roman" w:eastAsia="Times New Roman" w:hAnsi="Times New Roman"/>
          <w:color w:val="000000"/>
          <w:sz w:val="23"/>
          <w:szCs w:val="23"/>
          <w:lang w:eastAsia="en-AU"/>
        </w:rPr>
        <w:tab/>
        <w:t>(e)</w:t>
      </w:r>
      <w:r w:rsidRPr="00B32312">
        <w:rPr>
          <w:rFonts w:ascii="Times New Roman" w:eastAsia="Times New Roman" w:hAnsi="Times New Roman"/>
          <w:color w:val="000000"/>
          <w:sz w:val="23"/>
          <w:szCs w:val="23"/>
          <w:lang w:eastAsia="en-AU"/>
        </w:rPr>
        <w:tab/>
        <w:t>Schedule 1 clause 2.</w:t>
      </w:r>
    </w:p>
    <w:p w:rsidR="00B32312" w:rsidRPr="00B32312" w:rsidRDefault="00B32312" w:rsidP="00B32312">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B32312">
        <w:rPr>
          <w:rFonts w:ascii="Times New Roman" w:eastAsia="Times New Roman" w:hAnsi="Times New Roman"/>
          <w:b/>
          <w:bCs/>
          <w:color w:val="000000"/>
          <w:sz w:val="26"/>
          <w:szCs w:val="26"/>
          <w:lang w:eastAsia="en-AU"/>
        </w:rPr>
        <w:t>Made by the Governor</w:t>
      </w:r>
    </w:p>
    <w:p w:rsidR="00B32312" w:rsidRPr="00B32312" w:rsidRDefault="00B32312" w:rsidP="00B32312">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B32312">
        <w:rPr>
          <w:rFonts w:ascii="Times New Roman" w:eastAsia="Times New Roman" w:hAnsi="Times New Roman"/>
          <w:color w:val="000000"/>
          <w:sz w:val="23"/>
          <w:szCs w:val="23"/>
          <w:lang w:eastAsia="en-AU"/>
        </w:rPr>
        <w:t>with the advice and consent of the Executive Council</w:t>
      </w:r>
    </w:p>
    <w:p w:rsidR="00B32312" w:rsidRPr="00B32312" w:rsidRDefault="00B32312" w:rsidP="00B32312">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B32312">
        <w:rPr>
          <w:rFonts w:ascii="Times New Roman" w:eastAsia="Times New Roman" w:hAnsi="Times New Roman"/>
          <w:color w:val="000000"/>
          <w:sz w:val="23"/>
          <w:szCs w:val="23"/>
          <w:lang w:eastAsia="en-AU"/>
        </w:rPr>
        <w:t>on 23 December 2021</w:t>
      </w:r>
    </w:p>
    <w:p w:rsidR="007739E5" w:rsidRDefault="007739E5" w:rsidP="009C23A5">
      <w:pPr>
        <w:pStyle w:val="GG-body"/>
      </w:pPr>
    </w:p>
    <w:p w:rsidR="00F2401F" w:rsidRDefault="00F2401F" w:rsidP="009C23A5">
      <w:pPr>
        <w:pStyle w:val="GG-body"/>
      </w:pPr>
    </w:p>
    <w:p w:rsidR="00F2401F" w:rsidRDefault="00F2401F" w:rsidP="009C23A5">
      <w:pPr>
        <w:pStyle w:val="GG-body"/>
      </w:pPr>
    </w:p>
    <w:p w:rsidR="00B32312" w:rsidRDefault="00B32312" w:rsidP="009C23A5">
      <w:pPr>
        <w:pStyle w:val="GG-body"/>
      </w:pPr>
    </w:p>
    <w:p w:rsidR="00B32312" w:rsidRPr="00B32312" w:rsidRDefault="00B32312" w:rsidP="00B32312">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B32312">
        <w:rPr>
          <w:rFonts w:ascii="Times New Roman" w:eastAsia="Times New Roman" w:hAnsi="Times New Roman"/>
          <w:color w:val="000000"/>
          <w:sz w:val="28"/>
          <w:szCs w:val="28"/>
          <w:lang w:eastAsia="en-AU"/>
        </w:rPr>
        <w:t>South Australia</w:t>
      </w:r>
    </w:p>
    <w:p w:rsidR="00B32312" w:rsidRPr="00B32312" w:rsidRDefault="00B32312" w:rsidP="00D8720A">
      <w:pPr>
        <w:pStyle w:val="Heading3"/>
        <w:rPr>
          <w:lang w:eastAsia="en-AU"/>
        </w:rPr>
      </w:pPr>
      <w:bookmarkStart w:id="4" w:name="_Toc91161236"/>
      <w:r w:rsidRPr="00B32312">
        <w:rPr>
          <w:lang w:eastAsia="en-AU"/>
        </w:rPr>
        <w:t>Firearms (Miscellaneous) Amendment Act (Commencement) Proclamation 2021</w:t>
      </w:r>
      <w:bookmarkEnd w:id="4"/>
    </w:p>
    <w:p w:rsidR="00B32312" w:rsidRPr="00B32312" w:rsidRDefault="00B32312" w:rsidP="00B3231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32312">
        <w:rPr>
          <w:rFonts w:ascii="Times New Roman" w:eastAsia="Times New Roman" w:hAnsi="Times New Roman"/>
          <w:b/>
          <w:bCs/>
          <w:color w:val="000000"/>
          <w:sz w:val="26"/>
          <w:szCs w:val="26"/>
          <w:lang w:eastAsia="en-AU"/>
        </w:rPr>
        <w:t>1—Short title</w:t>
      </w:r>
    </w:p>
    <w:p w:rsidR="00B32312" w:rsidRPr="00B32312" w:rsidRDefault="00B32312" w:rsidP="00B3231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32312">
        <w:rPr>
          <w:rFonts w:ascii="Times New Roman" w:eastAsia="Times New Roman" w:hAnsi="Times New Roman"/>
          <w:color w:val="000000"/>
          <w:sz w:val="23"/>
          <w:szCs w:val="23"/>
          <w:lang w:eastAsia="en-AU"/>
        </w:rPr>
        <w:t xml:space="preserve">This proclamation may be cited as the </w:t>
      </w:r>
      <w:r w:rsidRPr="00B32312">
        <w:rPr>
          <w:rFonts w:ascii="Times New Roman" w:eastAsia="Times New Roman" w:hAnsi="Times New Roman"/>
          <w:i/>
          <w:iCs/>
          <w:color w:val="000000"/>
          <w:sz w:val="23"/>
          <w:szCs w:val="23"/>
          <w:lang w:eastAsia="en-AU"/>
        </w:rPr>
        <w:t>Firearms (Miscellaneous) Amendment Act (Commencement) Proclamation 2021</w:t>
      </w:r>
      <w:r w:rsidRPr="00B32312">
        <w:rPr>
          <w:rFonts w:ascii="Times New Roman" w:eastAsia="Times New Roman" w:hAnsi="Times New Roman"/>
          <w:color w:val="000000"/>
          <w:sz w:val="23"/>
          <w:szCs w:val="23"/>
          <w:lang w:eastAsia="en-AU"/>
        </w:rPr>
        <w:t>.</w:t>
      </w:r>
    </w:p>
    <w:p w:rsidR="00B32312" w:rsidRPr="00B32312" w:rsidRDefault="00B32312" w:rsidP="00B3231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32312">
        <w:rPr>
          <w:rFonts w:ascii="Times New Roman" w:eastAsia="Times New Roman" w:hAnsi="Times New Roman"/>
          <w:b/>
          <w:bCs/>
          <w:color w:val="000000"/>
          <w:sz w:val="26"/>
          <w:szCs w:val="26"/>
          <w:lang w:eastAsia="en-AU"/>
        </w:rPr>
        <w:t>2—Commencement of Act</w:t>
      </w:r>
    </w:p>
    <w:p w:rsidR="00B32312" w:rsidRPr="00B32312" w:rsidRDefault="00B32312" w:rsidP="00B3231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32312">
        <w:rPr>
          <w:rFonts w:ascii="Times New Roman" w:eastAsia="Times New Roman" w:hAnsi="Times New Roman"/>
          <w:color w:val="000000"/>
          <w:sz w:val="23"/>
          <w:szCs w:val="23"/>
          <w:lang w:eastAsia="en-AU"/>
        </w:rPr>
        <w:t xml:space="preserve">The </w:t>
      </w:r>
      <w:hyperlink r:id="rId18" w:history="1">
        <w:r w:rsidRPr="00B32312">
          <w:rPr>
            <w:rFonts w:ascii="Times New Roman" w:eastAsia="Times New Roman" w:hAnsi="Times New Roman"/>
            <w:i/>
            <w:iCs/>
            <w:color w:val="000000"/>
            <w:sz w:val="23"/>
            <w:szCs w:val="23"/>
            <w:lang w:eastAsia="en-AU"/>
          </w:rPr>
          <w:t>Firearms (Miscellaneous) Amendment Act 2021</w:t>
        </w:r>
      </w:hyperlink>
      <w:r w:rsidRPr="00B32312">
        <w:rPr>
          <w:rFonts w:ascii="Times New Roman" w:eastAsia="Times New Roman" w:hAnsi="Times New Roman"/>
          <w:color w:val="000000"/>
          <w:sz w:val="23"/>
          <w:szCs w:val="23"/>
          <w:lang w:eastAsia="en-AU"/>
        </w:rPr>
        <w:t xml:space="preserve"> (No 44 of 2021) comes into operation on 24 December 2021.</w:t>
      </w:r>
    </w:p>
    <w:p w:rsidR="00B32312" w:rsidRPr="00B32312" w:rsidRDefault="00B32312" w:rsidP="00B32312">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B32312">
        <w:rPr>
          <w:rFonts w:ascii="Times New Roman" w:eastAsia="Times New Roman" w:hAnsi="Times New Roman"/>
          <w:b/>
          <w:bCs/>
          <w:color w:val="000000"/>
          <w:sz w:val="26"/>
          <w:szCs w:val="26"/>
          <w:lang w:eastAsia="en-AU"/>
        </w:rPr>
        <w:t>Made by the Governor</w:t>
      </w:r>
    </w:p>
    <w:p w:rsidR="00B32312" w:rsidRPr="00B32312" w:rsidRDefault="00B32312" w:rsidP="00B32312">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B32312">
        <w:rPr>
          <w:rFonts w:ascii="Times New Roman" w:eastAsia="Times New Roman" w:hAnsi="Times New Roman"/>
          <w:color w:val="000000"/>
          <w:sz w:val="23"/>
          <w:szCs w:val="23"/>
          <w:lang w:eastAsia="en-AU"/>
        </w:rPr>
        <w:t>with the advice and consent of the Executive Council</w:t>
      </w:r>
    </w:p>
    <w:p w:rsidR="00B32312" w:rsidRPr="00B32312" w:rsidRDefault="00B32312" w:rsidP="00B32312">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B32312">
        <w:rPr>
          <w:rFonts w:ascii="Times New Roman" w:eastAsia="Times New Roman" w:hAnsi="Times New Roman"/>
          <w:color w:val="000000"/>
          <w:sz w:val="23"/>
          <w:szCs w:val="23"/>
          <w:lang w:eastAsia="en-AU"/>
        </w:rPr>
        <w:t>on 23 December 2021</w:t>
      </w:r>
    </w:p>
    <w:p w:rsidR="00B32312" w:rsidRDefault="00B32312">
      <w:pPr>
        <w:spacing w:after="0" w:line="240" w:lineRule="auto"/>
        <w:jc w:val="left"/>
        <w:rPr>
          <w:rFonts w:ascii="Times New Roman" w:eastAsia="Times New Roman" w:hAnsi="Times New Roman"/>
          <w:sz w:val="17"/>
          <w:szCs w:val="17"/>
        </w:rPr>
      </w:pPr>
      <w:r>
        <w:br w:type="page"/>
      </w:r>
    </w:p>
    <w:p w:rsidR="00EE2DFC" w:rsidRPr="00EE2DFC" w:rsidRDefault="00EE2DFC" w:rsidP="00EE2DFC">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EE2DFC">
        <w:rPr>
          <w:rFonts w:ascii="Times New Roman" w:eastAsia="Times New Roman" w:hAnsi="Times New Roman"/>
          <w:color w:val="000000"/>
          <w:sz w:val="28"/>
          <w:szCs w:val="28"/>
          <w:lang w:eastAsia="en-AU"/>
        </w:rPr>
        <w:lastRenderedPageBreak/>
        <w:t>South Australia</w:t>
      </w:r>
    </w:p>
    <w:p w:rsidR="00EE2DFC" w:rsidRPr="00EE2DFC" w:rsidRDefault="00EE2DFC" w:rsidP="00D8720A">
      <w:pPr>
        <w:pStyle w:val="Heading3"/>
        <w:rPr>
          <w:lang w:eastAsia="en-AU"/>
        </w:rPr>
      </w:pPr>
      <w:bookmarkStart w:id="5" w:name="_Toc91161237"/>
      <w:r w:rsidRPr="00EE2DFC">
        <w:rPr>
          <w:lang w:eastAsia="en-AU"/>
        </w:rPr>
        <w:t>Legislation Interpretation Act (Commencement) Proclamation 2021</w:t>
      </w:r>
      <w:bookmarkEnd w:id="5"/>
    </w:p>
    <w:p w:rsidR="00EE2DFC" w:rsidRPr="00EE2DFC" w:rsidRDefault="00EE2DFC" w:rsidP="00EE2DF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E2DFC">
        <w:rPr>
          <w:rFonts w:ascii="Times New Roman" w:eastAsia="Times New Roman" w:hAnsi="Times New Roman"/>
          <w:b/>
          <w:bCs/>
          <w:color w:val="000000"/>
          <w:sz w:val="26"/>
          <w:szCs w:val="26"/>
          <w:lang w:eastAsia="en-AU"/>
        </w:rPr>
        <w:t>1—Short title</w:t>
      </w:r>
    </w:p>
    <w:p w:rsidR="00EE2DFC" w:rsidRPr="00EE2DFC" w:rsidRDefault="00EE2DFC" w:rsidP="00EE2DFC">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 xml:space="preserve">This proclamation may be cited as the </w:t>
      </w:r>
      <w:r w:rsidRPr="00EE2DFC">
        <w:rPr>
          <w:rFonts w:ascii="Times New Roman" w:eastAsia="Times New Roman" w:hAnsi="Times New Roman"/>
          <w:i/>
          <w:iCs/>
          <w:color w:val="000000"/>
          <w:sz w:val="23"/>
          <w:szCs w:val="23"/>
          <w:lang w:eastAsia="en-AU"/>
        </w:rPr>
        <w:t>Legislation Interpretation Act (Commencement) Proclamation 2021</w:t>
      </w:r>
      <w:r w:rsidRPr="00EE2DFC">
        <w:rPr>
          <w:rFonts w:ascii="Times New Roman" w:eastAsia="Times New Roman" w:hAnsi="Times New Roman"/>
          <w:color w:val="000000"/>
          <w:sz w:val="23"/>
          <w:szCs w:val="23"/>
          <w:lang w:eastAsia="en-AU"/>
        </w:rPr>
        <w:t>.</w:t>
      </w:r>
    </w:p>
    <w:p w:rsidR="00EE2DFC" w:rsidRPr="00EE2DFC" w:rsidRDefault="00EE2DFC" w:rsidP="00EE2DF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E2DFC">
        <w:rPr>
          <w:rFonts w:ascii="Times New Roman" w:eastAsia="Times New Roman" w:hAnsi="Times New Roman"/>
          <w:b/>
          <w:bCs/>
          <w:color w:val="000000"/>
          <w:sz w:val="26"/>
          <w:szCs w:val="26"/>
          <w:lang w:eastAsia="en-AU"/>
        </w:rPr>
        <w:t>2—Commencement of Act</w:t>
      </w:r>
    </w:p>
    <w:p w:rsidR="00EE2DFC" w:rsidRPr="00EE2DFC" w:rsidRDefault="00EE2DFC" w:rsidP="00EE2DFC">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 xml:space="preserve">The </w:t>
      </w:r>
      <w:hyperlink r:id="rId19" w:history="1">
        <w:r w:rsidRPr="00EE2DFC">
          <w:rPr>
            <w:rFonts w:ascii="Times New Roman" w:eastAsia="Times New Roman" w:hAnsi="Times New Roman"/>
            <w:i/>
            <w:iCs/>
            <w:color w:val="000000"/>
            <w:sz w:val="23"/>
            <w:szCs w:val="23"/>
            <w:lang w:eastAsia="en-AU"/>
          </w:rPr>
          <w:t>Legislation Interpretation Act 2021</w:t>
        </w:r>
      </w:hyperlink>
      <w:r w:rsidRPr="00EE2DFC">
        <w:rPr>
          <w:rFonts w:ascii="Times New Roman" w:eastAsia="Times New Roman" w:hAnsi="Times New Roman"/>
          <w:color w:val="000000"/>
          <w:sz w:val="23"/>
          <w:szCs w:val="23"/>
          <w:lang w:eastAsia="en-AU"/>
        </w:rPr>
        <w:t xml:space="preserve"> (No 36 of 2021) comes into operation on 1 January 2022.</w:t>
      </w:r>
    </w:p>
    <w:p w:rsidR="00EE2DFC" w:rsidRPr="00EE2DFC" w:rsidRDefault="00EE2DFC" w:rsidP="00EE2DFC">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EE2DFC">
        <w:rPr>
          <w:rFonts w:ascii="Times New Roman" w:eastAsia="Times New Roman" w:hAnsi="Times New Roman"/>
          <w:b/>
          <w:bCs/>
          <w:color w:val="000000"/>
          <w:sz w:val="26"/>
          <w:szCs w:val="26"/>
          <w:lang w:eastAsia="en-AU"/>
        </w:rPr>
        <w:t>Made by the Governor</w:t>
      </w:r>
    </w:p>
    <w:p w:rsidR="00EE2DFC" w:rsidRPr="00EE2DFC" w:rsidRDefault="00EE2DFC" w:rsidP="00EE2DFC">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with the advice and consent of the Executive Council</w:t>
      </w:r>
    </w:p>
    <w:p w:rsidR="00EE2DFC" w:rsidRPr="00EE2DFC" w:rsidRDefault="00EE2DFC" w:rsidP="00EE2DFC">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on 23 December 2021</w:t>
      </w:r>
    </w:p>
    <w:p w:rsidR="00B32312" w:rsidRDefault="00B32312" w:rsidP="009C23A5">
      <w:pPr>
        <w:pStyle w:val="GG-body"/>
      </w:pPr>
    </w:p>
    <w:p w:rsidR="00EE2DFC" w:rsidRDefault="00EE2DFC" w:rsidP="009C23A5">
      <w:pPr>
        <w:pStyle w:val="GG-body"/>
      </w:pPr>
    </w:p>
    <w:p w:rsidR="00EE2DFC" w:rsidRDefault="00EE2DFC" w:rsidP="009C23A5">
      <w:pPr>
        <w:pStyle w:val="GG-body"/>
      </w:pPr>
    </w:p>
    <w:p w:rsidR="00EE2DFC" w:rsidRDefault="00EE2DFC" w:rsidP="009C23A5">
      <w:pPr>
        <w:pStyle w:val="GG-body"/>
      </w:pPr>
    </w:p>
    <w:p w:rsidR="00EE2DFC" w:rsidRPr="00EE2DFC" w:rsidRDefault="00EE2DFC" w:rsidP="00EE2DFC">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EE2DFC">
        <w:rPr>
          <w:rFonts w:ascii="Times New Roman" w:eastAsia="Times New Roman" w:hAnsi="Times New Roman"/>
          <w:color w:val="000000"/>
          <w:sz w:val="28"/>
          <w:szCs w:val="28"/>
          <w:lang w:eastAsia="en-AU"/>
        </w:rPr>
        <w:t>South Australia</w:t>
      </w:r>
    </w:p>
    <w:p w:rsidR="00EE2DFC" w:rsidRPr="00EE2DFC" w:rsidRDefault="00EE2DFC" w:rsidP="00D8720A">
      <w:pPr>
        <w:pStyle w:val="Heading3"/>
        <w:rPr>
          <w:lang w:eastAsia="en-AU"/>
        </w:rPr>
      </w:pPr>
      <w:bookmarkStart w:id="6" w:name="_Toc91161238"/>
      <w:r w:rsidRPr="00EE2DFC">
        <w:rPr>
          <w:lang w:eastAsia="en-AU"/>
        </w:rPr>
        <w:t>Statutes Amendment (Local Government Review) Act (Commencement) Proclamation 2021</w:t>
      </w:r>
      <w:bookmarkEnd w:id="6"/>
    </w:p>
    <w:p w:rsidR="00EE2DFC" w:rsidRPr="00EE2DFC" w:rsidRDefault="00EE2DFC" w:rsidP="00EE2DF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E2DFC">
        <w:rPr>
          <w:rFonts w:ascii="Times New Roman" w:eastAsia="Times New Roman" w:hAnsi="Times New Roman"/>
          <w:b/>
          <w:bCs/>
          <w:color w:val="000000"/>
          <w:sz w:val="26"/>
          <w:szCs w:val="26"/>
          <w:lang w:eastAsia="en-AU"/>
        </w:rPr>
        <w:t>1—Short title</w:t>
      </w:r>
    </w:p>
    <w:p w:rsidR="00EE2DFC" w:rsidRPr="00EE2DFC" w:rsidRDefault="00EE2DFC" w:rsidP="00EE2DFC">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 xml:space="preserve">This proclamation may be cited as the </w:t>
      </w:r>
      <w:r w:rsidRPr="00EE2DFC">
        <w:rPr>
          <w:rFonts w:ascii="Times New Roman" w:eastAsia="Times New Roman" w:hAnsi="Times New Roman"/>
          <w:i/>
          <w:iCs/>
          <w:color w:val="000000"/>
          <w:sz w:val="23"/>
          <w:szCs w:val="23"/>
          <w:lang w:eastAsia="en-AU"/>
        </w:rPr>
        <w:t>Statutes Amendment (Local Government Review) Act (Commencement) Proclamation 2021</w:t>
      </w:r>
      <w:r w:rsidRPr="00EE2DFC">
        <w:rPr>
          <w:rFonts w:ascii="Times New Roman" w:eastAsia="Times New Roman" w:hAnsi="Times New Roman"/>
          <w:color w:val="000000"/>
          <w:sz w:val="23"/>
          <w:szCs w:val="23"/>
          <w:lang w:eastAsia="en-AU"/>
        </w:rPr>
        <w:t>.</w:t>
      </w:r>
    </w:p>
    <w:p w:rsidR="00EE2DFC" w:rsidRPr="00EE2DFC" w:rsidRDefault="00EE2DFC" w:rsidP="00EE2DF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E2DFC">
        <w:rPr>
          <w:rFonts w:ascii="Times New Roman" w:eastAsia="Times New Roman" w:hAnsi="Times New Roman"/>
          <w:b/>
          <w:bCs/>
          <w:color w:val="000000"/>
          <w:sz w:val="26"/>
          <w:szCs w:val="26"/>
          <w:lang w:eastAsia="en-AU"/>
        </w:rPr>
        <w:t>2—Commencement of suspended provisions</w:t>
      </w:r>
    </w:p>
    <w:p w:rsidR="00EE2DFC" w:rsidRPr="00EE2DFC" w:rsidRDefault="00EE2DFC" w:rsidP="00EE2DFC">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(1)</w:t>
      </w:r>
      <w:r w:rsidRPr="00EE2DFC">
        <w:rPr>
          <w:rFonts w:ascii="Times New Roman" w:eastAsia="Times New Roman" w:hAnsi="Times New Roman"/>
          <w:color w:val="000000"/>
          <w:sz w:val="23"/>
          <w:szCs w:val="23"/>
          <w:lang w:eastAsia="en-AU"/>
        </w:rPr>
        <w:tab/>
        <w:t xml:space="preserve">The following provisions of the </w:t>
      </w:r>
      <w:hyperlink r:id="rId20" w:history="1">
        <w:r w:rsidRPr="00EE2DFC">
          <w:rPr>
            <w:rFonts w:ascii="Times New Roman" w:eastAsia="Times New Roman" w:hAnsi="Times New Roman"/>
            <w:i/>
            <w:iCs/>
            <w:color w:val="000000"/>
            <w:sz w:val="23"/>
            <w:szCs w:val="23"/>
            <w:lang w:eastAsia="en-AU"/>
          </w:rPr>
          <w:t>Statutes Amendment (Local Government Review) Act 2021</w:t>
        </w:r>
      </w:hyperlink>
      <w:r w:rsidRPr="00EE2DFC">
        <w:rPr>
          <w:rFonts w:ascii="Times New Roman" w:eastAsia="Times New Roman" w:hAnsi="Times New Roman"/>
          <w:color w:val="000000"/>
          <w:sz w:val="23"/>
          <w:szCs w:val="23"/>
          <w:lang w:eastAsia="en-AU"/>
        </w:rPr>
        <w:t xml:space="preserve"> (No 26 of 2021) come into operation on 6 January 2022:</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(a)</w:t>
      </w:r>
      <w:r w:rsidRPr="00EE2DFC">
        <w:rPr>
          <w:rFonts w:ascii="Times New Roman" w:eastAsia="Times New Roman" w:hAnsi="Times New Roman"/>
          <w:color w:val="000000"/>
          <w:sz w:val="23"/>
          <w:szCs w:val="23"/>
          <w:lang w:eastAsia="en-AU"/>
        </w:rPr>
        <w:tab/>
        <w:t>section 79(3) to (5) (inclusive);</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(b)</w:t>
      </w:r>
      <w:r w:rsidRPr="00EE2DFC">
        <w:rPr>
          <w:rFonts w:ascii="Times New Roman" w:eastAsia="Times New Roman" w:hAnsi="Times New Roman"/>
          <w:color w:val="000000"/>
          <w:sz w:val="23"/>
          <w:szCs w:val="23"/>
          <w:lang w:eastAsia="en-AU"/>
        </w:rPr>
        <w:tab/>
        <w:t>section 80(3) to (5) (inclusive) and (7);</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(c)</w:t>
      </w:r>
      <w:r w:rsidRPr="00EE2DFC">
        <w:rPr>
          <w:rFonts w:ascii="Times New Roman" w:eastAsia="Times New Roman" w:hAnsi="Times New Roman"/>
          <w:color w:val="000000"/>
          <w:sz w:val="23"/>
          <w:szCs w:val="23"/>
          <w:lang w:eastAsia="en-AU"/>
        </w:rPr>
        <w:tab/>
        <w:t xml:space="preserve">section 82, but only insofar as it designates the current content of section 125 of the </w:t>
      </w:r>
      <w:hyperlink r:id="rId21" w:history="1">
        <w:r w:rsidRPr="00EE2DFC">
          <w:rPr>
            <w:rFonts w:ascii="Times New Roman" w:eastAsia="Times New Roman" w:hAnsi="Times New Roman"/>
            <w:i/>
            <w:iCs/>
            <w:color w:val="000000"/>
            <w:sz w:val="23"/>
            <w:szCs w:val="23"/>
            <w:lang w:eastAsia="en-AU"/>
          </w:rPr>
          <w:t>Local Government Act 1999</w:t>
        </w:r>
      </w:hyperlink>
      <w:r w:rsidRPr="00EE2DFC">
        <w:rPr>
          <w:rFonts w:ascii="Times New Roman" w:eastAsia="Times New Roman" w:hAnsi="Times New Roman"/>
          <w:color w:val="000000"/>
          <w:sz w:val="23"/>
          <w:szCs w:val="23"/>
          <w:lang w:eastAsia="en-AU"/>
        </w:rPr>
        <w:t xml:space="preserve"> as subsection (1) and inserts subsection (2) into that section;</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(d)</w:t>
      </w:r>
      <w:r w:rsidRPr="00EE2DFC">
        <w:rPr>
          <w:rFonts w:ascii="Times New Roman" w:eastAsia="Times New Roman" w:hAnsi="Times New Roman"/>
          <w:color w:val="000000"/>
          <w:sz w:val="23"/>
          <w:szCs w:val="23"/>
          <w:lang w:eastAsia="en-AU"/>
        </w:rPr>
        <w:tab/>
        <w:t>section 87(3);</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(e)</w:t>
      </w:r>
      <w:r w:rsidRPr="00EE2DFC">
        <w:rPr>
          <w:rFonts w:ascii="Times New Roman" w:eastAsia="Times New Roman" w:hAnsi="Times New Roman"/>
          <w:color w:val="000000"/>
          <w:sz w:val="23"/>
          <w:szCs w:val="23"/>
          <w:lang w:eastAsia="en-AU"/>
        </w:rPr>
        <w:tab/>
        <w:t>section 90(1);</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(f)</w:t>
      </w:r>
      <w:r w:rsidRPr="00EE2DFC">
        <w:rPr>
          <w:rFonts w:ascii="Times New Roman" w:eastAsia="Times New Roman" w:hAnsi="Times New Roman"/>
          <w:color w:val="000000"/>
          <w:sz w:val="23"/>
          <w:szCs w:val="23"/>
          <w:lang w:eastAsia="en-AU"/>
        </w:rPr>
        <w:tab/>
        <w:t>section 95;</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(g)</w:t>
      </w:r>
      <w:r w:rsidRPr="00EE2DFC">
        <w:rPr>
          <w:rFonts w:ascii="Times New Roman" w:eastAsia="Times New Roman" w:hAnsi="Times New Roman"/>
          <w:color w:val="000000"/>
          <w:sz w:val="23"/>
          <w:szCs w:val="23"/>
          <w:lang w:eastAsia="en-AU"/>
        </w:rPr>
        <w:tab/>
        <w:t>section 98;</w:t>
      </w:r>
    </w:p>
    <w:p w:rsidR="00EE2DFC" w:rsidRDefault="00EE2DFC">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lastRenderedPageBreak/>
        <w:tab/>
        <w:t>(h)</w:t>
      </w:r>
      <w:r w:rsidRPr="00EE2DFC">
        <w:rPr>
          <w:rFonts w:ascii="Times New Roman" w:eastAsia="Times New Roman" w:hAnsi="Times New Roman"/>
          <w:color w:val="000000"/>
          <w:sz w:val="23"/>
          <w:szCs w:val="23"/>
          <w:lang w:eastAsia="en-AU"/>
        </w:rPr>
        <w:tab/>
        <w:t xml:space="preserve">section 126, but only insofar as it inserts the following into the </w:t>
      </w:r>
      <w:hyperlink r:id="rId22" w:history="1">
        <w:r w:rsidRPr="00EE2DFC">
          <w:rPr>
            <w:rFonts w:ascii="Times New Roman" w:eastAsia="Times New Roman" w:hAnsi="Times New Roman"/>
            <w:i/>
            <w:iCs/>
            <w:color w:val="000000"/>
            <w:sz w:val="23"/>
            <w:szCs w:val="23"/>
            <w:lang w:eastAsia="en-AU"/>
          </w:rPr>
          <w:t>Local Government Act 1999</w:t>
        </w:r>
      </w:hyperlink>
      <w:r w:rsidRPr="00EE2DFC">
        <w:rPr>
          <w:rFonts w:ascii="Times New Roman" w:eastAsia="Times New Roman" w:hAnsi="Times New Roman"/>
          <w:color w:val="000000"/>
          <w:sz w:val="23"/>
          <w:szCs w:val="23"/>
          <w:lang w:eastAsia="en-AU"/>
        </w:rPr>
        <w:t>:</w:t>
      </w:r>
    </w:p>
    <w:p w:rsidR="00EE2DFC" w:rsidRPr="00EE2DFC" w:rsidRDefault="00EE2DFC" w:rsidP="00EE2DFC">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(i)</w:t>
      </w:r>
      <w:r w:rsidRPr="00EE2DFC">
        <w:rPr>
          <w:rFonts w:ascii="Times New Roman" w:eastAsia="Times New Roman" w:hAnsi="Times New Roman"/>
          <w:color w:val="000000"/>
          <w:sz w:val="23"/>
          <w:szCs w:val="23"/>
          <w:lang w:eastAsia="en-AU"/>
        </w:rPr>
        <w:tab/>
        <w:t>the heading to Chapter 13 Part A1;</w:t>
      </w:r>
    </w:p>
    <w:p w:rsidR="00EE2DFC" w:rsidRPr="00EE2DFC" w:rsidRDefault="00EE2DFC" w:rsidP="00EE2DFC">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(ii)</w:t>
      </w:r>
      <w:r w:rsidRPr="00EE2DFC">
        <w:rPr>
          <w:rFonts w:ascii="Times New Roman" w:eastAsia="Times New Roman" w:hAnsi="Times New Roman"/>
          <w:color w:val="000000"/>
          <w:sz w:val="23"/>
          <w:szCs w:val="23"/>
          <w:lang w:eastAsia="en-AU"/>
        </w:rPr>
        <w:tab/>
        <w:t>the heading to Chapter 13 Part A1 Division 2;</w:t>
      </w:r>
    </w:p>
    <w:p w:rsidR="00EE2DFC" w:rsidRPr="00EE2DFC" w:rsidRDefault="00EE2DFC" w:rsidP="00EE2DFC">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(iii)</w:t>
      </w:r>
      <w:r w:rsidRPr="00EE2DFC">
        <w:rPr>
          <w:rFonts w:ascii="Times New Roman" w:eastAsia="Times New Roman" w:hAnsi="Times New Roman"/>
          <w:color w:val="000000"/>
          <w:sz w:val="23"/>
          <w:szCs w:val="23"/>
          <w:lang w:eastAsia="en-AU"/>
        </w:rPr>
        <w:tab/>
        <w:t>the heading to Chapter 13 Part A1 Division 2 Subdivision 2;</w:t>
      </w:r>
    </w:p>
    <w:p w:rsidR="00EE2DFC" w:rsidRPr="00EE2DFC" w:rsidRDefault="00EE2DFC" w:rsidP="00EE2DFC">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(iv)</w:t>
      </w:r>
      <w:r w:rsidRPr="00EE2DFC">
        <w:rPr>
          <w:rFonts w:ascii="Times New Roman" w:eastAsia="Times New Roman" w:hAnsi="Times New Roman"/>
          <w:color w:val="000000"/>
          <w:sz w:val="23"/>
          <w:szCs w:val="23"/>
          <w:lang w:eastAsia="en-AU"/>
        </w:rPr>
        <w:tab/>
        <w:t>section 262F heading and (3) to (6) (inclusive).</w:t>
      </w:r>
    </w:p>
    <w:p w:rsidR="00EE2DFC" w:rsidRPr="00EE2DFC" w:rsidRDefault="00EE2DFC" w:rsidP="00EE2DFC">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(2)</w:t>
      </w:r>
      <w:r w:rsidRPr="00EE2DFC">
        <w:rPr>
          <w:rFonts w:ascii="Times New Roman" w:eastAsia="Times New Roman" w:hAnsi="Times New Roman"/>
          <w:color w:val="000000"/>
          <w:sz w:val="23"/>
          <w:szCs w:val="23"/>
          <w:lang w:eastAsia="en-AU"/>
        </w:rPr>
        <w:tab/>
        <w:t>Section 79(2) and (8) of the Act come into operation on 30 April 2022.</w:t>
      </w:r>
    </w:p>
    <w:p w:rsidR="00EE2DFC" w:rsidRPr="00EE2DFC" w:rsidRDefault="00EE2DFC" w:rsidP="00EE2DFC">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(3)</w:t>
      </w:r>
      <w:r w:rsidRPr="00EE2DFC">
        <w:rPr>
          <w:rFonts w:ascii="Times New Roman" w:eastAsia="Times New Roman" w:hAnsi="Times New Roman"/>
          <w:color w:val="000000"/>
          <w:sz w:val="23"/>
          <w:szCs w:val="23"/>
          <w:lang w:eastAsia="en-AU"/>
        </w:rPr>
        <w:tab/>
        <w:t>The following provisions of the Act come into operation on 30 June 2022:</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(a)</w:t>
      </w:r>
      <w:r w:rsidRPr="00EE2DFC">
        <w:rPr>
          <w:rFonts w:ascii="Times New Roman" w:eastAsia="Times New Roman" w:hAnsi="Times New Roman"/>
          <w:color w:val="000000"/>
          <w:sz w:val="23"/>
          <w:szCs w:val="23"/>
          <w:lang w:eastAsia="en-AU"/>
        </w:rPr>
        <w:tab/>
        <w:t>sections 8 and 9;</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(b)</w:t>
      </w:r>
      <w:r w:rsidRPr="00EE2DFC">
        <w:rPr>
          <w:rFonts w:ascii="Times New Roman" w:eastAsia="Times New Roman" w:hAnsi="Times New Roman"/>
          <w:color w:val="000000"/>
          <w:sz w:val="23"/>
          <w:szCs w:val="23"/>
          <w:lang w:eastAsia="en-AU"/>
        </w:rPr>
        <w:tab/>
        <w:t>section 17;</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(c)</w:t>
      </w:r>
      <w:r w:rsidRPr="00EE2DFC">
        <w:rPr>
          <w:rFonts w:ascii="Times New Roman" w:eastAsia="Times New Roman" w:hAnsi="Times New Roman"/>
          <w:color w:val="000000"/>
          <w:sz w:val="23"/>
          <w:szCs w:val="23"/>
          <w:lang w:eastAsia="en-AU"/>
        </w:rPr>
        <w:tab/>
        <w:t>section 55;</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(d)</w:t>
      </w:r>
      <w:r w:rsidRPr="00EE2DFC">
        <w:rPr>
          <w:rFonts w:ascii="Times New Roman" w:eastAsia="Times New Roman" w:hAnsi="Times New Roman"/>
          <w:color w:val="000000"/>
          <w:sz w:val="23"/>
          <w:szCs w:val="23"/>
          <w:lang w:eastAsia="en-AU"/>
        </w:rPr>
        <w:tab/>
        <w:t>section 147(1) to (3) (inclusive).</w:t>
      </w:r>
    </w:p>
    <w:p w:rsidR="00EE2DFC" w:rsidRPr="00EE2DFC" w:rsidRDefault="00EE2DFC" w:rsidP="00EE2DFC">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(4)</w:t>
      </w:r>
      <w:r w:rsidRPr="00EE2DFC">
        <w:rPr>
          <w:rFonts w:ascii="Times New Roman" w:eastAsia="Times New Roman" w:hAnsi="Times New Roman"/>
          <w:color w:val="000000"/>
          <w:sz w:val="23"/>
          <w:szCs w:val="23"/>
          <w:lang w:eastAsia="en-AU"/>
        </w:rPr>
        <w:tab/>
        <w:t>Section 79(1) of the Act comes into operation on 30 June 2023.</w:t>
      </w:r>
    </w:p>
    <w:p w:rsidR="00EE2DFC" w:rsidRPr="00EE2DFC" w:rsidRDefault="00EE2DFC" w:rsidP="00EE2DFC">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(5)</w:t>
      </w:r>
      <w:r w:rsidRPr="00EE2DFC">
        <w:rPr>
          <w:rFonts w:ascii="Times New Roman" w:eastAsia="Times New Roman" w:hAnsi="Times New Roman"/>
          <w:color w:val="000000"/>
          <w:sz w:val="23"/>
          <w:szCs w:val="23"/>
          <w:lang w:eastAsia="en-AU"/>
        </w:rPr>
        <w:tab/>
        <w:t>The following provisions of the Act come into operation on 31 August 2023:</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(a)</w:t>
      </w:r>
      <w:r w:rsidRPr="00EE2DFC">
        <w:rPr>
          <w:rFonts w:ascii="Times New Roman" w:eastAsia="Times New Roman" w:hAnsi="Times New Roman"/>
          <w:color w:val="000000"/>
          <w:sz w:val="23"/>
          <w:szCs w:val="23"/>
          <w:lang w:eastAsia="en-AU"/>
        </w:rPr>
        <w:tab/>
        <w:t>section 5(9);</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(b)</w:t>
      </w:r>
      <w:r w:rsidRPr="00EE2DFC">
        <w:rPr>
          <w:rFonts w:ascii="Times New Roman" w:eastAsia="Times New Roman" w:hAnsi="Times New Roman"/>
          <w:color w:val="000000"/>
          <w:sz w:val="23"/>
          <w:szCs w:val="23"/>
          <w:lang w:eastAsia="en-AU"/>
        </w:rPr>
        <w:tab/>
        <w:t>section 93;</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(c)</w:t>
      </w:r>
      <w:r w:rsidRPr="00EE2DFC">
        <w:rPr>
          <w:rFonts w:ascii="Times New Roman" w:eastAsia="Times New Roman" w:hAnsi="Times New Roman"/>
          <w:color w:val="000000"/>
          <w:sz w:val="23"/>
          <w:szCs w:val="23"/>
          <w:lang w:eastAsia="en-AU"/>
        </w:rPr>
        <w:tab/>
        <w:t>section 94(1).</w:t>
      </w:r>
    </w:p>
    <w:p w:rsidR="00EE2DFC" w:rsidRPr="00EE2DFC" w:rsidRDefault="00EE2DFC" w:rsidP="00EE2DFC">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(6)</w:t>
      </w:r>
      <w:r w:rsidRPr="00EE2DFC">
        <w:rPr>
          <w:rFonts w:ascii="Times New Roman" w:eastAsia="Times New Roman" w:hAnsi="Times New Roman"/>
          <w:color w:val="000000"/>
          <w:sz w:val="23"/>
          <w:szCs w:val="23"/>
          <w:lang w:eastAsia="en-AU"/>
        </w:rPr>
        <w:tab/>
        <w:t>The following provisions of the Act come into operation on 30 November 2023:</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(a)</w:t>
      </w:r>
      <w:r w:rsidRPr="00EE2DFC">
        <w:rPr>
          <w:rFonts w:ascii="Times New Roman" w:eastAsia="Times New Roman" w:hAnsi="Times New Roman"/>
          <w:color w:val="000000"/>
          <w:sz w:val="23"/>
          <w:szCs w:val="23"/>
          <w:lang w:eastAsia="en-AU"/>
        </w:rPr>
        <w:tab/>
        <w:t>section 5(8);</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(b)</w:t>
      </w:r>
      <w:r w:rsidRPr="00EE2DFC">
        <w:rPr>
          <w:rFonts w:ascii="Times New Roman" w:eastAsia="Times New Roman" w:hAnsi="Times New Roman"/>
          <w:color w:val="000000"/>
          <w:sz w:val="23"/>
          <w:szCs w:val="23"/>
          <w:lang w:eastAsia="en-AU"/>
        </w:rPr>
        <w:tab/>
        <w:t>section 59;</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(c)</w:t>
      </w:r>
      <w:r w:rsidRPr="00EE2DFC">
        <w:rPr>
          <w:rFonts w:ascii="Times New Roman" w:eastAsia="Times New Roman" w:hAnsi="Times New Roman"/>
          <w:color w:val="000000"/>
          <w:sz w:val="23"/>
          <w:szCs w:val="23"/>
          <w:lang w:eastAsia="en-AU"/>
        </w:rPr>
        <w:tab/>
        <w:t>section 81;</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(d)</w:t>
      </w:r>
      <w:r w:rsidRPr="00EE2DFC">
        <w:rPr>
          <w:rFonts w:ascii="Times New Roman" w:eastAsia="Times New Roman" w:hAnsi="Times New Roman"/>
          <w:color w:val="000000"/>
          <w:sz w:val="23"/>
          <w:szCs w:val="23"/>
          <w:lang w:eastAsia="en-AU"/>
        </w:rPr>
        <w:tab/>
        <w:t xml:space="preserve">section 82, but only insofar as it inserts subsection (3) into section 125 of the </w:t>
      </w:r>
      <w:hyperlink r:id="rId23" w:history="1">
        <w:r w:rsidRPr="00EE2DFC">
          <w:rPr>
            <w:rFonts w:ascii="Times New Roman" w:eastAsia="Times New Roman" w:hAnsi="Times New Roman"/>
            <w:i/>
            <w:iCs/>
            <w:color w:val="000000"/>
            <w:sz w:val="23"/>
            <w:szCs w:val="23"/>
            <w:lang w:eastAsia="en-AU"/>
          </w:rPr>
          <w:t>Local Government Act 1999</w:t>
        </w:r>
      </w:hyperlink>
      <w:r w:rsidRPr="00EE2DFC">
        <w:rPr>
          <w:rFonts w:ascii="Times New Roman" w:eastAsia="Times New Roman" w:hAnsi="Times New Roman"/>
          <w:color w:val="000000"/>
          <w:sz w:val="23"/>
          <w:szCs w:val="23"/>
          <w:lang w:eastAsia="en-AU"/>
        </w:rPr>
        <w:t>;</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(e)</w:t>
      </w:r>
      <w:r w:rsidRPr="00EE2DFC">
        <w:rPr>
          <w:rFonts w:ascii="Times New Roman" w:eastAsia="Times New Roman" w:hAnsi="Times New Roman"/>
          <w:color w:val="000000"/>
          <w:sz w:val="23"/>
          <w:szCs w:val="23"/>
          <w:lang w:eastAsia="en-AU"/>
        </w:rPr>
        <w:tab/>
        <w:t>sections 83 to 85 (inclusive);</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(f)</w:t>
      </w:r>
      <w:r w:rsidRPr="00EE2DFC">
        <w:rPr>
          <w:rFonts w:ascii="Times New Roman" w:eastAsia="Times New Roman" w:hAnsi="Times New Roman"/>
          <w:color w:val="000000"/>
          <w:sz w:val="23"/>
          <w:szCs w:val="23"/>
          <w:lang w:eastAsia="en-AU"/>
        </w:rPr>
        <w:tab/>
        <w:t>section 87(1) and (2);</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(g)</w:t>
      </w:r>
      <w:r w:rsidRPr="00EE2DFC">
        <w:rPr>
          <w:rFonts w:ascii="Times New Roman" w:eastAsia="Times New Roman" w:hAnsi="Times New Roman"/>
          <w:color w:val="000000"/>
          <w:sz w:val="23"/>
          <w:szCs w:val="23"/>
          <w:lang w:eastAsia="en-AU"/>
        </w:rPr>
        <w:tab/>
        <w:t>section 88(3);</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(h)</w:t>
      </w:r>
      <w:r w:rsidRPr="00EE2DFC">
        <w:rPr>
          <w:rFonts w:ascii="Times New Roman" w:eastAsia="Times New Roman" w:hAnsi="Times New Roman"/>
          <w:color w:val="000000"/>
          <w:sz w:val="23"/>
          <w:szCs w:val="23"/>
          <w:lang w:eastAsia="en-AU"/>
        </w:rPr>
        <w:tab/>
        <w:t>section 89;</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(i)</w:t>
      </w:r>
      <w:r w:rsidRPr="00EE2DFC">
        <w:rPr>
          <w:rFonts w:ascii="Times New Roman" w:eastAsia="Times New Roman" w:hAnsi="Times New Roman"/>
          <w:color w:val="000000"/>
          <w:sz w:val="23"/>
          <w:szCs w:val="23"/>
          <w:lang w:eastAsia="en-AU"/>
        </w:rPr>
        <w:tab/>
        <w:t>section 141(3) and (6);</w:t>
      </w:r>
    </w:p>
    <w:p w:rsidR="00EE2DFC" w:rsidRPr="00EE2DFC" w:rsidRDefault="00EE2DFC" w:rsidP="00EE2DF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ab/>
        <w:t>(j)</w:t>
      </w:r>
      <w:r w:rsidRPr="00EE2DFC">
        <w:rPr>
          <w:rFonts w:ascii="Times New Roman" w:eastAsia="Times New Roman" w:hAnsi="Times New Roman"/>
          <w:color w:val="000000"/>
          <w:sz w:val="23"/>
          <w:szCs w:val="23"/>
          <w:lang w:eastAsia="en-AU"/>
        </w:rPr>
        <w:tab/>
        <w:t>section 195.</w:t>
      </w:r>
    </w:p>
    <w:p w:rsidR="00EE2DFC" w:rsidRPr="00EE2DFC" w:rsidRDefault="00EE2DFC" w:rsidP="00EE2DFC">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EE2DFC">
        <w:rPr>
          <w:rFonts w:ascii="Times New Roman" w:eastAsia="Times New Roman" w:hAnsi="Times New Roman"/>
          <w:b/>
          <w:bCs/>
          <w:color w:val="000000"/>
          <w:sz w:val="26"/>
          <w:szCs w:val="26"/>
          <w:lang w:eastAsia="en-AU"/>
        </w:rPr>
        <w:t>Made by the Governor</w:t>
      </w:r>
    </w:p>
    <w:p w:rsidR="00EE2DFC" w:rsidRPr="00EE2DFC" w:rsidRDefault="00EE2DFC" w:rsidP="00EE2DFC">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with the advice and consent of the Executive Council</w:t>
      </w:r>
    </w:p>
    <w:p w:rsidR="00EE2DFC" w:rsidRPr="00EE2DFC" w:rsidRDefault="00EE2DFC" w:rsidP="00EE2DFC">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EE2DFC">
        <w:rPr>
          <w:rFonts w:ascii="Times New Roman" w:eastAsia="Times New Roman" w:hAnsi="Times New Roman"/>
          <w:color w:val="000000"/>
          <w:sz w:val="23"/>
          <w:szCs w:val="23"/>
          <w:lang w:eastAsia="en-AU"/>
        </w:rPr>
        <w:t>on 23 December 2021</w:t>
      </w:r>
    </w:p>
    <w:p w:rsidR="00EE2DFC" w:rsidRDefault="00EE2DFC">
      <w:pPr>
        <w:spacing w:after="0" w:line="240" w:lineRule="auto"/>
        <w:jc w:val="left"/>
        <w:rPr>
          <w:rFonts w:ascii="Times New Roman" w:eastAsia="Times New Roman" w:hAnsi="Times New Roman"/>
          <w:sz w:val="17"/>
          <w:szCs w:val="17"/>
        </w:rPr>
      </w:pPr>
      <w:r>
        <w:br w:type="page"/>
      </w:r>
    </w:p>
    <w:p w:rsidR="00A73B7F" w:rsidRPr="00A73B7F" w:rsidRDefault="00A73B7F" w:rsidP="00A73B7F">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A73B7F">
        <w:rPr>
          <w:rFonts w:ascii="Times New Roman" w:eastAsia="Times New Roman" w:hAnsi="Times New Roman"/>
          <w:color w:val="000000"/>
          <w:sz w:val="28"/>
          <w:szCs w:val="28"/>
          <w:lang w:eastAsia="en-AU"/>
        </w:rPr>
        <w:lastRenderedPageBreak/>
        <w:t>South Australia</w:t>
      </w:r>
    </w:p>
    <w:p w:rsidR="00A73B7F" w:rsidRPr="00A73B7F" w:rsidRDefault="00A73B7F" w:rsidP="00D8720A">
      <w:pPr>
        <w:pStyle w:val="Heading3"/>
        <w:rPr>
          <w:lang w:eastAsia="en-AU"/>
        </w:rPr>
      </w:pPr>
      <w:bookmarkStart w:id="7" w:name="_Toc91161239"/>
      <w:r w:rsidRPr="00A73B7F">
        <w:rPr>
          <w:lang w:eastAsia="en-AU"/>
        </w:rPr>
        <w:t>Administrative Arrangements (Administration of Legislation Interpretation Act) Proclamation 2021</w:t>
      </w:r>
      <w:bookmarkEnd w:id="7"/>
    </w:p>
    <w:p w:rsidR="00A73B7F" w:rsidRPr="00A73B7F" w:rsidRDefault="00A73B7F" w:rsidP="00A73B7F">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A73B7F">
        <w:rPr>
          <w:rFonts w:ascii="Times New Roman" w:eastAsia="Times New Roman" w:hAnsi="Times New Roman"/>
          <w:color w:val="000000"/>
          <w:sz w:val="24"/>
          <w:szCs w:val="24"/>
          <w:lang w:eastAsia="en-AU"/>
        </w:rPr>
        <w:t xml:space="preserve">under section 5 of the </w:t>
      </w:r>
      <w:r w:rsidRPr="00A73B7F">
        <w:rPr>
          <w:rFonts w:ascii="Times New Roman" w:eastAsia="Times New Roman" w:hAnsi="Times New Roman"/>
          <w:i/>
          <w:iCs/>
          <w:color w:val="000000"/>
          <w:sz w:val="24"/>
          <w:szCs w:val="24"/>
          <w:lang w:eastAsia="en-AU"/>
        </w:rPr>
        <w:t>Administrative Arrangements Act 1994</w:t>
      </w:r>
    </w:p>
    <w:p w:rsidR="00A73B7F" w:rsidRPr="00A73B7F" w:rsidRDefault="00A73B7F" w:rsidP="00A73B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73B7F">
        <w:rPr>
          <w:rFonts w:ascii="Times New Roman" w:eastAsia="Times New Roman" w:hAnsi="Times New Roman"/>
          <w:b/>
          <w:bCs/>
          <w:color w:val="000000"/>
          <w:sz w:val="26"/>
          <w:szCs w:val="26"/>
          <w:lang w:eastAsia="en-AU"/>
        </w:rPr>
        <w:t>1—Short title</w:t>
      </w:r>
    </w:p>
    <w:p w:rsidR="00A73B7F" w:rsidRPr="00A73B7F" w:rsidRDefault="00A73B7F" w:rsidP="00A73B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73B7F">
        <w:rPr>
          <w:rFonts w:ascii="Times New Roman" w:eastAsia="Times New Roman" w:hAnsi="Times New Roman"/>
          <w:color w:val="000000"/>
          <w:sz w:val="23"/>
          <w:szCs w:val="23"/>
          <w:lang w:eastAsia="en-AU"/>
        </w:rPr>
        <w:t xml:space="preserve">This proclamation may be cited as the </w:t>
      </w:r>
      <w:r w:rsidRPr="00A73B7F">
        <w:rPr>
          <w:rFonts w:ascii="Times New Roman" w:eastAsia="Times New Roman" w:hAnsi="Times New Roman"/>
          <w:i/>
          <w:iCs/>
          <w:color w:val="000000"/>
          <w:sz w:val="23"/>
          <w:szCs w:val="23"/>
          <w:lang w:eastAsia="en-AU"/>
        </w:rPr>
        <w:t>Administrative Arrangements (Administration of Legislation Interpretation Act) Proclamation 2021</w:t>
      </w:r>
      <w:r w:rsidRPr="00A73B7F">
        <w:rPr>
          <w:rFonts w:ascii="Times New Roman" w:eastAsia="Times New Roman" w:hAnsi="Times New Roman"/>
          <w:color w:val="000000"/>
          <w:sz w:val="23"/>
          <w:szCs w:val="23"/>
          <w:lang w:eastAsia="en-AU"/>
        </w:rPr>
        <w:t>.</w:t>
      </w:r>
    </w:p>
    <w:p w:rsidR="00A73B7F" w:rsidRPr="00A73B7F" w:rsidRDefault="00A73B7F" w:rsidP="00A73B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73B7F">
        <w:rPr>
          <w:rFonts w:ascii="Times New Roman" w:eastAsia="Times New Roman" w:hAnsi="Times New Roman"/>
          <w:b/>
          <w:bCs/>
          <w:color w:val="000000"/>
          <w:sz w:val="26"/>
          <w:szCs w:val="26"/>
          <w:lang w:eastAsia="en-AU"/>
        </w:rPr>
        <w:t>2—Commencement</w:t>
      </w:r>
    </w:p>
    <w:p w:rsidR="00A73B7F" w:rsidRPr="00A73B7F" w:rsidRDefault="00A73B7F" w:rsidP="00A73B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73B7F">
        <w:rPr>
          <w:rFonts w:ascii="Times New Roman" w:eastAsia="Times New Roman" w:hAnsi="Times New Roman"/>
          <w:color w:val="000000"/>
          <w:sz w:val="23"/>
          <w:szCs w:val="23"/>
          <w:lang w:eastAsia="en-AU"/>
        </w:rPr>
        <w:t>This proclamation comes into operation on 1 January 2022.</w:t>
      </w:r>
    </w:p>
    <w:p w:rsidR="00A73B7F" w:rsidRPr="00A73B7F" w:rsidRDefault="00A73B7F" w:rsidP="00A73B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73B7F">
        <w:rPr>
          <w:rFonts w:ascii="Times New Roman" w:eastAsia="Times New Roman" w:hAnsi="Times New Roman"/>
          <w:b/>
          <w:bCs/>
          <w:color w:val="000000"/>
          <w:sz w:val="26"/>
          <w:szCs w:val="26"/>
          <w:lang w:eastAsia="en-AU"/>
        </w:rPr>
        <w:t>3—Administration of Act committed to Attorney</w:t>
      </w:r>
      <w:r w:rsidRPr="00A73B7F">
        <w:rPr>
          <w:rFonts w:ascii="Times New Roman" w:eastAsia="Times New Roman" w:hAnsi="Times New Roman"/>
          <w:b/>
          <w:bCs/>
          <w:color w:val="000000"/>
          <w:sz w:val="26"/>
          <w:szCs w:val="26"/>
          <w:lang w:eastAsia="en-AU"/>
        </w:rPr>
        <w:noBreakHyphen/>
        <w:t>General</w:t>
      </w:r>
    </w:p>
    <w:p w:rsidR="00A73B7F" w:rsidRPr="00A73B7F" w:rsidRDefault="00A73B7F" w:rsidP="00A73B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73B7F">
        <w:rPr>
          <w:rFonts w:ascii="Times New Roman" w:eastAsia="Times New Roman" w:hAnsi="Times New Roman"/>
          <w:color w:val="000000"/>
          <w:sz w:val="23"/>
          <w:szCs w:val="23"/>
          <w:lang w:eastAsia="en-AU"/>
        </w:rPr>
        <w:t xml:space="preserve">The administration of the </w:t>
      </w:r>
      <w:hyperlink r:id="rId24" w:history="1">
        <w:r w:rsidRPr="00A73B7F">
          <w:rPr>
            <w:rFonts w:ascii="Times New Roman" w:eastAsia="Times New Roman" w:hAnsi="Times New Roman"/>
            <w:i/>
            <w:iCs/>
            <w:color w:val="000000"/>
            <w:sz w:val="23"/>
            <w:szCs w:val="23"/>
            <w:lang w:eastAsia="en-AU"/>
          </w:rPr>
          <w:t>Legislation Interpretation Act 2021</w:t>
        </w:r>
      </w:hyperlink>
      <w:r w:rsidRPr="00A73B7F">
        <w:rPr>
          <w:rFonts w:ascii="Times New Roman" w:eastAsia="Times New Roman" w:hAnsi="Times New Roman"/>
          <w:color w:val="000000"/>
          <w:sz w:val="23"/>
          <w:szCs w:val="23"/>
          <w:lang w:eastAsia="en-AU"/>
        </w:rPr>
        <w:t xml:space="preserve"> is committed to the Attorney</w:t>
      </w:r>
      <w:r w:rsidRPr="00A73B7F">
        <w:rPr>
          <w:rFonts w:ascii="Times New Roman" w:eastAsia="Times New Roman" w:hAnsi="Times New Roman"/>
          <w:color w:val="000000"/>
          <w:sz w:val="23"/>
          <w:szCs w:val="23"/>
          <w:lang w:eastAsia="en-AU"/>
        </w:rPr>
        <w:noBreakHyphen/>
        <w:t>General.</w:t>
      </w:r>
    </w:p>
    <w:p w:rsidR="00A73B7F" w:rsidRPr="00A73B7F" w:rsidRDefault="00A73B7F" w:rsidP="00A73B7F">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A73B7F">
        <w:rPr>
          <w:rFonts w:ascii="Times New Roman" w:eastAsia="Times New Roman" w:hAnsi="Times New Roman"/>
          <w:b/>
          <w:bCs/>
          <w:color w:val="000000"/>
          <w:sz w:val="26"/>
          <w:szCs w:val="26"/>
          <w:lang w:eastAsia="en-AU"/>
        </w:rPr>
        <w:t>Made by the Governor</w:t>
      </w:r>
    </w:p>
    <w:p w:rsidR="00A73B7F" w:rsidRPr="00A73B7F" w:rsidRDefault="00A73B7F" w:rsidP="00A73B7F">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A73B7F">
        <w:rPr>
          <w:rFonts w:ascii="Times New Roman" w:eastAsia="Times New Roman" w:hAnsi="Times New Roman"/>
          <w:color w:val="000000"/>
          <w:sz w:val="23"/>
          <w:szCs w:val="23"/>
          <w:lang w:eastAsia="en-AU"/>
        </w:rPr>
        <w:t>with the advice and consent of the Executive Council</w:t>
      </w:r>
    </w:p>
    <w:p w:rsidR="00A73B7F" w:rsidRPr="00A73B7F" w:rsidRDefault="00A73B7F" w:rsidP="00A73B7F">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A73B7F">
        <w:rPr>
          <w:rFonts w:ascii="Times New Roman" w:eastAsia="Times New Roman" w:hAnsi="Times New Roman"/>
          <w:color w:val="000000"/>
          <w:sz w:val="23"/>
          <w:szCs w:val="23"/>
          <w:lang w:eastAsia="en-AU"/>
        </w:rPr>
        <w:t>on 23 December 2021</w:t>
      </w:r>
    </w:p>
    <w:p w:rsidR="00EE2DFC" w:rsidRDefault="00EE2DFC" w:rsidP="009C23A5">
      <w:pPr>
        <w:pStyle w:val="GG-body"/>
      </w:pPr>
    </w:p>
    <w:p w:rsidR="00A73B7F" w:rsidRDefault="00A73B7F" w:rsidP="009C23A5">
      <w:pPr>
        <w:pStyle w:val="GG-body"/>
      </w:pPr>
    </w:p>
    <w:p w:rsidR="00A73B7F" w:rsidRPr="00A73B7F" w:rsidRDefault="00A73B7F" w:rsidP="00A73B7F">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A73B7F">
        <w:rPr>
          <w:rFonts w:ascii="Times New Roman" w:eastAsia="Times New Roman" w:hAnsi="Times New Roman"/>
          <w:color w:val="000000"/>
          <w:sz w:val="28"/>
          <w:szCs w:val="28"/>
          <w:lang w:eastAsia="en-AU"/>
        </w:rPr>
        <w:t>South Australia</w:t>
      </w:r>
    </w:p>
    <w:p w:rsidR="00A73B7F" w:rsidRPr="00A73B7F" w:rsidRDefault="00A73B7F" w:rsidP="00D8720A">
      <w:pPr>
        <w:pStyle w:val="Heading3"/>
        <w:rPr>
          <w:lang w:eastAsia="en-AU"/>
        </w:rPr>
      </w:pPr>
      <w:bookmarkStart w:id="8" w:name="_Toc91161240"/>
      <w:r w:rsidRPr="00A73B7F">
        <w:rPr>
          <w:lang w:eastAsia="en-AU"/>
        </w:rPr>
        <w:t>Administrative Arrangements (Administration of Recreational Greenways Act) Proclamation 2021</w:t>
      </w:r>
      <w:bookmarkEnd w:id="8"/>
    </w:p>
    <w:p w:rsidR="00A73B7F" w:rsidRPr="00A73B7F" w:rsidRDefault="00A73B7F" w:rsidP="00A73B7F">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A73B7F">
        <w:rPr>
          <w:rFonts w:ascii="Times New Roman" w:eastAsia="Times New Roman" w:hAnsi="Times New Roman"/>
          <w:color w:val="000000"/>
          <w:sz w:val="24"/>
          <w:szCs w:val="24"/>
          <w:lang w:eastAsia="en-AU"/>
        </w:rPr>
        <w:t xml:space="preserve">under section 5 of the </w:t>
      </w:r>
      <w:r w:rsidRPr="00A73B7F">
        <w:rPr>
          <w:rFonts w:ascii="Times New Roman" w:eastAsia="Times New Roman" w:hAnsi="Times New Roman"/>
          <w:i/>
          <w:iCs/>
          <w:color w:val="000000"/>
          <w:sz w:val="24"/>
          <w:szCs w:val="24"/>
          <w:lang w:eastAsia="en-AU"/>
        </w:rPr>
        <w:t>Administrative Arrangements Act 1994</w:t>
      </w:r>
    </w:p>
    <w:p w:rsidR="00A73B7F" w:rsidRPr="00A73B7F" w:rsidRDefault="00A73B7F" w:rsidP="00A73B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73B7F">
        <w:rPr>
          <w:rFonts w:ascii="Times New Roman" w:eastAsia="Times New Roman" w:hAnsi="Times New Roman"/>
          <w:b/>
          <w:bCs/>
          <w:color w:val="000000"/>
          <w:sz w:val="26"/>
          <w:szCs w:val="26"/>
          <w:lang w:eastAsia="en-AU"/>
        </w:rPr>
        <w:t>1—Short title</w:t>
      </w:r>
    </w:p>
    <w:p w:rsidR="00A73B7F" w:rsidRPr="00A73B7F" w:rsidRDefault="00A73B7F" w:rsidP="00A73B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73B7F">
        <w:rPr>
          <w:rFonts w:ascii="Times New Roman" w:eastAsia="Times New Roman" w:hAnsi="Times New Roman"/>
          <w:color w:val="000000"/>
          <w:sz w:val="23"/>
          <w:szCs w:val="23"/>
          <w:lang w:eastAsia="en-AU"/>
        </w:rPr>
        <w:t xml:space="preserve">This proclamation may be cited as the </w:t>
      </w:r>
      <w:r w:rsidRPr="00A73B7F">
        <w:rPr>
          <w:rFonts w:ascii="Times New Roman" w:eastAsia="Times New Roman" w:hAnsi="Times New Roman"/>
          <w:i/>
          <w:iCs/>
          <w:color w:val="000000"/>
          <w:sz w:val="23"/>
          <w:szCs w:val="23"/>
          <w:lang w:eastAsia="en-AU"/>
        </w:rPr>
        <w:t>Administrative Arrangements (Administration of Recreational Greenways Act) Proclamation 2021</w:t>
      </w:r>
      <w:r w:rsidRPr="00A73B7F">
        <w:rPr>
          <w:rFonts w:ascii="Times New Roman" w:eastAsia="Times New Roman" w:hAnsi="Times New Roman"/>
          <w:color w:val="000000"/>
          <w:sz w:val="23"/>
          <w:szCs w:val="23"/>
          <w:lang w:eastAsia="en-AU"/>
        </w:rPr>
        <w:t>.</w:t>
      </w:r>
    </w:p>
    <w:p w:rsidR="00A73B7F" w:rsidRPr="00A73B7F" w:rsidRDefault="00A73B7F" w:rsidP="00A73B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73B7F">
        <w:rPr>
          <w:rFonts w:ascii="Times New Roman" w:eastAsia="Times New Roman" w:hAnsi="Times New Roman"/>
          <w:b/>
          <w:bCs/>
          <w:color w:val="000000"/>
          <w:sz w:val="26"/>
          <w:szCs w:val="26"/>
          <w:lang w:eastAsia="en-AU"/>
        </w:rPr>
        <w:t>2—Commencement</w:t>
      </w:r>
    </w:p>
    <w:p w:rsidR="00A73B7F" w:rsidRPr="00A73B7F" w:rsidRDefault="00A73B7F" w:rsidP="00A73B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73B7F">
        <w:rPr>
          <w:rFonts w:ascii="Times New Roman" w:eastAsia="Times New Roman" w:hAnsi="Times New Roman"/>
          <w:color w:val="000000"/>
          <w:sz w:val="23"/>
          <w:szCs w:val="23"/>
          <w:lang w:eastAsia="en-AU"/>
        </w:rPr>
        <w:t>This proclamation comes into operation on the day on which it is made.</w:t>
      </w:r>
    </w:p>
    <w:p w:rsidR="00A73B7F" w:rsidRPr="00A73B7F" w:rsidRDefault="00A73B7F" w:rsidP="00A73B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73B7F">
        <w:rPr>
          <w:rFonts w:ascii="Times New Roman" w:eastAsia="Times New Roman" w:hAnsi="Times New Roman"/>
          <w:b/>
          <w:bCs/>
          <w:color w:val="000000"/>
          <w:sz w:val="26"/>
          <w:szCs w:val="26"/>
          <w:lang w:eastAsia="en-AU"/>
        </w:rPr>
        <w:t>3—Administration of Act committed to Minister for Environment and Water</w:t>
      </w:r>
    </w:p>
    <w:p w:rsidR="00A73B7F" w:rsidRPr="00A73B7F" w:rsidRDefault="00A73B7F" w:rsidP="00A73B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73B7F">
        <w:rPr>
          <w:rFonts w:ascii="Times New Roman" w:eastAsia="Times New Roman" w:hAnsi="Times New Roman"/>
          <w:color w:val="000000"/>
          <w:sz w:val="23"/>
          <w:szCs w:val="23"/>
          <w:lang w:eastAsia="en-AU"/>
        </w:rPr>
        <w:t xml:space="preserve">The administration of the </w:t>
      </w:r>
      <w:hyperlink r:id="rId25" w:history="1">
        <w:r w:rsidRPr="00A73B7F">
          <w:rPr>
            <w:rFonts w:ascii="Times New Roman" w:eastAsia="Times New Roman" w:hAnsi="Times New Roman"/>
            <w:i/>
            <w:iCs/>
            <w:color w:val="000000"/>
            <w:sz w:val="23"/>
            <w:szCs w:val="23"/>
            <w:lang w:eastAsia="en-AU"/>
          </w:rPr>
          <w:t>Recreational Greenways Act 2000</w:t>
        </w:r>
      </w:hyperlink>
      <w:r w:rsidRPr="00A73B7F">
        <w:rPr>
          <w:rFonts w:ascii="Times New Roman" w:eastAsia="Times New Roman" w:hAnsi="Times New Roman"/>
          <w:color w:val="000000"/>
          <w:sz w:val="23"/>
          <w:szCs w:val="23"/>
          <w:lang w:eastAsia="en-AU"/>
        </w:rPr>
        <w:t xml:space="preserve"> is committed to the Minister for Environment and Water.</w:t>
      </w:r>
    </w:p>
    <w:p w:rsidR="00A73B7F" w:rsidRPr="00A73B7F" w:rsidRDefault="00A73B7F" w:rsidP="00A73B7F">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A73B7F">
        <w:rPr>
          <w:rFonts w:ascii="Times New Roman" w:eastAsia="Times New Roman" w:hAnsi="Times New Roman"/>
          <w:b/>
          <w:bCs/>
          <w:color w:val="000000"/>
          <w:sz w:val="26"/>
          <w:szCs w:val="26"/>
          <w:lang w:eastAsia="en-AU"/>
        </w:rPr>
        <w:t>Made by the Governor</w:t>
      </w:r>
    </w:p>
    <w:p w:rsidR="00A73B7F" w:rsidRPr="00A73B7F" w:rsidRDefault="00A73B7F" w:rsidP="00A73B7F">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A73B7F">
        <w:rPr>
          <w:rFonts w:ascii="Times New Roman" w:eastAsia="Times New Roman" w:hAnsi="Times New Roman"/>
          <w:color w:val="000000"/>
          <w:sz w:val="23"/>
          <w:szCs w:val="23"/>
          <w:lang w:eastAsia="en-AU"/>
        </w:rPr>
        <w:t>with the advice and consent of the Executive Council</w:t>
      </w:r>
    </w:p>
    <w:p w:rsidR="00A73B7F" w:rsidRPr="00A73B7F" w:rsidRDefault="00A73B7F" w:rsidP="00A73B7F">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A73B7F">
        <w:rPr>
          <w:rFonts w:ascii="Times New Roman" w:eastAsia="Times New Roman" w:hAnsi="Times New Roman"/>
          <w:color w:val="000000"/>
          <w:sz w:val="23"/>
          <w:szCs w:val="23"/>
          <w:lang w:eastAsia="en-AU"/>
        </w:rPr>
        <w:t>on 23 December 2021</w:t>
      </w:r>
    </w:p>
    <w:p w:rsidR="00A73B7F" w:rsidRDefault="00A73B7F">
      <w:pPr>
        <w:spacing w:after="0" w:line="240" w:lineRule="auto"/>
        <w:jc w:val="left"/>
        <w:rPr>
          <w:rFonts w:ascii="Times New Roman" w:eastAsia="Times New Roman" w:hAnsi="Times New Roman"/>
          <w:sz w:val="17"/>
          <w:szCs w:val="17"/>
        </w:rPr>
      </w:pPr>
      <w:r>
        <w:br w:type="page"/>
      </w:r>
    </w:p>
    <w:p w:rsidR="00976F76" w:rsidRPr="00976F76" w:rsidRDefault="00976F76" w:rsidP="00976F76">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976F76">
        <w:rPr>
          <w:rFonts w:ascii="Times New Roman" w:eastAsia="Times New Roman" w:hAnsi="Times New Roman"/>
          <w:color w:val="000000"/>
          <w:sz w:val="28"/>
          <w:szCs w:val="28"/>
          <w:lang w:eastAsia="en-AU"/>
        </w:rPr>
        <w:lastRenderedPageBreak/>
        <w:t>South Australia</w:t>
      </w:r>
    </w:p>
    <w:p w:rsidR="00976F76" w:rsidRPr="00976F76" w:rsidRDefault="00976F76" w:rsidP="00D8720A">
      <w:pPr>
        <w:pStyle w:val="Heading3"/>
        <w:rPr>
          <w:lang w:eastAsia="en-AU"/>
        </w:rPr>
      </w:pPr>
      <w:bookmarkStart w:id="9" w:name="_Toc91161241"/>
      <w:r w:rsidRPr="00976F76">
        <w:rPr>
          <w:lang w:eastAsia="en-AU"/>
        </w:rPr>
        <w:t>Administrative Arrangements (Reference to Minister) Proclamation 2021</w:t>
      </w:r>
      <w:bookmarkEnd w:id="9"/>
    </w:p>
    <w:p w:rsidR="00976F76" w:rsidRPr="00976F76" w:rsidRDefault="00976F76" w:rsidP="00976F76">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976F76">
        <w:rPr>
          <w:rFonts w:ascii="Times New Roman" w:eastAsia="Times New Roman" w:hAnsi="Times New Roman"/>
          <w:color w:val="000000"/>
          <w:sz w:val="24"/>
          <w:szCs w:val="24"/>
          <w:lang w:eastAsia="en-AU"/>
        </w:rPr>
        <w:t xml:space="preserve">under section 8 of the </w:t>
      </w:r>
      <w:r w:rsidRPr="00976F76">
        <w:rPr>
          <w:rFonts w:ascii="Times New Roman" w:eastAsia="Times New Roman" w:hAnsi="Times New Roman"/>
          <w:i/>
          <w:iCs/>
          <w:color w:val="000000"/>
          <w:sz w:val="24"/>
          <w:szCs w:val="24"/>
          <w:lang w:eastAsia="en-AU"/>
        </w:rPr>
        <w:t>Administrative Arrangements Act 1994</w:t>
      </w:r>
    </w:p>
    <w:p w:rsidR="00976F76" w:rsidRPr="00976F76" w:rsidRDefault="00976F76" w:rsidP="00976F7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976F76">
        <w:rPr>
          <w:rFonts w:ascii="Times New Roman" w:eastAsia="Times New Roman" w:hAnsi="Times New Roman"/>
          <w:b/>
          <w:bCs/>
          <w:color w:val="000000"/>
          <w:sz w:val="26"/>
          <w:szCs w:val="26"/>
          <w:lang w:eastAsia="en-AU"/>
        </w:rPr>
        <w:t>1—Short title</w:t>
      </w:r>
    </w:p>
    <w:p w:rsidR="00976F76" w:rsidRPr="00976F76" w:rsidRDefault="00976F76" w:rsidP="00976F7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 xml:space="preserve">This proclamation may be cited as the </w:t>
      </w:r>
      <w:r w:rsidRPr="00976F76">
        <w:rPr>
          <w:rFonts w:ascii="Times New Roman" w:eastAsia="Times New Roman" w:hAnsi="Times New Roman"/>
          <w:i/>
          <w:iCs/>
          <w:color w:val="000000"/>
          <w:sz w:val="23"/>
          <w:szCs w:val="23"/>
          <w:lang w:eastAsia="en-AU"/>
        </w:rPr>
        <w:t>Administrative Arrangements (Reference to Minister) Proclamation 2021</w:t>
      </w:r>
      <w:r w:rsidRPr="00976F76">
        <w:rPr>
          <w:rFonts w:ascii="Times New Roman" w:eastAsia="Times New Roman" w:hAnsi="Times New Roman"/>
          <w:color w:val="000000"/>
          <w:sz w:val="23"/>
          <w:szCs w:val="23"/>
          <w:lang w:eastAsia="en-AU"/>
        </w:rPr>
        <w:t>.</w:t>
      </w:r>
    </w:p>
    <w:p w:rsidR="00976F76" w:rsidRPr="00976F76" w:rsidRDefault="00976F76" w:rsidP="00976F7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976F76">
        <w:rPr>
          <w:rFonts w:ascii="Times New Roman" w:eastAsia="Times New Roman" w:hAnsi="Times New Roman"/>
          <w:b/>
          <w:bCs/>
          <w:color w:val="000000"/>
          <w:sz w:val="26"/>
          <w:szCs w:val="26"/>
          <w:lang w:eastAsia="en-AU"/>
        </w:rPr>
        <w:t>2—Commencement</w:t>
      </w:r>
    </w:p>
    <w:p w:rsidR="00976F76" w:rsidRPr="00976F76" w:rsidRDefault="00976F76" w:rsidP="00976F7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This proclamation comes into operation on the day on which it is made.</w:t>
      </w:r>
    </w:p>
    <w:p w:rsidR="00976F76" w:rsidRPr="00976F76" w:rsidRDefault="00976F76" w:rsidP="00976F7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976F76">
        <w:rPr>
          <w:rFonts w:ascii="Times New Roman" w:eastAsia="Times New Roman" w:hAnsi="Times New Roman"/>
          <w:b/>
          <w:bCs/>
          <w:color w:val="000000"/>
          <w:sz w:val="26"/>
          <w:szCs w:val="26"/>
          <w:lang w:eastAsia="en-AU"/>
        </w:rPr>
        <w:t>3—Interpretative provision</w:t>
      </w:r>
    </w:p>
    <w:p w:rsidR="00976F76" w:rsidRPr="00976F76" w:rsidRDefault="00976F76" w:rsidP="00976F7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 xml:space="preserve">A reference to the Minister responsible for the administration of the </w:t>
      </w:r>
      <w:hyperlink r:id="rId26" w:history="1">
        <w:r w:rsidRPr="00976F76">
          <w:rPr>
            <w:rFonts w:ascii="Times New Roman" w:eastAsia="Times New Roman" w:hAnsi="Times New Roman"/>
            <w:i/>
            <w:iCs/>
            <w:color w:val="000000"/>
            <w:sz w:val="23"/>
            <w:szCs w:val="23"/>
            <w:lang w:eastAsia="en-AU"/>
          </w:rPr>
          <w:t>Recreational Greenways Act 2000</w:t>
        </w:r>
      </w:hyperlink>
      <w:r w:rsidRPr="00976F76">
        <w:rPr>
          <w:rFonts w:ascii="Times New Roman" w:eastAsia="Times New Roman" w:hAnsi="Times New Roman"/>
          <w:color w:val="000000"/>
          <w:sz w:val="23"/>
          <w:szCs w:val="23"/>
          <w:lang w:eastAsia="en-AU"/>
        </w:rPr>
        <w:t xml:space="preserve"> in the definition of </w:t>
      </w:r>
      <w:r w:rsidRPr="00976F76">
        <w:rPr>
          <w:rFonts w:ascii="Times New Roman" w:eastAsia="Times New Roman" w:hAnsi="Times New Roman"/>
          <w:b/>
          <w:bCs/>
          <w:i/>
          <w:iCs/>
          <w:color w:val="000000"/>
          <w:sz w:val="23"/>
          <w:szCs w:val="23"/>
          <w:lang w:eastAsia="en-AU"/>
        </w:rPr>
        <w:t>prescribed Minister</w:t>
      </w:r>
      <w:r w:rsidRPr="00976F76">
        <w:rPr>
          <w:rFonts w:ascii="Times New Roman" w:eastAsia="Times New Roman" w:hAnsi="Times New Roman"/>
          <w:color w:val="000000"/>
          <w:sz w:val="23"/>
          <w:szCs w:val="23"/>
          <w:lang w:eastAsia="en-AU"/>
        </w:rPr>
        <w:t xml:space="preserve"> in section 73A(7) of the </w:t>
      </w:r>
      <w:hyperlink r:id="rId27" w:history="1">
        <w:r w:rsidRPr="00976F76">
          <w:rPr>
            <w:rFonts w:ascii="Times New Roman" w:eastAsia="Times New Roman" w:hAnsi="Times New Roman"/>
            <w:i/>
            <w:iCs/>
            <w:color w:val="000000"/>
            <w:sz w:val="23"/>
            <w:szCs w:val="23"/>
            <w:lang w:eastAsia="en-AU"/>
          </w:rPr>
          <w:t>Gaming Machines Act 1992</w:t>
        </w:r>
      </w:hyperlink>
      <w:r w:rsidRPr="00976F76">
        <w:rPr>
          <w:rFonts w:ascii="Times New Roman" w:eastAsia="Times New Roman" w:hAnsi="Times New Roman"/>
          <w:color w:val="000000"/>
          <w:sz w:val="23"/>
          <w:szCs w:val="23"/>
          <w:lang w:eastAsia="en-AU"/>
        </w:rPr>
        <w:t xml:space="preserve"> will have effect as if it were a reference to the Minister for Recreation, Sport and Racing.</w:t>
      </w:r>
    </w:p>
    <w:p w:rsidR="00976F76" w:rsidRPr="00976F76" w:rsidRDefault="00976F76" w:rsidP="00976F76">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976F76">
        <w:rPr>
          <w:rFonts w:ascii="Times New Roman" w:eastAsia="Times New Roman" w:hAnsi="Times New Roman"/>
          <w:b/>
          <w:bCs/>
          <w:color w:val="000000"/>
          <w:sz w:val="26"/>
          <w:szCs w:val="26"/>
          <w:lang w:eastAsia="en-AU"/>
        </w:rPr>
        <w:t>Made by the Governor</w:t>
      </w:r>
    </w:p>
    <w:p w:rsidR="00976F76" w:rsidRPr="00976F76" w:rsidRDefault="00976F76" w:rsidP="00976F76">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with the advice and consent of the Executive Council</w:t>
      </w:r>
    </w:p>
    <w:p w:rsidR="00976F76" w:rsidRPr="00976F76" w:rsidRDefault="00976F76" w:rsidP="00976F76">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on 23 December 2021</w:t>
      </w:r>
    </w:p>
    <w:p w:rsidR="00976F76" w:rsidRDefault="00976F76">
      <w:pPr>
        <w:spacing w:after="0" w:line="240" w:lineRule="auto"/>
        <w:jc w:val="left"/>
        <w:rPr>
          <w:rFonts w:ascii="Times New Roman" w:eastAsia="Times New Roman" w:hAnsi="Times New Roman"/>
          <w:sz w:val="17"/>
          <w:szCs w:val="17"/>
        </w:rPr>
      </w:pPr>
      <w:r>
        <w:br w:type="page"/>
      </w:r>
    </w:p>
    <w:p w:rsidR="00976F76" w:rsidRPr="00976F76" w:rsidRDefault="00976F76" w:rsidP="00976F76">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976F76">
        <w:rPr>
          <w:rFonts w:ascii="Times New Roman" w:eastAsia="Times New Roman" w:hAnsi="Times New Roman"/>
          <w:color w:val="000000"/>
          <w:sz w:val="28"/>
          <w:szCs w:val="28"/>
          <w:lang w:eastAsia="en-AU"/>
        </w:rPr>
        <w:lastRenderedPageBreak/>
        <w:t>South Australia</w:t>
      </w:r>
    </w:p>
    <w:p w:rsidR="00976F76" w:rsidRPr="00976F76" w:rsidRDefault="00976F76" w:rsidP="00D8720A">
      <w:pPr>
        <w:pStyle w:val="Heading3"/>
        <w:rPr>
          <w:lang w:eastAsia="en-AU"/>
        </w:rPr>
      </w:pPr>
      <w:bookmarkStart w:id="10" w:name="_Toc91161242"/>
      <w:r w:rsidRPr="00976F76">
        <w:rPr>
          <w:lang w:eastAsia="en-AU"/>
        </w:rPr>
        <w:t>South Australian Civil and Administrative Tribunal (Designation of Magistrate as Member of Tribunal) Proclamation 2021</w:t>
      </w:r>
      <w:bookmarkEnd w:id="10"/>
    </w:p>
    <w:p w:rsidR="00976F76" w:rsidRPr="00976F76" w:rsidRDefault="00976F76" w:rsidP="00976F76">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976F76">
        <w:rPr>
          <w:rFonts w:ascii="Times New Roman" w:eastAsia="Times New Roman" w:hAnsi="Times New Roman"/>
          <w:color w:val="000000"/>
          <w:sz w:val="24"/>
          <w:szCs w:val="24"/>
          <w:lang w:eastAsia="en-AU"/>
        </w:rPr>
        <w:t xml:space="preserve">under section 18 of the </w:t>
      </w:r>
      <w:r w:rsidRPr="00976F76">
        <w:rPr>
          <w:rFonts w:ascii="Times New Roman" w:eastAsia="Times New Roman" w:hAnsi="Times New Roman"/>
          <w:i/>
          <w:iCs/>
          <w:color w:val="000000"/>
          <w:sz w:val="24"/>
          <w:szCs w:val="24"/>
          <w:lang w:eastAsia="en-AU"/>
        </w:rPr>
        <w:t>South Australian Civil and Administrative Tribunal Act 2013</w:t>
      </w:r>
    </w:p>
    <w:p w:rsidR="00976F76" w:rsidRPr="00976F76" w:rsidRDefault="00976F76" w:rsidP="00976F7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976F76">
        <w:rPr>
          <w:rFonts w:ascii="Times New Roman" w:eastAsia="Times New Roman" w:hAnsi="Times New Roman"/>
          <w:b/>
          <w:bCs/>
          <w:color w:val="000000"/>
          <w:sz w:val="26"/>
          <w:szCs w:val="26"/>
          <w:lang w:eastAsia="en-AU"/>
        </w:rPr>
        <w:t>1—Short title</w:t>
      </w:r>
    </w:p>
    <w:p w:rsidR="00976F76" w:rsidRPr="00976F76" w:rsidRDefault="00976F76" w:rsidP="00976F7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 xml:space="preserve">This proclamation may be cited as the </w:t>
      </w:r>
      <w:r w:rsidRPr="00976F76">
        <w:rPr>
          <w:rFonts w:ascii="Times New Roman" w:eastAsia="Times New Roman" w:hAnsi="Times New Roman"/>
          <w:i/>
          <w:iCs/>
          <w:color w:val="000000"/>
          <w:sz w:val="23"/>
          <w:szCs w:val="23"/>
          <w:lang w:eastAsia="en-AU"/>
        </w:rPr>
        <w:t>South Australian Civil and Administrative Tribunal (Designation of Magistrate as Member of Tribunal) Proclamation 2021</w:t>
      </w:r>
      <w:r w:rsidRPr="00976F76">
        <w:rPr>
          <w:rFonts w:ascii="Times New Roman" w:eastAsia="Times New Roman" w:hAnsi="Times New Roman"/>
          <w:color w:val="000000"/>
          <w:sz w:val="23"/>
          <w:szCs w:val="23"/>
          <w:lang w:eastAsia="en-AU"/>
        </w:rPr>
        <w:t>.</w:t>
      </w:r>
    </w:p>
    <w:p w:rsidR="00976F76" w:rsidRPr="00976F76" w:rsidRDefault="00976F76" w:rsidP="00976F7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976F76">
        <w:rPr>
          <w:rFonts w:ascii="Times New Roman" w:eastAsia="Times New Roman" w:hAnsi="Times New Roman"/>
          <w:b/>
          <w:bCs/>
          <w:color w:val="000000"/>
          <w:sz w:val="26"/>
          <w:szCs w:val="26"/>
          <w:lang w:eastAsia="en-AU"/>
        </w:rPr>
        <w:t>2—Commencement</w:t>
      </w:r>
    </w:p>
    <w:p w:rsidR="00976F76" w:rsidRPr="00976F76" w:rsidRDefault="00976F76" w:rsidP="00976F7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This proclamation comes into operation on 17 January 2022.</w:t>
      </w:r>
    </w:p>
    <w:p w:rsidR="00976F76" w:rsidRPr="00976F76" w:rsidRDefault="00976F76" w:rsidP="00976F7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976F76">
        <w:rPr>
          <w:rFonts w:ascii="Times New Roman" w:eastAsia="Times New Roman" w:hAnsi="Times New Roman"/>
          <w:b/>
          <w:bCs/>
          <w:color w:val="000000"/>
          <w:sz w:val="26"/>
          <w:szCs w:val="26"/>
          <w:lang w:eastAsia="en-AU"/>
        </w:rPr>
        <w:t>3—Designation of magistrate as member of Tribunal</w:t>
      </w:r>
    </w:p>
    <w:p w:rsidR="00976F76" w:rsidRPr="00976F76" w:rsidRDefault="00976F76" w:rsidP="00976F7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 xml:space="preserve">The following magistrate holding office under the </w:t>
      </w:r>
      <w:hyperlink r:id="rId28" w:history="1">
        <w:r w:rsidRPr="00976F76">
          <w:rPr>
            <w:rFonts w:ascii="Times New Roman" w:eastAsia="Times New Roman" w:hAnsi="Times New Roman"/>
            <w:i/>
            <w:iCs/>
            <w:color w:val="000000"/>
            <w:sz w:val="23"/>
            <w:szCs w:val="23"/>
            <w:lang w:eastAsia="en-AU"/>
          </w:rPr>
          <w:t>Magistrates Act 1983</w:t>
        </w:r>
      </w:hyperlink>
      <w:r w:rsidRPr="00976F76">
        <w:rPr>
          <w:rFonts w:ascii="Times New Roman" w:eastAsia="Times New Roman" w:hAnsi="Times New Roman"/>
          <w:color w:val="000000"/>
          <w:sz w:val="23"/>
          <w:szCs w:val="23"/>
          <w:lang w:eastAsia="en-AU"/>
        </w:rPr>
        <w:t xml:space="preserve"> is designated as a member of the South Australian Civil and Administrative Tribunal:</w:t>
      </w:r>
    </w:p>
    <w:p w:rsidR="00976F76" w:rsidRPr="00976F76" w:rsidRDefault="00976F76" w:rsidP="00976F7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Edward Paul Stratton</w:t>
      </w:r>
      <w:r w:rsidRPr="00976F76">
        <w:rPr>
          <w:rFonts w:ascii="Times New Roman" w:eastAsia="Times New Roman" w:hAnsi="Times New Roman"/>
          <w:color w:val="000000"/>
          <w:sz w:val="23"/>
          <w:szCs w:val="23"/>
          <w:lang w:eastAsia="en-AU"/>
        </w:rPr>
        <w:noBreakHyphen/>
        <w:t>Smith</w:t>
      </w:r>
    </w:p>
    <w:p w:rsidR="00976F76" w:rsidRPr="00976F76" w:rsidRDefault="00976F76" w:rsidP="00976F76">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976F76">
        <w:rPr>
          <w:rFonts w:ascii="Times New Roman" w:eastAsia="Times New Roman" w:hAnsi="Times New Roman"/>
          <w:b/>
          <w:bCs/>
          <w:color w:val="000000"/>
          <w:sz w:val="26"/>
          <w:szCs w:val="26"/>
          <w:lang w:eastAsia="en-AU"/>
        </w:rPr>
        <w:t>Made by the Governor</w:t>
      </w:r>
    </w:p>
    <w:p w:rsidR="00976F76" w:rsidRPr="00976F76" w:rsidRDefault="00976F76" w:rsidP="00976F76">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on the recommendation of the Minister for Planning and Local Government (exercising the powers and functions of the Attorney</w:t>
      </w:r>
      <w:r w:rsidRPr="00976F76">
        <w:rPr>
          <w:rFonts w:ascii="Times New Roman" w:eastAsia="Times New Roman" w:hAnsi="Times New Roman"/>
          <w:color w:val="000000"/>
          <w:sz w:val="23"/>
          <w:szCs w:val="23"/>
          <w:lang w:eastAsia="en-AU"/>
        </w:rPr>
        <w:noBreakHyphen/>
        <w:t>General) after consultation by the Minister with the President of the South Australian Civil and Administrative Tribunal and by the Attorney</w:t>
      </w:r>
      <w:r w:rsidRPr="00976F76">
        <w:rPr>
          <w:rFonts w:ascii="Times New Roman" w:eastAsia="Times New Roman" w:hAnsi="Times New Roman"/>
          <w:color w:val="000000"/>
          <w:sz w:val="23"/>
          <w:szCs w:val="23"/>
          <w:lang w:eastAsia="en-AU"/>
        </w:rPr>
        <w:noBreakHyphen/>
        <w:t>General with the Chief Magistrate and with the advice and consent of the Executive Council</w:t>
      </w:r>
    </w:p>
    <w:p w:rsidR="00976F76" w:rsidRPr="00976F76" w:rsidRDefault="00976F76" w:rsidP="00976F76">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on 23 December 2021</w:t>
      </w:r>
    </w:p>
    <w:p w:rsidR="00976F76" w:rsidRDefault="00976F76">
      <w:pPr>
        <w:spacing w:after="0" w:line="240" w:lineRule="auto"/>
        <w:jc w:val="left"/>
        <w:rPr>
          <w:rFonts w:ascii="Times New Roman" w:eastAsia="Times New Roman" w:hAnsi="Times New Roman"/>
          <w:color w:val="000000"/>
          <w:sz w:val="28"/>
          <w:szCs w:val="28"/>
          <w:lang w:eastAsia="en-AU"/>
        </w:rPr>
      </w:pPr>
    </w:p>
    <w:p w:rsidR="00976F76" w:rsidRDefault="00976F76">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976F76" w:rsidRPr="00976F76" w:rsidRDefault="00976F76" w:rsidP="00976F76">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976F76">
        <w:rPr>
          <w:rFonts w:ascii="Times New Roman" w:eastAsia="Times New Roman" w:hAnsi="Times New Roman"/>
          <w:color w:val="000000"/>
          <w:sz w:val="28"/>
          <w:szCs w:val="28"/>
          <w:lang w:eastAsia="en-AU"/>
        </w:rPr>
        <w:lastRenderedPageBreak/>
        <w:t>South Australia</w:t>
      </w:r>
    </w:p>
    <w:p w:rsidR="00976F76" w:rsidRPr="00976F76" w:rsidRDefault="00976F76" w:rsidP="00D8720A">
      <w:pPr>
        <w:pStyle w:val="Heading3"/>
        <w:rPr>
          <w:lang w:eastAsia="en-AU"/>
        </w:rPr>
      </w:pPr>
      <w:bookmarkStart w:id="11" w:name="_Toc91161243"/>
      <w:r w:rsidRPr="00976F76">
        <w:rPr>
          <w:lang w:eastAsia="en-AU"/>
        </w:rPr>
        <w:t>South Australian Civil and Administrative Tribunal (Designation of Magistrate as Member of Tribunal) Proclamation 2021</w:t>
      </w:r>
      <w:bookmarkEnd w:id="11"/>
    </w:p>
    <w:p w:rsidR="00976F76" w:rsidRPr="00976F76" w:rsidRDefault="00976F76" w:rsidP="00976F76">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976F76">
        <w:rPr>
          <w:rFonts w:ascii="Times New Roman" w:eastAsia="Times New Roman" w:hAnsi="Times New Roman"/>
          <w:color w:val="000000"/>
          <w:sz w:val="24"/>
          <w:szCs w:val="24"/>
          <w:lang w:eastAsia="en-AU"/>
        </w:rPr>
        <w:t xml:space="preserve">under section 18 of the </w:t>
      </w:r>
      <w:r w:rsidRPr="00976F76">
        <w:rPr>
          <w:rFonts w:ascii="Times New Roman" w:eastAsia="Times New Roman" w:hAnsi="Times New Roman"/>
          <w:i/>
          <w:iCs/>
          <w:color w:val="000000"/>
          <w:sz w:val="24"/>
          <w:szCs w:val="24"/>
          <w:lang w:eastAsia="en-AU"/>
        </w:rPr>
        <w:t>South Australian Civil and Administrative Tribunal Act 2013</w:t>
      </w:r>
    </w:p>
    <w:p w:rsidR="00976F76" w:rsidRPr="00976F76" w:rsidRDefault="00976F76" w:rsidP="00976F7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976F76">
        <w:rPr>
          <w:rFonts w:ascii="Times New Roman" w:eastAsia="Times New Roman" w:hAnsi="Times New Roman"/>
          <w:b/>
          <w:bCs/>
          <w:color w:val="000000"/>
          <w:sz w:val="26"/>
          <w:szCs w:val="26"/>
          <w:lang w:eastAsia="en-AU"/>
        </w:rPr>
        <w:t>1—Short title</w:t>
      </w:r>
    </w:p>
    <w:p w:rsidR="00976F76" w:rsidRPr="00976F76" w:rsidRDefault="00976F76" w:rsidP="00976F7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 xml:space="preserve">This proclamation may be cited as the </w:t>
      </w:r>
      <w:r w:rsidRPr="00976F76">
        <w:rPr>
          <w:rFonts w:ascii="Times New Roman" w:eastAsia="Times New Roman" w:hAnsi="Times New Roman"/>
          <w:i/>
          <w:iCs/>
          <w:color w:val="000000"/>
          <w:sz w:val="23"/>
          <w:szCs w:val="23"/>
          <w:lang w:eastAsia="en-AU"/>
        </w:rPr>
        <w:t>South Australian Civil and Administrative Tribunal (Designation of Magistrate as Member of Tribunal) Proclamation 2021</w:t>
      </w:r>
      <w:r w:rsidRPr="00976F76">
        <w:rPr>
          <w:rFonts w:ascii="Times New Roman" w:eastAsia="Times New Roman" w:hAnsi="Times New Roman"/>
          <w:color w:val="000000"/>
          <w:sz w:val="23"/>
          <w:szCs w:val="23"/>
          <w:lang w:eastAsia="en-AU"/>
        </w:rPr>
        <w:t>.</w:t>
      </w:r>
    </w:p>
    <w:p w:rsidR="00976F76" w:rsidRPr="00976F76" w:rsidRDefault="00976F76" w:rsidP="00976F7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976F76">
        <w:rPr>
          <w:rFonts w:ascii="Times New Roman" w:eastAsia="Times New Roman" w:hAnsi="Times New Roman"/>
          <w:b/>
          <w:bCs/>
          <w:color w:val="000000"/>
          <w:sz w:val="26"/>
          <w:szCs w:val="26"/>
          <w:lang w:eastAsia="en-AU"/>
        </w:rPr>
        <w:t>2—Commencement</w:t>
      </w:r>
    </w:p>
    <w:p w:rsidR="00976F76" w:rsidRPr="00976F76" w:rsidRDefault="00976F76" w:rsidP="00976F7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This proclamation comes into operation on 6 January 2022.</w:t>
      </w:r>
    </w:p>
    <w:p w:rsidR="00976F76" w:rsidRPr="00976F76" w:rsidRDefault="00976F76" w:rsidP="00976F7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976F76">
        <w:rPr>
          <w:rFonts w:ascii="Times New Roman" w:eastAsia="Times New Roman" w:hAnsi="Times New Roman"/>
          <w:b/>
          <w:bCs/>
          <w:color w:val="000000"/>
          <w:sz w:val="26"/>
          <w:szCs w:val="26"/>
          <w:lang w:eastAsia="en-AU"/>
        </w:rPr>
        <w:t>3—Designation of magistrate as member of Tribunal</w:t>
      </w:r>
    </w:p>
    <w:p w:rsidR="00976F76" w:rsidRPr="00976F76" w:rsidRDefault="00976F76" w:rsidP="00976F7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 xml:space="preserve">The following magistrate holding office under the </w:t>
      </w:r>
      <w:hyperlink r:id="rId29" w:history="1">
        <w:r w:rsidRPr="00976F76">
          <w:rPr>
            <w:rFonts w:ascii="Times New Roman" w:eastAsia="Times New Roman" w:hAnsi="Times New Roman"/>
            <w:i/>
            <w:iCs/>
            <w:color w:val="000000"/>
            <w:sz w:val="23"/>
            <w:szCs w:val="23"/>
            <w:lang w:eastAsia="en-AU"/>
          </w:rPr>
          <w:t>Magistrates Act 1983</w:t>
        </w:r>
      </w:hyperlink>
      <w:r w:rsidRPr="00976F76">
        <w:rPr>
          <w:rFonts w:ascii="Times New Roman" w:eastAsia="Times New Roman" w:hAnsi="Times New Roman"/>
          <w:color w:val="000000"/>
          <w:sz w:val="23"/>
          <w:szCs w:val="23"/>
          <w:lang w:eastAsia="en-AU"/>
        </w:rPr>
        <w:t xml:space="preserve"> is designated as a member of the South Australian Civil and Administrative Tribunal:</w:t>
      </w:r>
    </w:p>
    <w:p w:rsidR="00976F76" w:rsidRPr="00976F76" w:rsidRDefault="00976F76" w:rsidP="00976F7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Justin Peter Wickens</w:t>
      </w:r>
    </w:p>
    <w:p w:rsidR="00976F76" w:rsidRPr="00976F76" w:rsidRDefault="00976F76" w:rsidP="00976F76">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976F76">
        <w:rPr>
          <w:rFonts w:ascii="Times New Roman" w:eastAsia="Times New Roman" w:hAnsi="Times New Roman"/>
          <w:b/>
          <w:bCs/>
          <w:color w:val="000000"/>
          <w:sz w:val="26"/>
          <w:szCs w:val="26"/>
          <w:lang w:eastAsia="en-AU"/>
        </w:rPr>
        <w:t>Made by the Governor</w:t>
      </w:r>
    </w:p>
    <w:p w:rsidR="00976F76" w:rsidRPr="00976F76" w:rsidRDefault="00976F76" w:rsidP="00976F76">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on the recommendation of the Minister for Planning and Local Government (exercising the powers and functions of the Attorney</w:t>
      </w:r>
      <w:r w:rsidRPr="00976F76">
        <w:rPr>
          <w:rFonts w:ascii="Times New Roman" w:eastAsia="Times New Roman" w:hAnsi="Times New Roman"/>
          <w:color w:val="000000"/>
          <w:sz w:val="23"/>
          <w:szCs w:val="23"/>
          <w:lang w:eastAsia="en-AU"/>
        </w:rPr>
        <w:noBreakHyphen/>
        <w:t>General) after consultation by the Minister with the President of the South Australian Civil and Administrative Tribunal and by the Attorney</w:t>
      </w:r>
      <w:r w:rsidRPr="00976F76">
        <w:rPr>
          <w:rFonts w:ascii="Times New Roman" w:eastAsia="Times New Roman" w:hAnsi="Times New Roman"/>
          <w:color w:val="000000"/>
          <w:sz w:val="23"/>
          <w:szCs w:val="23"/>
          <w:lang w:eastAsia="en-AU"/>
        </w:rPr>
        <w:noBreakHyphen/>
        <w:t>General with the Chief Magistrate and with the advice and consent of the Executive Council</w:t>
      </w:r>
    </w:p>
    <w:p w:rsidR="00976F76" w:rsidRPr="00976F76" w:rsidRDefault="00976F76" w:rsidP="00976F76">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976F76">
        <w:rPr>
          <w:rFonts w:ascii="Times New Roman" w:eastAsia="Times New Roman" w:hAnsi="Times New Roman"/>
          <w:color w:val="000000"/>
          <w:sz w:val="23"/>
          <w:szCs w:val="23"/>
          <w:lang w:eastAsia="en-AU"/>
        </w:rPr>
        <w:t>on 23 December 2021</w:t>
      </w:r>
    </w:p>
    <w:p w:rsidR="00976F76" w:rsidRDefault="00976F76">
      <w:pPr>
        <w:spacing w:after="0" w:line="240" w:lineRule="auto"/>
        <w:jc w:val="left"/>
        <w:rPr>
          <w:rFonts w:ascii="Times New Roman" w:eastAsia="Times New Roman" w:hAnsi="Times New Roman"/>
          <w:sz w:val="17"/>
          <w:szCs w:val="17"/>
        </w:rPr>
      </w:pPr>
      <w:r>
        <w:br w:type="page"/>
      </w:r>
    </w:p>
    <w:p w:rsidR="005F63C8" w:rsidRPr="005F63C8" w:rsidRDefault="005F63C8" w:rsidP="005F63C8">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5F63C8">
        <w:rPr>
          <w:rFonts w:ascii="Times New Roman" w:eastAsia="Times New Roman" w:hAnsi="Times New Roman"/>
          <w:color w:val="000000"/>
          <w:sz w:val="28"/>
          <w:szCs w:val="28"/>
          <w:lang w:eastAsia="en-AU"/>
        </w:rPr>
        <w:lastRenderedPageBreak/>
        <w:t>South Australia</w:t>
      </w:r>
    </w:p>
    <w:p w:rsidR="005F63C8" w:rsidRPr="005F63C8" w:rsidRDefault="005F63C8" w:rsidP="00D8720A">
      <w:pPr>
        <w:pStyle w:val="Heading3"/>
        <w:rPr>
          <w:lang w:eastAsia="en-AU"/>
        </w:rPr>
      </w:pPr>
      <w:bookmarkStart w:id="12" w:name="_Toc91161244"/>
      <w:r w:rsidRPr="005F63C8">
        <w:rPr>
          <w:lang w:eastAsia="en-AU"/>
        </w:rPr>
        <w:t>Youth Court (Designation and Classification of Magistrate) (Ancillary Judiciary) Proclamation 2021</w:t>
      </w:r>
      <w:bookmarkEnd w:id="12"/>
    </w:p>
    <w:p w:rsidR="005F63C8" w:rsidRPr="005F63C8" w:rsidRDefault="005F63C8" w:rsidP="005F63C8">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5F63C8">
        <w:rPr>
          <w:rFonts w:ascii="Times New Roman" w:eastAsia="Times New Roman" w:hAnsi="Times New Roman"/>
          <w:color w:val="000000"/>
          <w:sz w:val="24"/>
          <w:szCs w:val="24"/>
          <w:lang w:eastAsia="en-AU"/>
        </w:rPr>
        <w:t xml:space="preserve">under section 9 of the </w:t>
      </w:r>
      <w:r w:rsidRPr="005F63C8">
        <w:rPr>
          <w:rFonts w:ascii="Times New Roman" w:eastAsia="Times New Roman" w:hAnsi="Times New Roman"/>
          <w:i/>
          <w:iCs/>
          <w:color w:val="000000"/>
          <w:sz w:val="24"/>
          <w:szCs w:val="24"/>
          <w:lang w:eastAsia="en-AU"/>
        </w:rPr>
        <w:t>Youth Court Act 1993</w:t>
      </w:r>
    </w:p>
    <w:p w:rsidR="005F63C8" w:rsidRPr="005F63C8" w:rsidRDefault="005F63C8" w:rsidP="005F63C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F63C8">
        <w:rPr>
          <w:rFonts w:ascii="Times New Roman" w:eastAsia="Times New Roman" w:hAnsi="Times New Roman"/>
          <w:b/>
          <w:bCs/>
          <w:color w:val="000000"/>
          <w:sz w:val="26"/>
          <w:szCs w:val="26"/>
          <w:lang w:eastAsia="en-AU"/>
        </w:rPr>
        <w:t>1—Short title</w:t>
      </w:r>
    </w:p>
    <w:p w:rsidR="005F63C8" w:rsidRPr="005F63C8" w:rsidRDefault="005F63C8" w:rsidP="005F63C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 xml:space="preserve">This proclamation may be cited as the </w:t>
      </w:r>
      <w:r w:rsidRPr="005F63C8">
        <w:rPr>
          <w:rFonts w:ascii="Times New Roman" w:eastAsia="Times New Roman" w:hAnsi="Times New Roman"/>
          <w:i/>
          <w:iCs/>
          <w:color w:val="000000"/>
          <w:sz w:val="23"/>
          <w:szCs w:val="23"/>
          <w:lang w:eastAsia="en-AU"/>
        </w:rPr>
        <w:t>Youth Court (Designation and Classification of Magistrate) (Ancillary Judiciary) Proclamation 2021</w:t>
      </w:r>
      <w:r w:rsidRPr="005F63C8">
        <w:rPr>
          <w:rFonts w:ascii="Times New Roman" w:eastAsia="Times New Roman" w:hAnsi="Times New Roman"/>
          <w:color w:val="000000"/>
          <w:sz w:val="23"/>
          <w:szCs w:val="23"/>
          <w:lang w:eastAsia="en-AU"/>
        </w:rPr>
        <w:t>.</w:t>
      </w:r>
    </w:p>
    <w:p w:rsidR="005F63C8" w:rsidRPr="005F63C8" w:rsidRDefault="005F63C8" w:rsidP="005F63C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F63C8">
        <w:rPr>
          <w:rFonts w:ascii="Times New Roman" w:eastAsia="Times New Roman" w:hAnsi="Times New Roman"/>
          <w:b/>
          <w:bCs/>
          <w:color w:val="000000"/>
          <w:sz w:val="26"/>
          <w:szCs w:val="26"/>
          <w:lang w:eastAsia="en-AU"/>
        </w:rPr>
        <w:t>2—Commencement</w:t>
      </w:r>
    </w:p>
    <w:p w:rsidR="005F63C8" w:rsidRPr="005F63C8" w:rsidRDefault="005F63C8" w:rsidP="005F63C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This proclamation comes into operation on 17 January 2022.</w:t>
      </w:r>
    </w:p>
    <w:p w:rsidR="005F63C8" w:rsidRPr="005F63C8" w:rsidRDefault="005F63C8" w:rsidP="005F63C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F63C8">
        <w:rPr>
          <w:rFonts w:ascii="Times New Roman" w:eastAsia="Times New Roman" w:hAnsi="Times New Roman"/>
          <w:b/>
          <w:bCs/>
          <w:color w:val="000000"/>
          <w:sz w:val="26"/>
          <w:szCs w:val="26"/>
          <w:lang w:eastAsia="en-AU"/>
        </w:rPr>
        <w:t>3—Designation and classification of magistrate</w:t>
      </w:r>
    </w:p>
    <w:p w:rsidR="005F63C8" w:rsidRPr="005F63C8" w:rsidRDefault="005F63C8" w:rsidP="005F63C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 xml:space="preserve">The magistrate named in </w:t>
      </w:r>
      <w:hyperlink w:anchor="idf78c504c_635d_4274_9734_f15a6ccbe3" w:history="1">
        <w:r w:rsidRPr="005F63C8">
          <w:rPr>
            <w:rFonts w:ascii="Times New Roman" w:eastAsia="Times New Roman" w:hAnsi="Times New Roman"/>
            <w:color w:val="000000"/>
            <w:sz w:val="23"/>
            <w:szCs w:val="23"/>
            <w:lang w:eastAsia="en-AU"/>
          </w:rPr>
          <w:t>Schedule 1</w:t>
        </w:r>
      </w:hyperlink>
      <w:r w:rsidRPr="005F63C8">
        <w:rPr>
          <w:rFonts w:ascii="Times New Roman" w:eastAsia="Times New Roman" w:hAnsi="Times New Roman"/>
          <w:color w:val="000000"/>
          <w:sz w:val="23"/>
          <w:szCs w:val="23"/>
          <w:lang w:eastAsia="en-AU"/>
        </w:rPr>
        <w:t xml:space="preserve"> is—</w:t>
      </w:r>
    </w:p>
    <w:p w:rsidR="005F63C8" w:rsidRPr="005F63C8" w:rsidRDefault="005F63C8" w:rsidP="005F63C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ab/>
        <w:t>(a)</w:t>
      </w:r>
      <w:r w:rsidRPr="005F63C8">
        <w:rPr>
          <w:rFonts w:ascii="Times New Roman" w:eastAsia="Times New Roman" w:hAnsi="Times New Roman"/>
          <w:color w:val="000000"/>
          <w:sz w:val="23"/>
          <w:szCs w:val="23"/>
          <w:lang w:eastAsia="en-AU"/>
        </w:rPr>
        <w:tab/>
        <w:t>designated as a magistrate of the Youth Court of South Australia; and</w:t>
      </w:r>
    </w:p>
    <w:p w:rsidR="005F63C8" w:rsidRPr="005F63C8" w:rsidRDefault="005F63C8" w:rsidP="005F63C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ab/>
        <w:t>(b)</w:t>
      </w:r>
      <w:r w:rsidRPr="005F63C8">
        <w:rPr>
          <w:rFonts w:ascii="Times New Roman" w:eastAsia="Times New Roman" w:hAnsi="Times New Roman"/>
          <w:color w:val="000000"/>
          <w:sz w:val="23"/>
          <w:szCs w:val="23"/>
          <w:lang w:eastAsia="en-AU"/>
        </w:rPr>
        <w:tab/>
        <w:t>classified as a member of the Court's ancillary judiciary.</w:t>
      </w:r>
    </w:p>
    <w:p w:rsidR="005F63C8" w:rsidRPr="005F63C8" w:rsidRDefault="005F63C8" w:rsidP="005F63C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F63C8">
        <w:rPr>
          <w:rFonts w:ascii="Times New Roman" w:eastAsia="Times New Roman" w:hAnsi="Times New Roman"/>
          <w:b/>
          <w:bCs/>
          <w:color w:val="000000"/>
          <w:sz w:val="32"/>
          <w:szCs w:val="32"/>
          <w:lang w:eastAsia="en-AU"/>
        </w:rPr>
        <w:t>Schedule 1—Magistrate of the Court</w:t>
      </w:r>
    </w:p>
    <w:p w:rsidR="005F63C8" w:rsidRPr="005F63C8" w:rsidRDefault="005F63C8" w:rsidP="005F63C8">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Edward Paul Stratton</w:t>
      </w:r>
      <w:r w:rsidRPr="005F63C8">
        <w:rPr>
          <w:rFonts w:ascii="Times New Roman" w:eastAsia="Times New Roman" w:hAnsi="Times New Roman"/>
          <w:color w:val="000000"/>
          <w:sz w:val="23"/>
          <w:szCs w:val="23"/>
          <w:lang w:eastAsia="en-AU"/>
        </w:rPr>
        <w:noBreakHyphen/>
        <w:t>Smith</w:t>
      </w:r>
    </w:p>
    <w:p w:rsidR="005F63C8" w:rsidRPr="005F63C8" w:rsidRDefault="005F63C8" w:rsidP="005F63C8">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5F63C8">
        <w:rPr>
          <w:rFonts w:ascii="Times New Roman" w:eastAsia="Times New Roman" w:hAnsi="Times New Roman"/>
          <w:b/>
          <w:bCs/>
          <w:color w:val="000000"/>
          <w:sz w:val="26"/>
          <w:szCs w:val="26"/>
          <w:lang w:eastAsia="en-AU"/>
        </w:rPr>
        <w:t>Made by the Governor</w:t>
      </w:r>
    </w:p>
    <w:p w:rsidR="005F63C8" w:rsidRPr="005F63C8" w:rsidRDefault="005F63C8" w:rsidP="005F63C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with the advice and consent of the Executive Council</w:t>
      </w:r>
    </w:p>
    <w:p w:rsidR="005F63C8" w:rsidRPr="005F63C8" w:rsidRDefault="005F63C8" w:rsidP="005F63C8">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on 23 December 2021</w:t>
      </w:r>
    </w:p>
    <w:p w:rsidR="005F63C8" w:rsidRDefault="005F63C8">
      <w:pPr>
        <w:spacing w:after="0" w:line="240" w:lineRule="auto"/>
        <w:jc w:val="left"/>
        <w:rPr>
          <w:rFonts w:ascii="Times New Roman" w:eastAsia="Times New Roman" w:hAnsi="Times New Roman"/>
          <w:color w:val="000000"/>
          <w:sz w:val="28"/>
          <w:szCs w:val="28"/>
          <w:lang w:eastAsia="en-AU"/>
        </w:rPr>
      </w:pPr>
    </w:p>
    <w:p w:rsidR="005F63C8" w:rsidRDefault="005F63C8">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5F63C8" w:rsidRPr="005F63C8" w:rsidRDefault="005F63C8" w:rsidP="005F63C8">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5F63C8">
        <w:rPr>
          <w:rFonts w:ascii="Times New Roman" w:eastAsia="Times New Roman" w:hAnsi="Times New Roman"/>
          <w:color w:val="000000"/>
          <w:sz w:val="28"/>
          <w:szCs w:val="28"/>
          <w:lang w:eastAsia="en-AU"/>
        </w:rPr>
        <w:lastRenderedPageBreak/>
        <w:t>South Australia</w:t>
      </w:r>
    </w:p>
    <w:p w:rsidR="005F63C8" w:rsidRPr="005F63C8" w:rsidRDefault="005F63C8" w:rsidP="00D8720A">
      <w:pPr>
        <w:pStyle w:val="Heading3"/>
        <w:rPr>
          <w:lang w:eastAsia="en-AU"/>
        </w:rPr>
      </w:pPr>
      <w:bookmarkStart w:id="13" w:name="_Toc91161245"/>
      <w:r w:rsidRPr="005F63C8">
        <w:rPr>
          <w:lang w:eastAsia="en-AU"/>
        </w:rPr>
        <w:t>Youth Court (Designation and Classification of Magistrate) (Ancillary Judiciary) Proclamation 2021</w:t>
      </w:r>
      <w:bookmarkEnd w:id="13"/>
    </w:p>
    <w:p w:rsidR="005F63C8" w:rsidRPr="005F63C8" w:rsidRDefault="005F63C8" w:rsidP="005F63C8">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5F63C8">
        <w:rPr>
          <w:rFonts w:ascii="Times New Roman" w:eastAsia="Times New Roman" w:hAnsi="Times New Roman"/>
          <w:color w:val="000000"/>
          <w:sz w:val="24"/>
          <w:szCs w:val="24"/>
          <w:lang w:eastAsia="en-AU"/>
        </w:rPr>
        <w:t xml:space="preserve">under section 9 of the </w:t>
      </w:r>
      <w:r w:rsidRPr="005F63C8">
        <w:rPr>
          <w:rFonts w:ascii="Times New Roman" w:eastAsia="Times New Roman" w:hAnsi="Times New Roman"/>
          <w:i/>
          <w:iCs/>
          <w:color w:val="000000"/>
          <w:sz w:val="24"/>
          <w:szCs w:val="24"/>
          <w:lang w:eastAsia="en-AU"/>
        </w:rPr>
        <w:t>Youth Court Act 1993</w:t>
      </w:r>
    </w:p>
    <w:p w:rsidR="005F63C8" w:rsidRPr="005F63C8" w:rsidRDefault="005F63C8" w:rsidP="005F63C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F63C8">
        <w:rPr>
          <w:rFonts w:ascii="Times New Roman" w:eastAsia="Times New Roman" w:hAnsi="Times New Roman"/>
          <w:b/>
          <w:bCs/>
          <w:color w:val="000000"/>
          <w:sz w:val="26"/>
          <w:szCs w:val="26"/>
          <w:lang w:eastAsia="en-AU"/>
        </w:rPr>
        <w:t>1—Short title</w:t>
      </w:r>
    </w:p>
    <w:p w:rsidR="005F63C8" w:rsidRPr="005F63C8" w:rsidRDefault="005F63C8" w:rsidP="005F63C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 xml:space="preserve">This proclamation may be cited as the </w:t>
      </w:r>
      <w:r w:rsidRPr="005F63C8">
        <w:rPr>
          <w:rFonts w:ascii="Times New Roman" w:eastAsia="Times New Roman" w:hAnsi="Times New Roman"/>
          <w:i/>
          <w:iCs/>
          <w:color w:val="000000"/>
          <w:sz w:val="23"/>
          <w:szCs w:val="23"/>
          <w:lang w:eastAsia="en-AU"/>
        </w:rPr>
        <w:t>Youth Court (Designation and Classification of Magistrate) (Ancillary Judiciary) Proclamation 2021</w:t>
      </w:r>
      <w:r w:rsidRPr="005F63C8">
        <w:rPr>
          <w:rFonts w:ascii="Times New Roman" w:eastAsia="Times New Roman" w:hAnsi="Times New Roman"/>
          <w:color w:val="000000"/>
          <w:sz w:val="23"/>
          <w:szCs w:val="23"/>
          <w:lang w:eastAsia="en-AU"/>
        </w:rPr>
        <w:t>.</w:t>
      </w:r>
    </w:p>
    <w:p w:rsidR="005F63C8" w:rsidRPr="005F63C8" w:rsidRDefault="005F63C8" w:rsidP="005F63C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F63C8">
        <w:rPr>
          <w:rFonts w:ascii="Times New Roman" w:eastAsia="Times New Roman" w:hAnsi="Times New Roman"/>
          <w:b/>
          <w:bCs/>
          <w:color w:val="000000"/>
          <w:sz w:val="26"/>
          <w:szCs w:val="26"/>
          <w:lang w:eastAsia="en-AU"/>
        </w:rPr>
        <w:t>2—Commencement</w:t>
      </w:r>
    </w:p>
    <w:p w:rsidR="005F63C8" w:rsidRPr="005F63C8" w:rsidRDefault="005F63C8" w:rsidP="005F63C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This proclamation comes into operation on 6 January 2022.</w:t>
      </w:r>
    </w:p>
    <w:p w:rsidR="005F63C8" w:rsidRPr="005F63C8" w:rsidRDefault="005F63C8" w:rsidP="005F63C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F63C8">
        <w:rPr>
          <w:rFonts w:ascii="Times New Roman" w:eastAsia="Times New Roman" w:hAnsi="Times New Roman"/>
          <w:b/>
          <w:bCs/>
          <w:color w:val="000000"/>
          <w:sz w:val="26"/>
          <w:szCs w:val="26"/>
          <w:lang w:eastAsia="en-AU"/>
        </w:rPr>
        <w:t>3—Designation and classification of magistrate</w:t>
      </w:r>
    </w:p>
    <w:p w:rsidR="005F63C8" w:rsidRPr="005F63C8" w:rsidRDefault="005F63C8" w:rsidP="005F63C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 xml:space="preserve">The magistrate named in </w:t>
      </w:r>
      <w:hyperlink w:anchor="idf78c504c_635d_4274_9734_f15a6ccbe3" w:history="1">
        <w:r w:rsidRPr="005F63C8">
          <w:rPr>
            <w:rFonts w:ascii="Times New Roman" w:eastAsia="Times New Roman" w:hAnsi="Times New Roman"/>
            <w:color w:val="000000"/>
            <w:sz w:val="23"/>
            <w:szCs w:val="23"/>
            <w:lang w:eastAsia="en-AU"/>
          </w:rPr>
          <w:t>Schedule 1</w:t>
        </w:r>
      </w:hyperlink>
      <w:r w:rsidRPr="005F63C8">
        <w:rPr>
          <w:rFonts w:ascii="Times New Roman" w:eastAsia="Times New Roman" w:hAnsi="Times New Roman"/>
          <w:color w:val="000000"/>
          <w:sz w:val="23"/>
          <w:szCs w:val="23"/>
          <w:lang w:eastAsia="en-AU"/>
        </w:rPr>
        <w:t xml:space="preserve"> is—</w:t>
      </w:r>
    </w:p>
    <w:p w:rsidR="005F63C8" w:rsidRPr="005F63C8" w:rsidRDefault="005F63C8" w:rsidP="005F63C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ab/>
        <w:t>(a)</w:t>
      </w:r>
      <w:r w:rsidRPr="005F63C8">
        <w:rPr>
          <w:rFonts w:ascii="Times New Roman" w:eastAsia="Times New Roman" w:hAnsi="Times New Roman"/>
          <w:color w:val="000000"/>
          <w:sz w:val="23"/>
          <w:szCs w:val="23"/>
          <w:lang w:eastAsia="en-AU"/>
        </w:rPr>
        <w:tab/>
        <w:t>designated as a magistrate of the Youth Court of South Australia; and</w:t>
      </w:r>
    </w:p>
    <w:p w:rsidR="005F63C8" w:rsidRPr="005F63C8" w:rsidRDefault="005F63C8" w:rsidP="005F63C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ab/>
        <w:t>(b)</w:t>
      </w:r>
      <w:r w:rsidRPr="005F63C8">
        <w:rPr>
          <w:rFonts w:ascii="Times New Roman" w:eastAsia="Times New Roman" w:hAnsi="Times New Roman"/>
          <w:color w:val="000000"/>
          <w:sz w:val="23"/>
          <w:szCs w:val="23"/>
          <w:lang w:eastAsia="en-AU"/>
        </w:rPr>
        <w:tab/>
        <w:t>classified as a member of the Court's ancillary judiciary.</w:t>
      </w:r>
    </w:p>
    <w:p w:rsidR="005F63C8" w:rsidRPr="005F63C8" w:rsidRDefault="005F63C8" w:rsidP="005F63C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4" w:name="idf78c504c_635d_4274_9734_f15a6ccbe3"/>
      <w:r w:rsidRPr="005F63C8">
        <w:rPr>
          <w:rFonts w:ascii="Times New Roman" w:eastAsia="Times New Roman" w:hAnsi="Times New Roman"/>
          <w:b/>
          <w:bCs/>
          <w:color w:val="000000"/>
          <w:sz w:val="32"/>
          <w:szCs w:val="32"/>
          <w:lang w:eastAsia="en-AU"/>
        </w:rPr>
        <w:t>Schedule 1—Magistrate of the Court</w:t>
      </w:r>
      <w:bookmarkEnd w:id="14"/>
    </w:p>
    <w:p w:rsidR="005F63C8" w:rsidRPr="005F63C8" w:rsidRDefault="005F63C8" w:rsidP="005F63C8">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Justin Peter Wickens</w:t>
      </w:r>
    </w:p>
    <w:p w:rsidR="005F63C8" w:rsidRPr="005F63C8" w:rsidRDefault="005F63C8" w:rsidP="005F63C8">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5F63C8">
        <w:rPr>
          <w:rFonts w:ascii="Times New Roman" w:eastAsia="Times New Roman" w:hAnsi="Times New Roman"/>
          <w:b/>
          <w:bCs/>
          <w:color w:val="000000"/>
          <w:sz w:val="26"/>
          <w:szCs w:val="26"/>
          <w:lang w:eastAsia="en-AU"/>
        </w:rPr>
        <w:t>Made by the Governor</w:t>
      </w:r>
    </w:p>
    <w:p w:rsidR="005F63C8" w:rsidRPr="005F63C8" w:rsidRDefault="005F63C8" w:rsidP="005F63C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with the advice and consent of the Executive Council</w:t>
      </w:r>
    </w:p>
    <w:p w:rsidR="005F63C8" w:rsidRPr="005F63C8" w:rsidRDefault="005F63C8" w:rsidP="005F63C8">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5F63C8">
        <w:rPr>
          <w:rFonts w:ascii="Times New Roman" w:eastAsia="Times New Roman" w:hAnsi="Times New Roman"/>
          <w:color w:val="000000"/>
          <w:sz w:val="23"/>
          <w:szCs w:val="23"/>
          <w:lang w:eastAsia="en-AU"/>
        </w:rPr>
        <w:t>on 23 December 2021</w:t>
      </w:r>
    </w:p>
    <w:p w:rsidR="00A73B7F" w:rsidRPr="003471CD" w:rsidRDefault="00A73B7F"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15" w:name="_Toc91161246"/>
      <w:r w:rsidRPr="003471CD">
        <w:lastRenderedPageBreak/>
        <w:t>Regulations</w:t>
      </w:r>
      <w:bookmarkEnd w:id="15"/>
    </w:p>
    <w:p w:rsidR="00745B3A" w:rsidRPr="00745B3A" w:rsidRDefault="00745B3A" w:rsidP="00745B3A">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45B3A">
        <w:rPr>
          <w:rFonts w:ascii="Times New Roman" w:eastAsia="Times New Roman" w:hAnsi="Times New Roman"/>
          <w:color w:val="000000"/>
          <w:sz w:val="28"/>
          <w:szCs w:val="28"/>
          <w:lang w:eastAsia="en-AU"/>
        </w:rPr>
        <w:t>South Australia</w:t>
      </w:r>
    </w:p>
    <w:p w:rsidR="00745B3A" w:rsidRPr="00745B3A" w:rsidRDefault="00745B3A" w:rsidP="00D8720A">
      <w:pPr>
        <w:pStyle w:val="Heading3"/>
        <w:rPr>
          <w:lang w:eastAsia="en-AU"/>
        </w:rPr>
      </w:pPr>
      <w:bookmarkStart w:id="16" w:name="_Toc91161247"/>
      <w:r w:rsidRPr="00745B3A">
        <w:rPr>
          <w:lang w:eastAsia="en-AU"/>
        </w:rPr>
        <w:t>Legislation Interpretation Regulations 2021</w:t>
      </w:r>
      <w:bookmarkEnd w:id="16"/>
    </w:p>
    <w:p w:rsidR="00745B3A" w:rsidRPr="00745B3A" w:rsidRDefault="00745B3A" w:rsidP="00745B3A">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745B3A">
        <w:rPr>
          <w:rFonts w:ascii="Times New Roman" w:eastAsia="Times New Roman" w:hAnsi="Times New Roman"/>
          <w:color w:val="000000"/>
          <w:sz w:val="24"/>
          <w:szCs w:val="24"/>
          <w:lang w:eastAsia="en-AU"/>
        </w:rPr>
        <w:t xml:space="preserve">under the </w:t>
      </w:r>
      <w:r w:rsidRPr="00745B3A">
        <w:rPr>
          <w:rFonts w:ascii="Times New Roman" w:eastAsia="Times New Roman" w:hAnsi="Times New Roman"/>
          <w:i/>
          <w:iCs/>
          <w:color w:val="000000"/>
          <w:sz w:val="24"/>
          <w:szCs w:val="24"/>
          <w:lang w:eastAsia="en-AU"/>
        </w:rPr>
        <w:t>Legislation Interpretation Act 2021</w:t>
      </w:r>
    </w:p>
    <w:p w:rsidR="00745B3A" w:rsidRPr="00745B3A" w:rsidRDefault="00745B3A" w:rsidP="00745B3A">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45B3A" w:rsidRPr="00745B3A" w:rsidRDefault="00745B3A" w:rsidP="00745B3A">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45B3A">
        <w:rPr>
          <w:rFonts w:ascii="Times New Roman" w:eastAsia="Times New Roman" w:hAnsi="Times New Roman"/>
          <w:b/>
          <w:bCs/>
          <w:color w:val="000000"/>
          <w:sz w:val="32"/>
          <w:szCs w:val="32"/>
          <w:lang w:eastAsia="en-AU"/>
        </w:rPr>
        <w:t>Contents</w:t>
      </w:r>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 w:history="1">
        <w:r w:rsidR="00745B3A" w:rsidRPr="00745B3A">
          <w:rPr>
            <w:rFonts w:ascii="Times New Roman" w:eastAsia="Times New Roman" w:hAnsi="Times New Roman"/>
            <w:color w:val="000000"/>
            <w:lang w:eastAsia="en-AU"/>
          </w:rPr>
          <w:t>1</w:t>
        </w:r>
        <w:r w:rsidR="00745B3A" w:rsidRPr="00745B3A">
          <w:rPr>
            <w:rFonts w:ascii="Times New Roman" w:eastAsia="Times New Roman" w:hAnsi="Times New Roman"/>
            <w:color w:val="000000"/>
            <w:lang w:eastAsia="en-AU"/>
          </w:rPr>
          <w:tab/>
          <w:t>Short title</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745B3A" w:rsidRPr="00745B3A">
          <w:rPr>
            <w:rFonts w:ascii="Times New Roman" w:eastAsia="Times New Roman" w:hAnsi="Times New Roman"/>
            <w:color w:val="000000"/>
            <w:lang w:eastAsia="en-AU"/>
          </w:rPr>
          <w:t>2</w:t>
        </w:r>
        <w:r w:rsidR="00745B3A" w:rsidRPr="00745B3A">
          <w:rPr>
            <w:rFonts w:ascii="Times New Roman" w:eastAsia="Times New Roman" w:hAnsi="Times New Roman"/>
            <w:color w:val="000000"/>
            <w:lang w:eastAsia="en-AU"/>
          </w:rPr>
          <w:tab/>
          <w:t>Commencement</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745B3A" w:rsidRPr="00745B3A">
          <w:rPr>
            <w:rFonts w:ascii="Times New Roman" w:eastAsia="Times New Roman" w:hAnsi="Times New Roman"/>
            <w:color w:val="000000"/>
            <w:lang w:eastAsia="en-AU"/>
          </w:rPr>
          <w:t>3</w:t>
        </w:r>
        <w:r w:rsidR="00745B3A" w:rsidRPr="00745B3A">
          <w:rPr>
            <w:rFonts w:ascii="Times New Roman" w:eastAsia="Times New Roman" w:hAnsi="Times New Roman"/>
            <w:color w:val="000000"/>
            <w:lang w:eastAsia="en-AU"/>
          </w:rPr>
          <w:tab/>
          <w:t>Interpretation</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745B3A" w:rsidRPr="00745B3A">
          <w:rPr>
            <w:rFonts w:ascii="Times New Roman" w:eastAsia="Times New Roman" w:hAnsi="Times New Roman"/>
            <w:color w:val="000000"/>
            <w:lang w:eastAsia="en-AU"/>
          </w:rPr>
          <w:t>4</w:t>
        </w:r>
        <w:r w:rsidR="00745B3A" w:rsidRPr="00745B3A">
          <w:rPr>
            <w:rFonts w:ascii="Times New Roman" w:eastAsia="Times New Roman" w:hAnsi="Times New Roman"/>
            <w:color w:val="000000"/>
            <w:lang w:eastAsia="en-AU"/>
          </w:rPr>
          <w:tab/>
          <w:t>Prescribed meetings</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745B3A" w:rsidRPr="00745B3A">
          <w:rPr>
            <w:rFonts w:ascii="Times New Roman" w:eastAsia="Times New Roman" w:hAnsi="Times New Roman"/>
            <w:color w:val="000000"/>
            <w:lang w:eastAsia="en-AU"/>
          </w:rPr>
          <w:t>5</w:t>
        </w:r>
        <w:r w:rsidR="00745B3A" w:rsidRPr="00745B3A">
          <w:rPr>
            <w:rFonts w:ascii="Times New Roman" w:eastAsia="Times New Roman" w:hAnsi="Times New Roman"/>
            <w:color w:val="000000"/>
            <w:lang w:eastAsia="en-AU"/>
          </w:rPr>
          <w:tab/>
          <w:t>Transitional provisions</w:t>
        </w:r>
      </w:hyperlink>
    </w:p>
    <w:p w:rsidR="00745B3A" w:rsidRPr="00745B3A" w:rsidRDefault="00BE58B6" w:rsidP="00745B3A">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6" w:history="1">
        <w:r w:rsidR="00745B3A" w:rsidRPr="00745B3A">
          <w:rPr>
            <w:rFonts w:ascii="Times New Roman" w:eastAsia="Times New Roman" w:hAnsi="Times New Roman"/>
            <w:color w:val="000000"/>
            <w:sz w:val="28"/>
            <w:szCs w:val="28"/>
            <w:lang w:eastAsia="en-AU"/>
          </w:rPr>
          <w:t>Schedule 1—Repeal of regulations</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745B3A" w:rsidRPr="00745B3A">
          <w:rPr>
            <w:rFonts w:ascii="Times New Roman" w:eastAsia="Times New Roman" w:hAnsi="Times New Roman"/>
            <w:color w:val="000000"/>
            <w:lang w:eastAsia="en-AU"/>
          </w:rPr>
          <w:t>1</w:t>
        </w:r>
        <w:r w:rsidR="00745B3A" w:rsidRPr="00745B3A">
          <w:rPr>
            <w:rFonts w:ascii="Times New Roman" w:eastAsia="Times New Roman" w:hAnsi="Times New Roman"/>
            <w:color w:val="000000"/>
            <w:lang w:eastAsia="en-AU"/>
          </w:rPr>
          <w:tab/>
          <w:t>Repeal of regulations</w:t>
        </w:r>
      </w:hyperlink>
    </w:p>
    <w:p w:rsidR="00745B3A" w:rsidRPr="00745B3A" w:rsidRDefault="00745B3A" w:rsidP="00745B3A">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7" w:name="Elkera_Print_TOC1"/>
      <w:bookmarkStart w:id="18" w:name="Elkera_Print_BK1"/>
      <w:r w:rsidRPr="00745B3A">
        <w:rPr>
          <w:rFonts w:ascii="Times New Roman" w:eastAsia="Times New Roman" w:hAnsi="Times New Roman"/>
          <w:b/>
          <w:bCs/>
          <w:color w:val="000000"/>
          <w:sz w:val="26"/>
          <w:szCs w:val="26"/>
          <w:lang w:eastAsia="en-AU"/>
        </w:rPr>
        <w:t>1—Short title</w:t>
      </w:r>
      <w:bookmarkEnd w:id="17"/>
      <w:bookmarkEnd w:id="18"/>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 xml:space="preserve">These regulations may be cited as the </w:t>
      </w:r>
      <w:r w:rsidRPr="00745B3A">
        <w:rPr>
          <w:rFonts w:ascii="Times New Roman" w:eastAsia="Times New Roman" w:hAnsi="Times New Roman"/>
          <w:i/>
          <w:iCs/>
          <w:color w:val="000000"/>
          <w:sz w:val="23"/>
          <w:szCs w:val="23"/>
          <w:lang w:eastAsia="en-AU"/>
        </w:rPr>
        <w:t>Legislation Interpretation Regulations 2021</w:t>
      </w:r>
      <w:r w:rsidRPr="00745B3A">
        <w:rPr>
          <w:rFonts w:ascii="Times New Roman" w:eastAsia="Times New Roman" w:hAnsi="Times New Roman"/>
          <w:color w:val="000000"/>
          <w:sz w:val="23"/>
          <w:szCs w:val="23"/>
          <w:lang w:eastAsia="en-AU"/>
        </w:rPr>
        <w:t>.</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9" w:name="Elkera_Print_TOC2"/>
      <w:bookmarkStart w:id="20" w:name="Elkera_Print_BK2"/>
      <w:r w:rsidRPr="00745B3A">
        <w:rPr>
          <w:rFonts w:ascii="Times New Roman" w:eastAsia="Times New Roman" w:hAnsi="Times New Roman"/>
          <w:b/>
          <w:bCs/>
          <w:color w:val="000000"/>
          <w:sz w:val="26"/>
          <w:szCs w:val="26"/>
          <w:lang w:eastAsia="en-AU"/>
        </w:rPr>
        <w:t>2—Commencement</w:t>
      </w:r>
      <w:bookmarkEnd w:id="19"/>
      <w:bookmarkEnd w:id="20"/>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 xml:space="preserve">These regulations come into operation on the day on which the </w:t>
      </w:r>
      <w:hyperlink r:id="rId30" w:history="1">
        <w:r w:rsidRPr="00745B3A">
          <w:rPr>
            <w:rFonts w:ascii="Times New Roman" w:eastAsia="Times New Roman" w:hAnsi="Times New Roman"/>
            <w:i/>
            <w:iCs/>
            <w:color w:val="000000"/>
            <w:sz w:val="23"/>
            <w:szCs w:val="23"/>
            <w:lang w:eastAsia="en-AU"/>
          </w:rPr>
          <w:t>Legislation Interpretation Act 2021</w:t>
        </w:r>
      </w:hyperlink>
      <w:r w:rsidRPr="00745B3A">
        <w:rPr>
          <w:rFonts w:ascii="Times New Roman" w:eastAsia="Times New Roman" w:hAnsi="Times New Roman"/>
          <w:color w:val="000000"/>
          <w:sz w:val="23"/>
          <w:szCs w:val="23"/>
          <w:lang w:eastAsia="en-AU"/>
        </w:rPr>
        <w:t xml:space="preserve"> comes into operation.</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1" w:name="Elkera_Print_TOC3"/>
      <w:bookmarkStart w:id="22" w:name="Elkera_Print_BK3"/>
      <w:r w:rsidRPr="00745B3A">
        <w:rPr>
          <w:rFonts w:ascii="Times New Roman" w:eastAsia="Times New Roman" w:hAnsi="Times New Roman"/>
          <w:b/>
          <w:bCs/>
          <w:color w:val="000000"/>
          <w:sz w:val="26"/>
          <w:szCs w:val="26"/>
          <w:lang w:eastAsia="en-AU"/>
        </w:rPr>
        <w:t>3—Interpretation</w:t>
      </w:r>
      <w:bookmarkEnd w:id="21"/>
      <w:bookmarkEnd w:id="22"/>
    </w:p>
    <w:p w:rsidR="00745B3A" w:rsidRPr="00745B3A" w:rsidRDefault="00745B3A" w:rsidP="00745B3A">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In these regulations—</w:t>
      </w:r>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b/>
          <w:bCs/>
          <w:i/>
          <w:iCs/>
          <w:color w:val="000000"/>
          <w:sz w:val="23"/>
          <w:szCs w:val="23"/>
          <w:lang w:eastAsia="en-AU"/>
        </w:rPr>
        <w:t>Act</w:t>
      </w:r>
      <w:r w:rsidRPr="00745B3A">
        <w:rPr>
          <w:rFonts w:ascii="Times New Roman" w:eastAsia="Times New Roman" w:hAnsi="Times New Roman"/>
          <w:color w:val="000000"/>
          <w:sz w:val="23"/>
          <w:szCs w:val="23"/>
          <w:lang w:eastAsia="en-AU"/>
        </w:rPr>
        <w:t xml:space="preserve"> means the </w:t>
      </w:r>
      <w:hyperlink r:id="rId31" w:history="1">
        <w:r w:rsidRPr="00745B3A">
          <w:rPr>
            <w:rFonts w:ascii="Times New Roman" w:eastAsia="Times New Roman" w:hAnsi="Times New Roman"/>
            <w:i/>
            <w:iCs/>
            <w:color w:val="000000"/>
            <w:sz w:val="23"/>
            <w:szCs w:val="23"/>
            <w:lang w:eastAsia="en-AU"/>
          </w:rPr>
          <w:t>Legislation Interpretation Act 2021</w:t>
        </w:r>
      </w:hyperlink>
      <w:r w:rsidRPr="00745B3A">
        <w:rPr>
          <w:rFonts w:ascii="Times New Roman" w:eastAsia="Times New Roman" w:hAnsi="Times New Roman"/>
          <w:color w:val="000000"/>
          <w:sz w:val="23"/>
          <w:szCs w:val="23"/>
          <w:lang w:eastAsia="en-AU"/>
        </w:rPr>
        <w:t>.</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3" w:name="Elkera_Print_TOC4"/>
      <w:bookmarkStart w:id="24" w:name="Elkera_Print_BK4"/>
      <w:r w:rsidRPr="00745B3A">
        <w:rPr>
          <w:rFonts w:ascii="Times New Roman" w:eastAsia="Times New Roman" w:hAnsi="Times New Roman"/>
          <w:b/>
          <w:bCs/>
          <w:color w:val="000000"/>
          <w:sz w:val="26"/>
          <w:szCs w:val="26"/>
          <w:lang w:eastAsia="en-AU"/>
        </w:rPr>
        <w:t>4—Prescribed meetings</w:t>
      </w:r>
      <w:bookmarkEnd w:id="23"/>
      <w:bookmarkEnd w:id="24"/>
    </w:p>
    <w:p w:rsidR="00745B3A" w:rsidRPr="00745B3A" w:rsidRDefault="00745B3A" w:rsidP="00745B3A">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For the purposes of section 39(3) of the Act, the following meetings, and classes of meetings, are prescribed:</w:t>
      </w:r>
    </w:p>
    <w:p w:rsidR="00745B3A" w:rsidRPr="00745B3A" w:rsidRDefault="00745B3A" w:rsidP="00745B3A">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(a)</w:t>
      </w:r>
      <w:r w:rsidRPr="00745B3A">
        <w:rPr>
          <w:rFonts w:ascii="Times New Roman" w:eastAsia="Times New Roman" w:hAnsi="Times New Roman"/>
          <w:color w:val="000000"/>
          <w:sz w:val="23"/>
          <w:szCs w:val="23"/>
          <w:lang w:eastAsia="en-AU"/>
        </w:rPr>
        <w:tab/>
        <w:t xml:space="preserve">meetings of councils, council committees, subsidiaries of councils, and regional subsidiaries under the </w:t>
      </w:r>
      <w:hyperlink r:id="rId32" w:history="1">
        <w:r w:rsidRPr="00745B3A">
          <w:rPr>
            <w:rFonts w:ascii="Times New Roman" w:eastAsia="Times New Roman" w:hAnsi="Times New Roman"/>
            <w:i/>
            <w:iCs/>
            <w:color w:val="000000"/>
            <w:sz w:val="23"/>
            <w:szCs w:val="23"/>
            <w:lang w:eastAsia="en-AU"/>
          </w:rPr>
          <w:t>Local Government Act 1999</w:t>
        </w:r>
      </w:hyperlink>
      <w:r w:rsidRPr="00745B3A">
        <w:rPr>
          <w:rFonts w:ascii="Times New Roman" w:eastAsia="Times New Roman" w:hAnsi="Times New Roman"/>
          <w:color w:val="000000"/>
          <w:sz w:val="23"/>
          <w:szCs w:val="23"/>
          <w:lang w:eastAsia="en-AU"/>
        </w:rPr>
        <w:t>;</w:t>
      </w:r>
    </w:p>
    <w:p w:rsidR="00745B3A" w:rsidRPr="00745B3A" w:rsidRDefault="00745B3A" w:rsidP="00745B3A">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(b)</w:t>
      </w:r>
      <w:r w:rsidRPr="00745B3A">
        <w:rPr>
          <w:rFonts w:ascii="Times New Roman" w:eastAsia="Times New Roman" w:hAnsi="Times New Roman"/>
          <w:color w:val="000000"/>
          <w:sz w:val="23"/>
          <w:szCs w:val="23"/>
          <w:lang w:eastAsia="en-AU"/>
        </w:rPr>
        <w:tab/>
        <w:t xml:space="preserve">meetings of electors convened under section 93 of the </w:t>
      </w:r>
      <w:hyperlink r:id="rId33" w:history="1">
        <w:r w:rsidRPr="00745B3A">
          <w:rPr>
            <w:rFonts w:ascii="Times New Roman" w:eastAsia="Times New Roman" w:hAnsi="Times New Roman"/>
            <w:i/>
            <w:iCs/>
            <w:color w:val="000000"/>
            <w:sz w:val="23"/>
            <w:szCs w:val="23"/>
            <w:lang w:eastAsia="en-AU"/>
          </w:rPr>
          <w:t>Local Government Act 1999</w:t>
        </w:r>
      </w:hyperlink>
      <w:r w:rsidRPr="00745B3A">
        <w:rPr>
          <w:rFonts w:ascii="Times New Roman" w:eastAsia="Times New Roman" w:hAnsi="Times New Roman"/>
          <w:color w:val="000000"/>
          <w:sz w:val="23"/>
          <w:szCs w:val="23"/>
          <w:lang w:eastAsia="en-AU"/>
        </w:rPr>
        <w:t>;</w:t>
      </w:r>
    </w:p>
    <w:p w:rsidR="00745B3A" w:rsidRPr="00745B3A" w:rsidRDefault="00745B3A" w:rsidP="00745B3A">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(c)</w:t>
      </w:r>
      <w:r w:rsidRPr="00745B3A">
        <w:rPr>
          <w:rFonts w:ascii="Times New Roman" w:eastAsia="Times New Roman" w:hAnsi="Times New Roman"/>
          <w:color w:val="000000"/>
          <w:sz w:val="23"/>
          <w:szCs w:val="23"/>
          <w:lang w:eastAsia="en-AU"/>
        </w:rPr>
        <w:tab/>
        <w:t xml:space="preserve">meetings of the Stormwater Management Authority under Schedule 1A of the </w:t>
      </w:r>
      <w:hyperlink r:id="rId34" w:history="1">
        <w:r w:rsidRPr="00745B3A">
          <w:rPr>
            <w:rFonts w:ascii="Times New Roman" w:eastAsia="Times New Roman" w:hAnsi="Times New Roman"/>
            <w:i/>
            <w:iCs/>
            <w:color w:val="000000"/>
            <w:sz w:val="23"/>
            <w:szCs w:val="23"/>
            <w:lang w:eastAsia="en-AU"/>
          </w:rPr>
          <w:t>Local Government Act 1999</w:t>
        </w:r>
      </w:hyperlink>
      <w:r w:rsidRPr="00745B3A">
        <w:rPr>
          <w:rFonts w:ascii="Times New Roman" w:eastAsia="Times New Roman" w:hAnsi="Times New Roman"/>
          <w:color w:val="000000"/>
          <w:sz w:val="23"/>
          <w:szCs w:val="23"/>
          <w:lang w:eastAsia="en-AU"/>
        </w:rPr>
        <w:t>;</w:t>
      </w:r>
    </w:p>
    <w:p w:rsidR="00745B3A" w:rsidRPr="00745B3A" w:rsidRDefault="00745B3A" w:rsidP="00745B3A">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(d)</w:t>
      </w:r>
      <w:r w:rsidRPr="00745B3A">
        <w:rPr>
          <w:rFonts w:ascii="Times New Roman" w:eastAsia="Times New Roman" w:hAnsi="Times New Roman"/>
          <w:color w:val="000000"/>
          <w:sz w:val="23"/>
          <w:szCs w:val="23"/>
          <w:lang w:eastAsia="en-AU"/>
        </w:rPr>
        <w:tab/>
        <w:t xml:space="preserve">meetings held for the purposes of public consultation referred to in section 123(4), 151(7) or 156(14d) of the </w:t>
      </w:r>
      <w:hyperlink r:id="rId35" w:history="1">
        <w:r w:rsidRPr="00745B3A">
          <w:rPr>
            <w:rFonts w:ascii="Times New Roman" w:eastAsia="Times New Roman" w:hAnsi="Times New Roman"/>
            <w:i/>
            <w:iCs/>
            <w:color w:val="000000"/>
            <w:sz w:val="23"/>
            <w:szCs w:val="23"/>
            <w:lang w:eastAsia="en-AU"/>
          </w:rPr>
          <w:t>Local Government Act 1999</w:t>
        </w:r>
      </w:hyperlink>
      <w:r w:rsidRPr="00745B3A">
        <w:rPr>
          <w:rFonts w:ascii="Times New Roman" w:eastAsia="Times New Roman" w:hAnsi="Times New Roman"/>
          <w:color w:val="000000"/>
          <w:sz w:val="23"/>
          <w:szCs w:val="23"/>
          <w:lang w:eastAsia="en-AU"/>
        </w:rPr>
        <w:t>.</w:t>
      </w:r>
    </w:p>
    <w:p w:rsidR="00C007EA" w:rsidRDefault="00C007EA">
      <w:pPr>
        <w:spacing w:after="0" w:line="240" w:lineRule="auto"/>
        <w:jc w:val="left"/>
        <w:rPr>
          <w:rFonts w:ascii="Times New Roman" w:eastAsia="Times New Roman" w:hAnsi="Times New Roman"/>
          <w:b/>
          <w:bCs/>
          <w:color w:val="000000"/>
          <w:sz w:val="26"/>
          <w:szCs w:val="26"/>
          <w:lang w:eastAsia="en-AU"/>
        </w:rPr>
      </w:pPr>
      <w:bookmarkStart w:id="25" w:name="Elkera_Print_TOC5"/>
      <w:bookmarkStart w:id="26" w:name="Elkera_Print_BK5"/>
      <w:r>
        <w:rPr>
          <w:rFonts w:ascii="Times New Roman" w:eastAsia="Times New Roman" w:hAnsi="Times New Roman"/>
          <w:b/>
          <w:bCs/>
          <w:color w:val="000000"/>
          <w:sz w:val="26"/>
          <w:szCs w:val="26"/>
          <w:lang w:eastAsia="en-AU"/>
        </w:rPr>
        <w:br w:type="page"/>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lastRenderedPageBreak/>
        <w:t>5—Transitional provisions</w:t>
      </w:r>
      <w:bookmarkEnd w:id="25"/>
      <w:bookmarkEnd w:id="26"/>
    </w:p>
    <w:p w:rsidR="00745B3A" w:rsidRPr="00745B3A" w:rsidRDefault="00745B3A" w:rsidP="00745B3A">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(1)</w:t>
      </w:r>
      <w:r w:rsidRPr="00745B3A">
        <w:rPr>
          <w:rFonts w:ascii="Times New Roman" w:eastAsia="Times New Roman" w:hAnsi="Times New Roman"/>
          <w:color w:val="000000"/>
          <w:sz w:val="23"/>
          <w:szCs w:val="23"/>
          <w:lang w:eastAsia="en-AU"/>
        </w:rPr>
        <w:tab/>
        <w:t>Pursuant to section 60(2)(c) of the Act, a note that—</w:t>
      </w:r>
    </w:p>
    <w:p w:rsidR="00745B3A" w:rsidRPr="00745B3A" w:rsidRDefault="00745B3A" w:rsidP="00745B3A">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(a)</w:t>
      </w:r>
      <w:r w:rsidRPr="00745B3A">
        <w:rPr>
          <w:rFonts w:ascii="Times New Roman" w:eastAsia="Times New Roman" w:hAnsi="Times New Roman"/>
          <w:color w:val="000000"/>
          <w:sz w:val="23"/>
          <w:szCs w:val="23"/>
          <w:lang w:eastAsia="en-AU"/>
        </w:rPr>
        <w:tab/>
        <w:t xml:space="preserve">immediately before the relevant day, was included in, but did not form part of, an Act or a legislative instrument published under the </w:t>
      </w:r>
      <w:hyperlink r:id="rId36" w:history="1">
        <w:r w:rsidRPr="00745B3A">
          <w:rPr>
            <w:rFonts w:ascii="Times New Roman" w:eastAsia="Times New Roman" w:hAnsi="Times New Roman"/>
            <w:i/>
            <w:iCs/>
            <w:color w:val="000000"/>
            <w:sz w:val="23"/>
            <w:szCs w:val="23"/>
            <w:lang w:eastAsia="en-AU"/>
          </w:rPr>
          <w:t>Legislation Revision and Publication Act 2002</w:t>
        </w:r>
      </w:hyperlink>
      <w:r w:rsidRPr="00745B3A">
        <w:rPr>
          <w:rFonts w:ascii="Times New Roman" w:eastAsia="Times New Roman" w:hAnsi="Times New Roman"/>
          <w:color w:val="000000"/>
          <w:sz w:val="23"/>
          <w:szCs w:val="23"/>
          <w:lang w:eastAsia="en-AU"/>
        </w:rPr>
        <w:t xml:space="preserve"> or the </w:t>
      </w:r>
      <w:hyperlink r:id="rId37" w:history="1">
        <w:r w:rsidRPr="00745B3A">
          <w:rPr>
            <w:rFonts w:ascii="Times New Roman" w:eastAsia="Times New Roman" w:hAnsi="Times New Roman"/>
            <w:i/>
            <w:iCs/>
            <w:color w:val="000000"/>
            <w:sz w:val="23"/>
            <w:szCs w:val="23"/>
            <w:lang w:eastAsia="en-AU"/>
          </w:rPr>
          <w:t>Acts Republication Act 1967</w:t>
        </w:r>
      </w:hyperlink>
      <w:r w:rsidRPr="00745B3A">
        <w:rPr>
          <w:rFonts w:ascii="Times New Roman" w:eastAsia="Times New Roman" w:hAnsi="Times New Roman"/>
          <w:color w:val="000000"/>
          <w:sz w:val="23"/>
          <w:szCs w:val="23"/>
          <w:lang w:eastAsia="en-AU"/>
        </w:rPr>
        <w:t>; and</w:t>
      </w:r>
    </w:p>
    <w:p w:rsidR="00745B3A" w:rsidRPr="00745B3A" w:rsidRDefault="00745B3A" w:rsidP="00745B3A">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(b)</w:t>
      </w:r>
      <w:r w:rsidRPr="00745B3A">
        <w:rPr>
          <w:rFonts w:ascii="Times New Roman" w:eastAsia="Times New Roman" w:hAnsi="Times New Roman"/>
          <w:color w:val="000000"/>
          <w:sz w:val="23"/>
          <w:szCs w:val="23"/>
          <w:lang w:eastAsia="en-AU"/>
        </w:rPr>
        <w:tab/>
        <w:t>—</w:t>
      </w:r>
    </w:p>
    <w:p w:rsidR="00745B3A" w:rsidRPr="00745B3A" w:rsidRDefault="00745B3A" w:rsidP="00745B3A">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(i)</w:t>
      </w:r>
      <w:r w:rsidRPr="00745B3A">
        <w:rPr>
          <w:rFonts w:ascii="Times New Roman" w:eastAsia="Times New Roman" w:hAnsi="Times New Roman"/>
          <w:color w:val="000000"/>
          <w:sz w:val="23"/>
          <w:szCs w:val="23"/>
          <w:lang w:eastAsia="en-AU"/>
        </w:rPr>
        <w:tab/>
        <w:t>relates to the commencement, expiry, repeal or renumbering of an Act or a legislative instrument, or a provision of an Act or a legislative instrument; or</w:t>
      </w:r>
    </w:p>
    <w:p w:rsidR="00745B3A" w:rsidRPr="00745B3A" w:rsidRDefault="00745B3A" w:rsidP="00745B3A">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(ii)</w:t>
      </w:r>
      <w:r w:rsidRPr="00745B3A">
        <w:rPr>
          <w:rFonts w:ascii="Times New Roman" w:eastAsia="Times New Roman" w:hAnsi="Times New Roman"/>
          <w:color w:val="000000"/>
          <w:sz w:val="23"/>
          <w:szCs w:val="23"/>
          <w:lang w:eastAsia="en-AU"/>
        </w:rPr>
        <w:tab/>
        <w:t>refers to an appendix of a kind referred to in section 19(2)(c) of the Act,</w:t>
      </w:r>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will, on and from the relevant day, be taken to be described as an editorial note for the purposes of section 19(2) of the Act.</w:t>
      </w:r>
    </w:p>
    <w:p w:rsidR="00745B3A" w:rsidRPr="00745B3A" w:rsidRDefault="00745B3A" w:rsidP="00745B3A">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(2)</w:t>
      </w:r>
      <w:r w:rsidRPr="00745B3A">
        <w:rPr>
          <w:rFonts w:ascii="Times New Roman" w:eastAsia="Times New Roman" w:hAnsi="Times New Roman"/>
          <w:color w:val="000000"/>
          <w:sz w:val="23"/>
          <w:szCs w:val="23"/>
          <w:lang w:eastAsia="en-AU"/>
        </w:rPr>
        <w:tab/>
        <w:t>In this regulation—</w:t>
      </w:r>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b/>
          <w:bCs/>
          <w:i/>
          <w:iCs/>
          <w:color w:val="000000"/>
          <w:sz w:val="23"/>
          <w:szCs w:val="23"/>
          <w:lang w:eastAsia="en-AU"/>
        </w:rPr>
        <w:t>relevant day</w:t>
      </w:r>
      <w:r w:rsidRPr="00745B3A">
        <w:rPr>
          <w:rFonts w:ascii="Times New Roman" w:eastAsia="Times New Roman" w:hAnsi="Times New Roman"/>
          <w:color w:val="000000"/>
          <w:sz w:val="23"/>
          <w:szCs w:val="23"/>
          <w:lang w:eastAsia="en-AU"/>
        </w:rPr>
        <w:t xml:space="preserve"> means the day on which the Act comes into operation.</w:t>
      </w:r>
    </w:p>
    <w:p w:rsidR="00745B3A" w:rsidRPr="00745B3A" w:rsidRDefault="00745B3A" w:rsidP="00745B3A">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27" w:name="Elkera_Print_TOC6"/>
      <w:bookmarkStart w:id="28" w:name="Elkera_Print_BK6"/>
      <w:r w:rsidRPr="00745B3A">
        <w:rPr>
          <w:rFonts w:ascii="Times New Roman" w:eastAsia="Times New Roman" w:hAnsi="Times New Roman"/>
          <w:b/>
          <w:bCs/>
          <w:color w:val="000000"/>
          <w:sz w:val="32"/>
          <w:szCs w:val="32"/>
          <w:lang w:eastAsia="en-AU"/>
        </w:rPr>
        <w:t>Schedule 1—Repeal of regulations</w:t>
      </w:r>
      <w:bookmarkEnd w:id="27"/>
      <w:bookmarkEnd w:id="28"/>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9" w:name="Elkera_Print_TOC7"/>
      <w:bookmarkStart w:id="30" w:name="Elkera_Print_BK7"/>
      <w:r w:rsidRPr="00745B3A">
        <w:rPr>
          <w:rFonts w:ascii="Times New Roman" w:eastAsia="Times New Roman" w:hAnsi="Times New Roman"/>
          <w:b/>
          <w:bCs/>
          <w:color w:val="000000"/>
          <w:sz w:val="26"/>
          <w:szCs w:val="26"/>
          <w:lang w:eastAsia="en-AU"/>
        </w:rPr>
        <w:t>1—Repeal of regulations</w:t>
      </w:r>
      <w:bookmarkEnd w:id="29"/>
      <w:bookmarkEnd w:id="30"/>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 xml:space="preserve">The </w:t>
      </w:r>
      <w:hyperlink r:id="rId38" w:history="1">
        <w:r w:rsidRPr="00745B3A">
          <w:rPr>
            <w:rFonts w:ascii="Times New Roman" w:eastAsia="Times New Roman" w:hAnsi="Times New Roman"/>
            <w:i/>
            <w:iCs/>
            <w:color w:val="000000"/>
            <w:sz w:val="23"/>
            <w:szCs w:val="23"/>
            <w:lang w:eastAsia="en-AU"/>
          </w:rPr>
          <w:t>Acts Interpretation (Audiovisual Meetings) Regulations 2021</w:t>
        </w:r>
      </w:hyperlink>
      <w:r w:rsidRPr="00745B3A">
        <w:rPr>
          <w:rFonts w:ascii="Times New Roman" w:eastAsia="Times New Roman" w:hAnsi="Times New Roman"/>
          <w:color w:val="000000"/>
          <w:sz w:val="23"/>
          <w:szCs w:val="23"/>
          <w:lang w:eastAsia="en-AU"/>
        </w:rPr>
        <w:t xml:space="preserve"> are repealed.</w:t>
      </w:r>
    </w:p>
    <w:p w:rsidR="00745B3A" w:rsidRPr="00745B3A" w:rsidRDefault="00745B3A" w:rsidP="00745B3A">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45B3A">
        <w:rPr>
          <w:rFonts w:ascii="Times New Roman" w:eastAsia="Times New Roman" w:hAnsi="Times New Roman"/>
          <w:b/>
          <w:bCs/>
          <w:color w:val="000000"/>
          <w:sz w:val="20"/>
          <w:szCs w:val="20"/>
          <w:lang w:eastAsia="en-AU"/>
        </w:rPr>
        <w:t>Editorial note—</w:t>
      </w:r>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45B3A">
        <w:rPr>
          <w:rFonts w:ascii="Times New Roman" w:eastAsia="Times New Roman" w:hAnsi="Times New Roman"/>
          <w:color w:val="000000"/>
          <w:sz w:val="20"/>
          <w:szCs w:val="20"/>
          <w:lang w:eastAsia="en-AU"/>
        </w:rPr>
        <w:t xml:space="preserve">As required by section 10AA(2) of the </w:t>
      </w:r>
      <w:hyperlink r:id="rId39" w:history="1">
        <w:r w:rsidRPr="00745B3A">
          <w:rPr>
            <w:rFonts w:ascii="Times New Roman" w:eastAsia="Times New Roman" w:hAnsi="Times New Roman"/>
            <w:i/>
            <w:iCs/>
            <w:color w:val="000000"/>
            <w:sz w:val="20"/>
            <w:szCs w:val="20"/>
            <w:lang w:eastAsia="en-AU"/>
          </w:rPr>
          <w:t>Legislative Instruments Act 1978</w:t>
        </w:r>
      </w:hyperlink>
      <w:r w:rsidRPr="00745B3A">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745B3A" w:rsidRPr="00745B3A" w:rsidRDefault="00745B3A" w:rsidP="00745B3A">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Made by the Governor</w:t>
      </w:r>
    </w:p>
    <w:p w:rsidR="00745B3A" w:rsidRPr="00745B3A" w:rsidRDefault="00745B3A" w:rsidP="00745B3A">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with the advice and consent of the Executive Council</w:t>
      </w:r>
    </w:p>
    <w:p w:rsidR="00745B3A" w:rsidRPr="00745B3A" w:rsidRDefault="00745B3A" w:rsidP="00745B3A">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on 23 December 2021</w:t>
      </w:r>
    </w:p>
    <w:p w:rsidR="00745B3A" w:rsidRPr="00745B3A" w:rsidRDefault="00745B3A" w:rsidP="00745B3A">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No 192 of 2021</w:t>
      </w:r>
    </w:p>
    <w:p w:rsidR="00745B3A" w:rsidRDefault="00745B3A">
      <w:pPr>
        <w:spacing w:after="0" w:line="240" w:lineRule="auto"/>
        <w:jc w:val="left"/>
        <w:rPr>
          <w:rFonts w:ascii="Times New Roman" w:eastAsia="Times New Roman" w:hAnsi="Times New Roman"/>
          <w:sz w:val="17"/>
          <w:szCs w:val="17"/>
        </w:rPr>
      </w:pPr>
      <w:r>
        <w:br w:type="page"/>
      </w:r>
    </w:p>
    <w:p w:rsidR="00745B3A" w:rsidRPr="00745B3A" w:rsidRDefault="00745B3A" w:rsidP="00745B3A">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45B3A">
        <w:rPr>
          <w:rFonts w:ascii="Times New Roman" w:eastAsia="Times New Roman" w:hAnsi="Times New Roman"/>
          <w:color w:val="000000"/>
          <w:sz w:val="28"/>
          <w:szCs w:val="28"/>
          <w:lang w:eastAsia="en-AU"/>
        </w:rPr>
        <w:lastRenderedPageBreak/>
        <w:t>South Australia</w:t>
      </w:r>
    </w:p>
    <w:p w:rsidR="00745B3A" w:rsidRPr="00745B3A" w:rsidRDefault="00745B3A" w:rsidP="00D8720A">
      <w:pPr>
        <w:pStyle w:val="Heading3"/>
        <w:rPr>
          <w:lang w:eastAsia="en-AU"/>
        </w:rPr>
      </w:pPr>
      <w:bookmarkStart w:id="31" w:name="_Toc91161248"/>
      <w:r w:rsidRPr="00745B3A">
        <w:rPr>
          <w:lang w:eastAsia="en-AU"/>
        </w:rPr>
        <w:t>Legislation Revision and Publication (Legislation Interpretation) Amendment Regulations 2021</w:t>
      </w:r>
      <w:bookmarkEnd w:id="31"/>
    </w:p>
    <w:p w:rsidR="00745B3A" w:rsidRPr="00745B3A" w:rsidRDefault="00745B3A" w:rsidP="00745B3A">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745B3A">
        <w:rPr>
          <w:rFonts w:ascii="Times New Roman" w:eastAsia="Times New Roman" w:hAnsi="Times New Roman"/>
          <w:color w:val="000000"/>
          <w:sz w:val="24"/>
          <w:szCs w:val="24"/>
          <w:lang w:eastAsia="en-AU"/>
        </w:rPr>
        <w:t xml:space="preserve">under the </w:t>
      </w:r>
      <w:r w:rsidRPr="00745B3A">
        <w:rPr>
          <w:rFonts w:ascii="Times New Roman" w:eastAsia="Times New Roman" w:hAnsi="Times New Roman"/>
          <w:i/>
          <w:iCs/>
          <w:color w:val="000000"/>
          <w:sz w:val="24"/>
          <w:szCs w:val="24"/>
          <w:lang w:eastAsia="en-AU"/>
        </w:rPr>
        <w:t>Legislation Revision and Publication Act 2002</w:t>
      </w:r>
    </w:p>
    <w:p w:rsidR="00745B3A" w:rsidRPr="00745B3A" w:rsidRDefault="00745B3A" w:rsidP="00745B3A">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45B3A" w:rsidRPr="00745B3A" w:rsidRDefault="00745B3A" w:rsidP="00745B3A">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45B3A">
        <w:rPr>
          <w:rFonts w:ascii="Times New Roman" w:eastAsia="Times New Roman" w:hAnsi="Times New Roman"/>
          <w:b/>
          <w:bCs/>
          <w:color w:val="000000"/>
          <w:sz w:val="32"/>
          <w:szCs w:val="32"/>
          <w:lang w:eastAsia="en-AU"/>
        </w:rPr>
        <w:t>Contents</w:t>
      </w:r>
    </w:p>
    <w:p w:rsidR="00745B3A" w:rsidRPr="00745B3A" w:rsidRDefault="00BE58B6" w:rsidP="00745B3A">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745B3A" w:rsidRPr="00745B3A">
          <w:rPr>
            <w:rFonts w:ascii="Times New Roman" w:eastAsia="Times New Roman" w:hAnsi="Times New Roman"/>
            <w:color w:val="000000"/>
            <w:sz w:val="28"/>
            <w:szCs w:val="28"/>
            <w:lang w:eastAsia="en-AU"/>
          </w:rPr>
          <w:t>Part 1—Preliminary</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745B3A" w:rsidRPr="00745B3A">
          <w:rPr>
            <w:rFonts w:ascii="Times New Roman" w:eastAsia="Times New Roman" w:hAnsi="Times New Roman"/>
            <w:color w:val="000000"/>
            <w:lang w:eastAsia="en-AU"/>
          </w:rPr>
          <w:t>1</w:t>
        </w:r>
        <w:r w:rsidR="00745B3A" w:rsidRPr="00745B3A">
          <w:rPr>
            <w:rFonts w:ascii="Times New Roman" w:eastAsia="Times New Roman" w:hAnsi="Times New Roman"/>
            <w:color w:val="000000"/>
            <w:lang w:eastAsia="en-AU"/>
          </w:rPr>
          <w:tab/>
          <w:t>Short title</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745B3A" w:rsidRPr="00745B3A">
          <w:rPr>
            <w:rFonts w:ascii="Times New Roman" w:eastAsia="Times New Roman" w:hAnsi="Times New Roman"/>
            <w:color w:val="000000"/>
            <w:lang w:eastAsia="en-AU"/>
          </w:rPr>
          <w:t>2</w:t>
        </w:r>
        <w:r w:rsidR="00745B3A" w:rsidRPr="00745B3A">
          <w:rPr>
            <w:rFonts w:ascii="Times New Roman" w:eastAsia="Times New Roman" w:hAnsi="Times New Roman"/>
            <w:color w:val="000000"/>
            <w:lang w:eastAsia="en-AU"/>
          </w:rPr>
          <w:tab/>
          <w:t>Commencement</w:t>
        </w:r>
      </w:hyperlink>
    </w:p>
    <w:p w:rsidR="00745B3A" w:rsidRPr="00745B3A" w:rsidRDefault="00BE58B6" w:rsidP="00745B3A">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00745B3A" w:rsidRPr="00745B3A">
          <w:rPr>
            <w:rFonts w:ascii="Times New Roman" w:eastAsia="Times New Roman" w:hAnsi="Times New Roman"/>
            <w:color w:val="000000"/>
            <w:sz w:val="28"/>
            <w:szCs w:val="28"/>
            <w:lang w:eastAsia="en-AU"/>
          </w:rPr>
          <w:t xml:space="preserve">Part 2—Amendment of </w:t>
        </w:r>
        <w:r w:rsidR="00745B3A" w:rsidRPr="00745B3A">
          <w:rPr>
            <w:rFonts w:ascii="Times New Roman" w:eastAsia="Times New Roman" w:hAnsi="Times New Roman"/>
            <w:i/>
            <w:iCs/>
            <w:color w:val="000000"/>
            <w:sz w:val="28"/>
            <w:szCs w:val="28"/>
            <w:lang w:eastAsia="en-AU"/>
          </w:rPr>
          <w:t>Legislation Revision and Publication Regulations 2017</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745B3A" w:rsidRPr="00745B3A">
          <w:rPr>
            <w:rFonts w:ascii="Times New Roman" w:eastAsia="Times New Roman" w:hAnsi="Times New Roman"/>
            <w:color w:val="000000"/>
            <w:lang w:eastAsia="en-AU"/>
          </w:rPr>
          <w:t>3</w:t>
        </w:r>
        <w:r w:rsidR="00745B3A" w:rsidRPr="00745B3A">
          <w:rPr>
            <w:rFonts w:ascii="Times New Roman" w:eastAsia="Times New Roman" w:hAnsi="Times New Roman"/>
            <w:color w:val="000000"/>
            <w:lang w:eastAsia="en-AU"/>
          </w:rPr>
          <w:tab/>
          <w:t>Amendment of regulation 4—Definition of legislation</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745B3A" w:rsidRPr="00745B3A">
          <w:rPr>
            <w:rFonts w:ascii="Times New Roman" w:eastAsia="Times New Roman" w:hAnsi="Times New Roman"/>
            <w:color w:val="000000"/>
            <w:lang w:eastAsia="en-AU"/>
          </w:rPr>
          <w:t>4</w:t>
        </w:r>
        <w:r w:rsidR="00745B3A" w:rsidRPr="00745B3A">
          <w:rPr>
            <w:rFonts w:ascii="Times New Roman" w:eastAsia="Times New Roman" w:hAnsi="Times New Roman"/>
            <w:color w:val="000000"/>
            <w:lang w:eastAsia="en-AU"/>
          </w:rPr>
          <w:tab/>
          <w:t>Insertion of regulation 7</w:t>
        </w:r>
      </w:hyperlink>
    </w:p>
    <w:p w:rsidR="00745B3A" w:rsidRPr="00745B3A" w:rsidRDefault="00BE58B6" w:rsidP="00745B3A">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7" w:history="1">
        <w:r w:rsidR="00745B3A" w:rsidRPr="00745B3A">
          <w:rPr>
            <w:rFonts w:ascii="Times New Roman" w:eastAsia="Times New Roman" w:hAnsi="Times New Roman"/>
            <w:color w:val="000000"/>
            <w:sz w:val="18"/>
            <w:szCs w:val="18"/>
            <w:lang w:eastAsia="en-AU"/>
          </w:rPr>
          <w:t>7</w:t>
        </w:r>
        <w:r w:rsidR="00745B3A" w:rsidRPr="00745B3A">
          <w:rPr>
            <w:rFonts w:ascii="Times New Roman" w:eastAsia="Times New Roman" w:hAnsi="Times New Roman"/>
            <w:color w:val="000000"/>
            <w:sz w:val="18"/>
            <w:szCs w:val="18"/>
            <w:lang w:eastAsia="en-AU"/>
          </w:rPr>
          <w:tab/>
          <w:t>Evidence</w:t>
        </w:r>
      </w:hyperlink>
    </w:p>
    <w:p w:rsidR="00745B3A" w:rsidRPr="00745B3A" w:rsidRDefault="00745B3A" w:rsidP="00745B3A">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45B3A" w:rsidRPr="00745B3A" w:rsidRDefault="00745B3A" w:rsidP="00745B3A">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45B3A">
        <w:rPr>
          <w:rFonts w:ascii="Times New Roman" w:eastAsia="Times New Roman" w:hAnsi="Times New Roman"/>
          <w:b/>
          <w:bCs/>
          <w:color w:val="000000"/>
          <w:sz w:val="32"/>
          <w:szCs w:val="32"/>
          <w:lang w:eastAsia="en-AU"/>
        </w:rPr>
        <w:t>Part 1—Preliminary</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1—Short title</w:t>
      </w:r>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 xml:space="preserve">These regulations may be cited as the </w:t>
      </w:r>
      <w:r w:rsidRPr="00745B3A">
        <w:rPr>
          <w:rFonts w:ascii="Times New Roman" w:eastAsia="Times New Roman" w:hAnsi="Times New Roman"/>
          <w:i/>
          <w:iCs/>
          <w:color w:val="000000"/>
          <w:sz w:val="23"/>
          <w:szCs w:val="23"/>
          <w:lang w:eastAsia="en-AU"/>
        </w:rPr>
        <w:t>Legislation Revision and Publication (Legislation Interpretation) Amendment Regulations 2021</w:t>
      </w:r>
      <w:r w:rsidRPr="00745B3A">
        <w:rPr>
          <w:rFonts w:ascii="Times New Roman" w:eastAsia="Times New Roman" w:hAnsi="Times New Roman"/>
          <w:color w:val="000000"/>
          <w:sz w:val="23"/>
          <w:szCs w:val="23"/>
          <w:lang w:eastAsia="en-AU"/>
        </w:rPr>
        <w:t>.</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2—Commencement</w:t>
      </w:r>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 xml:space="preserve">These regulations come into operation on the day on which the </w:t>
      </w:r>
      <w:hyperlink r:id="rId40" w:history="1">
        <w:r w:rsidRPr="00745B3A">
          <w:rPr>
            <w:rFonts w:ascii="Times New Roman" w:eastAsia="Times New Roman" w:hAnsi="Times New Roman"/>
            <w:i/>
            <w:iCs/>
            <w:color w:val="000000"/>
            <w:sz w:val="23"/>
            <w:szCs w:val="23"/>
            <w:lang w:eastAsia="en-AU"/>
          </w:rPr>
          <w:t>Legislation Interpretation Act 2021</w:t>
        </w:r>
      </w:hyperlink>
      <w:r w:rsidRPr="00745B3A">
        <w:rPr>
          <w:rFonts w:ascii="Times New Roman" w:eastAsia="Times New Roman" w:hAnsi="Times New Roman"/>
          <w:color w:val="000000"/>
          <w:sz w:val="23"/>
          <w:szCs w:val="23"/>
          <w:lang w:eastAsia="en-AU"/>
        </w:rPr>
        <w:t xml:space="preserve"> comes into operation.</w:t>
      </w:r>
    </w:p>
    <w:p w:rsidR="00745B3A" w:rsidRPr="00745B3A" w:rsidRDefault="00745B3A" w:rsidP="00745B3A">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45B3A">
        <w:rPr>
          <w:rFonts w:ascii="Times New Roman" w:eastAsia="Times New Roman" w:hAnsi="Times New Roman"/>
          <w:b/>
          <w:bCs/>
          <w:color w:val="000000"/>
          <w:sz w:val="32"/>
          <w:szCs w:val="32"/>
          <w:lang w:eastAsia="en-AU"/>
        </w:rPr>
        <w:t xml:space="preserve">Part 2—Amendment of </w:t>
      </w:r>
      <w:r w:rsidRPr="00745B3A">
        <w:rPr>
          <w:rFonts w:ascii="Times New Roman" w:eastAsia="Times New Roman" w:hAnsi="Times New Roman"/>
          <w:b/>
          <w:bCs/>
          <w:i/>
          <w:iCs/>
          <w:color w:val="000000"/>
          <w:sz w:val="32"/>
          <w:szCs w:val="32"/>
          <w:lang w:eastAsia="en-AU"/>
        </w:rPr>
        <w:t>Legislation Revision and Publication Regulations 2017</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3—Amendment of regulation 4—Definition of legislation</w:t>
      </w:r>
    </w:p>
    <w:p w:rsidR="00745B3A" w:rsidRPr="00745B3A" w:rsidRDefault="00745B3A" w:rsidP="00745B3A">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Regulation 4—before "instruments" insert:</w:t>
      </w:r>
    </w:p>
    <w:p w:rsidR="00745B3A" w:rsidRPr="00745B3A" w:rsidRDefault="00745B3A" w:rsidP="00745B3A">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legislative</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4—Insertion of regulation 7</w:t>
      </w:r>
    </w:p>
    <w:p w:rsidR="00745B3A" w:rsidRPr="00745B3A" w:rsidRDefault="00745B3A" w:rsidP="00745B3A">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After regulation 6 insert:</w:t>
      </w:r>
    </w:p>
    <w:p w:rsidR="00745B3A" w:rsidRPr="00745B3A" w:rsidRDefault="00745B3A" w:rsidP="00745B3A">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7—Evidence</w:t>
      </w:r>
    </w:p>
    <w:p w:rsidR="00745B3A" w:rsidRPr="00745B3A" w:rsidRDefault="00745B3A" w:rsidP="00745B3A">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(1)</w:t>
      </w:r>
      <w:r w:rsidRPr="00745B3A">
        <w:rPr>
          <w:rFonts w:ascii="Times New Roman" w:eastAsia="Times New Roman" w:hAnsi="Times New Roman"/>
          <w:color w:val="000000"/>
          <w:sz w:val="23"/>
          <w:szCs w:val="23"/>
          <w:lang w:eastAsia="en-AU"/>
        </w:rPr>
        <w:tab/>
        <w:t>For the purposes of section 9(3) of the Act, the SA legislation website is prescribed.</w:t>
      </w:r>
    </w:p>
    <w:p w:rsidR="00745B3A" w:rsidRPr="00745B3A" w:rsidRDefault="00745B3A" w:rsidP="00745B3A">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(2)</w:t>
      </w:r>
      <w:r w:rsidRPr="00745B3A">
        <w:rPr>
          <w:rFonts w:ascii="Times New Roman" w:eastAsia="Times New Roman" w:hAnsi="Times New Roman"/>
          <w:color w:val="000000"/>
          <w:sz w:val="23"/>
          <w:szCs w:val="23"/>
          <w:lang w:eastAsia="en-AU"/>
        </w:rPr>
        <w:tab/>
        <w:t>In this regulation—</w:t>
      </w:r>
    </w:p>
    <w:p w:rsidR="00745B3A" w:rsidRPr="00745B3A" w:rsidRDefault="00745B3A" w:rsidP="00745B3A">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45B3A">
        <w:rPr>
          <w:rFonts w:ascii="Times New Roman" w:eastAsia="Times New Roman" w:hAnsi="Times New Roman"/>
          <w:b/>
          <w:bCs/>
          <w:i/>
          <w:iCs/>
          <w:color w:val="000000"/>
          <w:sz w:val="23"/>
          <w:szCs w:val="23"/>
          <w:lang w:eastAsia="en-AU"/>
        </w:rPr>
        <w:t>SA legislation website</w:t>
      </w:r>
      <w:r w:rsidRPr="00745B3A">
        <w:rPr>
          <w:rFonts w:ascii="Times New Roman" w:eastAsia="Times New Roman" w:hAnsi="Times New Roman"/>
          <w:color w:val="000000"/>
          <w:sz w:val="23"/>
          <w:szCs w:val="23"/>
          <w:lang w:eastAsia="en-AU"/>
        </w:rPr>
        <w:t xml:space="preserve"> means the website with the URL of www.legislation.sa.gov.au or any other website established and maintained by the Office of Parliamentary Counsel for the purpose of providing public access to the legislation of South Australia.</w:t>
      </w:r>
    </w:p>
    <w:p w:rsidR="00745B3A" w:rsidRPr="00745B3A" w:rsidRDefault="00745B3A" w:rsidP="00745B3A">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45B3A">
        <w:rPr>
          <w:rFonts w:ascii="Times New Roman" w:eastAsia="Times New Roman" w:hAnsi="Times New Roman"/>
          <w:b/>
          <w:bCs/>
          <w:color w:val="000000"/>
          <w:sz w:val="20"/>
          <w:szCs w:val="20"/>
          <w:lang w:eastAsia="en-AU"/>
        </w:rPr>
        <w:lastRenderedPageBreak/>
        <w:t>Editorial note—</w:t>
      </w:r>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45B3A">
        <w:rPr>
          <w:rFonts w:ascii="Times New Roman" w:eastAsia="Times New Roman" w:hAnsi="Times New Roman"/>
          <w:color w:val="000000"/>
          <w:sz w:val="20"/>
          <w:szCs w:val="20"/>
          <w:lang w:eastAsia="en-AU"/>
        </w:rPr>
        <w:t xml:space="preserve">As required by section 10AA(2) of the </w:t>
      </w:r>
      <w:hyperlink r:id="rId41" w:history="1">
        <w:r w:rsidRPr="00745B3A">
          <w:rPr>
            <w:rFonts w:ascii="Times New Roman" w:eastAsia="Times New Roman" w:hAnsi="Times New Roman"/>
            <w:i/>
            <w:iCs/>
            <w:color w:val="000000"/>
            <w:sz w:val="20"/>
            <w:szCs w:val="20"/>
            <w:lang w:eastAsia="en-AU"/>
          </w:rPr>
          <w:t>Legislative Instruments Act 1978</w:t>
        </w:r>
      </w:hyperlink>
      <w:r w:rsidRPr="00745B3A">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745B3A" w:rsidRPr="00745B3A" w:rsidRDefault="00745B3A" w:rsidP="00745B3A">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Made by the Governor</w:t>
      </w:r>
    </w:p>
    <w:p w:rsidR="00745B3A" w:rsidRPr="00745B3A" w:rsidRDefault="00745B3A" w:rsidP="00745B3A">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with the advice and consent of the Executive Council</w:t>
      </w:r>
    </w:p>
    <w:p w:rsidR="00745B3A" w:rsidRPr="00745B3A" w:rsidRDefault="00745B3A" w:rsidP="00745B3A">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on 23 December 2021</w:t>
      </w:r>
    </w:p>
    <w:p w:rsidR="00745B3A" w:rsidRPr="00745B3A" w:rsidRDefault="00745B3A" w:rsidP="00745B3A">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No 193 of 2021</w:t>
      </w:r>
    </w:p>
    <w:p w:rsidR="00745B3A" w:rsidRDefault="00745B3A">
      <w:pPr>
        <w:spacing w:after="0" w:line="240" w:lineRule="auto"/>
        <w:jc w:val="left"/>
        <w:rPr>
          <w:rFonts w:ascii="Times New Roman" w:eastAsia="Times New Roman" w:hAnsi="Times New Roman"/>
          <w:sz w:val="17"/>
          <w:szCs w:val="17"/>
        </w:rPr>
      </w:pPr>
      <w:r>
        <w:br w:type="page"/>
      </w:r>
    </w:p>
    <w:p w:rsidR="00745B3A" w:rsidRPr="00745B3A" w:rsidRDefault="00745B3A" w:rsidP="00745B3A">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45B3A">
        <w:rPr>
          <w:rFonts w:ascii="Times New Roman" w:eastAsia="Times New Roman" w:hAnsi="Times New Roman"/>
          <w:color w:val="000000"/>
          <w:sz w:val="28"/>
          <w:szCs w:val="28"/>
          <w:lang w:eastAsia="en-AU"/>
        </w:rPr>
        <w:lastRenderedPageBreak/>
        <w:t>South Australia</w:t>
      </w:r>
    </w:p>
    <w:p w:rsidR="00745B3A" w:rsidRPr="00745B3A" w:rsidRDefault="00745B3A" w:rsidP="00D8720A">
      <w:pPr>
        <w:pStyle w:val="Heading3"/>
        <w:rPr>
          <w:lang w:eastAsia="en-AU"/>
        </w:rPr>
      </w:pPr>
      <w:bookmarkStart w:id="32" w:name="_Toc91161249"/>
      <w:r w:rsidRPr="00745B3A">
        <w:rPr>
          <w:lang w:eastAsia="en-AU"/>
        </w:rPr>
        <w:t>Local Government (Financial Management) (Review) Variation Regulations 2021</w:t>
      </w:r>
      <w:bookmarkEnd w:id="32"/>
    </w:p>
    <w:p w:rsidR="00745B3A" w:rsidRPr="00745B3A" w:rsidRDefault="00745B3A" w:rsidP="00745B3A">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745B3A">
        <w:rPr>
          <w:rFonts w:ascii="Times New Roman" w:eastAsia="Times New Roman" w:hAnsi="Times New Roman"/>
          <w:color w:val="000000"/>
          <w:sz w:val="24"/>
          <w:szCs w:val="24"/>
          <w:lang w:eastAsia="en-AU"/>
        </w:rPr>
        <w:t xml:space="preserve">under the </w:t>
      </w:r>
      <w:r w:rsidRPr="00745B3A">
        <w:rPr>
          <w:rFonts w:ascii="Times New Roman" w:eastAsia="Times New Roman" w:hAnsi="Times New Roman"/>
          <w:i/>
          <w:iCs/>
          <w:color w:val="000000"/>
          <w:sz w:val="24"/>
          <w:szCs w:val="24"/>
          <w:lang w:eastAsia="en-AU"/>
        </w:rPr>
        <w:t>Local Government Act 1999</w:t>
      </w:r>
    </w:p>
    <w:p w:rsidR="00745B3A" w:rsidRPr="00745B3A" w:rsidRDefault="00745B3A" w:rsidP="00745B3A">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45B3A" w:rsidRPr="00745B3A" w:rsidRDefault="00745B3A" w:rsidP="00745B3A">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45B3A">
        <w:rPr>
          <w:rFonts w:ascii="Times New Roman" w:eastAsia="Times New Roman" w:hAnsi="Times New Roman"/>
          <w:b/>
          <w:bCs/>
          <w:color w:val="000000"/>
          <w:sz w:val="32"/>
          <w:szCs w:val="32"/>
          <w:lang w:eastAsia="en-AU"/>
        </w:rPr>
        <w:t>Contents</w:t>
      </w:r>
    </w:p>
    <w:p w:rsidR="00745B3A" w:rsidRPr="00745B3A" w:rsidRDefault="00BE58B6" w:rsidP="00745B3A">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745B3A" w:rsidRPr="00745B3A">
          <w:rPr>
            <w:rFonts w:ascii="Times New Roman" w:eastAsia="Times New Roman" w:hAnsi="Times New Roman"/>
            <w:color w:val="000000"/>
            <w:sz w:val="28"/>
            <w:szCs w:val="28"/>
            <w:lang w:eastAsia="en-AU"/>
          </w:rPr>
          <w:t>Part 1—Preliminary</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745B3A" w:rsidRPr="00745B3A">
          <w:rPr>
            <w:rFonts w:ascii="Times New Roman" w:eastAsia="Times New Roman" w:hAnsi="Times New Roman"/>
            <w:color w:val="000000"/>
            <w:lang w:eastAsia="en-AU"/>
          </w:rPr>
          <w:t>1</w:t>
        </w:r>
        <w:r w:rsidR="00745B3A" w:rsidRPr="00745B3A">
          <w:rPr>
            <w:rFonts w:ascii="Times New Roman" w:eastAsia="Times New Roman" w:hAnsi="Times New Roman"/>
            <w:color w:val="000000"/>
            <w:lang w:eastAsia="en-AU"/>
          </w:rPr>
          <w:tab/>
          <w:t>Short title</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745B3A" w:rsidRPr="00745B3A">
          <w:rPr>
            <w:rFonts w:ascii="Times New Roman" w:eastAsia="Times New Roman" w:hAnsi="Times New Roman"/>
            <w:color w:val="000000"/>
            <w:lang w:eastAsia="en-AU"/>
          </w:rPr>
          <w:t>2</w:t>
        </w:r>
        <w:r w:rsidR="00745B3A" w:rsidRPr="00745B3A">
          <w:rPr>
            <w:rFonts w:ascii="Times New Roman" w:eastAsia="Times New Roman" w:hAnsi="Times New Roman"/>
            <w:color w:val="000000"/>
            <w:lang w:eastAsia="en-AU"/>
          </w:rPr>
          <w:tab/>
          <w:t>Commencement</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745B3A" w:rsidRPr="00745B3A">
          <w:rPr>
            <w:rFonts w:ascii="Times New Roman" w:eastAsia="Times New Roman" w:hAnsi="Times New Roman"/>
            <w:color w:val="000000"/>
            <w:lang w:eastAsia="en-AU"/>
          </w:rPr>
          <w:t>3</w:t>
        </w:r>
        <w:r w:rsidR="00745B3A" w:rsidRPr="00745B3A">
          <w:rPr>
            <w:rFonts w:ascii="Times New Roman" w:eastAsia="Times New Roman" w:hAnsi="Times New Roman"/>
            <w:color w:val="000000"/>
            <w:lang w:eastAsia="en-AU"/>
          </w:rPr>
          <w:tab/>
          <w:t>Variation provisions</w:t>
        </w:r>
      </w:hyperlink>
    </w:p>
    <w:p w:rsidR="00745B3A" w:rsidRPr="00745B3A" w:rsidRDefault="00BE58B6" w:rsidP="00745B3A">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745B3A" w:rsidRPr="00745B3A">
          <w:rPr>
            <w:rFonts w:ascii="Times New Roman" w:eastAsia="Times New Roman" w:hAnsi="Times New Roman"/>
            <w:color w:val="000000"/>
            <w:sz w:val="28"/>
            <w:szCs w:val="28"/>
            <w:lang w:eastAsia="en-AU"/>
          </w:rPr>
          <w:t xml:space="preserve">Part 2—Variation of </w:t>
        </w:r>
        <w:r w:rsidR="00745B3A" w:rsidRPr="00745B3A">
          <w:rPr>
            <w:rFonts w:ascii="Times New Roman" w:eastAsia="Times New Roman" w:hAnsi="Times New Roman"/>
            <w:i/>
            <w:iCs/>
            <w:color w:val="000000"/>
            <w:sz w:val="28"/>
            <w:szCs w:val="28"/>
            <w:lang w:eastAsia="en-AU"/>
          </w:rPr>
          <w:t>Local Government (Financial Management) Regulations 2011</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6b6a7b34_38e8_412d_acb8_140a9af879" w:history="1">
        <w:r w:rsidR="00745B3A" w:rsidRPr="00745B3A">
          <w:rPr>
            <w:rFonts w:ascii="Times New Roman" w:eastAsia="Times New Roman" w:hAnsi="Times New Roman"/>
            <w:color w:val="000000"/>
            <w:lang w:eastAsia="en-AU"/>
          </w:rPr>
          <w:t>4</w:t>
        </w:r>
        <w:r w:rsidR="00745B3A" w:rsidRPr="00745B3A">
          <w:rPr>
            <w:rFonts w:ascii="Times New Roman" w:eastAsia="Times New Roman" w:hAnsi="Times New Roman"/>
            <w:color w:val="000000"/>
            <w:lang w:eastAsia="en-AU"/>
          </w:rPr>
          <w:tab/>
          <w:t>Variation of regulation 5—Long</w:t>
        </w:r>
        <w:r w:rsidR="00745B3A" w:rsidRPr="00745B3A">
          <w:rPr>
            <w:rFonts w:ascii="Times New Roman" w:eastAsia="Times New Roman" w:hAnsi="Times New Roman"/>
            <w:color w:val="000000"/>
            <w:lang w:eastAsia="en-AU"/>
          </w:rPr>
          <w:noBreakHyphen/>
          <w:t>term financial plans</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00745B3A" w:rsidRPr="00745B3A">
          <w:rPr>
            <w:rFonts w:ascii="Times New Roman" w:eastAsia="Times New Roman" w:hAnsi="Times New Roman"/>
            <w:color w:val="000000"/>
            <w:lang w:eastAsia="en-AU"/>
          </w:rPr>
          <w:t>5</w:t>
        </w:r>
        <w:r w:rsidR="00745B3A" w:rsidRPr="00745B3A">
          <w:rPr>
            <w:rFonts w:ascii="Times New Roman" w:eastAsia="Times New Roman" w:hAnsi="Times New Roman"/>
            <w:color w:val="000000"/>
            <w:lang w:eastAsia="en-AU"/>
          </w:rPr>
          <w:tab/>
          <w:t>Variation of regulation 6—Annual business plans</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 w:history="1">
        <w:r w:rsidR="00745B3A" w:rsidRPr="00745B3A">
          <w:rPr>
            <w:rFonts w:ascii="Times New Roman" w:eastAsia="Times New Roman" w:hAnsi="Times New Roman"/>
            <w:color w:val="000000"/>
            <w:lang w:eastAsia="en-AU"/>
          </w:rPr>
          <w:t>6</w:t>
        </w:r>
        <w:r w:rsidR="00745B3A" w:rsidRPr="00745B3A">
          <w:rPr>
            <w:rFonts w:ascii="Times New Roman" w:eastAsia="Times New Roman" w:hAnsi="Times New Roman"/>
            <w:color w:val="000000"/>
            <w:lang w:eastAsia="en-AU"/>
          </w:rPr>
          <w:tab/>
          <w:t>Insertion of regulation 10A</w:t>
        </w:r>
      </w:hyperlink>
    </w:p>
    <w:p w:rsidR="00745B3A" w:rsidRPr="00745B3A" w:rsidRDefault="00BE58B6" w:rsidP="00745B3A">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10" w:history="1">
        <w:r w:rsidR="00745B3A" w:rsidRPr="00745B3A">
          <w:rPr>
            <w:rFonts w:ascii="Times New Roman" w:eastAsia="Times New Roman" w:hAnsi="Times New Roman"/>
            <w:color w:val="000000"/>
            <w:sz w:val="18"/>
            <w:szCs w:val="18"/>
            <w:lang w:eastAsia="en-AU"/>
          </w:rPr>
          <w:t>10A</w:t>
        </w:r>
        <w:r w:rsidR="00745B3A" w:rsidRPr="00745B3A">
          <w:rPr>
            <w:rFonts w:ascii="Times New Roman" w:eastAsia="Times New Roman" w:hAnsi="Times New Roman"/>
            <w:color w:val="000000"/>
            <w:sz w:val="18"/>
            <w:szCs w:val="18"/>
            <w:lang w:eastAsia="en-AU"/>
          </w:rPr>
          <w:tab/>
          <w:t>Internal control policies</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d2aa6d4a_6e78_4c8b_8ca8_c7b7b83eb7" w:history="1">
        <w:r w:rsidR="00745B3A" w:rsidRPr="00745B3A">
          <w:rPr>
            <w:rFonts w:ascii="Times New Roman" w:eastAsia="Times New Roman" w:hAnsi="Times New Roman"/>
            <w:color w:val="000000"/>
            <w:lang w:eastAsia="en-AU"/>
          </w:rPr>
          <w:t>7</w:t>
        </w:r>
        <w:r w:rsidR="00745B3A" w:rsidRPr="00745B3A">
          <w:rPr>
            <w:rFonts w:ascii="Times New Roman" w:eastAsia="Times New Roman" w:hAnsi="Times New Roman"/>
            <w:color w:val="000000"/>
            <w:lang w:eastAsia="en-AU"/>
          </w:rPr>
          <w:tab/>
          <w:t>Variation of heading to Part 5</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3" w:history="1">
        <w:r w:rsidR="00745B3A" w:rsidRPr="00745B3A">
          <w:rPr>
            <w:rFonts w:ascii="Times New Roman" w:eastAsia="Times New Roman" w:hAnsi="Times New Roman"/>
            <w:color w:val="000000"/>
            <w:lang w:eastAsia="en-AU"/>
          </w:rPr>
          <w:t>8</w:t>
        </w:r>
        <w:r w:rsidR="00745B3A" w:rsidRPr="00745B3A">
          <w:rPr>
            <w:rFonts w:ascii="Times New Roman" w:eastAsia="Times New Roman" w:hAnsi="Times New Roman"/>
            <w:color w:val="000000"/>
            <w:lang w:eastAsia="en-AU"/>
          </w:rPr>
          <w:tab/>
          <w:t>Variation of regulation 17—Membership of council audit and risk committee</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3e70f5ab_6573_4f6b_ad7e_73746c1677" w:history="1">
        <w:r w:rsidR="00745B3A" w:rsidRPr="00745B3A">
          <w:rPr>
            <w:rFonts w:ascii="Times New Roman" w:eastAsia="Times New Roman" w:hAnsi="Times New Roman"/>
            <w:color w:val="000000"/>
            <w:lang w:eastAsia="en-AU"/>
          </w:rPr>
          <w:t>9</w:t>
        </w:r>
        <w:r w:rsidR="00745B3A" w:rsidRPr="00745B3A">
          <w:rPr>
            <w:rFonts w:ascii="Times New Roman" w:eastAsia="Times New Roman" w:hAnsi="Times New Roman"/>
            <w:color w:val="000000"/>
            <w:lang w:eastAsia="en-AU"/>
          </w:rPr>
          <w:tab/>
          <w:t>Insertion of regulations 17A and 17B</w:t>
        </w:r>
      </w:hyperlink>
    </w:p>
    <w:p w:rsidR="00745B3A" w:rsidRPr="00745B3A" w:rsidRDefault="00BE58B6" w:rsidP="00745B3A">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16" w:history="1">
        <w:r w:rsidR="00745B3A" w:rsidRPr="00745B3A">
          <w:rPr>
            <w:rFonts w:ascii="Times New Roman" w:eastAsia="Times New Roman" w:hAnsi="Times New Roman"/>
            <w:color w:val="000000"/>
            <w:sz w:val="18"/>
            <w:szCs w:val="18"/>
            <w:lang w:eastAsia="en-AU"/>
          </w:rPr>
          <w:t>17A</w:t>
        </w:r>
        <w:r w:rsidR="00745B3A" w:rsidRPr="00745B3A">
          <w:rPr>
            <w:rFonts w:ascii="Times New Roman" w:eastAsia="Times New Roman" w:hAnsi="Times New Roman"/>
            <w:color w:val="000000"/>
            <w:sz w:val="18"/>
            <w:szCs w:val="18"/>
            <w:lang w:eastAsia="en-AU"/>
          </w:rPr>
          <w:tab/>
          <w:t>Membership of regional audit and risk committee</w:t>
        </w:r>
      </w:hyperlink>
    </w:p>
    <w:p w:rsidR="00745B3A" w:rsidRPr="00745B3A" w:rsidRDefault="00BE58B6" w:rsidP="00745B3A">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17" w:history="1">
        <w:r w:rsidR="00745B3A" w:rsidRPr="00745B3A">
          <w:rPr>
            <w:rFonts w:ascii="Times New Roman" w:eastAsia="Times New Roman" w:hAnsi="Times New Roman"/>
            <w:color w:val="000000"/>
            <w:sz w:val="18"/>
            <w:szCs w:val="18"/>
            <w:lang w:eastAsia="en-AU"/>
          </w:rPr>
          <w:t>17B</w:t>
        </w:r>
        <w:r w:rsidR="00745B3A" w:rsidRPr="00745B3A">
          <w:rPr>
            <w:rFonts w:ascii="Times New Roman" w:eastAsia="Times New Roman" w:hAnsi="Times New Roman"/>
            <w:color w:val="000000"/>
            <w:sz w:val="18"/>
            <w:szCs w:val="18"/>
            <w:lang w:eastAsia="en-AU"/>
          </w:rPr>
          <w:tab/>
          <w:t>Requirement to liaise with council auditor</w:t>
        </w:r>
      </w:hyperlink>
    </w:p>
    <w:p w:rsidR="00745B3A" w:rsidRPr="00745B3A" w:rsidRDefault="00745B3A" w:rsidP="00745B3A">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45B3A" w:rsidRPr="00745B3A" w:rsidRDefault="00745B3A" w:rsidP="00745B3A">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45B3A">
        <w:rPr>
          <w:rFonts w:ascii="Times New Roman" w:eastAsia="Times New Roman" w:hAnsi="Times New Roman"/>
          <w:b/>
          <w:bCs/>
          <w:color w:val="000000"/>
          <w:sz w:val="32"/>
          <w:szCs w:val="32"/>
          <w:lang w:eastAsia="en-AU"/>
        </w:rPr>
        <w:t>Part 1—Preliminary</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1—Short title</w:t>
      </w:r>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 xml:space="preserve">These regulations may be cited as the </w:t>
      </w:r>
      <w:r w:rsidRPr="00745B3A">
        <w:rPr>
          <w:rFonts w:ascii="Times New Roman" w:eastAsia="Times New Roman" w:hAnsi="Times New Roman"/>
          <w:i/>
          <w:iCs/>
          <w:color w:val="000000"/>
          <w:sz w:val="23"/>
          <w:szCs w:val="23"/>
          <w:lang w:eastAsia="en-AU"/>
        </w:rPr>
        <w:t>Local Government (Financial Management) (Review) Variation Regulations 2021</w:t>
      </w:r>
      <w:r w:rsidRPr="00745B3A">
        <w:rPr>
          <w:rFonts w:ascii="Times New Roman" w:eastAsia="Times New Roman" w:hAnsi="Times New Roman"/>
          <w:color w:val="000000"/>
          <w:sz w:val="23"/>
          <w:szCs w:val="23"/>
          <w:lang w:eastAsia="en-AU"/>
        </w:rPr>
        <w:t>.</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2—Commencement</w:t>
      </w:r>
    </w:p>
    <w:p w:rsidR="00745B3A" w:rsidRPr="00745B3A" w:rsidRDefault="00745B3A" w:rsidP="00745B3A">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(1)</w:t>
      </w:r>
      <w:r w:rsidRPr="00745B3A">
        <w:rPr>
          <w:rFonts w:ascii="Times New Roman" w:eastAsia="Times New Roman" w:hAnsi="Times New Roman"/>
          <w:color w:val="000000"/>
          <w:sz w:val="23"/>
          <w:szCs w:val="23"/>
          <w:lang w:eastAsia="en-AU"/>
        </w:rPr>
        <w:tab/>
        <w:t xml:space="preserve">Subject to </w:t>
      </w:r>
      <w:hyperlink w:anchor="id05d57d7e_5a80_43a9_ac87_679349e42c" w:history="1">
        <w:r w:rsidRPr="00745B3A">
          <w:rPr>
            <w:rFonts w:ascii="Times New Roman" w:eastAsia="Times New Roman" w:hAnsi="Times New Roman"/>
            <w:color w:val="000000"/>
            <w:sz w:val="23"/>
            <w:szCs w:val="23"/>
            <w:lang w:eastAsia="en-AU"/>
          </w:rPr>
          <w:t>subregulations (2)</w:t>
        </w:r>
      </w:hyperlink>
      <w:r w:rsidRPr="00745B3A">
        <w:rPr>
          <w:rFonts w:ascii="Times New Roman" w:eastAsia="Times New Roman" w:hAnsi="Times New Roman"/>
          <w:color w:val="000000"/>
          <w:sz w:val="23"/>
          <w:szCs w:val="23"/>
          <w:lang w:eastAsia="en-AU"/>
        </w:rPr>
        <w:t xml:space="preserve"> and </w:t>
      </w:r>
      <w:hyperlink w:anchor="id481c19ba_8c5a_466a_9133_f28df6c765" w:history="1">
        <w:r w:rsidRPr="00745B3A">
          <w:rPr>
            <w:rFonts w:ascii="Times New Roman" w:eastAsia="Times New Roman" w:hAnsi="Times New Roman"/>
            <w:color w:val="000000"/>
            <w:sz w:val="23"/>
            <w:szCs w:val="23"/>
            <w:lang w:eastAsia="en-AU"/>
          </w:rPr>
          <w:t>(3)</w:t>
        </w:r>
      </w:hyperlink>
      <w:r w:rsidRPr="00745B3A">
        <w:rPr>
          <w:rFonts w:ascii="Times New Roman" w:eastAsia="Times New Roman" w:hAnsi="Times New Roman"/>
          <w:color w:val="000000"/>
          <w:sz w:val="23"/>
          <w:szCs w:val="23"/>
          <w:lang w:eastAsia="en-AU"/>
        </w:rPr>
        <w:t xml:space="preserve">, these regulations come into operation on the day on which section 79(3) of the </w:t>
      </w:r>
      <w:hyperlink r:id="rId42" w:history="1">
        <w:r w:rsidRPr="00745B3A">
          <w:rPr>
            <w:rFonts w:ascii="Times New Roman" w:eastAsia="Times New Roman" w:hAnsi="Times New Roman"/>
            <w:i/>
            <w:iCs/>
            <w:color w:val="000000"/>
            <w:sz w:val="23"/>
            <w:szCs w:val="23"/>
            <w:lang w:eastAsia="en-AU"/>
          </w:rPr>
          <w:t>Statutes Amendment (Local Government Review) Act 2021</w:t>
        </w:r>
      </w:hyperlink>
      <w:r w:rsidRPr="00745B3A">
        <w:rPr>
          <w:rFonts w:ascii="Times New Roman" w:eastAsia="Times New Roman" w:hAnsi="Times New Roman"/>
          <w:color w:val="000000"/>
          <w:sz w:val="23"/>
          <w:szCs w:val="23"/>
          <w:lang w:eastAsia="en-AU"/>
        </w:rPr>
        <w:t xml:space="preserve"> comes into operation.</w:t>
      </w:r>
    </w:p>
    <w:p w:rsidR="00745B3A" w:rsidRPr="00745B3A" w:rsidRDefault="00745B3A" w:rsidP="00745B3A">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3" w:name="id05d57d7e_5a80_43a9_ac87_679349e42c"/>
      <w:r w:rsidRPr="00745B3A">
        <w:rPr>
          <w:rFonts w:ascii="Times New Roman" w:eastAsia="Times New Roman" w:hAnsi="Times New Roman"/>
          <w:color w:val="000000"/>
          <w:sz w:val="23"/>
          <w:szCs w:val="23"/>
          <w:lang w:eastAsia="en-AU"/>
        </w:rPr>
        <w:tab/>
        <w:t>(2)</w:t>
      </w:r>
      <w:r w:rsidRPr="00745B3A">
        <w:rPr>
          <w:rFonts w:ascii="Times New Roman" w:eastAsia="Times New Roman" w:hAnsi="Times New Roman"/>
          <w:color w:val="000000"/>
          <w:sz w:val="23"/>
          <w:szCs w:val="23"/>
          <w:lang w:eastAsia="en-AU"/>
        </w:rPr>
        <w:tab/>
      </w:r>
      <w:hyperlink w:anchor="id668d805a_ecc4_4224_af3c_955b5cc211" w:history="1">
        <w:r w:rsidRPr="00745B3A">
          <w:rPr>
            <w:rFonts w:ascii="Times New Roman" w:eastAsia="Times New Roman" w:hAnsi="Times New Roman"/>
            <w:color w:val="000000"/>
            <w:sz w:val="23"/>
            <w:szCs w:val="23"/>
            <w:lang w:eastAsia="en-AU"/>
          </w:rPr>
          <w:t>Regulation 4(2)</w:t>
        </w:r>
      </w:hyperlink>
      <w:r w:rsidRPr="00745B3A">
        <w:rPr>
          <w:rFonts w:ascii="Times New Roman" w:eastAsia="Times New Roman" w:hAnsi="Times New Roman"/>
          <w:color w:val="000000"/>
          <w:sz w:val="23"/>
          <w:szCs w:val="23"/>
          <w:lang w:eastAsia="en-AU"/>
        </w:rPr>
        <w:t xml:space="preserve"> comes into operation on the day on which section 79(2) of the </w:t>
      </w:r>
      <w:hyperlink r:id="rId43" w:history="1">
        <w:r w:rsidRPr="00745B3A">
          <w:rPr>
            <w:rFonts w:ascii="Times New Roman" w:eastAsia="Times New Roman" w:hAnsi="Times New Roman"/>
            <w:i/>
            <w:iCs/>
            <w:color w:val="000000"/>
            <w:sz w:val="23"/>
            <w:szCs w:val="23"/>
            <w:lang w:eastAsia="en-AU"/>
          </w:rPr>
          <w:t>Statutes Amendment (Local Government Review) Act 2021</w:t>
        </w:r>
      </w:hyperlink>
      <w:r w:rsidRPr="00745B3A">
        <w:rPr>
          <w:rFonts w:ascii="Times New Roman" w:eastAsia="Times New Roman" w:hAnsi="Times New Roman"/>
          <w:color w:val="000000"/>
          <w:sz w:val="23"/>
          <w:szCs w:val="23"/>
          <w:lang w:eastAsia="en-AU"/>
        </w:rPr>
        <w:t xml:space="preserve"> comes into operation.</w:t>
      </w:r>
      <w:bookmarkEnd w:id="33"/>
    </w:p>
    <w:p w:rsidR="00745B3A" w:rsidRPr="00745B3A" w:rsidRDefault="00745B3A" w:rsidP="00745B3A">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4" w:name="id481c19ba_8c5a_466a_9133_f28df6c765"/>
      <w:r w:rsidRPr="00745B3A">
        <w:rPr>
          <w:rFonts w:ascii="Times New Roman" w:eastAsia="Times New Roman" w:hAnsi="Times New Roman"/>
          <w:color w:val="000000"/>
          <w:sz w:val="23"/>
          <w:szCs w:val="23"/>
          <w:lang w:eastAsia="en-AU"/>
        </w:rPr>
        <w:tab/>
        <w:t>(3)</w:t>
      </w:r>
      <w:r w:rsidRPr="00745B3A">
        <w:rPr>
          <w:rFonts w:ascii="Times New Roman" w:eastAsia="Times New Roman" w:hAnsi="Times New Roman"/>
          <w:color w:val="000000"/>
          <w:sz w:val="23"/>
          <w:szCs w:val="23"/>
          <w:lang w:eastAsia="en-AU"/>
        </w:rPr>
        <w:tab/>
      </w:r>
      <w:hyperlink w:anchor="idd2aa6d4a_6e78_4c8b_8ca8_c7b7b83eb7" w:history="1">
        <w:r w:rsidRPr="00745B3A">
          <w:rPr>
            <w:rFonts w:ascii="Times New Roman" w:eastAsia="Times New Roman" w:hAnsi="Times New Roman"/>
            <w:color w:val="000000"/>
            <w:sz w:val="23"/>
            <w:szCs w:val="23"/>
            <w:lang w:eastAsia="en-AU"/>
          </w:rPr>
          <w:t>Regulations 7</w:t>
        </w:r>
      </w:hyperlink>
      <w:r w:rsidRPr="00745B3A">
        <w:rPr>
          <w:rFonts w:ascii="Times New Roman" w:eastAsia="Times New Roman" w:hAnsi="Times New Roman"/>
          <w:color w:val="000000"/>
          <w:sz w:val="23"/>
          <w:szCs w:val="23"/>
          <w:lang w:eastAsia="en-AU"/>
        </w:rPr>
        <w:t xml:space="preserve"> to </w:t>
      </w:r>
      <w:hyperlink w:anchor="id3e70f5ab_6573_4f6b_ad7e_73746c1677" w:history="1">
        <w:r w:rsidRPr="00745B3A">
          <w:rPr>
            <w:rFonts w:ascii="Times New Roman" w:eastAsia="Times New Roman" w:hAnsi="Times New Roman"/>
            <w:color w:val="000000"/>
            <w:sz w:val="23"/>
            <w:szCs w:val="23"/>
            <w:lang w:eastAsia="en-AU"/>
          </w:rPr>
          <w:t>9</w:t>
        </w:r>
      </w:hyperlink>
      <w:r w:rsidRPr="00745B3A">
        <w:rPr>
          <w:rFonts w:ascii="Times New Roman" w:eastAsia="Times New Roman" w:hAnsi="Times New Roman"/>
          <w:color w:val="000000"/>
          <w:sz w:val="23"/>
          <w:szCs w:val="23"/>
          <w:lang w:eastAsia="en-AU"/>
        </w:rPr>
        <w:t xml:space="preserve"> (inclusive) come into operation on the day on which section 84 of the </w:t>
      </w:r>
      <w:hyperlink r:id="rId44" w:history="1">
        <w:r w:rsidRPr="00745B3A">
          <w:rPr>
            <w:rFonts w:ascii="Times New Roman" w:eastAsia="Times New Roman" w:hAnsi="Times New Roman"/>
            <w:i/>
            <w:iCs/>
            <w:color w:val="000000"/>
            <w:sz w:val="23"/>
            <w:szCs w:val="23"/>
            <w:lang w:eastAsia="en-AU"/>
          </w:rPr>
          <w:t>Statutes Amendment (Local Government Review) Act 2021</w:t>
        </w:r>
      </w:hyperlink>
      <w:r w:rsidRPr="00745B3A">
        <w:rPr>
          <w:rFonts w:ascii="Times New Roman" w:eastAsia="Times New Roman" w:hAnsi="Times New Roman"/>
          <w:color w:val="000000"/>
          <w:sz w:val="23"/>
          <w:szCs w:val="23"/>
          <w:lang w:eastAsia="en-AU"/>
        </w:rPr>
        <w:t xml:space="preserve"> comes into operation.</w:t>
      </w:r>
      <w:bookmarkEnd w:id="34"/>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3—Variation provisions</w:t>
      </w:r>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745B3A" w:rsidRPr="00745B3A" w:rsidRDefault="00745B3A" w:rsidP="00745B3A">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45B3A">
        <w:rPr>
          <w:rFonts w:ascii="Times New Roman" w:eastAsia="Times New Roman" w:hAnsi="Times New Roman"/>
          <w:b/>
          <w:bCs/>
          <w:color w:val="000000"/>
          <w:sz w:val="32"/>
          <w:szCs w:val="32"/>
          <w:lang w:eastAsia="en-AU"/>
        </w:rPr>
        <w:lastRenderedPageBreak/>
        <w:t xml:space="preserve">Part 2—Variation of </w:t>
      </w:r>
      <w:r w:rsidRPr="00745B3A">
        <w:rPr>
          <w:rFonts w:ascii="Times New Roman" w:eastAsia="Times New Roman" w:hAnsi="Times New Roman"/>
          <w:b/>
          <w:bCs/>
          <w:i/>
          <w:iCs/>
          <w:color w:val="000000"/>
          <w:sz w:val="32"/>
          <w:szCs w:val="32"/>
          <w:lang w:eastAsia="en-AU"/>
        </w:rPr>
        <w:t>Local Government (Financial Management) Regulations 2011</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5" w:name="id6b6a7b34_38e8_412d_acb8_140a9af879"/>
      <w:r w:rsidRPr="00745B3A">
        <w:rPr>
          <w:rFonts w:ascii="Times New Roman" w:eastAsia="Times New Roman" w:hAnsi="Times New Roman"/>
          <w:b/>
          <w:bCs/>
          <w:color w:val="000000"/>
          <w:sz w:val="26"/>
          <w:szCs w:val="26"/>
          <w:lang w:eastAsia="en-AU"/>
        </w:rPr>
        <w:t>4—Variation of regulation 5—Long</w:t>
      </w:r>
      <w:r w:rsidRPr="00745B3A">
        <w:rPr>
          <w:rFonts w:ascii="Times New Roman" w:eastAsia="Times New Roman" w:hAnsi="Times New Roman"/>
          <w:b/>
          <w:bCs/>
          <w:color w:val="000000"/>
          <w:sz w:val="26"/>
          <w:szCs w:val="26"/>
          <w:lang w:eastAsia="en-AU"/>
        </w:rPr>
        <w:noBreakHyphen/>
        <w:t>term financial plans</w:t>
      </w:r>
      <w:bookmarkEnd w:id="35"/>
    </w:p>
    <w:p w:rsidR="00745B3A" w:rsidRPr="00745B3A" w:rsidRDefault="00745B3A" w:rsidP="00745B3A">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(1)</w:t>
      </w:r>
      <w:r w:rsidRPr="00745B3A">
        <w:rPr>
          <w:rFonts w:ascii="Times New Roman" w:eastAsia="Times New Roman" w:hAnsi="Times New Roman"/>
          <w:color w:val="000000"/>
          <w:sz w:val="23"/>
          <w:szCs w:val="23"/>
          <w:lang w:eastAsia="en-AU"/>
        </w:rPr>
        <w:tab/>
        <w:t>Regulation 5(2)(b)—after "basis" insert:</w:t>
      </w:r>
    </w:p>
    <w:p w:rsidR="00745B3A" w:rsidRPr="00745B3A" w:rsidRDefault="00745B3A" w:rsidP="00745B3A">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 including key assumptions,</w:t>
      </w:r>
    </w:p>
    <w:p w:rsidR="00745B3A" w:rsidRPr="00745B3A" w:rsidRDefault="00745B3A" w:rsidP="00745B3A">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6" w:name="id668d805a_ecc4_4224_af3c_955b5cc211"/>
      <w:r w:rsidRPr="00745B3A">
        <w:rPr>
          <w:rFonts w:ascii="Times New Roman" w:eastAsia="Times New Roman" w:hAnsi="Times New Roman"/>
          <w:color w:val="000000"/>
          <w:sz w:val="23"/>
          <w:szCs w:val="23"/>
          <w:lang w:eastAsia="en-AU"/>
        </w:rPr>
        <w:tab/>
        <w:t>(2)</w:t>
      </w:r>
      <w:r w:rsidRPr="00745B3A">
        <w:rPr>
          <w:rFonts w:ascii="Times New Roman" w:eastAsia="Times New Roman" w:hAnsi="Times New Roman"/>
          <w:color w:val="000000"/>
          <w:sz w:val="23"/>
          <w:szCs w:val="23"/>
          <w:lang w:eastAsia="en-AU"/>
        </w:rPr>
        <w:tab/>
        <w:t>Regulation 5—after subregulation (3) insert:</w:t>
      </w:r>
      <w:bookmarkEnd w:id="36"/>
    </w:p>
    <w:p w:rsidR="00745B3A" w:rsidRPr="00745B3A" w:rsidRDefault="00745B3A" w:rsidP="00745B3A">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(4)</w:t>
      </w:r>
      <w:r w:rsidRPr="00745B3A">
        <w:rPr>
          <w:rFonts w:ascii="Times New Roman" w:eastAsia="Times New Roman" w:hAnsi="Times New Roman"/>
          <w:color w:val="000000"/>
          <w:sz w:val="23"/>
          <w:szCs w:val="23"/>
          <w:lang w:eastAsia="en-AU"/>
        </w:rPr>
        <w:tab/>
        <w:t>The prescribed period for the purposes of section 122(1c) of the Act is 4 years.</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7" w:name="Elkera_Print_TOC8"/>
      <w:bookmarkStart w:id="38" w:name="Elkera_Print_BK8"/>
      <w:r w:rsidRPr="00745B3A">
        <w:rPr>
          <w:rFonts w:ascii="Times New Roman" w:eastAsia="Times New Roman" w:hAnsi="Times New Roman"/>
          <w:b/>
          <w:bCs/>
          <w:color w:val="000000"/>
          <w:sz w:val="26"/>
          <w:szCs w:val="26"/>
          <w:lang w:eastAsia="en-AU"/>
        </w:rPr>
        <w:t>5—Variation of regulation 6—Annual business plans</w:t>
      </w:r>
      <w:bookmarkEnd w:id="37"/>
      <w:bookmarkEnd w:id="38"/>
    </w:p>
    <w:p w:rsidR="00745B3A" w:rsidRPr="00745B3A" w:rsidRDefault="00745B3A" w:rsidP="00745B3A">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(1)</w:t>
      </w:r>
      <w:r w:rsidRPr="00745B3A">
        <w:rPr>
          <w:rFonts w:ascii="Times New Roman" w:eastAsia="Times New Roman" w:hAnsi="Times New Roman"/>
          <w:color w:val="000000"/>
          <w:sz w:val="23"/>
          <w:szCs w:val="23"/>
          <w:lang w:eastAsia="en-AU"/>
        </w:rPr>
        <w:tab/>
        <w:t>Regulation 6—after paragraph (e) insert:</w:t>
      </w:r>
    </w:p>
    <w:p w:rsidR="00745B3A" w:rsidRPr="00745B3A" w:rsidRDefault="00745B3A" w:rsidP="00745B3A">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(ea)</w:t>
      </w:r>
      <w:r w:rsidRPr="00745B3A">
        <w:rPr>
          <w:rFonts w:ascii="Times New Roman" w:eastAsia="Times New Roman" w:hAnsi="Times New Roman"/>
          <w:color w:val="000000"/>
          <w:sz w:val="23"/>
          <w:szCs w:val="23"/>
          <w:lang w:eastAsia="en-AU"/>
        </w:rPr>
        <w:tab/>
        <w:t>a statement on the total expected revenue from general rates for the financial year compared to the total expected revenue from general rates for the previous financial year as set out in the annual business plan for that previous financial year (excluding rebates and remissions on rates that are not discretionary rebates or remissions);</w:t>
      </w:r>
    </w:p>
    <w:p w:rsidR="00745B3A" w:rsidRPr="00745B3A" w:rsidRDefault="00745B3A" w:rsidP="00745B3A">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(eb)</w:t>
      </w:r>
      <w:r w:rsidRPr="00745B3A">
        <w:rPr>
          <w:rFonts w:ascii="Times New Roman" w:eastAsia="Times New Roman" w:hAnsi="Times New Roman"/>
          <w:color w:val="000000"/>
          <w:sz w:val="23"/>
          <w:szCs w:val="23"/>
          <w:lang w:eastAsia="en-AU"/>
        </w:rPr>
        <w:tab/>
        <w:t>a statement on the percentage change in the total expected revenue from general rates for the financial year compared to the total expected revenue from general rates for the previous financial year as set out in the annual business plan for that previous financial year (excluding rebates and remissions on rates that are not discretionary rebates or remissions);</w:t>
      </w:r>
    </w:p>
    <w:p w:rsidR="00745B3A" w:rsidRPr="00745B3A" w:rsidRDefault="00745B3A" w:rsidP="00745B3A">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(ec)</w:t>
      </w:r>
      <w:r w:rsidRPr="00745B3A">
        <w:rPr>
          <w:rFonts w:ascii="Times New Roman" w:eastAsia="Times New Roman" w:hAnsi="Times New Roman"/>
          <w:color w:val="000000"/>
          <w:sz w:val="23"/>
          <w:szCs w:val="23"/>
          <w:lang w:eastAsia="en-AU"/>
        </w:rPr>
        <w:tab/>
        <w:t>if relevant, a statement on the average change in the expected rates for the financial year (expressed as a whole number of dollars) for each land use category declared as a permissible differentiating factor compared to the expected rates for each category for the previous financial year as set out in the annual business plan for that previous financial year;</w:t>
      </w:r>
    </w:p>
    <w:p w:rsidR="00745B3A" w:rsidRPr="00745B3A" w:rsidRDefault="00745B3A" w:rsidP="00745B3A">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(2)</w:t>
      </w:r>
      <w:r w:rsidRPr="00745B3A">
        <w:rPr>
          <w:rFonts w:ascii="Times New Roman" w:eastAsia="Times New Roman" w:hAnsi="Times New Roman"/>
          <w:color w:val="000000"/>
          <w:sz w:val="23"/>
          <w:szCs w:val="23"/>
          <w:lang w:eastAsia="en-AU"/>
        </w:rPr>
        <w:tab/>
        <w:t>Regulation 6—after its present contents as varied by this regulation (now to be designated as subregulation (1)) insert:</w:t>
      </w:r>
    </w:p>
    <w:p w:rsidR="00745B3A" w:rsidRPr="00745B3A" w:rsidRDefault="00745B3A" w:rsidP="00745B3A">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(2)</w:t>
      </w:r>
      <w:r w:rsidRPr="00745B3A">
        <w:rPr>
          <w:rFonts w:ascii="Times New Roman" w:eastAsia="Times New Roman" w:hAnsi="Times New Roman"/>
          <w:color w:val="000000"/>
          <w:sz w:val="23"/>
          <w:szCs w:val="23"/>
          <w:lang w:eastAsia="en-AU"/>
        </w:rPr>
        <w:tab/>
        <w:t>If an annual business plan sets out a growth component in relation to general rates, it may only relate to growth in the number of rateable properties (and must not relate to growth in the value of rateable properties).</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9" w:name="Elkera_Print_TOC9"/>
      <w:bookmarkStart w:id="40" w:name="Elkera_Print_BK9"/>
      <w:r w:rsidRPr="00745B3A">
        <w:rPr>
          <w:rFonts w:ascii="Times New Roman" w:eastAsia="Times New Roman" w:hAnsi="Times New Roman"/>
          <w:b/>
          <w:bCs/>
          <w:color w:val="000000"/>
          <w:sz w:val="26"/>
          <w:szCs w:val="26"/>
          <w:lang w:eastAsia="en-AU"/>
        </w:rPr>
        <w:t>6—Insertion of regulation 10A</w:t>
      </w:r>
      <w:bookmarkEnd w:id="39"/>
      <w:bookmarkEnd w:id="40"/>
    </w:p>
    <w:p w:rsidR="00745B3A" w:rsidRPr="00745B3A" w:rsidRDefault="00745B3A" w:rsidP="00745B3A">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After regulation 10 insert:</w:t>
      </w:r>
    </w:p>
    <w:p w:rsidR="00745B3A" w:rsidRPr="00745B3A" w:rsidRDefault="00745B3A" w:rsidP="00745B3A">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10A—Internal control policies</w:t>
      </w:r>
    </w:p>
    <w:p w:rsidR="00745B3A" w:rsidRPr="00745B3A" w:rsidRDefault="00745B3A" w:rsidP="00745B3A">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 xml:space="preserve">For the purposes of section 125(2) of the Act, the policies, practices and procedures of internal financial control of a council must be in accordance with the </w:t>
      </w:r>
      <w:r w:rsidRPr="00745B3A">
        <w:rPr>
          <w:rFonts w:ascii="Times New Roman" w:eastAsia="Times New Roman" w:hAnsi="Times New Roman"/>
          <w:i/>
          <w:iCs/>
          <w:color w:val="000000"/>
          <w:sz w:val="23"/>
          <w:szCs w:val="23"/>
          <w:lang w:eastAsia="en-AU"/>
        </w:rPr>
        <w:t>Better Practice Model—Internal Financial Controls</w:t>
      </w:r>
      <w:r w:rsidRPr="00745B3A">
        <w:rPr>
          <w:rFonts w:ascii="Times New Roman" w:eastAsia="Times New Roman" w:hAnsi="Times New Roman"/>
          <w:color w:val="000000"/>
          <w:sz w:val="23"/>
          <w:szCs w:val="23"/>
          <w:lang w:eastAsia="en-AU"/>
        </w:rPr>
        <w:t>.</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1" w:name="Elkera_Print_TOC12"/>
      <w:bookmarkStart w:id="42" w:name="idd2aa6d4a_6e78_4c8b_8ca8_c7b7b83eb7"/>
      <w:r w:rsidRPr="00745B3A">
        <w:rPr>
          <w:rFonts w:ascii="Times New Roman" w:eastAsia="Times New Roman" w:hAnsi="Times New Roman"/>
          <w:b/>
          <w:bCs/>
          <w:color w:val="000000"/>
          <w:sz w:val="26"/>
          <w:szCs w:val="26"/>
          <w:lang w:eastAsia="en-AU"/>
        </w:rPr>
        <w:t>7—Variation of heading to Part 5</w:t>
      </w:r>
      <w:bookmarkEnd w:id="41"/>
      <w:bookmarkEnd w:id="42"/>
    </w:p>
    <w:p w:rsidR="00745B3A" w:rsidRPr="00745B3A" w:rsidRDefault="00745B3A" w:rsidP="00745B3A">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Heading to Part 5—delete "Audit" and substitute:</w:t>
      </w:r>
    </w:p>
    <w:p w:rsidR="00745B3A" w:rsidRPr="00745B3A" w:rsidRDefault="00745B3A" w:rsidP="00745B3A">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Council and regional audit and risk</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3" w:name="Elkera_Print_TOC13"/>
      <w:bookmarkStart w:id="44" w:name="Elkera_Print_BK13"/>
      <w:r w:rsidRPr="00745B3A">
        <w:rPr>
          <w:rFonts w:ascii="Times New Roman" w:eastAsia="Times New Roman" w:hAnsi="Times New Roman"/>
          <w:b/>
          <w:bCs/>
          <w:color w:val="000000"/>
          <w:sz w:val="26"/>
          <w:szCs w:val="26"/>
          <w:lang w:eastAsia="en-AU"/>
        </w:rPr>
        <w:lastRenderedPageBreak/>
        <w:t>8—Variation of regulation 17—Membership of council audit and risk committee</w:t>
      </w:r>
      <w:bookmarkEnd w:id="43"/>
      <w:bookmarkEnd w:id="44"/>
    </w:p>
    <w:p w:rsidR="00745B3A" w:rsidRPr="00745B3A" w:rsidRDefault="00745B3A" w:rsidP="00745B3A">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(1)</w:t>
      </w:r>
      <w:r w:rsidRPr="00745B3A">
        <w:rPr>
          <w:rFonts w:ascii="Times New Roman" w:eastAsia="Times New Roman" w:hAnsi="Times New Roman"/>
          <w:color w:val="000000"/>
          <w:sz w:val="23"/>
          <w:szCs w:val="23"/>
          <w:lang w:eastAsia="en-AU"/>
        </w:rPr>
        <w:tab/>
        <w:t>Regulation 17(1)—after "audit" insert:</w:t>
      </w:r>
    </w:p>
    <w:p w:rsidR="00745B3A" w:rsidRPr="00745B3A" w:rsidRDefault="00745B3A" w:rsidP="00745B3A">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and risk</w:t>
      </w:r>
    </w:p>
    <w:p w:rsidR="00745B3A" w:rsidRPr="00745B3A" w:rsidRDefault="00745B3A" w:rsidP="00745B3A">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(2)</w:t>
      </w:r>
      <w:r w:rsidRPr="00745B3A">
        <w:rPr>
          <w:rFonts w:ascii="Times New Roman" w:eastAsia="Times New Roman" w:hAnsi="Times New Roman"/>
          <w:color w:val="000000"/>
          <w:sz w:val="23"/>
          <w:szCs w:val="23"/>
          <w:lang w:eastAsia="en-AU"/>
        </w:rPr>
        <w:tab/>
        <w:t>Regulation 17(1)(b)—delete paragraph (b)</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5" w:name="Elkera_Print_TOC15"/>
      <w:bookmarkStart w:id="46" w:name="id3e70f5ab_6573_4f6b_ad7e_73746c1677"/>
      <w:r w:rsidRPr="00745B3A">
        <w:rPr>
          <w:rFonts w:ascii="Times New Roman" w:eastAsia="Times New Roman" w:hAnsi="Times New Roman"/>
          <w:b/>
          <w:bCs/>
          <w:color w:val="000000"/>
          <w:sz w:val="26"/>
          <w:szCs w:val="26"/>
          <w:lang w:eastAsia="en-AU"/>
        </w:rPr>
        <w:t>9—Insertion of regulations 17A and 17B</w:t>
      </w:r>
      <w:bookmarkEnd w:id="45"/>
      <w:bookmarkEnd w:id="46"/>
    </w:p>
    <w:p w:rsidR="00745B3A" w:rsidRPr="00745B3A" w:rsidRDefault="00745B3A" w:rsidP="00745B3A">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After regulation 17 insert:</w:t>
      </w:r>
    </w:p>
    <w:p w:rsidR="00745B3A" w:rsidRPr="00745B3A" w:rsidRDefault="00745B3A" w:rsidP="00745B3A">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17A—Membership of regional audit and risk committee</w:t>
      </w:r>
    </w:p>
    <w:p w:rsidR="00745B3A" w:rsidRPr="00745B3A" w:rsidRDefault="00745B3A" w:rsidP="00745B3A">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 regional audit and risk committee established by 2 or more councils—</w:t>
      </w:r>
    </w:p>
    <w:p w:rsidR="00745B3A" w:rsidRPr="00745B3A" w:rsidRDefault="00745B3A" w:rsidP="00745B3A">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(a)</w:t>
      </w:r>
      <w:r w:rsidRPr="00745B3A">
        <w:rPr>
          <w:rFonts w:ascii="Times New Roman" w:eastAsia="Times New Roman" w:hAnsi="Times New Roman"/>
          <w:color w:val="000000"/>
          <w:sz w:val="23"/>
          <w:szCs w:val="23"/>
          <w:lang w:eastAsia="en-AU"/>
        </w:rPr>
        <w:tab/>
        <w:t>must have between 3 and 5 members (inclusive); and</w:t>
      </w:r>
    </w:p>
    <w:p w:rsidR="00745B3A" w:rsidRPr="00745B3A" w:rsidRDefault="00745B3A" w:rsidP="00745B3A">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(b)</w:t>
      </w:r>
      <w:r w:rsidRPr="00745B3A">
        <w:rPr>
          <w:rFonts w:ascii="Times New Roman" w:eastAsia="Times New Roman" w:hAnsi="Times New Roman"/>
          <w:color w:val="000000"/>
          <w:sz w:val="23"/>
          <w:szCs w:val="23"/>
          <w:lang w:eastAsia="en-AU"/>
        </w:rPr>
        <w:tab/>
        <w:t>must not include, as a member, a constituent council's auditor under section 128 of the Act.</w:t>
      </w:r>
    </w:p>
    <w:p w:rsidR="00745B3A" w:rsidRPr="00745B3A" w:rsidRDefault="00745B3A" w:rsidP="00745B3A">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17B—Requirement to liaise with council auditor</w:t>
      </w:r>
    </w:p>
    <w:p w:rsidR="00745B3A" w:rsidRPr="00745B3A" w:rsidRDefault="00745B3A" w:rsidP="00745B3A">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For the purposes of sections 126(4)(e) and 126A(4)(e) of the Act—</w:t>
      </w:r>
    </w:p>
    <w:p w:rsidR="00745B3A" w:rsidRPr="00745B3A" w:rsidRDefault="00745B3A" w:rsidP="00745B3A">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(a)</w:t>
      </w:r>
      <w:r w:rsidRPr="00745B3A">
        <w:rPr>
          <w:rFonts w:ascii="Times New Roman" w:eastAsia="Times New Roman" w:hAnsi="Times New Roman"/>
          <w:color w:val="000000"/>
          <w:sz w:val="23"/>
          <w:szCs w:val="23"/>
          <w:lang w:eastAsia="en-AU"/>
        </w:rPr>
        <w:tab/>
        <w:t>a council audit and risk committee must liaise with the council's auditor by meeting with the auditor on at least 1 occasion each year on a confidential basis in circumstances where—</w:t>
      </w:r>
    </w:p>
    <w:p w:rsidR="00745B3A" w:rsidRPr="00745B3A" w:rsidRDefault="00745B3A" w:rsidP="00745B3A">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(i)</w:t>
      </w:r>
      <w:r w:rsidRPr="00745B3A">
        <w:rPr>
          <w:rFonts w:ascii="Times New Roman" w:eastAsia="Times New Roman" w:hAnsi="Times New Roman"/>
          <w:color w:val="000000"/>
          <w:sz w:val="23"/>
          <w:szCs w:val="23"/>
          <w:lang w:eastAsia="en-AU"/>
        </w:rPr>
        <w:tab/>
        <w:t>a majority of the members of the committee are present; and</w:t>
      </w:r>
    </w:p>
    <w:p w:rsidR="00745B3A" w:rsidRPr="00745B3A" w:rsidRDefault="00745B3A" w:rsidP="00745B3A">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(ii)</w:t>
      </w:r>
      <w:r w:rsidRPr="00745B3A">
        <w:rPr>
          <w:rFonts w:ascii="Times New Roman" w:eastAsia="Times New Roman" w:hAnsi="Times New Roman"/>
          <w:color w:val="000000"/>
          <w:sz w:val="23"/>
          <w:szCs w:val="23"/>
          <w:lang w:eastAsia="en-AU"/>
        </w:rPr>
        <w:tab/>
        <w:t>no members or employees of the council are present (other than members who are members of the committee); and</w:t>
      </w:r>
    </w:p>
    <w:p w:rsidR="00745B3A" w:rsidRPr="00745B3A" w:rsidRDefault="00745B3A" w:rsidP="00745B3A">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(b)</w:t>
      </w:r>
      <w:r w:rsidRPr="00745B3A">
        <w:rPr>
          <w:rFonts w:ascii="Times New Roman" w:eastAsia="Times New Roman" w:hAnsi="Times New Roman"/>
          <w:color w:val="000000"/>
          <w:sz w:val="23"/>
          <w:szCs w:val="23"/>
          <w:lang w:eastAsia="en-AU"/>
        </w:rPr>
        <w:tab/>
        <w:t>a regional audit and risk committee must liaise with the constituent councils' auditors by meeting with the auditors on at least 1 occasion each year on a confidential basis in circumstances where—</w:t>
      </w:r>
    </w:p>
    <w:p w:rsidR="00745B3A" w:rsidRPr="00745B3A" w:rsidRDefault="00745B3A" w:rsidP="00745B3A">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(i)</w:t>
      </w:r>
      <w:r w:rsidRPr="00745B3A">
        <w:rPr>
          <w:rFonts w:ascii="Times New Roman" w:eastAsia="Times New Roman" w:hAnsi="Times New Roman"/>
          <w:color w:val="000000"/>
          <w:sz w:val="23"/>
          <w:szCs w:val="23"/>
          <w:lang w:eastAsia="en-AU"/>
        </w:rPr>
        <w:tab/>
        <w:t>a majority of the members of the committee are present; and</w:t>
      </w:r>
    </w:p>
    <w:p w:rsidR="00745B3A" w:rsidRPr="00745B3A" w:rsidRDefault="00745B3A" w:rsidP="00745B3A">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(ii)</w:t>
      </w:r>
      <w:r w:rsidRPr="00745B3A">
        <w:rPr>
          <w:rFonts w:ascii="Times New Roman" w:eastAsia="Times New Roman" w:hAnsi="Times New Roman"/>
          <w:color w:val="000000"/>
          <w:sz w:val="23"/>
          <w:szCs w:val="23"/>
          <w:lang w:eastAsia="en-AU"/>
        </w:rPr>
        <w:tab/>
        <w:t>no members or employees of the constituent councils are present (other than members who are members of the committee).</w:t>
      </w:r>
    </w:p>
    <w:p w:rsidR="00745B3A" w:rsidRPr="00745B3A" w:rsidRDefault="00745B3A" w:rsidP="00745B3A">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45B3A">
        <w:rPr>
          <w:rFonts w:ascii="Times New Roman" w:eastAsia="Times New Roman" w:hAnsi="Times New Roman"/>
          <w:b/>
          <w:bCs/>
          <w:color w:val="000000"/>
          <w:sz w:val="20"/>
          <w:szCs w:val="20"/>
          <w:lang w:eastAsia="en-AU"/>
        </w:rPr>
        <w:t>Editorial note—</w:t>
      </w:r>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45B3A">
        <w:rPr>
          <w:rFonts w:ascii="Times New Roman" w:eastAsia="Times New Roman" w:hAnsi="Times New Roman"/>
          <w:color w:val="000000"/>
          <w:sz w:val="20"/>
          <w:szCs w:val="20"/>
          <w:lang w:eastAsia="en-AU"/>
        </w:rPr>
        <w:t xml:space="preserve">As required by section 10AA(2) of the </w:t>
      </w:r>
      <w:hyperlink r:id="rId45" w:history="1">
        <w:r w:rsidRPr="00745B3A">
          <w:rPr>
            <w:rFonts w:ascii="Times New Roman" w:eastAsia="Times New Roman" w:hAnsi="Times New Roman"/>
            <w:i/>
            <w:iCs/>
            <w:color w:val="000000"/>
            <w:sz w:val="20"/>
            <w:szCs w:val="20"/>
            <w:lang w:eastAsia="en-AU"/>
          </w:rPr>
          <w:t>Subordinate Legislation Act 1978</w:t>
        </w:r>
      </w:hyperlink>
      <w:r w:rsidRPr="00745B3A">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745B3A" w:rsidRPr="00745B3A" w:rsidRDefault="00745B3A" w:rsidP="00745B3A">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Made by the Governor</w:t>
      </w:r>
    </w:p>
    <w:p w:rsidR="00745B3A" w:rsidRPr="00745B3A" w:rsidRDefault="00745B3A" w:rsidP="00745B3A">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after consultation with the Local Government Association and with the advice and consent of the Executive Council</w:t>
      </w:r>
    </w:p>
    <w:p w:rsidR="00745B3A" w:rsidRPr="00745B3A" w:rsidRDefault="00745B3A" w:rsidP="00745B3A">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on 23 December 2021</w:t>
      </w:r>
    </w:p>
    <w:p w:rsidR="00745B3A" w:rsidRPr="00745B3A" w:rsidRDefault="00745B3A" w:rsidP="00745B3A">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No 194 of 2021</w:t>
      </w:r>
    </w:p>
    <w:p w:rsidR="00745B3A" w:rsidRDefault="00745B3A">
      <w:pPr>
        <w:spacing w:after="0" w:line="240" w:lineRule="auto"/>
        <w:jc w:val="left"/>
        <w:rPr>
          <w:rFonts w:ascii="Times New Roman" w:eastAsia="Times New Roman" w:hAnsi="Times New Roman"/>
          <w:sz w:val="17"/>
          <w:szCs w:val="17"/>
        </w:rPr>
      </w:pPr>
      <w:r>
        <w:br w:type="page"/>
      </w:r>
    </w:p>
    <w:p w:rsidR="00745B3A" w:rsidRPr="00745B3A" w:rsidRDefault="00745B3A" w:rsidP="00745B3A">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45B3A">
        <w:rPr>
          <w:rFonts w:ascii="Times New Roman" w:eastAsia="Times New Roman" w:hAnsi="Times New Roman"/>
          <w:color w:val="000000"/>
          <w:sz w:val="28"/>
          <w:szCs w:val="28"/>
          <w:lang w:eastAsia="en-AU"/>
        </w:rPr>
        <w:lastRenderedPageBreak/>
        <w:t>South Australia</w:t>
      </w:r>
    </w:p>
    <w:p w:rsidR="00745B3A" w:rsidRPr="00745B3A" w:rsidRDefault="00745B3A" w:rsidP="00D8720A">
      <w:pPr>
        <w:pStyle w:val="Heading3"/>
        <w:rPr>
          <w:lang w:eastAsia="en-AU"/>
        </w:rPr>
      </w:pPr>
      <w:bookmarkStart w:id="47" w:name="_Toc91161250"/>
      <w:r w:rsidRPr="00745B3A">
        <w:rPr>
          <w:lang w:eastAsia="en-AU"/>
        </w:rPr>
        <w:t>Local Government (General) (Annual Reports) Variation Regulations 2021</w:t>
      </w:r>
      <w:bookmarkEnd w:id="47"/>
    </w:p>
    <w:p w:rsidR="00745B3A" w:rsidRPr="00745B3A" w:rsidRDefault="00745B3A" w:rsidP="00745B3A">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745B3A">
        <w:rPr>
          <w:rFonts w:ascii="Times New Roman" w:eastAsia="Times New Roman" w:hAnsi="Times New Roman"/>
          <w:color w:val="000000"/>
          <w:sz w:val="24"/>
          <w:szCs w:val="24"/>
          <w:lang w:eastAsia="en-AU"/>
        </w:rPr>
        <w:t xml:space="preserve">under the </w:t>
      </w:r>
      <w:r w:rsidRPr="00745B3A">
        <w:rPr>
          <w:rFonts w:ascii="Times New Roman" w:eastAsia="Times New Roman" w:hAnsi="Times New Roman"/>
          <w:i/>
          <w:iCs/>
          <w:color w:val="000000"/>
          <w:sz w:val="24"/>
          <w:szCs w:val="24"/>
          <w:lang w:eastAsia="en-AU"/>
        </w:rPr>
        <w:t>Local Government Act 1999</w:t>
      </w:r>
    </w:p>
    <w:p w:rsidR="00745B3A" w:rsidRPr="00745B3A" w:rsidRDefault="00745B3A" w:rsidP="00745B3A">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45B3A" w:rsidRPr="00745B3A" w:rsidRDefault="00745B3A" w:rsidP="00745B3A">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45B3A">
        <w:rPr>
          <w:rFonts w:ascii="Times New Roman" w:eastAsia="Times New Roman" w:hAnsi="Times New Roman"/>
          <w:b/>
          <w:bCs/>
          <w:color w:val="000000"/>
          <w:sz w:val="32"/>
          <w:szCs w:val="32"/>
          <w:lang w:eastAsia="en-AU"/>
        </w:rPr>
        <w:t>Contents</w:t>
      </w:r>
    </w:p>
    <w:p w:rsidR="00745B3A" w:rsidRPr="00745B3A" w:rsidRDefault="00BE58B6" w:rsidP="00745B3A">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745B3A" w:rsidRPr="00745B3A">
          <w:rPr>
            <w:rFonts w:ascii="Times New Roman" w:eastAsia="Times New Roman" w:hAnsi="Times New Roman"/>
            <w:color w:val="000000"/>
            <w:sz w:val="28"/>
            <w:szCs w:val="28"/>
            <w:lang w:eastAsia="en-AU"/>
          </w:rPr>
          <w:t>Part 1—Preliminary</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745B3A" w:rsidRPr="00745B3A">
          <w:rPr>
            <w:rFonts w:ascii="Times New Roman" w:eastAsia="Times New Roman" w:hAnsi="Times New Roman"/>
            <w:color w:val="000000"/>
            <w:lang w:eastAsia="en-AU"/>
          </w:rPr>
          <w:t>1</w:t>
        </w:r>
        <w:r w:rsidR="00745B3A" w:rsidRPr="00745B3A">
          <w:rPr>
            <w:rFonts w:ascii="Times New Roman" w:eastAsia="Times New Roman" w:hAnsi="Times New Roman"/>
            <w:color w:val="000000"/>
            <w:lang w:eastAsia="en-AU"/>
          </w:rPr>
          <w:tab/>
          <w:t>Short title</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745B3A" w:rsidRPr="00745B3A">
          <w:rPr>
            <w:rFonts w:ascii="Times New Roman" w:eastAsia="Times New Roman" w:hAnsi="Times New Roman"/>
            <w:color w:val="000000"/>
            <w:lang w:eastAsia="en-AU"/>
          </w:rPr>
          <w:t>2</w:t>
        </w:r>
        <w:r w:rsidR="00745B3A" w:rsidRPr="00745B3A">
          <w:rPr>
            <w:rFonts w:ascii="Times New Roman" w:eastAsia="Times New Roman" w:hAnsi="Times New Roman"/>
            <w:color w:val="000000"/>
            <w:lang w:eastAsia="en-AU"/>
          </w:rPr>
          <w:tab/>
          <w:t>Commencement</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745B3A" w:rsidRPr="00745B3A">
          <w:rPr>
            <w:rFonts w:ascii="Times New Roman" w:eastAsia="Times New Roman" w:hAnsi="Times New Roman"/>
            <w:color w:val="000000"/>
            <w:lang w:eastAsia="en-AU"/>
          </w:rPr>
          <w:t>3</w:t>
        </w:r>
        <w:r w:rsidR="00745B3A" w:rsidRPr="00745B3A">
          <w:rPr>
            <w:rFonts w:ascii="Times New Roman" w:eastAsia="Times New Roman" w:hAnsi="Times New Roman"/>
            <w:color w:val="000000"/>
            <w:lang w:eastAsia="en-AU"/>
          </w:rPr>
          <w:tab/>
          <w:t>Variation provisions</w:t>
        </w:r>
      </w:hyperlink>
    </w:p>
    <w:p w:rsidR="00745B3A" w:rsidRPr="00745B3A" w:rsidRDefault="00BE58B6" w:rsidP="00745B3A">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745B3A" w:rsidRPr="00745B3A">
          <w:rPr>
            <w:rFonts w:ascii="Times New Roman" w:eastAsia="Times New Roman" w:hAnsi="Times New Roman"/>
            <w:color w:val="000000"/>
            <w:sz w:val="28"/>
            <w:szCs w:val="28"/>
            <w:lang w:eastAsia="en-AU"/>
          </w:rPr>
          <w:t xml:space="preserve">Part 2—Variation of </w:t>
        </w:r>
        <w:r w:rsidR="00745B3A" w:rsidRPr="00745B3A">
          <w:rPr>
            <w:rFonts w:ascii="Times New Roman" w:eastAsia="Times New Roman" w:hAnsi="Times New Roman"/>
            <w:i/>
            <w:iCs/>
            <w:color w:val="000000"/>
            <w:sz w:val="28"/>
            <w:szCs w:val="28"/>
            <w:lang w:eastAsia="en-AU"/>
          </w:rPr>
          <w:t>Local Government (General) Regulations 2013</w:t>
        </w:r>
      </w:hyperlink>
    </w:p>
    <w:p w:rsidR="00745B3A" w:rsidRPr="00745B3A" w:rsidRDefault="00BE58B6" w:rsidP="00745B3A">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745B3A" w:rsidRPr="00745B3A">
          <w:rPr>
            <w:rFonts w:ascii="Times New Roman" w:eastAsia="Times New Roman" w:hAnsi="Times New Roman"/>
            <w:color w:val="000000"/>
            <w:lang w:eastAsia="en-AU"/>
          </w:rPr>
          <w:t>4</w:t>
        </w:r>
        <w:r w:rsidR="00745B3A" w:rsidRPr="00745B3A">
          <w:rPr>
            <w:rFonts w:ascii="Times New Roman" w:eastAsia="Times New Roman" w:hAnsi="Times New Roman"/>
            <w:color w:val="000000"/>
            <w:lang w:eastAsia="en-AU"/>
          </w:rPr>
          <w:tab/>
          <w:t>Variation of regulation 35—Schedule 4—Annual reports</w:t>
        </w:r>
      </w:hyperlink>
    </w:p>
    <w:p w:rsidR="00745B3A" w:rsidRPr="00745B3A" w:rsidRDefault="00745B3A" w:rsidP="00745B3A">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45B3A" w:rsidRPr="00745B3A" w:rsidRDefault="00745B3A" w:rsidP="00745B3A">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45B3A">
        <w:rPr>
          <w:rFonts w:ascii="Times New Roman" w:eastAsia="Times New Roman" w:hAnsi="Times New Roman"/>
          <w:b/>
          <w:bCs/>
          <w:color w:val="000000"/>
          <w:sz w:val="32"/>
          <w:szCs w:val="32"/>
          <w:lang w:eastAsia="en-AU"/>
        </w:rPr>
        <w:t>Part 1—Preliminary</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1—Short title</w:t>
      </w:r>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 xml:space="preserve">These regulations may be cited as the </w:t>
      </w:r>
      <w:r w:rsidRPr="00745B3A">
        <w:rPr>
          <w:rFonts w:ascii="Times New Roman" w:eastAsia="Times New Roman" w:hAnsi="Times New Roman"/>
          <w:i/>
          <w:iCs/>
          <w:color w:val="000000"/>
          <w:sz w:val="23"/>
          <w:szCs w:val="23"/>
          <w:lang w:eastAsia="en-AU"/>
        </w:rPr>
        <w:t>Local Government (General) (Annual Reports) Variation Regulations 2021</w:t>
      </w:r>
      <w:r w:rsidRPr="00745B3A">
        <w:rPr>
          <w:rFonts w:ascii="Times New Roman" w:eastAsia="Times New Roman" w:hAnsi="Times New Roman"/>
          <w:color w:val="000000"/>
          <w:sz w:val="23"/>
          <w:szCs w:val="23"/>
          <w:lang w:eastAsia="en-AU"/>
        </w:rPr>
        <w:t>.</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2—Commencement</w:t>
      </w:r>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These regulations come into operation on the day on which they are made.</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3—Variation provisions</w:t>
      </w:r>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745B3A" w:rsidRPr="00745B3A" w:rsidRDefault="00745B3A" w:rsidP="00745B3A">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45B3A">
        <w:rPr>
          <w:rFonts w:ascii="Times New Roman" w:eastAsia="Times New Roman" w:hAnsi="Times New Roman"/>
          <w:b/>
          <w:bCs/>
          <w:color w:val="000000"/>
          <w:sz w:val="32"/>
          <w:szCs w:val="32"/>
          <w:lang w:eastAsia="en-AU"/>
        </w:rPr>
        <w:t xml:space="preserve">Part 2—Variation of </w:t>
      </w:r>
      <w:r w:rsidRPr="00745B3A">
        <w:rPr>
          <w:rFonts w:ascii="Times New Roman" w:eastAsia="Times New Roman" w:hAnsi="Times New Roman"/>
          <w:b/>
          <w:bCs/>
          <w:i/>
          <w:iCs/>
          <w:color w:val="000000"/>
          <w:sz w:val="32"/>
          <w:szCs w:val="32"/>
          <w:lang w:eastAsia="en-AU"/>
        </w:rPr>
        <w:t>Local Government (General) Regulations 2013</w:t>
      </w:r>
    </w:p>
    <w:p w:rsidR="00745B3A" w:rsidRPr="00745B3A" w:rsidRDefault="00745B3A" w:rsidP="00745B3A">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4—Variation of regulation 35—Schedule 4—Annual reports</w:t>
      </w:r>
    </w:p>
    <w:p w:rsidR="00745B3A" w:rsidRPr="00745B3A" w:rsidRDefault="00745B3A" w:rsidP="00745B3A">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Regulation 35(2)—delete subregulation (2) and substitute:</w:t>
      </w:r>
    </w:p>
    <w:p w:rsidR="00745B3A" w:rsidRPr="00745B3A" w:rsidRDefault="00745B3A" w:rsidP="00745B3A">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(2)</w:t>
      </w:r>
      <w:r w:rsidRPr="00745B3A">
        <w:rPr>
          <w:rFonts w:ascii="Times New Roman" w:eastAsia="Times New Roman" w:hAnsi="Times New Roman"/>
          <w:color w:val="000000"/>
          <w:sz w:val="23"/>
          <w:szCs w:val="23"/>
          <w:lang w:eastAsia="en-AU"/>
        </w:rPr>
        <w:tab/>
        <w:t>For the purposes of Schedule 4 clause 1(i) of the Act, the following material is prescribed:</w:t>
      </w:r>
    </w:p>
    <w:p w:rsidR="00745B3A" w:rsidRPr="00745B3A" w:rsidRDefault="00745B3A" w:rsidP="00745B3A">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(a)</w:t>
      </w:r>
      <w:r w:rsidRPr="00745B3A">
        <w:rPr>
          <w:rFonts w:ascii="Times New Roman" w:eastAsia="Times New Roman" w:hAnsi="Times New Roman"/>
          <w:color w:val="000000"/>
          <w:sz w:val="23"/>
          <w:szCs w:val="23"/>
          <w:lang w:eastAsia="en-AU"/>
        </w:rPr>
        <w:tab/>
        <w:t>the report required under section 270(8) of the Act;</w:t>
      </w:r>
    </w:p>
    <w:p w:rsidR="00745B3A" w:rsidRPr="00745B3A" w:rsidRDefault="00745B3A" w:rsidP="00745B3A">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(b)</w:t>
      </w:r>
      <w:r w:rsidRPr="00745B3A">
        <w:rPr>
          <w:rFonts w:ascii="Times New Roman" w:eastAsia="Times New Roman" w:hAnsi="Times New Roman"/>
          <w:color w:val="000000"/>
          <w:sz w:val="23"/>
          <w:szCs w:val="23"/>
          <w:lang w:eastAsia="en-AU"/>
        </w:rPr>
        <w:tab/>
        <w:t>a summary of the details (including the cost) of any interstate and international travel (excluding prescribed interstate travel) undertaken by members of the council during the relevant financial year funded in whole or in part by the council;</w:t>
      </w:r>
    </w:p>
    <w:p w:rsidR="00745B3A" w:rsidRPr="00745B3A" w:rsidRDefault="00745B3A" w:rsidP="00745B3A">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(c)</w:t>
      </w:r>
      <w:r w:rsidRPr="00745B3A">
        <w:rPr>
          <w:rFonts w:ascii="Times New Roman" w:eastAsia="Times New Roman" w:hAnsi="Times New Roman"/>
          <w:color w:val="000000"/>
          <w:sz w:val="23"/>
          <w:szCs w:val="23"/>
          <w:lang w:eastAsia="en-AU"/>
        </w:rPr>
        <w:tab/>
        <w:t>a summary of the details (including the cost) of any interstate and international travel (excluding prescribed interstate travel) undertaken by employees of the council during the relevant financial year funded in whole or in part by the council;</w:t>
      </w:r>
    </w:p>
    <w:p w:rsidR="00745B3A" w:rsidRPr="00745B3A" w:rsidRDefault="00745B3A" w:rsidP="00745B3A">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lastRenderedPageBreak/>
        <w:tab/>
        <w:t>(d)</w:t>
      </w:r>
      <w:r w:rsidRPr="00745B3A">
        <w:rPr>
          <w:rFonts w:ascii="Times New Roman" w:eastAsia="Times New Roman" w:hAnsi="Times New Roman"/>
          <w:color w:val="000000"/>
          <w:sz w:val="23"/>
          <w:szCs w:val="23"/>
          <w:lang w:eastAsia="en-AU"/>
        </w:rPr>
        <w:tab/>
        <w:t>a summary of the details (including the cost) of any gifts above the value of $50 provided to members of the council during the relevant financial year funded in whole or in part by the council;</w:t>
      </w:r>
    </w:p>
    <w:p w:rsidR="00745B3A" w:rsidRPr="00745B3A" w:rsidRDefault="00745B3A" w:rsidP="00745B3A">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(e)</w:t>
      </w:r>
      <w:r w:rsidRPr="00745B3A">
        <w:rPr>
          <w:rFonts w:ascii="Times New Roman" w:eastAsia="Times New Roman" w:hAnsi="Times New Roman"/>
          <w:color w:val="000000"/>
          <w:sz w:val="23"/>
          <w:szCs w:val="23"/>
          <w:lang w:eastAsia="en-AU"/>
        </w:rPr>
        <w:tab/>
        <w:t>a summary of the details (including the cost) of any gifts above the value of $50 provided to employees of the council during the relevant financial year funded in whole or in part by the council;</w:t>
      </w:r>
    </w:p>
    <w:p w:rsidR="00745B3A" w:rsidRPr="00745B3A" w:rsidRDefault="00745B3A" w:rsidP="00745B3A">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(f)</w:t>
      </w:r>
      <w:r w:rsidRPr="00745B3A">
        <w:rPr>
          <w:rFonts w:ascii="Times New Roman" w:eastAsia="Times New Roman" w:hAnsi="Times New Roman"/>
          <w:color w:val="000000"/>
          <w:sz w:val="23"/>
          <w:szCs w:val="23"/>
          <w:lang w:eastAsia="en-AU"/>
        </w:rPr>
        <w:tab/>
        <w:t>a statement of the total amount of expenditure incurred using credit cards provided by the council for use by members or employees of the council during the relevant financial year.</w:t>
      </w:r>
    </w:p>
    <w:p w:rsidR="00745B3A" w:rsidRPr="00745B3A" w:rsidRDefault="00745B3A" w:rsidP="00745B3A">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(3)</w:t>
      </w:r>
      <w:r w:rsidRPr="00745B3A">
        <w:rPr>
          <w:rFonts w:ascii="Times New Roman" w:eastAsia="Times New Roman" w:hAnsi="Times New Roman"/>
          <w:color w:val="000000"/>
          <w:sz w:val="23"/>
          <w:szCs w:val="23"/>
          <w:lang w:eastAsia="en-AU"/>
        </w:rPr>
        <w:tab/>
        <w:t>In this regulation—</w:t>
      </w:r>
    </w:p>
    <w:p w:rsidR="00745B3A" w:rsidRPr="00745B3A" w:rsidRDefault="00745B3A" w:rsidP="00745B3A">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45B3A">
        <w:rPr>
          <w:rFonts w:ascii="Times New Roman" w:eastAsia="Times New Roman" w:hAnsi="Times New Roman"/>
          <w:b/>
          <w:bCs/>
          <w:i/>
          <w:iCs/>
          <w:color w:val="000000"/>
          <w:sz w:val="23"/>
          <w:szCs w:val="23"/>
          <w:lang w:eastAsia="en-AU"/>
        </w:rPr>
        <w:t>cost of travel</w:t>
      </w:r>
      <w:r w:rsidRPr="00745B3A">
        <w:rPr>
          <w:rFonts w:ascii="Times New Roman" w:eastAsia="Times New Roman" w:hAnsi="Times New Roman"/>
          <w:color w:val="000000"/>
          <w:sz w:val="23"/>
          <w:szCs w:val="23"/>
          <w:lang w:eastAsia="en-AU"/>
        </w:rPr>
        <w:t xml:space="preserve"> includes accommodation costs and other costs and expenses associated with the travel;</w:t>
      </w:r>
    </w:p>
    <w:p w:rsidR="00745B3A" w:rsidRPr="00745B3A" w:rsidRDefault="00745B3A" w:rsidP="00745B3A">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45B3A">
        <w:rPr>
          <w:rFonts w:ascii="Times New Roman" w:eastAsia="Times New Roman" w:hAnsi="Times New Roman"/>
          <w:b/>
          <w:bCs/>
          <w:i/>
          <w:iCs/>
          <w:color w:val="000000"/>
          <w:sz w:val="23"/>
          <w:szCs w:val="23"/>
          <w:lang w:eastAsia="en-AU"/>
        </w:rPr>
        <w:t>gift</w:t>
      </w:r>
      <w:r w:rsidRPr="00745B3A">
        <w:rPr>
          <w:rFonts w:ascii="Times New Roman" w:eastAsia="Times New Roman" w:hAnsi="Times New Roman"/>
          <w:color w:val="000000"/>
          <w:sz w:val="23"/>
          <w:szCs w:val="23"/>
          <w:lang w:eastAsia="en-AU"/>
        </w:rPr>
        <w:t xml:space="preserve"> includes hospitality;</w:t>
      </w:r>
    </w:p>
    <w:p w:rsidR="00745B3A" w:rsidRPr="00745B3A" w:rsidRDefault="00745B3A" w:rsidP="00745B3A">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45B3A">
        <w:rPr>
          <w:rFonts w:ascii="Times New Roman" w:eastAsia="Times New Roman" w:hAnsi="Times New Roman"/>
          <w:b/>
          <w:bCs/>
          <w:i/>
          <w:iCs/>
          <w:color w:val="000000"/>
          <w:sz w:val="23"/>
          <w:szCs w:val="23"/>
          <w:lang w:eastAsia="en-AU"/>
        </w:rPr>
        <w:t>prescribed interstate travel</w:t>
      </w:r>
      <w:r w:rsidRPr="00745B3A">
        <w:rPr>
          <w:rFonts w:ascii="Times New Roman" w:eastAsia="Times New Roman" w:hAnsi="Times New Roman"/>
          <w:color w:val="000000"/>
          <w:sz w:val="23"/>
          <w:szCs w:val="23"/>
          <w:lang w:eastAsia="en-AU"/>
        </w:rPr>
        <w:t xml:space="preserve"> means—</w:t>
      </w:r>
    </w:p>
    <w:p w:rsidR="00745B3A" w:rsidRPr="00745B3A" w:rsidRDefault="00745B3A" w:rsidP="00745B3A">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(a)</w:t>
      </w:r>
      <w:r w:rsidRPr="00745B3A">
        <w:rPr>
          <w:rFonts w:ascii="Times New Roman" w:eastAsia="Times New Roman" w:hAnsi="Times New Roman"/>
          <w:color w:val="000000"/>
          <w:sz w:val="23"/>
          <w:szCs w:val="23"/>
          <w:lang w:eastAsia="en-AU"/>
        </w:rPr>
        <w:tab/>
        <w:t>travel by a member or employee (as the case may be) of a council the area of which shares a border with another State or a Territory of the Commonwealth if the travel is within that other State or that Territory and is in the course of ordinary business of the council; or</w:t>
      </w:r>
    </w:p>
    <w:p w:rsidR="00745B3A" w:rsidRPr="00745B3A" w:rsidRDefault="00745B3A" w:rsidP="00745B3A">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bookmarkStart w:id="48" w:name="id7edccba0_7cd9_4a6b_9f5a_6308ab2001"/>
      <w:r w:rsidRPr="00745B3A">
        <w:rPr>
          <w:rFonts w:ascii="Times New Roman" w:eastAsia="Times New Roman" w:hAnsi="Times New Roman"/>
          <w:color w:val="000000"/>
          <w:sz w:val="23"/>
          <w:szCs w:val="23"/>
          <w:lang w:eastAsia="en-AU"/>
        </w:rPr>
        <w:tab/>
        <w:t>(b)</w:t>
      </w:r>
      <w:r w:rsidRPr="00745B3A">
        <w:rPr>
          <w:rFonts w:ascii="Times New Roman" w:eastAsia="Times New Roman" w:hAnsi="Times New Roman"/>
          <w:color w:val="000000"/>
          <w:sz w:val="23"/>
          <w:szCs w:val="23"/>
          <w:lang w:eastAsia="en-AU"/>
        </w:rPr>
        <w:tab/>
        <w:t>travel of a kind included within the ambit of this definition by the Minister by notice in the Gazette.</w:t>
      </w:r>
      <w:bookmarkEnd w:id="48"/>
    </w:p>
    <w:p w:rsidR="00745B3A" w:rsidRPr="00745B3A" w:rsidRDefault="00745B3A" w:rsidP="00745B3A">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(4)</w:t>
      </w:r>
      <w:r w:rsidRPr="00745B3A">
        <w:rPr>
          <w:rFonts w:ascii="Times New Roman" w:eastAsia="Times New Roman" w:hAnsi="Times New Roman"/>
          <w:color w:val="000000"/>
          <w:sz w:val="23"/>
          <w:szCs w:val="23"/>
          <w:lang w:eastAsia="en-AU"/>
        </w:rPr>
        <w:tab/>
        <w:t xml:space="preserve">For the purposes of the definition of </w:t>
      </w:r>
      <w:r w:rsidRPr="00745B3A">
        <w:rPr>
          <w:rFonts w:ascii="Times New Roman" w:eastAsia="Times New Roman" w:hAnsi="Times New Roman"/>
          <w:b/>
          <w:bCs/>
          <w:i/>
          <w:iCs/>
          <w:color w:val="000000"/>
          <w:sz w:val="23"/>
          <w:szCs w:val="23"/>
          <w:lang w:eastAsia="en-AU"/>
        </w:rPr>
        <w:t>prescribed interstate travel</w:t>
      </w:r>
      <w:r w:rsidRPr="00745B3A">
        <w:rPr>
          <w:rFonts w:ascii="Times New Roman" w:eastAsia="Times New Roman" w:hAnsi="Times New Roman"/>
          <w:color w:val="000000"/>
          <w:sz w:val="23"/>
          <w:szCs w:val="23"/>
          <w:lang w:eastAsia="en-AU"/>
        </w:rPr>
        <w:t>, travel is taken not to be in the course of ordinary business of a council if the travel is for the purposes of a member or employee of the council attending a conference or training or development activities in another State or a Territory.</w:t>
      </w:r>
    </w:p>
    <w:p w:rsidR="00745B3A" w:rsidRPr="00745B3A" w:rsidRDefault="00745B3A" w:rsidP="00745B3A">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b/>
        <w:t>(5)</w:t>
      </w:r>
      <w:r w:rsidRPr="00745B3A">
        <w:rPr>
          <w:rFonts w:ascii="Times New Roman" w:eastAsia="Times New Roman" w:hAnsi="Times New Roman"/>
          <w:color w:val="000000"/>
          <w:sz w:val="23"/>
          <w:szCs w:val="23"/>
          <w:lang w:eastAsia="en-AU"/>
        </w:rPr>
        <w:tab/>
        <w:t xml:space="preserve">The Minister may, by subsequent notice in the Gazette, vary or revoke a notice under </w:t>
      </w:r>
      <w:hyperlink w:anchor="id7edccba0_7cd9_4a6b_9f5a_6308ab2001" w:history="1">
        <w:r w:rsidRPr="00745B3A">
          <w:rPr>
            <w:rFonts w:ascii="Times New Roman" w:eastAsia="Times New Roman" w:hAnsi="Times New Roman"/>
            <w:color w:val="000000"/>
            <w:sz w:val="23"/>
            <w:szCs w:val="23"/>
            <w:lang w:eastAsia="en-AU"/>
          </w:rPr>
          <w:t>paragraph (b)</w:t>
        </w:r>
      </w:hyperlink>
      <w:r w:rsidRPr="00745B3A">
        <w:rPr>
          <w:rFonts w:ascii="Times New Roman" w:eastAsia="Times New Roman" w:hAnsi="Times New Roman"/>
          <w:color w:val="000000"/>
          <w:sz w:val="23"/>
          <w:szCs w:val="23"/>
          <w:lang w:eastAsia="en-AU"/>
        </w:rPr>
        <w:t xml:space="preserve"> of the definition of </w:t>
      </w:r>
      <w:r w:rsidRPr="00745B3A">
        <w:rPr>
          <w:rFonts w:ascii="Times New Roman" w:eastAsia="Times New Roman" w:hAnsi="Times New Roman"/>
          <w:b/>
          <w:bCs/>
          <w:i/>
          <w:iCs/>
          <w:color w:val="000000"/>
          <w:sz w:val="23"/>
          <w:szCs w:val="23"/>
          <w:lang w:eastAsia="en-AU"/>
        </w:rPr>
        <w:t>prescribed interstate travel</w:t>
      </w:r>
      <w:r w:rsidRPr="00745B3A">
        <w:rPr>
          <w:rFonts w:ascii="Times New Roman" w:eastAsia="Times New Roman" w:hAnsi="Times New Roman"/>
          <w:color w:val="000000"/>
          <w:sz w:val="23"/>
          <w:szCs w:val="23"/>
          <w:lang w:eastAsia="en-AU"/>
        </w:rPr>
        <w:t>.</w:t>
      </w:r>
    </w:p>
    <w:p w:rsidR="00745B3A" w:rsidRPr="00745B3A" w:rsidRDefault="00745B3A" w:rsidP="00745B3A">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45B3A">
        <w:rPr>
          <w:rFonts w:ascii="Times New Roman" w:eastAsia="Times New Roman" w:hAnsi="Times New Roman"/>
          <w:b/>
          <w:bCs/>
          <w:color w:val="000000"/>
          <w:sz w:val="20"/>
          <w:szCs w:val="20"/>
          <w:lang w:eastAsia="en-AU"/>
        </w:rPr>
        <w:t>Editorial note—</w:t>
      </w:r>
    </w:p>
    <w:p w:rsidR="00745B3A" w:rsidRPr="00745B3A" w:rsidRDefault="00745B3A" w:rsidP="00745B3A">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45B3A">
        <w:rPr>
          <w:rFonts w:ascii="Times New Roman" w:eastAsia="Times New Roman" w:hAnsi="Times New Roman"/>
          <w:color w:val="000000"/>
          <w:sz w:val="20"/>
          <w:szCs w:val="20"/>
          <w:lang w:eastAsia="en-AU"/>
        </w:rPr>
        <w:t xml:space="preserve">As required by section 10AA(2) of the </w:t>
      </w:r>
      <w:hyperlink r:id="rId46" w:history="1">
        <w:r w:rsidRPr="00745B3A">
          <w:rPr>
            <w:rFonts w:ascii="Times New Roman" w:eastAsia="Times New Roman" w:hAnsi="Times New Roman"/>
            <w:i/>
            <w:iCs/>
            <w:color w:val="000000"/>
            <w:sz w:val="20"/>
            <w:szCs w:val="20"/>
            <w:lang w:eastAsia="en-AU"/>
          </w:rPr>
          <w:t>Subordinate Legislation Act 1978</w:t>
        </w:r>
      </w:hyperlink>
      <w:r w:rsidRPr="00745B3A">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745B3A" w:rsidRPr="00745B3A" w:rsidRDefault="00745B3A" w:rsidP="00745B3A">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745B3A">
        <w:rPr>
          <w:rFonts w:ascii="Times New Roman" w:eastAsia="Times New Roman" w:hAnsi="Times New Roman"/>
          <w:b/>
          <w:bCs/>
          <w:color w:val="000000"/>
          <w:sz w:val="26"/>
          <w:szCs w:val="26"/>
          <w:lang w:eastAsia="en-AU"/>
        </w:rPr>
        <w:t>Made by the Governor</w:t>
      </w:r>
    </w:p>
    <w:p w:rsidR="00745B3A" w:rsidRPr="00745B3A" w:rsidRDefault="00745B3A" w:rsidP="00745B3A">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after consultation with the Local Government Association and with the advice and consent of the Executive Council</w:t>
      </w:r>
    </w:p>
    <w:p w:rsidR="00745B3A" w:rsidRPr="00745B3A" w:rsidRDefault="00745B3A" w:rsidP="00745B3A">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on 23 December 2021</w:t>
      </w:r>
    </w:p>
    <w:p w:rsidR="00745B3A" w:rsidRPr="00745B3A" w:rsidRDefault="00745B3A" w:rsidP="00745B3A">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45B3A">
        <w:rPr>
          <w:rFonts w:ascii="Times New Roman" w:eastAsia="Times New Roman" w:hAnsi="Times New Roman"/>
          <w:color w:val="000000"/>
          <w:sz w:val="23"/>
          <w:szCs w:val="23"/>
          <w:lang w:eastAsia="en-AU"/>
        </w:rPr>
        <w:t>No 195 of 2021</w:t>
      </w:r>
    </w:p>
    <w:p w:rsidR="00745B3A" w:rsidRDefault="00745B3A">
      <w:pPr>
        <w:spacing w:after="0" w:line="240" w:lineRule="auto"/>
        <w:jc w:val="left"/>
        <w:rPr>
          <w:rFonts w:ascii="Times New Roman" w:eastAsia="Times New Roman" w:hAnsi="Times New Roman"/>
          <w:sz w:val="17"/>
          <w:szCs w:val="17"/>
        </w:rPr>
      </w:pPr>
      <w:r>
        <w:br w:type="page"/>
      </w:r>
    </w:p>
    <w:p w:rsidR="00844F71" w:rsidRPr="00844F71" w:rsidRDefault="00844F71" w:rsidP="00844F71">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844F71">
        <w:rPr>
          <w:rFonts w:ascii="Times New Roman" w:eastAsia="Times New Roman" w:hAnsi="Times New Roman"/>
          <w:color w:val="000000"/>
          <w:sz w:val="28"/>
          <w:szCs w:val="28"/>
          <w:lang w:eastAsia="en-AU"/>
        </w:rPr>
        <w:lastRenderedPageBreak/>
        <w:t>South Australia</w:t>
      </w:r>
    </w:p>
    <w:p w:rsidR="00844F71" w:rsidRPr="00844F71" w:rsidRDefault="00844F71" w:rsidP="00D8720A">
      <w:pPr>
        <w:pStyle w:val="Heading3"/>
        <w:rPr>
          <w:lang w:eastAsia="en-AU"/>
        </w:rPr>
      </w:pPr>
      <w:bookmarkStart w:id="49" w:name="_Toc91161251"/>
      <w:r w:rsidRPr="00844F71">
        <w:rPr>
          <w:lang w:eastAsia="en-AU"/>
        </w:rPr>
        <w:t>Local Government (Amendment of Schedule 4 of Act) Regulations 2021</w:t>
      </w:r>
      <w:bookmarkEnd w:id="49"/>
    </w:p>
    <w:p w:rsidR="00844F71" w:rsidRPr="00844F71" w:rsidRDefault="00844F71" w:rsidP="00844F71">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844F71">
        <w:rPr>
          <w:rFonts w:ascii="Times New Roman" w:eastAsia="Times New Roman" w:hAnsi="Times New Roman"/>
          <w:color w:val="000000"/>
          <w:sz w:val="24"/>
          <w:szCs w:val="24"/>
          <w:lang w:eastAsia="en-AU"/>
        </w:rPr>
        <w:t xml:space="preserve">under the </w:t>
      </w:r>
      <w:r w:rsidRPr="00844F71">
        <w:rPr>
          <w:rFonts w:ascii="Times New Roman" w:eastAsia="Times New Roman" w:hAnsi="Times New Roman"/>
          <w:i/>
          <w:iCs/>
          <w:color w:val="000000"/>
          <w:sz w:val="24"/>
          <w:szCs w:val="24"/>
          <w:lang w:eastAsia="en-AU"/>
        </w:rPr>
        <w:t>Local Government Act 1999</w:t>
      </w:r>
    </w:p>
    <w:p w:rsidR="00844F71" w:rsidRPr="00844F71" w:rsidRDefault="00844F71" w:rsidP="00844F7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844F71" w:rsidRPr="00844F71" w:rsidRDefault="00844F71" w:rsidP="00844F71">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844F71">
        <w:rPr>
          <w:rFonts w:ascii="Times New Roman" w:eastAsia="Times New Roman" w:hAnsi="Times New Roman"/>
          <w:b/>
          <w:bCs/>
          <w:color w:val="000000"/>
          <w:sz w:val="32"/>
          <w:szCs w:val="32"/>
          <w:lang w:eastAsia="en-AU"/>
        </w:rPr>
        <w:t>Contents</w:t>
      </w:r>
    </w:p>
    <w:p w:rsidR="00844F71" w:rsidRPr="00844F71" w:rsidRDefault="00BE58B6" w:rsidP="00844F71">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844F71" w:rsidRPr="00844F71">
          <w:rPr>
            <w:rFonts w:ascii="Times New Roman" w:eastAsia="Times New Roman" w:hAnsi="Times New Roman"/>
            <w:color w:val="000000"/>
            <w:sz w:val="28"/>
            <w:szCs w:val="28"/>
            <w:lang w:eastAsia="en-AU"/>
          </w:rPr>
          <w:t>Part 1—Preliminary</w:t>
        </w:r>
      </w:hyperlink>
    </w:p>
    <w:p w:rsidR="00844F71" w:rsidRPr="00844F71" w:rsidRDefault="00BE58B6" w:rsidP="00844F7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844F71" w:rsidRPr="00844F71">
          <w:rPr>
            <w:rFonts w:ascii="Times New Roman" w:eastAsia="Times New Roman" w:hAnsi="Times New Roman"/>
            <w:color w:val="000000"/>
            <w:lang w:eastAsia="en-AU"/>
          </w:rPr>
          <w:t>1</w:t>
        </w:r>
        <w:r w:rsidR="00844F71" w:rsidRPr="00844F71">
          <w:rPr>
            <w:rFonts w:ascii="Times New Roman" w:eastAsia="Times New Roman" w:hAnsi="Times New Roman"/>
            <w:color w:val="000000"/>
            <w:lang w:eastAsia="en-AU"/>
          </w:rPr>
          <w:tab/>
          <w:t>Short title</w:t>
        </w:r>
      </w:hyperlink>
    </w:p>
    <w:p w:rsidR="00844F71" w:rsidRPr="00844F71" w:rsidRDefault="00BE58B6" w:rsidP="00844F7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844F71" w:rsidRPr="00844F71">
          <w:rPr>
            <w:rFonts w:ascii="Times New Roman" w:eastAsia="Times New Roman" w:hAnsi="Times New Roman"/>
            <w:color w:val="000000"/>
            <w:lang w:eastAsia="en-AU"/>
          </w:rPr>
          <w:t>2</w:t>
        </w:r>
        <w:r w:rsidR="00844F71" w:rsidRPr="00844F71">
          <w:rPr>
            <w:rFonts w:ascii="Times New Roman" w:eastAsia="Times New Roman" w:hAnsi="Times New Roman"/>
            <w:color w:val="000000"/>
            <w:lang w:eastAsia="en-AU"/>
          </w:rPr>
          <w:tab/>
          <w:t>Commencement</w:t>
        </w:r>
      </w:hyperlink>
    </w:p>
    <w:p w:rsidR="00844F71" w:rsidRPr="00844F71" w:rsidRDefault="00BE58B6" w:rsidP="00844F7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844F71" w:rsidRPr="00844F71">
          <w:rPr>
            <w:rFonts w:ascii="Times New Roman" w:eastAsia="Times New Roman" w:hAnsi="Times New Roman"/>
            <w:color w:val="000000"/>
            <w:lang w:eastAsia="en-AU"/>
          </w:rPr>
          <w:t>3</w:t>
        </w:r>
        <w:r w:rsidR="00844F71" w:rsidRPr="00844F71">
          <w:rPr>
            <w:rFonts w:ascii="Times New Roman" w:eastAsia="Times New Roman" w:hAnsi="Times New Roman"/>
            <w:color w:val="000000"/>
            <w:lang w:eastAsia="en-AU"/>
          </w:rPr>
          <w:tab/>
          <w:t>Amendment provisions</w:t>
        </w:r>
      </w:hyperlink>
    </w:p>
    <w:p w:rsidR="00844F71" w:rsidRPr="00844F71" w:rsidRDefault="00BE58B6" w:rsidP="00844F71">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844F71" w:rsidRPr="00844F71">
          <w:rPr>
            <w:rFonts w:ascii="Times New Roman" w:eastAsia="Times New Roman" w:hAnsi="Times New Roman"/>
            <w:color w:val="000000"/>
            <w:sz w:val="28"/>
            <w:szCs w:val="28"/>
            <w:lang w:eastAsia="en-AU"/>
          </w:rPr>
          <w:t xml:space="preserve">Part 2—Amendment of </w:t>
        </w:r>
        <w:r w:rsidR="00844F71" w:rsidRPr="00844F71">
          <w:rPr>
            <w:rFonts w:ascii="Times New Roman" w:eastAsia="Times New Roman" w:hAnsi="Times New Roman"/>
            <w:i/>
            <w:iCs/>
            <w:color w:val="000000"/>
            <w:sz w:val="28"/>
            <w:szCs w:val="28"/>
            <w:lang w:eastAsia="en-AU"/>
          </w:rPr>
          <w:t>Local Government Act 1999</w:t>
        </w:r>
      </w:hyperlink>
    </w:p>
    <w:p w:rsidR="00844F71" w:rsidRPr="00844F71" w:rsidRDefault="00BE58B6" w:rsidP="00844F7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844F71" w:rsidRPr="00844F71">
          <w:rPr>
            <w:rFonts w:ascii="Times New Roman" w:eastAsia="Times New Roman" w:hAnsi="Times New Roman"/>
            <w:color w:val="000000"/>
            <w:lang w:eastAsia="en-AU"/>
          </w:rPr>
          <w:t>4</w:t>
        </w:r>
        <w:r w:rsidR="00844F71" w:rsidRPr="00844F71">
          <w:rPr>
            <w:rFonts w:ascii="Times New Roman" w:eastAsia="Times New Roman" w:hAnsi="Times New Roman"/>
            <w:color w:val="000000"/>
            <w:lang w:eastAsia="en-AU"/>
          </w:rPr>
          <w:tab/>
          <w:t>Amendment of Schedule 4—Material to be included in the annual report of a council</w:t>
        </w:r>
      </w:hyperlink>
    </w:p>
    <w:p w:rsidR="00844F71" w:rsidRPr="00844F71" w:rsidRDefault="00844F71" w:rsidP="00844F7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844F71" w:rsidRPr="00844F71" w:rsidRDefault="00844F71" w:rsidP="00844F71">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844F71">
        <w:rPr>
          <w:rFonts w:ascii="Times New Roman" w:eastAsia="Times New Roman" w:hAnsi="Times New Roman"/>
          <w:b/>
          <w:bCs/>
          <w:color w:val="000000"/>
          <w:sz w:val="32"/>
          <w:szCs w:val="32"/>
          <w:lang w:eastAsia="en-AU"/>
        </w:rPr>
        <w:t>Part 1—Preliminary</w:t>
      </w:r>
    </w:p>
    <w:p w:rsidR="00844F71" w:rsidRPr="00844F71" w:rsidRDefault="00844F71" w:rsidP="00844F7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44F71">
        <w:rPr>
          <w:rFonts w:ascii="Times New Roman" w:eastAsia="Times New Roman" w:hAnsi="Times New Roman"/>
          <w:b/>
          <w:bCs/>
          <w:color w:val="000000"/>
          <w:sz w:val="26"/>
          <w:szCs w:val="26"/>
          <w:lang w:eastAsia="en-AU"/>
        </w:rPr>
        <w:t>1—Short title</w:t>
      </w:r>
    </w:p>
    <w:p w:rsidR="00844F71" w:rsidRPr="00844F71" w:rsidRDefault="00844F71" w:rsidP="00844F7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44F71">
        <w:rPr>
          <w:rFonts w:ascii="Times New Roman" w:eastAsia="Times New Roman" w:hAnsi="Times New Roman"/>
          <w:color w:val="000000"/>
          <w:sz w:val="23"/>
          <w:szCs w:val="23"/>
          <w:lang w:eastAsia="en-AU"/>
        </w:rPr>
        <w:t xml:space="preserve">These regulations may be cited as the </w:t>
      </w:r>
      <w:r w:rsidRPr="00844F71">
        <w:rPr>
          <w:rFonts w:ascii="Times New Roman" w:eastAsia="Times New Roman" w:hAnsi="Times New Roman"/>
          <w:i/>
          <w:iCs/>
          <w:color w:val="000000"/>
          <w:sz w:val="23"/>
          <w:szCs w:val="23"/>
          <w:lang w:eastAsia="en-AU"/>
        </w:rPr>
        <w:t>Local Government (Amendment of Schedule 4 of Act) Regulations 2021</w:t>
      </w:r>
      <w:r w:rsidRPr="00844F71">
        <w:rPr>
          <w:rFonts w:ascii="Times New Roman" w:eastAsia="Times New Roman" w:hAnsi="Times New Roman"/>
          <w:color w:val="000000"/>
          <w:sz w:val="23"/>
          <w:szCs w:val="23"/>
          <w:lang w:eastAsia="en-AU"/>
        </w:rPr>
        <w:t>.</w:t>
      </w:r>
    </w:p>
    <w:p w:rsidR="00844F71" w:rsidRPr="00844F71" w:rsidRDefault="00844F71" w:rsidP="00844F7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44F71">
        <w:rPr>
          <w:rFonts w:ascii="Times New Roman" w:eastAsia="Times New Roman" w:hAnsi="Times New Roman"/>
          <w:b/>
          <w:bCs/>
          <w:color w:val="000000"/>
          <w:sz w:val="26"/>
          <w:szCs w:val="26"/>
          <w:lang w:eastAsia="en-AU"/>
        </w:rPr>
        <w:t>2—Commencement</w:t>
      </w:r>
    </w:p>
    <w:p w:rsidR="00844F71" w:rsidRPr="00844F71" w:rsidRDefault="00844F71" w:rsidP="00844F7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44F71">
        <w:rPr>
          <w:rFonts w:ascii="Times New Roman" w:eastAsia="Times New Roman" w:hAnsi="Times New Roman"/>
          <w:color w:val="000000"/>
          <w:sz w:val="23"/>
          <w:szCs w:val="23"/>
          <w:lang w:eastAsia="en-AU"/>
        </w:rPr>
        <w:t>These regulations come into operation on the day on which they are made.</w:t>
      </w:r>
    </w:p>
    <w:p w:rsidR="00844F71" w:rsidRPr="00844F71" w:rsidRDefault="00844F71" w:rsidP="00844F7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44F71">
        <w:rPr>
          <w:rFonts w:ascii="Times New Roman" w:eastAsia="Times New Roman" w:hAnsi="Times New Roman"/>
          <w:b/>
          <w:bCs/>
          <w:color w:val="000000"/>
          <w:sz w:val="26"/>
          <w:szCs w:val="26"/>
          <w:lang w:eastAsia="en-AU"/>
        </w:rPr>
        <w:t>3—Amendment provisions</w:t>
      </w:r>
    </w:p>
    <w:p w:rsidR="00844F71" w:rsidRPr="00844F71" w:rsidRDefault="00844F71" w:rsidP="00844F7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44F71">
        <w:rPr>
          <w:rFonts w:ascii="Times New Roman" w:eastAsia="Times New Roman" w:hAnsi="Times New Roman"/>
          <w:color w:val="000000"/>
          <w:sz w:val="23"/>
          <w:szCs w:val="23"/>
          <w:lang w:eastAsia="en-AU"/>
        </w:rPr>
        <w:t>In these regulations, a provision under a heading referring to the amendment of a specified Act amends the Act so specified.</w:t>
      </w:r>
    </w:p>
    <w:p w:rsidR="00844F71" w:rsidRPr="00844F71" w:rsidRDefault="00844F71" w:rsidP="00844F71">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844F71">
        <w:rPr>
          <w:rFonts w:ascii="Times New Roman" w:eastAsia="Times New Roman" w:hAnsi="Times New Roman"/>
          <w:b/>
          <w:bCs/>
          <w:color w:val="000000"/>
          <w:sz w:val="32"/>
          <w:szCs w:val="32"/>
          <w:lang w:eastAsia="en-AU"/>
        </w:rPr>
        <w:t xml:space="preserve">Part 2—Amendment of </w:t>
      </w:r>
      <w:r w:rsidRPr="00844F71">
        <w:rPr>
          <w:rFonts w:ascii="Times New Roman" w:eastAsia="Times New Roman" w:hAnsi="Times New Roman"/>
          <w:b/>
          <w:bCs/>
          <w:i/>
          <w:iCs/>
          <w:color w:val="000000"/>
          <w:sz w:val="32"/>
          <w:szCs w:val="32"/>
          <w:lang w:eastAsia="en-AU"/>
        </w:rPr>
        <w:t>Local Government Act 1999</w:t>
      </w:r>
    </w:p>
    <w:p w:rsidR="00844F71" w:rsidRPr="00844F71" w:rsidRDefault="00844F71" w:rsidP="00844F7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44F71">
        <w:rPr>
          <w:rFonts w:ascii="Times New Roman" w:eastAsia="Times New Roman" w:hAnsi="Times New Roman"/>
          <w:b/>
          <w:bCs/>
          <w:color w:val="000000"/>
          <w:sz w:val="26"/>
          <w:szCs w:val="26"/>
          <w:lang w:eastAsia="en-AU"/>
        </w:rPr>
        <w:t>4—Amendment of Schedule 4—Material to be included in the annual report of a council</w:t>
      </w:r>
    </w:p>
    <w:p w:rsidR="00844F71" w:rsidRPr="00844F71" w:rsidRDefault="00844F71" w:rsidP="00844F7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844F71">
        <w:rPr>
          <w:rFonts w:ascii="Times New Roman" w:eastAsia="Times New Roman" w:hAnsi="Times New Roman"/>
          <w:color w:val="000000"/>
          <w:sz w:val="23"/>
          <w:szCs w:val="23"/>
          <w:lang w:eastAsia="en-AU"/>
        </w:rPr>
        <w:tab/>
        <w:t>(1)</w:t>
      </w:r>
      <w:r w:rsidRPr="00844F71">
        <w:rPr>
          <w:rFonts w:ascii="Times New Roman" w:eastAsia="Times New Roman" w:hAnsi="Times New Roman"/>
          <w:color w:val="000000"/>
          <w:sz w:val="23"/>
          <w:szCs w:val="23"/>
          <w:lang w:eastAsia="en-AU"/>
        </w:rPr>
        <w:tab/>
        <w:t>Schedule 4, item 1(h)(iii)—delete "next intends" and substitute:</w:t>
      </w:r>
    </w:p>
    <w:p w:rsidR="00844F71" w:rsidRPr="00844F71" w:rsidRDefault="00844F71" w:rsidP="00844F71">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844F71">
        <w:rPr>
          <w:rFonts w:ascii="Times New Roman" w:eastAsia="Times New Roman" w:hAnsi="Times New Roman"/>
          <w:color w:val="000000"/>
          <w:sz w:val="23"/>
          <w:szCs w:val="23"/>
          <w:lang w:eastAsia="en-AU"/>
        </w:rPr>
        <w:t>is next required</w:t>
      </w:r>
    </w:p>
    <w:p w:rsidR="00844F71" w:rsidRPr="00844F71" w:rsidRDefault="00844F71" w:rsidP="00844F7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844F71">
        <w:rPr>
          <w:rFonts w:ascii="Times New Roman" w:eastAsia="Times New Roman" w:hAnsi="Times New Roman"/>
          <w:color w:val="000000"/>
          <w:sz w:val="23"/>
          <w:szCs w:val="23"/>
          <w:lang w:eastAsia="en-AU"/>
        </w:rPr>
        <w:tab/>
        <w:t>(2)</w:t>
      </w:r>
      <w:r w:rsidRPr="00844F71">
        <w:rPr>
          <w:rFonts w:ascii="Times New Roman" w:eastAsia="Times New Roman" w:hAnsi="Times New Roman"/>
          <w:color w:val="000000"/>
          <w:sz w:val="23"/>
          <w:szCs w:val="23"/>
          <w:lang w:eastAsia="en-AU"/>
        </w:rPr>
        <w:tab/>
        <w:t>Schedule 4, item 1(h)(iv)—delete subparagraph (iv)</w:t>
      </w:r>
    </w:p>
    <w:p w:rsidR="00844F71" w:rsidRPr="00844F71" w:rsidRDefault="00844F71" w:rsidP="00844F7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844F71">
        <w:rPr>
          <w:rFonts w:ascii="Times New Roman" w:eastAsia="Times New Roman" w:hAnsi="Times New Roman"/>
          <w:color w:val="000000"/>
          <w:sz w:val="23"/>
          <w:szCs w:val="23"/>
          <w:lang w:eastAsia="en-AU"/>
        </w:rPr>
        <w:tab/>
        <w:t>(3)</w:t>
      </w:r>
      <w:r w:rsidRPr="00844F71">
        <w:rPr>
          <w:rFonts w:ascii="Times New Roman" w:eastAsia="Times New Roman" w:hAnsi="Times New Roman"/>
          <w:color w:val="000000"/>
          <w:sz w:val="23"/>
          <w:szCs w:val="23"/>
          <w:lang w:eastAsia="en-AU"/>
        </w:rPr>
        <w:tab/>
        <w:t>Schedule 4, item 2(c) and (d)—delete paragraphs (c) and (d)</w:t>
      </w:r>
    </w:p>
    <w:p w:rsidR="00C007EA" w:rsidRDefault="00C007EA">
      <w:pPr>
        <w:spacing w:after="0" w:line="240" w:lineRule="auto"/>
        <w:jc w:val="left"/>
        <w:rPr>
          <w:rFonts w:ascii="Times New Roman" w:eastAsia="Times New Roman" w:hAnsi="Times New Roman"/>
          <w:b/>
          <w:bCs/>
          <w:color w:val="000000"/>
          <w:sz w:val="20"/>
          <w:szCs w:val="20"/>
          <w:lang w:eastAsia="en-AU"/>
        </w:rPr>
      </w:pPr>
      <w:r>
        <w:rPr>
          <w:rFonts w:ascii="Times New Roman" w:eastAsia="Times New Roman" w:hAnsi="Times New Roman"/>
          <w:b/>
          <w:bCs/>
          <w:color w:val="000000"/>
          <w:sz w:val="20"/>
          <w:szCs w:val="20"/>
          <w:lang w:eastAsia="en-AU"/>
        </w:rPr>
        <w:br w:type="page"/>
      </w:r>
    </w:p>
    <w:p w:rsidR="00844F71" w:rsidRPr="00844F71" w:rsidRDefault="00844F71" w:rsidP="00844F71">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844F71">
        <w:rPr>
          <w:rFonts w:ascii="Times New Roman" w:eastAsia="Times New Roman" w:hAnsi="Times New Roman"/>
          <w:b/>
          <w:bCs/>
          <w:color w:val="000000"/>
          <w:sz w:val="20"/>
          <w:szCs w:val="20"/>
          <w:lang w:eastAsia="en-AU"/>
        </w:rPr>
        <w:lastRenderedPageBreak/>
        <w:t>Editorial note—</w:t>
      </w:r>
    </w:p>
    <w:p w:rsidR="00844F71" w:rsidRPr="00844F71" w:rsidRDefault="00844F71" w:rsidP="00844F71">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844F71">
        <w:rPr>
          <w:rFonts w:ascii="Times New Roman" w:eastAsia="Times New Roman" w:hAnsi="Times New Roman"/>
          <w:color w:val="000000"/>
          <w:sz w:val="20"/>
          <w:szCs w:val="20"/>
          <w:lang w:eastAsia="en-AU"/>
        </w:rPr>
        <w:t xml:space="preserve">As required by section 10AA(2) of the </w:t>
      </w:r>
      <w:hyperlink r:id="rId47" w:history="1">
        <w:r w:rsidRPr="00844F71">
          <w:rPr>
            <w:rFonts w:ascii="Times New Roman" w:eastAsia="Times New Roman" w:hAnsi="Times New Roman"/>
            <w:i/>
            <w:iCs/>
            <w:color w:val="000000"/>
            <w:sz w:val="20"/>
            <w:szCs w:val="20"/>
            <w:lang w:eastAsia="en-AU"/>
          </w:rPr>
          <w:t>Subordinate Legislation Act 1978</w:t>
        </w:r>
      </w:hyperlink>
      <w:r w:rsidRPr="00844F71">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844F71" w:rsidRPr="00844F71" w:rsidRDefault="00844F71" w:rsidP="00844F71">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844F71">
        <w:rPr>
          <w:rFonts w:ascii="Times New Roman" w:eastAsia="Times New Roman" w:hAnsi="Times New Roman"/>
          <w:b/>
          <w:bCs/>
          <w:color w:val="000000"/>
          <w:sz w:val="26"/>
          <w:szCs w:val="26"/>
          <w:lang w:eastAsia="en-AU"/>
        </w:rPr>
        <w:t>Made by the Governor</w:t>
      </w:r>
    </w:p>
    <w:p w:rsidR="00844F71" w:rsidRPr="00844F71" w:rsidRDefault="00844F71" w:rsidP="00844F7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844F71">
        <w:rPr>
          <w:rFonts w:ascii="Times New Roman" w:eastAsia="Times New Roman" w:hAnsi="Times New Roman"/>
          <w:color w:val="000000"/>
          <w:sz w:val="23"/>
          <w:szCs w:val="23"/>
          <w:lang w:eastAsia="en-AU"/>
        </w:rPr>
        <w:t>after consultation with the Local Government Association and with the advice and consent of the Executive Council</w:t>
      </w:r>
    </w:p>
    <w:p w:rsidR="00844F71" w:rsidRPr="00844F71" w:rsidRDefault="00844F71" w:rsidP="00844F71">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844F71">
        <w:rPr>
          <w:rFonts w:ascii="Times New Roman" w:eastAsia="Times New Roman" w:hAnsi="Times New Roman"/>
          <w:color w:val="000000"/>
          <w:sz w:val="23"/>
          <w:szCs w:val="23"/>
          <w:lang w:eastAsia="en-AU"/>
        </w:rPr>
        <w:t>on 23 December 2021</w:t>
      </w:r>
    </w:p>
    <w:p w:rsidR="00844F71" w:rsidRPr="00844F71" w:rsidRDefault="00844F71" w:rsidP="00844F7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844F71">
        <w:rPr>
          <w:rFonts w:ascii="Times New Roman" w:eastAsia="Times New Roman" w:hAnsi="Times New Roman"/>
          <w:color w:val="000000"/>
          <w:sz w:val="23"/>
          <w:szCs w:val="23"/>
          <w:lang w:eastAsia="en-AU"/>
        </w:rPr>
        <w:t>No 196 of 2021</w:t>
      </w:r>
    </w:p>
    <w:p w:rsidR="00844F71" w:rsidRDefault="00844F71">
      <w:pPr>
        <w:spacing w:after="0" w:line="240" w:lineRule="auto"/>
        <w:jc w:val="left"/>
        <w:rPr>
          <w:rFonts w:ascii="Times New Roman" w:eastAsia="Times New Roman" w:hAnsi="Times New Roman"/>
          <w:sz w:val="17"/>
          <w:szCs w:val="17"/>
        </w:rPr>
      </w:pPr>
      <w:r>
        <w:br w:type="page"/>
      </w:r>
    </w:p>
    <w:p w:rsidR="000F0543" w:rsidRPr="000F0543" w:rsidRDefault="000F0543" w:rsidP="000F0543">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0F0543">
        <w:rPr>
          <w:rFonts w:ascii="Times New Roman" w:eastAsia="Times New Roman" w:hAnsi="Times New Roman"/>
          <w:color w:val="000000"/>
          <w:sz w:val="28"/>
          <w:szCs w:val="28"/>
          <w:lang w:eastAsia="en-AU"/>
        </w:rPr>
        <w:lastRenderedPageBreak/>
        <w:t>South Australia</w:t>
      </w:r>
    </w:p>
    <w:p w:rsidR="000F0543" w:rsidRPr="000F0543" w:rsidRDefault="000F0543" w:rsidP="00D8720A">
      <w:pPr>
        <w:pStyle w:val="Heading3"/>
        <w:rPr>
          <w:lang w:eastAsia="en-AU"/>
        </w:rPr>
      </w:pPr>
      <w:bookmarkStart w:id="50" w:name="_Toc91161252"/>
      <w:r w:rsidRPr="000F0543">
        <w:rPr>
          <w:lang w:eastAsia="en-AU"/>
        </w:rPr>
        <w:t>Local Government (Transitional Provisions) (Stage 2) Variation Regulations 2021</w:t>
      </w:r>
      <w:bookmarkEnd w:id="50"/>
    </w:p>
    <w:p w:rsidR="000F0543" w:rsidRPr="000F0543" w:rsidRDefault="000F0543" w:rsidP="000F0543">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0F0543">
        <w:rPr>
          <w:rFonts w:ascii="Times New Roman" w:eastAsia="Times New Roman" w:hAnsi="Times New Roman"/>
          <w:color w:val="000000"/>
          <w:sz w:val="24"/>
          <w:szCs w:val="24"/>
          <w:lang w:eastAsia="en-AU"/>
        </w:rPr>
        <w:t xml:space="preserve">under the </w:t>
      </w:r>
      <w:r w:rsidRPr="000F0543">
        <w:rPr>
          <w:rFonts w:ascii="Times New Roman" w:eastAsia="Times New Roman" w:hAnsi="Times New Roman"/>
          <w:i/>
          <w:iCs/>
          <w:color w:val="000000"/>
          <w:sz w:val="24"/>
          <w:szCs w:val="24"/>
          <w:lang w:eastAsia="en-AU"/>
        </w:rPr>
        <w:t>Local Government Act 1999</w:t>
      </w:r>
    </w:p>
    <w:p w:rsidR="000F0543" w:rsidRPr="000F0543" w:rsidRDefault="000F0543" w:rsidP="000F0543">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0F0543" w:rsidRPr="000F0543" w:rsidRDefault="000F0543" w:rsidP="000F0543">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0F0543">
        <w:rPr>
          <w:rFonts w:ascii="Times New Roman" w:eastAsia="Times New Roman" w:hAnsi="Times New Roman"/>
          <w:b/>
          <w:bCs/>
          <w:color w:val="000000"/>
          <w:sz w:val="32"/>
          <w:szCs w:val="32"/>
          <w:lang w:eastAsia="en-AU"/>
        </w:rPr>
        <w:t>Contents</w:t>
      </w:r>
    </w:p>
    <w:p w:rsidR="000F0543" w:rsidRPr="000F0543" w:rsidRDefault="00BE58B6" w:rsidP="000F0543">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0F0543" w:rsidRPr="000F0543">
          <w:rPr>
            <w:rFonts w:ascii="Times New Roman" w:eastAsia="Times New Roman" w:hAnsi="Times New Roman"/>
            <w:color w:val="000000"/>
            <w:sz w:val="28"/>
            <w:szCs w:val="28"/>
            <w:lang w:eastAsia="en-AU"/>
          </w:rPr>
          <w:t>Part 1—Preliminary</w:t>
        </w:r>
      </w:hyperlink>
    </w:p>
    <w:p w:rsidR="000F0543" w:rsidRPr="000F0543" w:rsidRDefault="00BE58B6" w:rsidP="000F0543">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0F0543" w:rsidRPr="000F0543">
          <w:rPr>
            <w:rFonts w:ascii="Times New Roman" w:eastAsia="Times New Roman" w:hAnsi="Times New Roman"/>
            <w:color w:val="000000"/>
            <w:lang w:eastAsia="en-AU"/>
          </w:rPr>
          <w:t>1</w:t>
        </w:r>
        <w:r w:rsidR="000F0543" w:rsidRPr="000F0543">
          <w:rPr>
            <w:rFonts w:ascii="Times New Roman" w:eastAsia="Times New Roman" w:hAnsi="Times New Roman"/>
            <w:color w:val="000000"/>
            <w:lang w:eastAsia="en-AU"/>
          </w:rPr>
          <w:tab/>
          <w:t>Short title</w:t>
        </w:r>
      </w:hyperlink>
    </w:p>
    <w:p w:rsidR="000F0543" w:rsidRPr="000F0543" w:rsidRDefault="00BE58B6" w:rsidP="000F0543">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0F0543" w:rsidRPr="000F0543">
          <w:rPr>
            <w:rFonts w:ascii="Times New Roman" w:eastAsia="Times New Roman" w:hAnsi="Times New Roman"/>
            <w:color w:val="000000"/>
            <w:lang w:eastAsia="en-AU"/>
          </w:rPr>
          <w:t>2</w:t>
        </w:r>
        <w:r w:rsidR="000F0543" w:rsidRPr="000F0543">
          <w:rPr>
            <w:rFonts w:ascii="Times New Roman" w:eastAsia="Times New Roman" w:hAnsi="Times New Roman"/>
            <w:color w:val="000000"/>
            <w:lang w:eastAsia="en-AU"/>
          </w:rPr>
          <w:tab/>
          <w:t>Commencement</w:t>
        </w:r>
      </w:hyperlink>
    </w:p>
    <w:p w:rsidR="000F0543" w:rsidRPr="000F0543" w:rsidRDefault="00BE58B6" w:rsidP="000F0543">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0F0543" w:rsidRPr="000F0543">
          <w:rPr>
            <w:rFonts w:ascii="Times New Roman" w:eastAsia="Times New Roman" w:hAnsi="Times New Roman"/>
            <w:color w:val="000000"/>
            <w:lang w:eastAsia="en-AU"/>
          </w:rPr>
          <w:t>3</w:t>
        </w:r>
        <w:r w:rsidR="000F0543" w:rsidRPr="000F0543">
          <w:rPr>
            <w:rFonts w:ascii="Times New Roman" w:eastAsia="Times New Roman" w:hAnsi="Times New Roman"/>
            <w:color w:val="000000"/>
            <w:lang w:eastAsia="en-AU"/>
          </w:rPr>
          <w:tab/>
          <w:t>Variation provisions</w:t>
        </w:r>
      </w:hyperlink>
    </w:p>
    <w:p w:rsidR="000F0543" w:rsidRPr="000F0543" w:rsidRDefault="00BE58B6" w:rsidP="000F0543">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0F0543" w:rsidRPr="000F0543">
          <w:rPr>
            <w:rFonts w:ascii="Times New Roman" w:eastAsia="Times New Roman" w:hAnsi="Times New Roman"/>
            <w:color w:val="000000"/>
            <w:sz w:val="28"/>
            <w:szCs w:val="28"/>
            <w:lang w:eastAsia="en-AU"/>
          </w:rPr>
          <w:t xml:space="preserve">Part 2—Variation of </w:t>
        </w:r>
        <w:r w:rsidR="000F0543" w:rsidRPr="000F0543">
          <w:rPr>
            <w:rFonts w:ascii="Times New Roman" w:eastAsia="Times New Roman" w:hAnsi="Times New Roman"/>
            <w:i/>
            <w:iCs/>
            <w:color w:val="000000"/>
            <w:sz w:val="28"/>
            <w:szCs w:val="28"/>
            <w:lang w:eastAsia="en-AU"/>
          </w:rPr>
          <w:t>Local Government (Transitional Provisions) Regulations 2021</w:t>
        </w:r>
      </w:hyperlink>
    </w:p>
    <w:p w:rsidR="000F0543" w:rsidRPr="000F0543" w:rsidRDefault="00BE58B6" w:rsidP="000F0543">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0F0543" w:rsidRPr="000F0543">
          <w:rPr>
            <w:rFonts w:ascii="Times New Roman" w:eastAsia="Times New Roman" w:hAnsi="Times New Roman"/>
            <w:color w:val="000000"/>
            <w:lang w:eastAsia="en-AU"/>
          </w:rPr>
          <w:t>4</w:t>
        </w:r>
        <w:r w:rsidR="000F0543" w:rsidRPr="000F0543">
          <w:rPr>
            <w:rFonts w:ascii="Times New Roman" w:eastAsia="Times New Roman" w:hAnsi="Times New Roman"/>
            <w:color w:val="000000"/>
            <w:lang w:eastAsia="en-AU"/>
          </w:rPr>
          <w:tab/>
          <w:t>Variation of regulation 8—General</w:t>
        </w:r>
      </w:hyperlink>
    </w:p>
    <w:p w:rsidR="000F0543" w:rsidRPr="000F0543" w:rsidRDefault="00BE58B6" w:rsidP="000F0543">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2f681efe_0b25_40b3_ade6_000bc42e21" w:history="1">
        <w:r w:rsidR="000F0543" w:rsidRPr="000F0543">
          <w:rPr>
            <w:rFonts w:ascii="Times New Roman" w:eastAsia="Times New Roman" w:hAnsi="Times New Roman"/>
            <w:color w:val="000000"/>
            <w:lang w:eastAsia="en-AU"/>
          </w:rPr>
          <w:t>5</w:t>
        </w:r>
        <w:r w:rsidR="000F0543" w:rsidRPr="000F0543">
          <w:rPr>
            <w:rFonts w:ascii="Times New Roman" w:eastAsia="Times New Roman" w:hAnsi="Times New Roman"/>
            <w:color w:val="000000"/>
            <w:lang w:eastAsia="en-AU"/>
          </w:rPr>
          <w:tab/>
          <w:t>Insertion of regulation 11A</w:t>
        </w:r>
      </w:hyperlink>
    </w:p>
    <w:p w:rsidR="000F0543" w:rsidRPr="000F0543" w:rsidRDefault="00BE58B6" w:rsidP="000F0543">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9" w:history="1">
        <w:r w:rsidR="000F0543" w:rsidRPr="000F0543">
          <w:rPr>
            <w:rFonts w:ascii="Times New Roman" w:eastAsia="Times New Roman" w:hAnsi="Times New Roman"/>
            <w:color w:val="000000"/>
            <w:sz w:val="18"/>
            <w:szCs w:val="18"/>
            <w:lang w:eastAsia="en-AU"/>
          </w:rPr>
          <w:t>11A</w:t>
        </w:r>
        <w:r w:rsidR="000F0543" w:rsidRPr="000F0543">
          <w:rPr>
            <w:rFonts w:ascii="Times New Roman" w:eastAsia="Times New Roman" w:hAnsi="Times New Roman"/>
            <w:color w:val="000000"/>
            <w:sz w:val="18"/>
            <w:szCs w:val="18"/>
            <w:lang w:eastAsia="en-AU"/>
          </w:rPr>
          <w:tab/>
          <w:t>Principal member of council</w:t>
        </w:r>
      </w:hyperlink>
    </w:p>
    <w:p w:rsidR="000F0543" w:rsidRPr="000F0543" w:rsidRDefault="00BE58B6" w:rsidP="000F0543">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 w:history="1">
        <w:r w:rsidR="000F0543" w:rsidRPr="000F0543">
          <w:rPr>
            <w:rFonts w:ascii="Times New Roman" w:eastAsia="Times New Roman" w:hAnsi="Times New Roman"/>
            <w:color w:val="000000"/>
            <w:lang w:eastAsia="en-AU"/>
          </w:rPr>
          <w:t>6</w:t>
        </w:r>
        <w:r w:rsidR="000F0543" w:rsidRPr="000F0543">
          <w:rPr>
            <w:rFonts w:ascii="Times New Roman" w:eastAsia="Times New Roman" w:hAnsi="Times New Roman"/>
            <w:color w:val="000000"/>
            <w:lang w:eastAsia="en-AU"/>
          </w:rPr>
          <w:tab/>
          <w:t>Insertion of regulations 13 to 15</w:t>
        </w:r>
      </w:hyperlink>
    </w:p>
    <w:p w:rsidR="000F0543" w:rsidRPr="000F0543" w:rsidRDefault="00BE58B6" w:rsidP="000F0543">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11" w:history="1">
        <w:r w:rsidR="000F0543" w:rsidRPr="000F0543">
          <w:rPr>
            <w:rFonts w:ascii="Times New Roman" w:eastAsia="Times New Roman" w:hAnsi="Times New Roman"/>
            <w:color w:val="000000"/>
            <w:sz w:val="18"/>
            <w:szCs w:val="18"/>
            <w:lang w:eastAsia="en-AU"/>
          </w:rPr>
          <w:t>13</w:t>
        </w:r>
        <w:r w:rsidR="000F0543" w:rsidRPr="000F0543">
          <w:rPr>
            <w:rFonts w:ascii="Times New Roman" w:eastAsia="Times New Roman" w:hAnsi="Times New Roman"/>
            <w:color w:val="000000"/>
            <w:sz w:val="18"/>
            <w:szCs w:val="18"/>
            <w:lang w:eastAsia="en-AU"/>
          </w:rPr>
          <w:tab/>
          <w:t>Financial accountability</w:t>
        </w:r>
      </w:hyperlink>
    </w:p>
    <w:p w:rsidR="000F0543" w:rsidRPr="000F0543" w:rsidRDefault="00BE58B6" w:rsidP="000F0543">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12" w:history="1">
        <w:r w:rsidR="000F0543" w:rsidRPr="000F0543">
          <w:rPr>
            <w:rFonts w:ascii="Times New Roman" w:eastAsia="Times New Roman" w:hAnsi="Times New Roman"/>
            <w:color w:val="000000"/>
            <w:sz w:val="18"/>
            <w:szCs w:val="18"/>
            <w:lang w:eastAsia="en-AU"/>
          </w:rPr>
          <w:t>14</w:t>
        </w:r>
        <w:r w:rsidR="000F0543" w:rsidRPr="000F0543">
          <w:rPr>
            <w:rFonts w:ascii="Times New Roman" w:eastAsia="Times New Roman" w:hAnsi="Times New Roman"/>
            <w:color w:val="000000"/>
            <w:sz w:val="18"/>
            <w:szCs w:val="18"/>
            <w:lang w:eastAsia="en-AU"/>
          </w:rPr>
          <w:tab/>
          <w:t>Council audit and risk committees—membership</w:t>
        </w:r>
      </w:hyperlink>
    </w:p>
    <w:p w:rsidR="000F0543" w:rsidRPr="000F0543" w:rsidRDefault="00BE58B6" w:rsidP="000F0543">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13" w:history="1">
        <w:r w:rsidR="000F0543" w:rsidRPr="000F0543">
          <w:rPr>
            <w:rFonts w:ascii="Times New Roman" w:eastAsia="Times New Roman" w:hAnsi="Times New Roman"/>
            <w:color w:val="000000"/>
            <w:sz w:val="18"/>
            <w:szCs w:val="18"/>
            <w:lang w:eastAsia="en-AU"/>
          </w:rPr>
          <w:t>15</w:t>
        </w:r>
        <w:r w:rsidR="000F0543" w:rsidRPr="000F0543">
          <w:rPr>
            <w:rFonts w:ascii="Times New Roman" w:eastAsia="Times New Roman" w:hAnsi="Times New Roman"/>
            <w:color w:val="000000"/>
            <w:sz w:val="18"/>
            <w:szCs w:val="18"/>
            <w:lang w:eastAsia="en-AU"/>
          </w:rPr>
          <w:tab/>
          <w:t>Auditor</w:t>
        </w:r>
      </w:hyperlink>
    </w:p>
    <w:p w:rsidR="000F0543" w:rsidRPr="000F0543" w:rsidRDefault="000F0543" w:rsidP="000F0543">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0F0543" w:rsidRPr="000F0543" w:rsidRDefault="000F0543" w:rsidP="000F0543">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0F0543">
        <w:rPr>
          <w:rFonts w:ascii="Times New Roman" w:eastAsia="Times New Roman" w:hAnsi="Times New Roman"/>
          <w:b/>
          <w:bCs/>
          <w:color w:val="000000"/>
          <w:sz w:val="32"/>
          <w:szCs w:val="32"/>
          <w:lang w:eastAsia="en-AU"/>
        </w:rPr>
        <w:t>Part 1—Preliminary</w:t>
      </w:r>
    </w:p>
    <w:p w:rsidR="000F0543" w:rsidRPr="000F0543" w:rsidRDefault="000F0543" w:rsidP="000F054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0F0543">
        <w:rPr>
          <w:rFonts w:ascii="Times New Roman" w:eastAsia="Times New Roman" w:hAnsi="Times New Roman"/>
          <w:b/>
          <w:bCs/>
          <w:color w:val="000000"/>
          <w:sz w:val="26"/>
          <w:szCs w:val="26"/>
          <w:lang w:eastAsia="en-AU"/>
        </w:rPr>
        <w:t>1—Short title</w:t>
      </w:r>
    </w:p>
    <w:p w:rsidR="000F0543" w:rsidRPr="000F0543" w:rsidRDefault="000F0543" w:rsidP="000F054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 xml:space="preserve">These regulations may be cited as the </w:t>
      </w:r>
      <w:r w:rsidRPr="000F0543">
        <w:rPr>
          <w:rFonts w:ascii="Times New Roman" w:eastAsia="Times New Roman" w:hAnsi="Times New Roman"/>
          <w:i/>
          <w:iCs/>
          <w:color w:val="000000"/>
          <w:sz w:val="23"/>
          <w:szCs w:val="23"/>
          <w:lang w:eastAsia="en-AU"/>
        </w:rPr>
        <w:t>Local Government (Transitional Provisions) (Stage 2) Variation Regulations 2021</w:t>
      </w:r>
      <w:r w:rsidRPr="000F0543">
        <w:rPr>
          <w:rFonts w:ascii="Times New Roman" w:eastAsia="Times New Roman" w:hAnsi="Times New Roman"/>
          <w:color w:val="000000"/>
          <w:sz w:val="23"/>
          <w:szCs w:val="23"/>
          <w:lang w:eastAsia="en-AU"/>
        </w:rPr>
        <w:t>.</w:t>
      </w:r>
    </w:p>
    <w:p w:rsidR="000F0543" w:rsidRPr="000F0543" w:rsidRDefault="000F0543" w:rsidP="000F054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0F0543">
        <w:rPr>
          <w:rFonts w:ascii="Times New Roman" w:eastAsia="Times New Roman" w:hAnsi="Times New Roman"/>
          <w:b/>
          <w:bCs/>
          <w:color w:val="000000"/>
          <w:sz w:val="26"/>
          <w:szCs w:val="26"/>
          <w:lang w:eastAsia="en-AU"/>
        </w:rPr>
        <w:t>2—Commencement</w:t>
      </w:r>
    </w:p>
    <w:p w:rsidR="000F0543" w:rsidRPr="000F0543" w:rsidRDefault="000F0543" w:rsidP="000F0543">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ab/>
        <w:t>(1)</w:t>
      </w:r>
      <w:r w:rsidRPr="000F0543">
        <w:rPr>
          <w:rFonts w:ascii="Times New Roman" w:eastAsia="Times New Roman" w:hAnsi="Times New Roman"/>
          <w:color w:val="000000"/>
          <w:sz w:val="23"/>
          <w:szCs w:val="23"/>
          <w:lang w:eastAsia="en-AU"/>
        </w:rPr>
        <w:tab/>
        <w:t xml:space="preserve">Subject to </w:t>
      </w:r>
      <w:hyperlink w:anchor="ida909c4b2_a791_415d_8c74_17ce83e7a607_7" w:history="1">
        <w:r w:rsidRPr="000F0543">
          <w:rPr>
            <w:rFonts w:ascii="Times New Roman" w:eastAsia="Times New Roman" w:hAnsi="Times New Roman"/>
            <w:color w:val="000000"/>
            <w:sz w:val="23"/>
            <w:szCs w:val="23"/>
            <w:lang w:eastAsia="en-AU"/>
          </w:rPr>
          <w:t>subregulation (2)</w:t>
        </w:r>
      </w:hyperlink>
      <w:r w:rsidRPr="000F0543">
        <w:rPr>
          <w:rFonts w:ascii="Times New Roman" w:eastAsia="Times New Roman" w:hAnsi="Times New Roman"/>
          <w:color w:val="000000"/>
          <w:sz w:val="23"/>
          <w:szCs w:val="23"/>
          <w:lang w:eastAsia="en-AU"/>
        </w:rPr>
        <w:t xml:space="preserve">, these regulations come into operation on the day on which section 87(3) of the </w:t>
      </w:r>
      <w:hyperlink r:id="rId48" w:history="1">
        <w:r w:rsidRPr="000F0543">
          <w:rPr>
            <w:rFonts w:ascii="Times New Roman" w:eastAsia="Times New Roman" w:hAnsi="Times New Roman"/>
            <w:i/>
            <w:iCs/>
            <w:color w:val="000000"/>
            <w:sz w:val="23"/>
            <w:szCs w:val="23"/>
            <w:lang w:eastAsia="en-AU"/>
          </w:rPr>
          <w:t>Statutes Amendment (Local Government Review) Act 2021</w:t>
        </w:r>
      </w:hyperlink>
      <w:r w:rsidRPr="000F0543">
        <w:rPr>
          <w:rFonts w:ascii="Times New Roman" w:eastAsia="Times New Roman" w:hAnsi="Times New Roman"/>
          <w:color w:val="000000"/>
          <w:sz w:val="23"/>
          <w:szCs w:val="23"/>
          <w:lang w:eastAsia="en-AU"/>
        </w:rPr>
        <w:t xml:space="preserve"> comes into operation.</w:t>
      </w:r>
    </w:p>
    <w:p w:rsidR="000F0543" w:rsidRPr="000F0543" w:rsidRDefault="000F0543" w:rsidP="000F0543">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51" w:name="ida909c4b2_a791_415d_8c74_17ce83e7a607_7"/>
      <w:r w:rsidRPr="000F0543">
        <w:rPr>
          <w:rFonts w:ascii="Times New Roman" w:eastAsia="Times New Roman" w:hAnsi="Times New Roman"/>
          <w:color w:val="000000"/>
          <w:sz w:val="23"/>
          <w:szCs w:val="23"/>
          <w:lang w:eastAsia="en-AU"/>
        </w:rPr>
        <w:tab/>
        <w:t>(2)</w:t>
      </w:r>
      <w:r w:rsidRPr="000F0543">
        <w:rPr>
          <w:rFonts w:ascii="Times New Roman" w:eastAsia="Times New Roman" w:hAnsi="Times New Roman"/>
          <w:color w:val="000000"/>
          <w:sz w:val="23"/>
          <w:szCs w:val="23"/>
          <w:lang w:eastAsia="en-AU"/>
        </w:rPr>
        <w:tab/>
      </w:r>
      <w:hyperlink w:anchor="id2f681efe_0b25_40b3_ade6_000bc42e21" w:history="1">
        <w:r w:rsidRPr="000F0543">
          <w:rPr>
            <w:rFonts w:ascii="Times New Roman" w:eastAsia="Times New Roman" w:hAnsi="Times New Roman"/>
            <w:color w:val="000000"/>
            <w:sz w:val="23"/>
            <w:szCs w:val="23"/>
            <w:lang w:eastAsia="en-AU"/>
          </w:rPr>
          <w:t>Regulation 5</w:t>
        </w:r>
      </w:hyperlink>
      <w:r w:rsidRPr="000F0543">
        <w:rPr>
          <w:rFonts w:ascii="Times New Roman" w:eastAsia="Times New Roman" w:hAnsi="Times New Roman"/>
          <w:color w:val="000000"/>
          <w:sz w:val="23"/>
          <w:szCs w:val="23"/>
          <w:lang w:eastAsia="en-AU"/>
        </w:rPr>
        <w:t xml:space="preserve"> comes into operation on the day on which section 17 of the </w:t>
      </w:r>
      <w:hyperlink r:id="rId49" w:history="1">
        <w:r w:rsidRPr="000F0543">
          <w:rPr>
            <w:rFonts w:ascii="Times New Roman" w:eastAsia="Times New Roman" w:hAnsi="Times New Roman"/>
            <w:i/>
            <w:iCs/>
            <w:color w:val="000000"/>
            <w:sz w:val="23"/>
            <w:szCs w:val="23"/>
            <w:lang w:eastAsia="en-AU"/>
          </w:rPr>
          <w:t>Statutes Amendment (Local Government Review) Act 2021</w:t>
        </w:r>
      </w:hyperlink>
      <w:r w:rsidRPr="000F0543">
        <w:rPr>
          <w:rFonts w:ascii="Times New Roman" w:eastAsia="Times New Roman" w:hAnsi="Times New Roman"/>
          <w:color w:val="000000"/>
          <w:sz w:val="23"/>
          <w:szCs w:val="23"/>
          <w:lang w:eastAsia="en-AU"/>
        </w:rPr>
        <w:t xml:space="preserve"> comes into operation.</w:t>
      </w:r>
      <w:bookmarkEnd w:id="51"/>
    </w:p>
    <w:p w:rsidR="000F0543" w:rsidRPr="000F0543" w:rsidRDefault="000F0543" w:rsidP="000F054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0F0543">
        <w:rPr>
          <w:rFonts w:ascii="Times New Roman" w:eastAsia="Times New Roman" w:hAnsi="Times New Roman"/>
          <w:b/>
          <w:bCs/>
          <w:color w:val="000000"/>
          <w:sz w:val="26"/>
          <w:szCs w:val="26"/>
          <w:lang w:eastAsia="en-AU"/>
        </w:rPr>
        <w:t>3—Variation provisions</w:t>
      </w:r>
    </w:p>
    <w:p w:rsidR="000F0543" w:rsidRPr="000F0543" w:rsidRDefault="000F0543" w:rsidP="000F054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4B32C1" w:rsidRDefault="004B32C1">
      <w:pPr>
        <w:spacing w:after="0" w:line="240" w:lineRule="auto"/>
        <w:jc w:val="left"/>
        <w:rPr>
          <w:rFonts w:ascii="Times New Roman" w:eastAsia="Times New Roman" w:hAnsi="Times New Roman"/>
          <w:b/>
          <w:bCs/>
          <w:color w:val="000000"/>
          <w:sz w:val="32"/>
          <w:szCs w:val="32"/>
          <w:lang w:eastAsia="en-AU"/>
        </w:rPr>
      </w:pPr>
      <w:r>
        <w:rPr>
          <w:rFonts w:ascii="Times New Roman" w:eastAsia="Times New Roman" w:hAnsi="Times New Roman"/>
          <w:b/>
          <w:bCs/>
          <w:color w:val="000000"/>
          <w:sz w:val="32"/>
          <w:szCs w:val="32"/>
          <w:lang w:eastAsia="en-AU"/>
        </w:rPr>
        <w:br w:type="page"/>
      </w:r>
    </w:p>
    <w:p w:rsidR="000F0543" w:rsidRPr="000F0543" w:rsidRDefault="000F0543" w:rsidP="000F0543">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0F0543">
        <w:rPr>
          <w:rFonts w:ascii="Times New Roman" w:eastAsia="Times New Roman" w:hAnsi="Times New Roman"/>
          <w:b/>
          <w:bCs/>
          <w:color w:val="000000"/>
          <w:sz w:val="32"/>
          <w:szCs w:val="32"/>
          <w:lang w:eastAsia="en-AU"/>
        </w:rPr>
        <w:lastRenderedPageBreak/>
        <w:t xml:space="preserve">Part 2—Variation of </w:t>
      </w:r>
      <w:r w:rsidRPr="000F0543">
        <w:rPr>
          <w:rFonts w:ascii="Times New Roman" w:eastAsia="Times New Roman" w:hAnsi="Times New Roman"/>
          <w:b/>
          <w:bCs/>
          <w:i/>
          <w:iCs/>
          <w:color w:val="000000"/>
          <w:sz w:val="32"/>
          <w:szCs w:val="32"/>
          <w:lang w:eastAsia="en-AU"/>
        </w:rPr>
        <w:t>Local Government (Transitional Provisions) Regulations 2021</w:t>
      </w:r>
    </w:p>
    <w:p w:rsidR="000F0543" w:rsidRPr="000F0543" w:rsidRDefault="000F0543" w:rsidP="000F054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0F0543">
        <w:rPr>
          <w:rFonts w:ascii="Times New Roman" w:eastAsia="Times New Roman" w:hAnsi="Times New Roman"/>
          <w:b/>
          <w:bCs/>
          <w:color w:val="000000"/>
          <w:sz w:val="26"/>
          <w:szCs w:val="26"/>
          <w:lang w:eastAsia="en-AU"/>
        </w:rPr>
        <w:t>4—Variation of regulation 8—General</w:t>
      </w:r>
    </w:p>
    <w:p w:rsidR="000F0543" w:rsidRPr="000F0543" w:rsidRDefault="000F0543" w:rsidP="000F0543">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Regulation 8—delete "section 92(5)" and substitute:</w:t>
      </w:r>
    </w:p>
    <w:p w:rsidR="000F0543" w:rsidRPr="000F0543" w:rsidRDefault="000F0543" w:rsidP="000F0543">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sections 12(7) and 92(5)</w:t>
      </w:r>
    </w:p>
    <w:p w:rsidR="000F0543" w:rsidRPr="000F0543" w:rsidRDefault="000F0543" w:rsidP="000F054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2" w:name="id2f681efe_0b25_40b3_ade6_000bc42e21"/>
      <w:r w:rsidRPr="000F0543">
        <w:rPr>
          <w:rFonts w:ascii="Times New Roman" w:eastAsia="Times New Roman" w:hAnsi="Times New Roman"/>
          <w:b/>
          <w:bCs/>
          <w:color w:val="000000"/>
          <w:sz w:val="26"/>
          <w:szCs w:val="26"/>
          <w:lang w:eastAsia="en-AU"/>
        </w:rPr>
        <w:t>5—Insertion of regulation 11A</w:t>
      </w:r>
      <w:bookmarkEnd w:id="52"/>
    </w:p>
    <w:p w:rsidR="000F0543" w:rsidRPr="000F0543" w:rsidRDefault="000F0543" w:rsidP="000F0543">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After regulation 11 insert:</w:t>
      </w:r>
    </w:p>
    <w:p w:rsidR="000F0543" w:rsidRPr="000F0543" w:rsidRDefault="000F0543" w:rsidP="000F0543">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0F0543">
        <w:rPr>
          <w:rFonts w:ascii="Times New Roman" w:eastAsia="Times New Roman" w:hAnsi="Times New Roman"/>
          <w:b/>
          <w:bCs/>
          <w:color w:val="000000"/>
          <w:sz w:val="26"/>
          <w:szCs w:val="26"/>
          <w:lang w:eastAsia="en-AU"/>
        </w:rPr>
        <w:t>11A—Principal member of council</w:t>
      </w:r>
    </w:p>
    <w:p w:rsidR="000F0543" w:rsidRPr="000F0543" w:rsidRDefault="000F0543" w:rsidP="000F0543">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53" w:name="idbeba8960_b264_4aef_9f7a_5b1ce3adb2"/>
      <w:r w:rsidRPr="000F0543">
        <w:rPr>
          <w:rFonts w:ascii="Times New Roman" w:eastAsia="Times New Roman" w:hAnsi="Times New Roman"/>
          <w:color w:val="000000"/>
          <w:sz w:val="23"/>
          <w:szCs w:val="23"/>
          <w:lang w:eastAsia="en-AU"/>
        </w:rPr>
        <w:tab/>
        <w:t>(1)</w:t>
      </w:r>
      <w:r w:rsidRPr="000F0543">
        <w:rPr>
          <w:rFonts w:ascii="Times New Roman" w:eastAsia="Times New Roman" w:hAnsi="Times New Roman"/>
          <w:color w:val="000000"/>
          <w:sz w:val="23"/>
          <w:szCs w:val="23"/>
          <w:lang w:eastAsia="en-AU"/>
        </w:rPr>
        <w:tab/>
        <w:t>In connection with section 147(2) and (3) of the Amendment Act, a council constituted on the basis that the principal member is to be chosen by the members of the council from amongst their own number must conduct a review of its composition under Chapter 3 Part 1 of the Act so as to ensure that the appointment or election of a mayor required by section 51(1) of the Act (as amended by section 17 of the Amendment Act) takes effect from polling day for the second periodic election held after the commencement of section 17.</w:t>
      </w:r>
      <w:bookmarkEnd w:id="53"/>
    </w:p>
    <w:p w:rsidR="000F0543" w:rsidRPr="000F0543" w:rsidRDefault="000F0543" w:rsidP="000F0543">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ab/>
        <w:t>(2)</w:t>
      </w:r>
      <w:r w:rsidRPr="000F0543">
        <w:rPr>
          <w:rFonts w:ascii="Times New Roman" w:eastAsia="Times New Roman" w:hAnsi="Times New Roman"/>
          <w:color w:val="000000"/>
          <w:sz w:val="23"/>
          <w:szCs w:val="23"/>
          <w:lang w:eastAsia="en-AU"/>
        </w:rPr>
        <w:tab/>
        <w:t xml:space="preserve">Despite </w:t>
      </w:r>
      <w:hyperlink w:anchor="idbeba8960_b264_4aef_9f7a_5b1ce3adb2" w:history="1">
        <w:r w:rsidRPr="000F0543">
          <w:rPr>
            <w:rFonts w:ascii="Times New Roman" w:eastAsia="Times New Roman" w:hAnsi="Times New Roman"/>
            <w:color w:val="000000"/>
            <w:sz w:val="23"/>
            <w:szCs w:val="23"/>
            <w:lang w:eastAsia="en-AU"/>
          </w:rPr>
          <w:t>subregulation (1)</w:t>
        </w:r>
      </w:hyperlink>
      <w:r w:rsidRPr="000F0543">
        <w:rPr>
          <w:rFonts w:ascii="Times New Roman" w:eastAsia="Times New Roman" w:hAnsi="Times New Roman"/>
          <w:color w:val="000000"/>
          <w:sz w:val="23"/>
          <w:szCs w:val="23"/>
          <w:lang w:eastAsia="en-AU"/>
        </w:rPr>
        <w:t>, section 12 of the Act applies to a relevant council required to conduct a review of its composition under Chapter 3 Part 1 of the Act in accordance with that subregulation as follows:</w:t>
      </w:r>
    </w:p>
    <w:p w:rsidR="000F0543" w:rsidRPr="000F0543" w:rsidRDefault="000F0543" w:rsidP="000F0543">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bookmarkStart w:id="54" w:name="id24c940e6_af41_49e1_882c_9b087a3e7d"/>
      <w:r w:rsidRPr="000F0543">
        <w:rPr>
          <w:rFonts w:ascii="Times New Roman" w:eastAsia="Times New Roman" w:hAnsi="Times New Roman"/>
          <w:color w:val="000000"/>
          <w:sz w:val="23"/>
          <w:szCs w:val="23"/>
          <w:lang w:eastAsia="en-AU"/>
        </w:rPr>
        <w:tab/>
        <w:t>(a)</w:t>
      </w:r>
      <w:r w:rsidRPr="000F0543">
        <w:rPr>
          <w:rFonts w:ascii="Times New Roman" w:eastAsia="Times New Roman" w:hAnsi="Times New Roman"/>
          <w:color w:val="000000"/>
          <w:sz w:val="23"/>
          <w:szCs w:val="23"/>
          <w:lang w:eastAsia="en-AU"/>
        </w:rPr>
        <w:tab/>
        <w:t>section 12(3) to (11e) (inclusive) do not apply if the relevant council prepares a report on matters relating to the change in the basis on which the principal member of the council is to be determined, including any action that is required to be taken in order to give effect to the change;</w:t>
      </w:r>
      <w:bookmarkEnd w:id="54"/>
    </w:p>
    <w:p w:rsidR="000F0543" w:rsidRPr="000F0543" w:rsidRDefault="000F0543" w:rsidP="000F0543">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ab/>
        <w:t>(b)</w:t>
      </w:r>
      <w:r w:rsidRPr="000F0543">
        <w:rPr>
          <w:rFonts w:ascii="Times New Roman" w:eastAsia="Times New Roman" w:hAnsi="Times New Roman"/>
          <w:color w:val="000000"/>
          <w:sz w:val="23"/>
          <w:szCs w:val="23"/>
          <w:lang w:eastAsia="en-AU"/>
        </w:rPr>
        <w:tab/>
        <w:t>section 12(12) to (16) (inclusive) and (18) to (25) (inclusive) apply as if—</w:t>
      </w:r>
    </w:p>
    <w:p w:rsidR="000F0543" w:rsidRPr="000F0543" w:rsidRDefault="000F0543" w:rsidP="000F0543">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ab/>
        <w:t>(i)</w:t>
      </w:r>
      <w:r w:rsidRPr="000F0543">
        <w:rPr>
          <w:rFonts w:ascii="Times New Roman" w:eastAsia="Times New Roman" w:hAnsi="Times New Roman"/>
          <w:color w:val="000000"/>
          <w:sz w:val="23"/>
          <w:szCs w:val="23"/>
          <w:lang w:eastAsia="en-AU"/>
        </w:rPr>
        <w:tab/>
        <w:t xml:space="preserve">a reference to a report were a reference to a report under </w:t>
      </w:r>
      <w:hyperlink w:anchor="id24c940e6_af41_49e1_882c_9b087a3e7d" w:history="1">
        <w:r w:rsidRPr="000F0543">
          <w:rPr>
            <w:rFonts w:ascii="Times New Roman" w:eastAsia="Times New Roman" w:hAnsi="Times New Roman"/>
            <w:color w:val="000000"/>
            <w:sz w:val="23"/>
            <w:szCs w:val="23"/>
            <w:lang w:eastAsia="en-AU"/>
          </w:rPr>
          <w:t>paragraph (a)</w:t>
        </w:r>
      </w:hyperlink>
      <w:r w:rsidRPr="000F0543">
        <w:rPr>
          <w:rFonts w:ascii="Times New Roman" w:eastAsia="Times New Roman" w:hAnsi="Times New Roman"/>
          <w:color w:val="000000"/>
          <w:sz w:val="23"/>
          <w:szCs w:val="23"/>
          <w:lang w:eastAsia="en-AU"/>
        </w:rPr>
        <w:t>; and</w:t>
      </w:r>
    </w:p>
    <w:p w:rsidR="000F0543" w:rsidRPr="000F0543" w:rsidRDefault="000F0543" w:rsidP="000F0543">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ab/>
        <w:t>(ii)</w:t>
      </w:r>
      <w:r w:rsidRPr="000F0543">
        <w:rPr>
          <w:rFonts w:ascii="Times New Roman" w:eastAsia="Times New Roman" w:hAnsi="Times New Roman"/>
          <w:color w:val="000000"/>
          <w:sz w:val="23"/>
          <w:szCs w:val="23"/>
          <w:lang w:eastAsia="en-AU"/>
        </w:rPr>
        <w:tab/>
        <w:t xml:space="preserve">a reference to a proposal were a reference to a proposal set out in a report under </w:t>
      </w:r>
      <w:hyperlink w:anchor="id24c940e6_af41_49e1_882c_9b087a3e7d" w:history="1">
        <w:r w:rsidRPr="000F0543">
          <w:rPr>
            <w:rFonts w:ascii="Times New Roman" w:eastAsia="Times New Roman" w:hAnsi="Times New Roman"/>
            <w:color w:val="000000"/>
            <w:sz w:val="23"/>
            <w:szCs w:val="23"/>
            <w:lang w:eastAsia="en-AU"/>
          </w:rPr>
          <w:t>paragraph (a)</w:t>
        </w:r>
      </w:hyperlink>
      <w:r w:rsidRPr="000F0543">
        <w:rPr>
          <w:rFonts w:ascii="Times New Roman" w:eastAsia="Times New Roman" w:hAnsi="Times New Roman"/>
          <w:color w:val="000000"/>
          <w:sz w:val="23"/>
          <w:szCs w:val="23"/>
          <w:lang w:eastAsia="en-AU"/>
        </w:rPr>
        <w:t>; and</w:t>
      </w:r>
    </w:p>
    <w:p w:rsidR="000F0543" w:rsidRPr="000F0543" w:rsidRDefault="000F0543" w:rsidP="000F0543">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ab/>
        <w:t>(iii)</w:t>
      </w:r>
      <w:r w:rsidRPr="000F0543">
        <w:rPr>
          <w:rFonts w:ascii="Times New Roman" w:eastAsia="Times New Roman" w:hAnsi="Times New Roman"/>
          <w:color w:val="000000"/>
          <w:sz w:val="23"/>
          <w:szCs w:val="23"/>
          <w:lang w:eastAsia="en-AU"/>
        </w:rPr>
        <w:tab/>
        <w:t>a reference to a failure to undertake a review in accordance with the requirements of section 12 were a reference to a failure to undertake such a review as modified by this regulation;</w:t>
      </w:r>
    </w:p>
    <w:p w:rsidR="000F0543" w:rsidRPr="000F0543" w:rsidRDefault="000F0543" w:rsidP="000F0543">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ab/>
        <w:t>(c)</w:t>
      </w:r>
      <w:r w:rsidRPr="000F0543">
        <w:rPr>
          <w:rFonts w:ascii="Times New Roman" w:eastAsia="Times New Roman" w:hAnsi="Times New Roman"/>
          <w:color w:val="000000"/>
          <w:sz w:val="23"/>
          <w:szCs w:val="23"/>
          <w:lang w:eastAsia="en-AU"/>
        </w:rPr>
        <w:tab/>
        <w:t>section 12(17) does not apply.</w:t>
      </w:r>
    </w:p>
    <w:p w:rsidR="000F0543" w:rsidRPr="000F0543" w:rsidRDefault="000F0543" w:rsidP="000F0543">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ab/>
        <w:t>(3)</w:t>
      </w:r>
      <w:r w:rsidRPr="000F0543">
        <w:rPr>
          <w:rFonts w:ascii="Times New Roman" w:eastAsia="Times New Roman" w:hAnsi="Times New Roman"/>
          <w:color w:val="000000"/>
          <w:sz w:val="23"/>
          <w:szCs w:val="23"/>
          <w:lang w:eastAsia="en-AU"/>
        </w:rPr>
        <w:tab/>
        <w:t>In this regulation—</w:t>
      </w:r>
    </w:p>
    <w:p w:rsidR="000F0543" w:rsidRPr="000F0543" w:rsidRDefault="000F0543" w:rsidP="000F0543">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0F0543">
        <w:rPr>
          <w:rFonts w:ascii="Times New Roman" w:eastAsia="Times New Roman" w:hAnsi="Times New Roman"/>
          <w:b/>
          <w:bCs/>
          <w:i/>
          <w:iCs/>
          <w:color w:val="000000"/>
          <w:sz w:val="23"/>
          <w:szCs w:val="23"/>
          <w:lang w:eastAsia="en-AU"/>
        </w:rPr>
        <w:t>relevant council</w:t>
      </w:r>
      <w:r w:rsidRPr="000F0543">
        <w:rPr>
          <w:rFonts w:ascii="Times New Roman" w:eastAsia="Times New Roman" w:hAnsi="Times New Roman"/>
          <w:color w:val="000000"/>
          <w:sz w:val="23"/>
          <w:szCs w:val="23"/>
          <w:lang w:eastAsia="en-AU"/>
        </w:rPr>
        <w:t xml:space="preserve"> means a council to which </w:t>
      </w:r>
      <w:hyperlink w:anchor="idbeba8960_b264_4aef_9f7a_5b1ce3adb2" w:history="1">
        <w:r w:rsidRPr="000F0543">
          <w:rPr>
            <w:rFonts w:ascii="Times New Roman" w:eastAsia="Times New Roman" w:hAnsi="Times New Roman"/>
            <w:color w:val="000000"/>
            <w:sz w:val="23"/>
            <w:szCs w:val="23"/>
            <w:lang w:eastAsia="en-AU"/>
          </w:rPr>
          <w:t>subregulation (1)</w:t>
        </w:r>
      </w:hyperlink>
      <w:r w:rsidRPr="000F0543">
        <w:rPr>
          <w:rFonts w:ascii="Times New Roman" w:eastAsia="Times New Roman" w:hAnsi="Times New Roman"/>
          <w:color w:val="000000"/>
          <w:sz w:val="23"/>
          <w:szCs w:val="23"/>
          <w:lang w:eastAsia="en-AU"/>
        </w:rPr>
        <w:t xml:space="preserve"> applies that commenced a review of its composition under Chapter 3 Part 1 of the Act after the conclusion of the periodic election held in 2018 and completed the review before the commencement of this regulation.</w:t>
      </w:r>
    </w:p>
    <w:p w:rsidR="000F0543" w:rsidRPr="000F0543" w:rsidRDefault="000F0543" w:rsidP="000F054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5" w:name="Elkera_Print_TOC10"/>
      <w:bookmarkStart w:id="56" w:name="Elkera_Print_BK10"/>
      <w:r w:rsidRPr="000F0543">
        <w:rPr>
          <w:rFonts w:ascii="Times New Roman" w:eastAsia="Times New Roman" w:hAnsi="Times New Roman"/>
          <w:b/>
          <w:bCs/>
          <w:color w:val="000000"/>
          <w:sz w:val="26"/>
          <w:szCs w:val="26"/>
          <w:lang w:eastAsia="en-AU"/>
        </w:rPr>
        <w:lastRenderedPageBreak/>
        <w:t>6—Insertion of regulations 13 to 15</w:t>
      </w:r>
      <w:bookmarkEnd w:id="55"/>
      <w:bookmarkEnd w:id="56"/>
    </w:p>
    <w:p w:rsidR="000F0543" w:rsidRPr="000F0543" w:rsidRDefault="000F0543" w:rsidP="000F0543">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After regulation 12 insert:</w:t>
      </w:r>
    </w:p>
    <w:p w:rsidR="000F0543" w:rsidRPr="000F0543" w:rsidRDefault="000F0543" w:rsidP="000F0543">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0F0543">
        <w:rPr>
          <w:rFonts w:ascii="Times New Roman" w:eastAsia="Times New Roman" w:hAnsi="Times New Roman"/>
          <w:b/>
          <w:bCs/>
          <w:color w:val="000000"/>
          <w:sz w:val="26"/>
          <w:szCs w:val="26"/>
          <w:lang w:eastAsia="en-AU"/>
        </w:rPr>
        <w:t>13—Financial accountability</w:t>
      </w:r>
    </w:p>
    <w:p w:rsidR="000F0543" w:rsidRPr="000F0543" w:rsidRDefault="000F0543" w:rsidP="000F0543">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Until the commencement of section 79(1) of the Amendment Act, the requirement under section 122(1e)(b) of the Act (as inserted by section 79(2) of the Amendment Act) for a council to provide the designated authority with all relevant information on revenue sources outlined in the funding plan referred to in subsection (1a)(a) (of section 122 of the Act) will be taken to be satisfied if the council provides the designated authority with all relevant information on the intended sources of the council's projected total revenue for the period to which its long-term financial plan relates (such as revenue from rates, grants and other fees and charges).</w:t>
      </w:r>
    </w:p>
    <w:p w:rsidR="000F0543" w:rsidRPr="000F0543" w:rsidRDefault="000F0543" w:rsidP="000F0543">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0F0543">
        <w:rPr>
          <w:rFonts w:ascii="Times New Roman" w:eastAsia="Times New Roman" w:hAnsi="Times New Roman"/>
          <w:b/>
          <w:bCs/>
          <w:color w:val="000000"/>
          <w:sz w:val="26"/>
          <w:szCs w:val="26"/>
          <w:lang w:eastAsia="en-AU"/>
        </w:rPr>
        <w:t>14—Council audit and risk committees—membership</w:t>
      </w:r>
    </w:p>
    <w:p w:rsidR="000F0543" w:rsidRPr="000F0543" w:rsidRDefault="000F0543" w:rsidP="000F0543">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On and after the commencement of section 84(5) of the Amendment Act and despite paragraphs (a) and (b) of section 126(2) of the Act (as in force after that commencement)—</w:t>
      </w:r>
    </w:p>
    <w:p w:rsidR="000F0543" w:rsidRPr="000F0543" w:rsidRDefault="000F0543" w:rsidP="000F0543">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bookmarkStart w:id="57" w:name="id79b3bc26_b8b4_4fa2_8fe0_477c55cf4c"/>
      <w:r w:rsidRPr="000F0543">
        <w:rPr>
          <w:rFonts w:ascii="Times New Roman" w:eastAsia="Times New Roman" w:hAnsi="Times New Roman"/>
          <w:color w:val="000000"/>
          <w:sz w:val="23"/>
          <w:szCs w:val="23"/>
          <w:lang w:eastAsia="en-AU"/>
        </w:rPr>
        <w:tab/>
        <w:t>(a)</w:t>
      </w:r>
      <w:r w:rsidRPr="000F0543">
        <w:rPr>
          <w:rFonts w:ascii="Times New Roman" w:eastAsia="Times New Roman" w:hAnsi="Times New Roman"/>
          <w:color w:val="000000"/>
          <w:sz w:val="23"/>
          <w:szCs w:val="23"/>
          <w:lang w:eastAsia="en-AU"/>
        </w:rPr>
        <w:tab/>
        <w:t>a member of a council audit and risk committee holding office immediately before the commencement of section 84(5) of the Amendment Act will continue to hold office for the remainder of their term of office; and</w:t>
      </w:r>
      <w:bookmarkEnd w:id="57"/>
    </w:p>
    <w:p w:rsidR="000F0543" w:rsidRPr="000F0543" w:rsidRDefault="000F0543" w:rsidP="000F0543">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ab/>
        <w:t>(b)</w:t>
      </w:r>
      <w:r w:rsidRPr="000F0543">
        <w:rPr>
          <w:rFonts w:ascii="Times New Roman" w:eastAsia="Times New Roman" w:hAnsi="Times New Roman"/>
          <w:color w:val="000000"/>
          <w:sz w:val="23"/>
          <w:szCs w:val="23"/>
          <w:lang w:eastAsia="en-AU"/>
        </w:rPr>
        <w:tab/>
        <w:t xml:space="preserve">paragraphs (a) and (b) of section 126(2) of the Act do not apply to the membership of the committee for any period during which the continuation in office of a member of the council audit and risk committee under </w:t>
      </w:r>
      <w:hyperlink w:anchor="id79b3bc26_b8b4_4fa2_8fe0_477c55cf4c" w:history="1">
        <w:r w:rsidRPr="000F0543">
          <w:rPr>
            <w:rFonts w:ascii="Times New Roman" w:eastAsia="Times New Roman" w:hAnsi="Times New Roman"/>
            <w:color w:val="000000"/>
            <w:sz w:val="23"/>
            <w:szCs w:val="23"/>
            <w:lang w:eastAsia="en-AU"/>
          </w:rPr>
          <w:t>paragraph (a)</w:t>
        </w:r>
      </w:hyperlink>
      <w:r w:rsidRPr="000F0543">
        <w:rPr>
          <w:rFonts w:ascii="Times New Roman" w:eastAsia="Times New Roman" w:hAnsi="Times New Roman"/>
          <w:color w:val="000000"/>
          <w:sz w:val="23"/>
          <w:szCs w:val="23"/>
          <w:lang w:eastAsia="en-AU"/>
        </w:rPr>
        <w:t xml:space="preserve"> results in the membership of the committee not being in accordance with those paragraphs.</w:t>
      </w:r>
    </w:p>
    <w:p w:rsidR="000F0543" w:rsidRPr="000F0543" w:rsidRDefault="000F0543" w:rsidP="000F0543">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0F0543">
        <w:rPr>
          <w:rFonts w:ascii="Times New Roman" w:eastAsia="Times New Roman" w:hAnsi="Times New Roman"/>
          <w:b/>
          <w:bCs/>
          <w:color w:val="000000"/>
          <w:sz w:val="26"/>
          <w:szCs w:val="26"/>
          <w:lang w:eastAsia="en-AU"/>
        </w:rPr>
        <w:t>15—Auditor</w:t>
      </w:r>
    </w:p>
    <w:p w:rsidR="000F0543" w:rsidRPr="000F0543" w:rsidRDefault="000F0543" w:rsidP="000F0543">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If, immediately before the commencement section 87(3) of the Amendment Act, a firm comprising at least 1 registered company auditor holds office as auditor of a council under a contract entered into by the council, section 128(6) of the Act (as in force after the commencement of section 87(3)) does not apply to the council until the end of the term of the contract.</w:t>
      </w:r>
    </w:p>
    <w:p w:rsidR="000F0543" w:rsidRPr="000F0543" w:rsidRDefault="000F0543" w:rsidP="000F0543">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0F0543">
        <w:rPr>
          <w:rFonts w:ascii="Times New Roman" w:eastAsia="Times New Roman" w:hAnsi="Times New Roman"/>
          <w:b/>
          <w:bCs/>
          <w:color w:val="000000"/>
          <w:sz w:val="20"/>
          <w:szCs w:val="20"/>
          <w:lang w:eastAsia="en-AU"/>
        </w:rPr>
        <w:t>Editorial note—</w:t>
      </w:r>
    </w:p>
    <w:p w:rsidR="000F0543" w:rsidRPr="000F0543" w:rsidRDefault="000F0543" w:rsidP="000F0543">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0F0543">
        <w:rPr>
          <w:rFonts w:ascii="Times New Roman" w:eastAsia="Times New Roman" w:hAnsi="Times New Roman"/>
          <w:color w:val="000000"/>
          <w:sz w:val="20"/>
          <w:szCs w:val="20"/>
          <w:lang w:eastAsia="en-AU"/>
        </w:rPr>
        <w:t xml:space="preserve">As required by section 10AA(2) of the </w:t>
      </w:r>
      <w:hyperlink r:id="rId50" w:history="1">
        <w:r w:rsidRPr="000F0543">
          <w:rPr>
            <w:rFonts w:ascii="Times New Roman" w:eastAsia="Times New Roman" w:hAnsi="Times New Roman"/>
            <w:i/>
            <w:iCs/>
            <w:color w:val="000000"/>
            <w:sz w:val="20"/>
            <w:szCs w:val="20"/>
            <w:lang w:eastAsia="en-AU"/>
          </w:rPr>
          <w:t>Subordinate Legislation Act 1978</w:t>
        </w:r>
      </w:hyperlink>
      <w:r w:rsidRPr="000F0543">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0F0543" w:rsidRPr="000F0543" w:rsidRDefault="000F0543" w:rsidP="000F0543">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0F0543">
        <w:rPr>
          <w:rFonts w:ascii="Times New Roman" w:eastAsia="Times New Roman" w:hAnsi="Times New Roman"/>
          <w:b/>
          <w:bCs/>
          <w:color w:val="000000"/>
          <w:sz w:val="26"/>
          <w:szCs w:val="26"/>
          <w:lang w:eastAsia="en-AU"/>
        </w:rPr>
        <w:t>Made by the Governor</w:t>
      </w:r>
    </w:p>
    <w:p w:rsidR="000F0543" w:rsidRPr="000F0543" w:rsidRDefault="000F0543" w:rsidP="000F0543">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after consultation with the Local Government Association and with the advice and consent of the Executive Council</w:t>
      </w:r>
    </w:p>
    <w:p w:rsidR="000F0543" w:rsidRPr="000F0543" w:rsidRDefault="000F0543" w:rsidP="000F0543">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on 23 December 2021</w:t>
      </w:r>
    </w:p>
    <w:p w:rsidR="000F0543" w:rsidRPr="000F0543" w:rsidRDefault="000F0543" w:rsidP="000F0543">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0F0543">
        <w:rPr>
          <w:rFonts w:ascii="Times New Roman" w:eastAsia="Times New Roman" w:hAnsi="Times New Roman"/>
          <w:color w:val="000000"/>
          <w:sz w:val="23"/>
          <w:szCs w:val="23"/>
          <w:lang w:eastAsia="en-AU"/>
        </w:rPr>
        <w:t>No 197 of 2021</w:t>
      </w:r>
    </w:p>
    <w:p w:rsidR="000F0543" w:rsidRDefault="000F0543">
      <w:pPr>
        <w:spacing w:after="0" w:line="240" w:lineRule="auto"/>
        <w:jc w:val="left"/>
        <w:rPr>
          <w:rFonts w:ascii="Times New Roman" w:eastAsia="Times New Roman" w:hAnsi="Times New Roman"/>
          <w:sz w:val="17"/>
          <w:szCs w:val="17"/>
        </w:rPr>
      </w:pPr>
      <w:r>
        <w:br w:type="page"/>
      </w:r>
    </w:p>
    <w:p w:rsidR="00E56F07" w:rsidRPr="00E56F07" w:rsidRDefault="00E56F07" w:rsidP="00E56F07">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E56F07">
        <w:rPr>
          <w:rFonts w:ascii="Times New Roman" w:eastAsia="Times New Roman" w:hAnsi="Times New Roman"/>
          <w:color w:val="000000"/>
          <w:sz w:val="28"/>
          <w:szCs w:val="28"/>
          <w:lang w:eastAsia="en-AU"/>
        </w:rPr>
        <w:lastRenderedPageBreak/>
        <w:t>South Australia</w:t>
      </w:r>
    </w:p>
    <w:p w:rsidR="00E56F07" w:rsidRPr="00E56F07" w:rsidRDefault="00E56F07" w:rsidP="00D8720A">
      <w:pPr>
        <w:pStyle w:val="Heading3"/>
        <w:rPr>
          <w:lang w:eastAsia="en-AU"/>
        </w:rPr>
      </w:pPr>
      <w:bookmarkStart w:id="58" w:name="_Toc91161253"/>
      <w:r w:rsidRPr="00E56F07">
        <w:rPr>
          <w:lang w:eastAsia="en-AU"/>
        </w:rPr>
        <w:t>Fire and Emergency Services Variation Regulations 2021</w:t>
      </w:r>
      <w:bookmarkEnd w:id="58"/>
    </w:p>
    <w:p w:rsidR="00E56F07" w:rsidRPr="00E56F07" w:rsidRDefault="00E56F07" w:rsidP="00E56F07">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E56F07">
        <w:rPr>
          <w:rFonts w:ascii="Times New Roman" w:eastAsia="Times New Roman" w:hAnsi="Times New Roman"/>
          <w:color w:val="000000"/>
          <w:sz w:val="24"/>
          <w:szCs w:val="24"/>
          <w:lang w:eastAsia="en-AU"/>
        </w:rPr>
        <w:t xml:space="preserve">under the </w:t>
      </w:r>
      <w:r w:rsidRPr="00E56F07">
        <w:rPr>
          <w:rFonts w:ascii="Times New Roman" w:eastAsia="Times New Roman" w:hAnsi="Times New Roman"/>
          <w:i/>
          <w:iCs/>
          <w:color w:val="000000"/>
          <w:sz w:val="24"/>
          <w:szCs w:val="24"/>
          <w:lang w:eastAsia="en-AU"/>
        </w:rPr>
        <w:t>Fire and Emergency Services Act 2005</w:t>
      </w:r>
    </w:p>
    <w:p w:rsidR="00E56F07" w:rsidRPr="00E56F07" w:rsidRDefault="00E56F07" w:rsidP="00E56F07">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E56F07" w:rsidRPr="00E56F07" w:rsidRDefault="00E56F07" w:rsidP="00E56F07">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E56F07">
        <w:rPr>
          <w:rFonts w:ascii="Times New Roman" w:eastAsia="Times New Roman" w:hAnsi="Times New Roman"/>
          <w:b/>
          <w:bCs/>
          <w:color w:val="000000"/>
          <w:sz w:val="32"/>
          <w:szCs w:val="32"/>
          <w:lang w:eastAsia="en-AU"/>
        </w:rPr>
        <w:t>Contents</w:t>
      </w:r>
    </w:p>
    <w:p w:rsidR="00E56F07" w:rsidRPr="00E56F07" w:rsidRDefault="00BE58B6" w:rsidP="00E56F07">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E56F07" w:rsidRPr="00E56F07">
          <w:rPr>
            <w:rFonts w:ascii="Times New Roman" w:eastAsia="Times New Roman" w:hAnsi="Times New Roman"/>
            <w:color w:val="000000"/>
            <w:sz w:val="28"/>
            <w:szCs w:val="28"/>
            <w:lang w:eastAsia="en-AU"/>
          </w:rPr>
          <w:t>Part 1—Preliminary</w:t>
        </w:r>
      </w:hyperlink>
    </w:p>
    <w:p w:rsidR="00E56F07" w:rsidRPr="00E56F07" w:rsidRDefault="00BE58B6" w:rsidP="00E56F07">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E56F07" w:rsidRPr="00E56F07">
          <w:rPr>
            <w:rFonts w:ascii="Times New Roman" w:eastAsia="Times New Roman" w:hAnsi="Times New Roman"/>
            <w:color w:val="000000"/>
            <w:lang w:eastAsia="en-AU"/>
          </w:rPr>
          <w:t>1</w:t>
        </w:r>
        <w:r w:rsidR="00E56F07" w:rsidRPr="00E56F07">
          <w:rPr>
            <w:rFonts w:ascii="Times New Roman" w:eastAsia="Times New Roman" w:hAnsi="Times New Roman"/>
            <w:color w:val="000000"/>
            <w:lang w:eastAsia="en-AU"/>
          </w:rPr>
          <w:tab/>
          <w:t>Short title</w:t>
        </w:r>
      </w:hyperlink>
    </w:p>
    <w:p w:rsidR="00E56F07" w:rsidRPr="00E56F07" w:rsidRDefault="00BE58B6" w:rsidP="00E56F07">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E56F07" w:rsidRPr="00E56F07">
          <w:rPr>
            <w:rFonts w:ascii="Times New Roman" w:eastAsia="Times New Roman" w:hAnsi="Times New Roman"/>
            <w:color w:val="000000"/>
            <w:lang w:eastAsia="en-AU"/>
          </w:rPr>
          <w:t>2</w:t>
        </w:r>
        <w:r w:rsidR="00E56F07" w:rsidRPr="00E56F07">
          <w:rPr>
            <w:rFonts w:ascii="Times New Roman" w:eastAsia="Times New Roman" w:hAnsi="Times New Roman"/>
            <w:color w:val="000000"/>
            <w:lang w:eastAsia="en-AU"/>
          </w:rPr>
          <w:tab/>
          <w:t>Commencement</w:t>
        </w:r>
      </w:hyperlink>
    </w:p>
    <w:p w:rsidR="00E56F07" w:rsidRPr="00E56F07" w:rsidRDefault="00BE58B6" w:rsidP="00E56F07">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E56F07" w:rsidRPr="00E56F07">
          <w:rPr>
            <w:rFonts w:ascii="Times New Roman" w:eastAsia="Times New Roman" w:hAnsi="Times New Roman"/>
            <w:color w:val="000000"/>
            <w:lang w:eastAsia="en-AU"/>
          </w:rPr>
          <w:t>3</w:t>
        </w:r>
        <w:r w:rsidR="00E56F07" w:rsidRPr="00E56F07">
          <w:rPr>
            <w:rFonts w:ascii="Times New Roman" w:eastAsia="Times New Roman" w:hAnsi="Times New Roman"/>
            <w:color w:val="000000"/>
            <w:lang w:eastAsia="en-AU"/>
          </w:rPr>
          <w:tab/>
          <w:t>Variation provisions</w:t>
        </w:r>
      </w:hyperlink>
    </w:p>
    <w:p w:rsidR="00E56F07" w:rsidRPr="00E56F07" w:rsidRDefault="00BE58B6" w:rsidP="00E56F07">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E56F07" w:rsidRPr="00E56F07">
          <w:rPr>
            <w:rFonts w:ascii="Times New Roman" w:eastAsia="Times New Roman" w:hAnsi="Times New Roman"/>
            <w:color w:val="000000"/>
            <w:sz w:val="28"/>
            <w:szCs w:val="28"/>
            <w:lang w:eastAsia="en-AU"/>
          </w:rPr>
          <w:t xml:space="preserve">Part 2—Variation of </w:t>
        </w:r>
        <w:r w:rsidR="00E56F07" w:rsidRPr="00E56F07">
          <w:rPr>
            <w:rFonts w:ascii="Times New Roman" w:eastAsia="Times New Roman" w:hAnsi="Times New Roman"/>
            <w:i/>
            <w:iCs/>
            <w:color w:val="000000"/>
            <w:sz w:val="28"/>
            <w:szCs w:val="28"/>
            <w:lang w:eastAsia="en-AU"/>
          </w:rPr>
          <w:t>Fire and Emergency Services Regulations 2021</w:t>
        </w:r>
      </w:hyperlink>
    </w:p>
    <w:p w:rsidR="00E56F07" w:rsidRPr="00E56F07" w:rsidRDefault="00BE58B6" w:rsidP="00E56F07">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E56F07" w:rsidRPr="00E56F07">
          <w:rPr>
            <w:rFonts w:ascii="Times New Roman" w:eastAsia="Times New Roman" w:hAnsi="Times New Roman"/>
            <w:color w:val="000000"/>
            <w:lang w:eastAsia="en-AU"/>
          </w:rPr>
          <w:t>4</w:t>
        </w:r>
        <w:r w:rsidR="00E56F07" w:rsidRPr="00E56F07">
          <w:rPr>
            <w:rFonts w:ascii="Times New Roman" w:eastAsia="Times New Roman" w:hAnsi="Times New Roman"/>
            <w:color w:val="000000"/>
            <w:lang w:eastAsia="en-AU"/>
          </w:rPr>
          <w:tab/>
          <w:t>Insertion of regulation 29A</w:t>
        </w:r>
      </w:hyperlink>
    </w:p>
    <w:p w:rsidR="00E56F07" w:rsidRPr="00E56F07" w:rsidRDefault="00BE58B6" w:rsidP="00E56F07">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7" w:history="1">
        <w:r w:rsidR="00E56F07" w:rsidRPr="00E56F07">
          <w:rPr>
            <w:rFonts w:ascii="Times New Roman" w:eastAsia="Times New Roman" w:hAnsi="Times New Roman"/>
            <w:color w:val="000000"/>
            <w:sz w:val="18"/>
            <w:szCs w:val="18"/>
            <w:lang w:eastAsia="en-AU"/>
          </w:rPr>
          <w:t>29A</w:t>
        </w:r>
        <w:r w:rsidR="00E56F07" w:rsidRPr="00E56F07">
          <w:rPr>
            <w:rFonts w:ascii="Times New Roman" w:eastAsia="Times New Roman" w:hAnsi="Times New Roman"/>
            <w:color w:val="000000"/>
            <w:sz w:val="18"/>
            <w:szCs w:val="18"/>
            <w:lang w:eastAsia="en-AU"/>
          </w:rPr>
          <w:tab/>
          <w:t>Certain acts to constitute lighting and maintaining fire</w:t>
        </w:r>
      </w:hyperlink>
    </w:p>
    <w:p w:rsidR="00E56F07" w:rsidRPr="00E56F07" w:rsidRDefault="00E56F07" w:rsidP="00E56F07">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E56F07" w:rsidRPr="00E56F07" w:rsidRDefault="00E56F07" w:rsidP="00E56F07">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E56F07">
        <w:rPr>
          <w:rFonts w:ascii="Times New Roman" w:eastAsia="Times New Roman" w:hAnsi="Times New Roman"/>
          <w:b/>
          <w:bCs/>
          <w:color w:val="000000"/>
          <w:sz w:val="32"/>
          <w:szCs w:val="32"/>
          <w:lang w:eastAsia="en-AU"/>
        </w:rPr>
        <w:t>Part 1—Preliminary</w:t>
      </w:r>
    </w:p>
    <w:p w:rsidR="00E56F07" w:rsidRPr="00E56F07" w:rsidRDefault="00E56F07" w:rsidP="00E56F0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56F07">
        <w:rPr>
          <w:rFonts w:ascii="Times New Roman" w:eastAsia="Times New Roman" w:hAnsi="Times New Roman"/>
          <w:b/>
          <w:bCs/>
          <w:color w:val="000000"/>
          <w:sz w:val="26"/>
          <w:szCs w:val="26"/>
          <w:lang w:eastAsia="en-AU"/>
        </w:rPr>
        <w:t>1—Short title</w:t>
      </w:r>
    </w:p>
    <w:p w:rsidR="00E56F07" w:rsidRPr="00E56F07" w:rsidRDefault="00E56F07" w:rsidP="00E56F0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 xml:space="preserve">These regulations may be cited as the </w:t>
      </w:r>
      <w:r w:rsidRPr="00E56F07">
        <w:rPr>
          <w:rFonts w:ascii="Times New Roman" w:eastAsia="Times New Roman" w:hAnsi="Times New Roman"/>
          <w:i/>
          <w:iCs/>
          <w:color w:val="000000"/>
          <w:sz w:val="23"/>
          <w:szCs w:val="23"/>
          <w:lang w:eastAsia="en-AU"/>
        </w:rPr>
        <w:t>Fire and Emergency Services Variation Regulations 2021</w:t>
      </w:r>
      <w:r w:rsidRPr="00E56F07">
        <w:rPr>
          <w:rFonts w:ascii="Times New Roman" w:eastAsia="Times New Roman" w:hAnsi="Times New Roman"/>
          <w:color w:val="000000"/>
          <w:sz w:val="23"/>
          <w:szCs w:val="23"/>
          <w:lang w:eastAsia="en-AU"/>
        </w:rPr>
        <w:t>.</w:t>
      </w:r>
    </w:p>
    <w:p w:rsidR="00E56F07" w:rsidRPr="00E56F07" w:rsidRDefault="00E56F07" w:rsidP="00E56F0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56F07">
        <w:rPr>
          <w:rFonts w:ascii="Times New Roman" w:eastAsia="Times New Roman" w:hAnsi="Times New Roman"/>
          <w:b/>
          <w:bCs/>
          <w:color w:val="000000"/>
          <w:sz w:val="26"/>
          <w:szCs w:val="26"/>
          <w:lang w:eastAsia="en-AU"/>
        </w:rPr>
        <w:t>2—Commencement</w:t>
      </w:r>
    </w:p>
    <w:p w:rsidR="00E56F07" w:rsidRPr="00E56F07" w:rsidRDefault="00E56F07" w:rsidP="00E56F0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These regulations come into operation on the day on which they are made.</w:t>
      </w:r>
    </w:p>
    <w:p w:rsidR="00E56F07" w:rsidRPr="00E56F07" w:rsidRDefault="00E56F07" w:rsidP="00E56F0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56F07">
        <w:rPr>
          <w:rFonts w:ascii="Times New Roman" w:eastAsia="Times New Roman" w:hAnsi="Times New Roman"/>
          <w:b/>
          <w:bCs/>
          <w:color w:val="000000"/>
          <w:sz w:val="26"/>
          <w:szCs w:val="26"/>
          <w:lang w:eastAsia="en-AU"/>
        </w:rPr>
        <w:t>3—Variation provisions</w:t>
      </w:r>
    </w:p>
    <w:p w:rsidR="00E56F07" w:rsidRPr="00E56F07" w:rsidRDefault="00E56F07" w:rsidP="00E56F0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E56F07" w:rsidRPr="00E56F07" w:rsidRDefault="00E56F07" w:rsidP="00E56F07">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E56F07">
        <w:rPr>
          <w:rFonts w:ascii="Times New Roman" w:eastAsia="Times New Roman" w:hAnsi="Times New Roman"/>
          <w:b/>
          <w:bCs/>
          <w:color w:val="000000"/>
          <w:sz w:val="32"/>
          <w:szCs w:val="32"/>
          <w:lang w:eastAsia="en-AU"/>
        </w:rPr>
        <w:t xml:space="preserve">Part 2—Variation of </w:t>
      </w:r>
      <w:r w:rsidRPr="00E56F07">
        <w:rPr>
          <w:rFonts w:ascii="Times New Roman" w:eastAsia="Times New Roman" w:hAnsi="Times New Roman"/>
          <w:b/>
          <w:bCs/>
          <w:i/>
          <w:iCs/>
          <w:color w:val="000000"/>
          <w:sz w:val="32"/>
          <w:szCs w:val="32"/>
          <w:lang w:eastAsia="en-AU"/>
        </w:rPr>
        <w:t>Fire and Emergency Services Regulations 2021</w:t>
      </w:r>
    </w:p>
    <w:p w:rsidR="00E56F07" w:rsidRPr="00E56F07" w:rsidRDefault="00E56F07" w:rsidP="00E56F0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56F07">
        <w:rPr>
          <w:rFonts w:ascii="Times New Roman" w:eastAsia="Times New Roman" w:hAnsi="Times New Roman"/>
          <w:b/>
          <w:bCs/>
          <w:color w:val="000000"/>
          <w:sz w:val="26"/>
          <w:szCs w:val="26"/>
          <w:lang w:eastAsia="en-AU"/>
        </w:rPr>
        <w:t>4—Insertion of regulation 29A</w:t>
      </w:r>
    </w:p>
    <w:p w:rsidR="00E56F07" w:rsidRPr="00E56F07" w:rsidRDefault="00E56F07" w:rsidP="00E56F07">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After regulation 29 insert:</w:t>
      </w:r>
    </w:p>
    <w:p w:rsidR="00E56F07" w:rsidRPr="00E56F07" w:rsidRDefault="00E56F07" w:rsidP="00E56F07">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E56F07">
        <w:rPr>
          <w:rFonts w:ascii="Times New Roman" w:eastAsia="Times New Roman" w:hAnsi="Times New Roman"/>
          <w:b/>
          <w:bCs/>
          <w:color w:val="000000"/>
          <w:sz w:val="26"/>
          <w:szCs w:val="26"/>
          <w:lang w:eastAsia="en-AU"/>
        </w:rPr>
        <w:t>29A—Certain acts to constitute lighting and maintaining fire</w:t>
      </w:r>
    </w:p>
    <w:p w:rsidR="00E56F07" w:rsidRPr="00E56F07" w:rsidRDefault="00E56F07" w:rsidP="00E56F07">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ab/>
        <w:t>(1)</w:t>
      </w:r>
      <w:r w:rsidRPr="00E56F07">
        <w:rPr>
          <w:rFonts w:ascii="Times New Roman" w:eastAsia="Times New Roman" w:hAnsi="Times New Roman"/>
          <w:color w:val="000000"/>
          <w:sz w:val="23"/>
          <w:szCs w:val="23"/>
          <w:lang w:eastAsia="en-AU"/>
        </w:rPr>
        <w:tab/>
        <w:t>Pursuant to section 148(2) of the Act, the following acts will, for the purposes of the Act, be taken to constitute lighting and maintaining a fire:</w:t>
      </w:r>
    </w:p>
    <w:p w:rsidR="00E56F07" w:rsidRPr="00E56F07" w:rsidRDefault="00E56F07" w:rsidP="00E56F07">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ab/>
        <w:t>(a)</w:t>
      </w:r>
      <w:r w:rsidRPr="00E56F07">
        <w:rPr>
          <w:rFonts w:ascii="Times New Roman" w:eastAsia="Times New Roman" w:hAnsi="Times New Roman"/>
          <w:color w:val="000000"/>
          <w:sz w:val="23"/>
          <w:szCs w:val="23"/>
          <w:lang w:eastAsia="en-AU"/>
        </w:rPr>
        <w:tab/>
        <w:t>gas welding, soldering with an exposed flame, metal cutting, metal grinding or metal abrasion;</w:t>
      </w:r>
    </w:p>
    <w:p w:rsidR="00E56F07" w:rsidRPr="00E56F07" w:rsidRDefault="00E56F07" w:rsidP="00E56F07">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ab/>
        <w:t>(b)</w:t>
      </w:r>
      <w:r w:rsidRPr="00E56F07">
        <w:rPr>
          <w:rFonts w:ascii="Times New Roman" w:eastAsia="Times New Roman" w:hAnsi="Times New Roman"/>
          <w:color w:val="000000"/>
          <w:sz w:val="23"/>
          <w:szCs w:val="23"/>
          <w:lang w:eastAsia="en-AU"/>
        </w:rPr>
        <w:tab/>
        <w:t>the use of fireworks;</w:t>
      </w:r>
    </w:p>
    <w:p w:rsidR="00E56F07" w:rsidRPr="00E56F07" w:rsidRDefault="00E56F07" w:rsidP="00E56F07">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ab/>
        <w:t>(c)</w:t>
      </w:r>
      <w:r w:rsidRPr="00E56F07">
        <w:rPr>
          <w:rFonts w:ascii="Times New Roman" w:eastAsia="Times New Roman" w:hAnsi="Times New Roman"/>
          <w:color w:val="000000"/>
          <w:sz w:val="23"/>
          <w:szCs w:val="23"/>
          <w:lang w:eastAsia="en-AU"/>
        </w:rPr>
        <w:tab/>
        <w:t>the use of an appliance used to generate smoke for the manipulation of bees;</w:t>
      </w:r>
    </w:p>
    <w:p w:rsidR="005F6C19" w:rsidRDefault="005F6C19">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E56F07" w:rsidRPr="00E56F07" w:rsidRDefault="00E56F07" w:rsidP="00E56F07">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lastRenderedPageBreak/>
        <w:tab/>
        <w:t>(d)</w:t>
      </w:r>
      <w:r w:rsidRPr="00E56F07">
        <w:rPr>
          <w:rFonts w:ascii="Times New Roman" w:eastAsia="Times New Roman" w:hAnsi="Times New Roman"/>
          <w:color w:val="000000"/>
          <w:sz w:val="23"/>
          <w:szCs w:val="23"/>
          <w:lang w:eastAsia="en-AU"/>
        </w:rPr>
        <w:tab/>
        <w:t>the use of a rabbit fumigator;</w:t>
      </w:r>
    </w:p>
    <w:p w:rsidR="00E56F07" w:rsidRPr="00E56F07" w:rsidRDefault="00E56F07" w:rsidP="00E56F07">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ab/>
        <w:t>(e)</w:t>
      </w:r>
      <w:r w:rsidRPr="00E56F07">
        <w:rPr>
          <w:rFonts w:ascii="Times New Roman" w:eastAsia="Times New Roman" w:hAnsi="Times New Roman"/>
          <w:color w:val="000000"/>
          <w:sz w:val="23"/>
          <w:szCs w:val="23"/>
          <w:lang w:eastAsia="en-AU"/>
        </w:rPr>
        <w:tab/>
        <w:t>the use of a bird scarer (within the meaning of regulation 42);</w:t>
      </w:r>
    </w:p>
    <w:p w:rsidR="00E56F07" w:rsidRPr="00E56F07" w:rsidRDefault="00E56F07" w:rsidP="00E56F07">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ab/>
        <w:t>(f)</w:t>
      </w:r>
      <w:r w:rsidRPr="00E56F07">
        <w:rPr>
          <w:rFonts w:ascii="Times New Roman" w:eastAsia="Times New Roman" w:hAnsi="Times New Roman"/>
          <w:color w:val="000000"/>
          <w:sz w:val="23"/>
          <w:szCs w:val="23"/>
          <w:lang w:eastAsia="en-AU"/>
        </w:rPr>
        <w:tab/>
        <w:t>the use of explosive materials,</w:t>
      </w:r>
    </w:p>
    <w:p w:rsidR="00E56F07" w:rsidRPr="00E56F07" w:rsidRDefault="00E56F07" w:rsidP="00E56F07">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other than such an act carried out by a member of SACFS or another recognised emergency service in an emergency to protect life or property.</w:t>
      </w:r>
    </w:p>
    <w:p w:rsidR="00E56F07" w:rsidRPr="00E56F07" w:rsidRDefault="00E56F07" w:rsidP="00E56F07">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ab/>
        <w:t>(2)</w:t>
      </w:r>
      <w:r w:rsidRPr="00E56F07">
        <w:rPr>
          <w:rFonts w:ascii="Times New Roman" w:eastAsia="Times New Roman" w:hAnsi="Times New Roman"/>
          <w:color w:val="000000"/>
          <w:sz w:val="23"/>
          <w:szCs w:val="23"/>
          <w:lang w:eastAsia="en-AU"/>
        </w:rPr>
        <w:tab/>
        <w:t>Pursuant to section 148(2) of the Act, the operation of a gas fire or electric element for cooking purposes will, for the purposes of this Act, be taken to constitute lighting and maintaining a fire.</w:t>
      </w:r>
    </w:p>
    <w:p w:rsidR="00E56F07" w:rsidRPr="00E56F07" w:rsidRDefault="00E56F07" w:rsidP="00E56F07">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ab/>
        <w:t>(3)</w:t>
      </w:r>
      <w:r w:rsidRPr="00E56F07">
        <w:rPr>
          <w:rFonts w:ascii="Times New Roman" w:eastAsia="Times New Roman" w:hAnsi="Times New Roman"/>
          <w:color w:val="000000"/>
          <w:sz w:val="23"/>
          <w:szCs w:val="23"/>
          <w:lang w:eastAsia="en-AU"/>
        </w:rPr>
        <w:tab/>
        <w:t>Nothing in this regulation limits a provision of the Act, or any other provision of these regulations.</w:t>
      </w:r>
    </w:p>
    <w:p w:rsidR="00E56F07" w:rsidRPr="00E56F07" w:rsidRDefault="00E56F07" w:rsidP="00E56F07">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E56F07">
        <w:rPr>
          <w:rFonts w:ascii="Times New Roman" w:eastAsia="Times New Roman" w:hAnsi="Times New Roman"/>
          <w:b/>
          <w:bCs/>
          <w:color w:val="000000"/>
          <w:sz w:val="20"/>
          <w:szCs w:val="20"/>
          <w:lang w:eastAsia="en-AU"/>
        </w:rPr>
        <w:t>Note—</w:t>
      </w:r>
    </w:p>
    <w:p w:rsidR="00E56F07" w:rsidRPr="00E56F07" w:rsidRDefault="00E56F07" w:rsidP="00E56F07">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E56F07">
        <w:rPr>
          <w:rFonts w:ascii="Times New Roman" w:eastAsia="Times New Roman" w:hAnsi="Times New Roman"/>
          <w:color w:val="000000"/>
          <w:sz w:val="20"/>
          <w:szCs w:val="20"/>
          <w:lang w:eastAsia="en-AU"/>
        </w:rPr>
        <w:t xml:space="preserve">As required by section 10AA(2) of the </w:t>
      </w:r>
      <w:hyperlink r:id="rId51" w:history="1">
        <w:r w:rsidRPr="00E56F07">
          <w:rPr>
            <w:rFonts w:ascii="Times New Roman" w:eastAsia="Times New Roman" w:hAnsi="Times New Roman"/>
            <w:i/>
            <w:iCs/>
            <w:color w:val="000000"/>
            <w:sz w:val="20"/>
            <w:szCs w:val="20"/>
            <w:lang w:eastAsia="en-AU"/>
          </w:rPr>
          <w:t>Subordinate Legislation Act 1978</w:t>
        </w:r>
      </w:hyperlink>
      <w:r w:rsidRPr="00E56F07">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E56F07" w:rsidRPr="00E56F07" w:rsidRDefault="00E56F07" w:rsidP="00E56F07">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E56F07">
        <w:rPr>
          <w:rFonts w:ascii="Times New Roman" w:eastAsia="Times New Roman" w:hAnsi="Times New Roman"/>
          <w:b/>
          <w:bCs/>
          <w:color w:val="000000"/>
          <w:sz w:val="26"/>
          <w:szCs w:val="26"/>
          <w:lang w:eastAsia="en-AU"/>
        </w:rPr>
        <w:t>Made by the Governor</w:t>
      </w:r>
    </w:p>
    <w:p w:rsidR="00E56F07" w:rsidRPr="00E56F07" w:rsidRDefault="00E56F07" w:rsidP="00E56F07">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with the advice and consent of the Executive Council</w:t>
      </w:r>
    </w:p>
    <w:p w:rsidR="00E56F07" w:rsidRPr="00E56F07" w:rsidRDefault="00E56F07" w:rsidP="00E56F07">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on 23 December 2021</w:t>
      </w:r>
    </w:p>
    <w:p w:rsidR="00E56F07" w:rsidRPr="00E56F07" w:rsidRDefault="00E56F07" w:rsidP="00E56F07">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E56F07">
        <w:rPr>
          <w:rFonts w:ascii="Times New Roman" w:eastAsia="Times New Roman" w:hAnsi="Times New Roman"/>
          <w:color w:val="000000"/>
          <w:sz w:val="23"/>
          <w:szCs w:val="23"/>
          <w:lang w:eastAsia="en-AU"/>
        </w:rPr>
        <w:t>No 198 of 2021</w:t>
      </w:r>
    </w:p>
    <w:p w:rsidR="007739E5" w:rsidRPr="003471CD" w:rsidRDefault="007739E5"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F337C8" w:rsidRPr="003471CD" w:rsidRDefault="00F337C8" w:rsidP="009C23A5">
      <w:pPr>
        <w:pStyle w:val="Heading1"/>
      </w:pPr>
      <w:bookmarkStart w:id="59" w:name="_Toc91161254"/>
      <w:r w:rsidRPr="003471CD">
        <w:lastRenderedPageBreak/>
        <w:t>State Government Instruments</w:t>
      </w:r>
      <w:bookmarkEnd w:id="59"/>
    </w:p>
    <w:p w:rsidR="002C57CC" w:rsidRPr="002C57CC" w:rsidRDefault="00D8720A" w:rsidP="00D8720A">
      <w:pPr>
        <w:pStyle w:val="Heading2"/>
      </w:pPr>
      <w:bookmarkStart w:id="60" w:name="_Toc91161255"/>
      <w:r w:rsidRPr="002C57CC">
        <w:t>Aquaculture Act 2001</w:t>
      </w:r>
      <w:bookmarkEnd w:id="60"/>
    </w:p>
    <w:p w:rsidR="002C57CC" w:rsidRPr="002C57CC" w:rsidRDefault="002C57CC" w:rsidP="002C57CC">
      <w:pPr>
        <w:jc w:val="center"/>
        <w:rPr>
          <w:rFonts w:ascii="Times New Roman" w:hAnsi="Times New Roman"/>
          <w:smallCaps/>
          <w:sz w:val="17"/>
          <w:szCs w:val="17"/>
          <w:lang w:val="en-US"/>
        </w:rPr>
      </w:pPr>
      <w:r w:rsidRPr="002C57CC">
        <w:rPr>
          <w:rFonts w:ascii="Times New Roman" w:hAnsi="Times New Roman"/>
          <w:smallCaps/>
          <w:sz w:val="17"/>
          <w:szCs w:val="17"/>
          <w:lang w:val="en-US"/>
        </w:rPr>
        <w:t xml:space="preserve">Section 14(1)(c) </w:t>
      </w:r>
    </w:p>
    <w:p w:rsidR="002C57CC" w:rsidRPr="002C57CC" w:rsidRDefault="002C57CC" w:rsidP="002C57CC">
      <w:pPr>
        <w:jc w:val="center"/>
        <w:rPr>
          <w:rFonts w:ascii="Times New Roman" w:hAnsi="Times New Roman"/>
          <w:i/>
          <w:sz w:val="17"/>
          <w:szCs w:val="17"/>
          <w:lang w:val="en-US"/>
        </w:rPr>
      </w:pPr>
      <w:r w:rsidRPr="002C57CC">
        <w:rPr>
          <w:rFonts w:ascii="Times New Roman" w:hAnsi="Times New Roman"/>
          <w:i/>
          <w:sz w:val="17"/>
          <w:szCs w:val="17"/>
          <w:lang w:val="en-US"/>
        </w:rPr>
        <w:t>Aquaculture (Zones – Lower Eyre Peninsula) Policy</w:t>
      </w:r>
    </w:p>
    <w:p w:rsidR="002C57CC" w:rsidRPr="002C57CC" w:rsidRDefault="002C57CC" w:rsidP="002C57CC">
      <w:pPr>
        <w:rPr>
          <w:rFonts w:ascii="Times New Roman" w:eastAsia="Times New Roman" w:hAnsi="Times New Roman"/>
          <w:b/>
          <w:sz w:val="17"/>
          <w:szCs w:val="17"/>
          <w:lang w:val="en-US"/>
        </w:rPr>
      </w:pPr>
      <w:r w:rsidRPr="002C57CC">
        <w:rPr>
          <w:rFonts w:ascii="Times New Roman" w:eastAsia="Times New Roman" w:hAnsi="Times New Roman"/>
          <w:b/>
          <w:sz w:val="17"/>
          <w:szCs w:val="17"/>
          <w:lang w:val="en-US"/>
        </w:rPr>
        <w:t>Prescribed criteria for the Louth Bay aquaculture zone</w:t>
      </w:r>
    </w:p>
    <w:p w:rsidR="002C57CC" w:rsidRPr="002C57CC" w:rsidRDefault="002C57CC" w:rsidP="002C57CC">
      <w:pPr>
        <w:rPr>
          <w:rFonts w:ascii="Times New Roman" w:eastAsia="Times New Roman" w:hAnsi="Times New Roman"/>
          <w:i/>
          <w:sz w:val="17"/>
          <w:szCs w:val="17"/>
          <w:lang w:val="en-US"/>
        </w:rPr>
      </w:pPr>
      <w:r w:rsidRPr="002C57CC">
        <w:rPr>
          <w:rFonts w:ascii="Times New Roman" w:eastAsia="Times New Roman" w:hAnsi="Times New Roman"/>
          <w:sz w:val="17"/>
          <w:szCs w:val="17"/>
          <w:lang w:val="en-US"/>
        </w:rPr>
        <w:t xml:space="preserve">Notice for the purposes of clause 16(1)(b)(ii) - </w:t>
      </w:r>
      <w:r w:rsidRPr="002C57CC">
        <w:rPr>
          <w:rFonts w:ascii="Times New Roman" w:eastAsia="Times New Roman" w:hAnsi="Times New Roman"/>
          <w:i/>
          <w:sz w:val="17"/>
          <w:szCs w:val="17"/>
          <w:lang w:val="en-US"/>
        </w:rPr>
        <w:t>Aquaculture (Zones – Lower Eyre Peninsula) Policy 2013.</w:t>
      </w:r>
    </w:p>
    <w:p w:rsidR="002C57CC" w:rsidRPr="002C57CC" w:rsidRDefault="002C57CC" w:rsidP="002C57CC">
      <w:pPr>
        <w:rPr>
          <w:rFonts w:ascii="Times New Roman" w:eastAsia="Times New Roman" w:hAnsi="Times New Roman"/>
          <w:sz w:val="17"/>
          <w:szCs w:val="17"/>
          <w:lang w:val="en-US"/>
        </w:rPr>
      </w:pPr>
      <w:r w:rsidRPr="002C57CC">
        <w:rPr>
          <w:rFonts w:ascii="Times New Roman" w:eastAsia="Times New Roman" w:hAnsi="Times New Roman"/>
          <w:sz w:val="17"/>
          <w:szCs w:val="17"/>
          <w:lang w:val="en-US"/>
        </w:rPr>
        <w:t xml:space="preserve">Notwithstanding the provisions of 16(1)(b)(i), from 1 February 2022 to 28 February 2023, the biomass of the aquatic animals (other than prescribed wild caught tuna) being farmed in the zone in a manner that involves regular feeding must not exceed an amount that would, in the opinion of the Minister, have an environmental impact on the zone equivalent to the environmental impact that 2 270 tonnes of finfish would have on the zone. </w:t>
      </w:r>
    </w:p>
    <w:p w:rsidR="002C57CC" w:rsidRPr="002C57CC" w:rsidRDefault="002C57CC" w:rsidP="002C57CC">
      <w:pPr>
        <w:spacing w:after="0"/>
        <w:rPr>
          <w:rFonts w:ascii="Times New Roman" w:eastAsia="Times New Roman" w:hAnsi="Times New Roman"/>
          <w:sz w:val="17"/>
          <w:szCs w:val="17"/>
          <w:lang w:val="en-US"/>
        </w:rPr>
      </w:pPr>
      <w:r w:rsidRPr="002C57CC">
        <w:rPr>
          <w:rFonts w:ascii="Times New Roman" w:eastAsia="Times New Roman" w:hAnsi="Times New Roman"/>
          <w:sz w:val="17"/>
          <w:szCs w:val="17"/>
          <w:lang w:val="en-US"/>
        </w:rPr>
        <w:t>Dated: 20 December 2021</w:t>
      </w:r>
    </w:p>
    <w:p w:rsidR="002C57CC" w:rsidRPr="002C57CC" w:rsidRDefault="002C57CC" w:rsidP="002C57CC">
      <w:pPr>
        <w:spacing w:after="0"/>
        <w:jc w:val="right"/>
        <w:rPr>
          <w:rFonts w:ascii="Times New Roman" w:eastAsia="Times New Roman" w:hAnsi="Times New Roman"/>
          <w:smallCaps/>
          <w:sz w:val="17"/>
          <w:szCs w:val="20"/>
          <w:lang w:val="en-US"/>
        </w:rPr>
      </w:pPr>
      <w:r w:rsidRPr="002C57CC">
        <w:rPr>
          <w:rFonts w:ascii="Times New Roman" w:eastAsia="Times New Roman" w:hAnsi="Times New Roman"/>
          <w:smallCaps/>
          <w:sz w:val="17"/>
          <w:szCs w:val="20"/>
          <w:lang w:val="en-US"/>
        </w:rPr>
        <w:t>Prof Gavin Begg</w:t>
      </w:r>
    </w:p>
    <w:p w:rsidR="002C57CC" w:rsidRPr="002C57CC" w:rsidRDefault="002C57CC" w:rsidP="002C57CC">
      <w:pPr>
        <w:spacing w:after="0" w:line="240" w:lineRule="auto"/>
        <w:jc w:val="right"/>
        <w:rPr>
          <w:rFonts w:ascii="Times New Roman" w:eastAsia="Times New Roman" w:hAnsi="Times New Roman"/>
          <w:sz w:val="17"/>
          <w:szCs w:val="17"/>
          <w:lang w:val="en-US"/>
        </w:rPr>
      </w:pPr>
      <w:r w:rsidRPr="002C57CC">
        <w:rPr>
          <w:rFonts w:ascii="Times New Roman" w:eastAsia="Times New Roman" w:hAnsi="Times New Roman"/>
          <w:sz w:val="17"/>
          <w:szCs w:val="17"/>
          <w:lang w:val="en-US"/>
        </w:rPr>
        <w:t>Executive Director, Fisheries and Aquaculture</w:t>
      </w:r>
    </w:p>
    <w:p w:rsidR="00F36D72" w:rsidRPr="005821FE" w:rsidRDefault="002C57CC" w:rsidP="005821FE">
      <w:pPr>
        <w:spacing w:after="0" w:line="240" w:lineRule="auto"/>
        <w:jc w:val="right"/>
        <w:rPr>
          <w:rFonts w:ascii="Times New Roman" w:eastAsia="Times New Roman" w:hAnsi="Times New Roman"/>
          <w:sz w:val="17"/>
          <w:szCs w:val="17"/>
          <w:lang w:val="en-US"/>
        </w:rPr>
      </w:pPr>
      <w:r w:rsidRPr="002C57CC">
        <w:rPr>
          <w:rFonts w:ascii="Times New Roman" w:eastAsia="Times New Roman" w:hAnsi="Times New Roman"/>
          <w:sz w:val="17"/>
          <w:szCs w:val="17"/>
          <w:lang w:val="en-US"/>
        </w:rPr>
        <w:t>As delegate of the Minister for Primary Industries and Regional Development</w:t>
      </w:r>
    </w:p>
    <w:p w:rsidR="005821FE" w:rsidRPr="005821FE" w:rsidRDefault="005821FE" w:rsidP="005821FE">
      <w:pPr>
        <w:pBdr>
          <w:bottom w:val="single" w:sz="4" w:space="1" w:color="auto"/>
        </w:pBdr>
        <w:spacing w:after="0" w:line="52" w:lineRule="exact"/>
        <w:jc w:val="center"/>
        <w:rPr>
          <w:rFonts w:ascii="Times New Roman" w:hAnsi="Times New Roman"/>
          <w:sz w:val="17"/>
          <w:szCs w:val="17"/>
        </w:rPr>
      </w:pPr>
    </w:p>
    <w:p w:rsidR="005821FE" w:rsidRPr="005821FE" w:rsidRDefault="005821FE" w:rsidP="005821FE">
      <w:pPr>
        <w:pBdr>
          <w:top w:val="single" w:sz="4" w:space="1" w:color="auto"/>
        </w:pBdr>
        <w:spacing w:before="34" w:after="0" w:line="14" w:lineRule="exact"/>
        <w:jc w:val="center"/>
        <w:rPr>
          <w:rFonts w:ascii="Times New Roman" w:hAnsi="Times New Roman"/>
          <w:sz w:val="17"/>
          <w:szCs w:val="17"/>
        </w:rPr>
      </w:pPr>
    </w:p>
    <w:p w:rsidR="005821FE" w:rsidRPr="005821FE" w:rsidRDefault="005821FE" w:rsidP="005821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hAnsi="Times New Roman"/>
          <w:sz w:val="17"/>
          <w:szCs w:val="17"/>
        </w:rPr>
      </w:pPr>
    </w:p>
    <w:p w:rsidR="002C57CC" w:rsidRPr="002C57CC" w:rsidRDefault="002C57CC" w:rsidP="00D8720A">
      <w:pPr>
        <w:pStyle w:val="Heading2"/>
      </w:pPr>
      <w:bookmarkStart w:id="61" w:name="_Toc91161256"/>
      <w:r w:rsidRPr="002C57CC">
        <w:t>Casino Act 1997</w:t>
      </w:r>
      <w:bookmarkEnd w:id="61"/>
    </w:p>
    <w:p w:rsidR="002C57CC" w:rsidRPr="002C57CC" w:rsidRDefault="002C57CC" w:rsidP="002C57CC">
      <w:pPr>
        <w:jc w:val="center"/>
        <w:rPr>
          <w:rFonts w:ascii="Times New Roman" w:hAnsi="Times New Roman"/>
          <w:smallCaps/>
          <w:sz w:val="17"/>
          <w:szCs w:val="17"/>
        </w:rPr>
      </w:pPr>
      <w:r w:rsidRPr="002C57CC">
        <w:rPr>
          <w:rFonts w:ascii="Times New Roman" w:hAnsi="Times New Roman"/>
          <w:smallCaps/>
          <w:sz w:val="17"/>
          <w:szCs w:val="17"/>
        </w:rPr>
        <w:t>Section 3(1)</w:t>
      </w:r>
    </w:p>
    <w:p w:rsidR="002C57CC" w:rsidRPr="002C57CC" w:rsidRDefault="002C57CC" w:rsidP="002C57CC">
      <w:pPr>
        <w:jc w:val="center"/>
        <w:rPr>
          <w:rFonts w:ascii="Times New Roman" w:hAnsi="Times New Roman"/>
          <w:i/>
          <w:sz w:val="17"/>
          <w:szCs w:val="17"/>
        </w:rPr>
      </w:pPr>
      <w:r w:rsidRPr="002C57CC">
        <w:rPr>
          <w:rFonts w:ascii="Times New Roman" w:hAnsi="Times New Roman"/>
          <w:i/>
          <w:sz w:val="17"/>
          <w:szCs w:val="17"/>
        </w:rPr>
        <w:t>Re-definition of Gaming Area</w:t>
      </w:r>
    </w:p>
    <w:p w:rsidR="002C57CC" w:rsidRPr="002C57CC" w:rsidRDefault="000E2BA0" w:rsidP="002C57CC">
      <w:pPr>
        <w:rPr>
          <w:rFonts w:ascii="Times New Roman" w:eastAsia="Times New Roman" w:hAnsi="Times New Roman"/>
          <w:sz w:val="17"/>
          <w:szCs w:val="17"/>
        </w:rPr>
      </w:pPr>
      <w:r w:rsidRPr="002C57CC">
        <w:rPr>
          <w:rFonts w:ascii="Times New Roman" w:eastAsia="Times New Roman" w:hAnsi="Times New Roman"/>
          <w:sz w:val="17"/>
          <w:szCs w:val="17"/>
        </w:rPr>
        <w:t>Take</w:t>
      </w:r>
      <w:r w:rsidR="002C57CC" w:rsidRPr="002C57CC">
        <w:rPr>
          <w:rFonts w:ascii="Times New Roman" w:eastAsia="Times New Roman" w:hAnsi="Times New Roman"/>
          <w:sz w:val="17"/>
          <w:szCs w:val="17"/>
        </w:rPr>
        <w:t xml:space="preserve"> notice that pursuant to Section 3(1) of the </w:t>
      </w:r>
      <w:r w:rsidR="002C57CC" w:rsidRPr="002C57CC">
        <w:rPr>
          <w:rFonts w:ascii="Times New Roman" w:eastAsia="Times New Roman" w:hAnsi="Times New Roman"/>
          <w:i/>
          <w:sz w:val="17"/>
          <w:szCs w:val="17"/>
        </w:rPr>
        <w:t>Casino Act 1997</w:t>
      </w:r>
      <w:r w:rsidR="002C57CC" w:rsidRPr="002C57CC">
        <w:rPr>
          <w:rFonts w:ascii="Times New Roman" w:eastAsia="Times New Roman" w:hAnsi="Times New Roman"/>
          <w:sz w:val="17"/>
          <w:szCs w:val="17"/>
        </w:rPr>
        <w:t xml:space="preserve"> (the Act), the gaming area (being a gaming area or premium gaming area within the casino premises as defined in the Act) will be re-defined by the Liquor and Gambling Commissioner such that the gaming area on the Platform level has been removed.</w:t>
      </w:r>
    </w:p>
    <w:p w:rsidR="002C57CC" w:rsidRPr="002C57CC" w:rsidRDefault="002C57CC" w:rsidP="002C57CC">
      <w:pPr>
        <w:rPr>
          <w:rFonts w:ascii="Times New Roman" w:eastAsia="Times New Roman" w:hAnsi="Times New Roman"/>
          <w:spacing w:val="-3"/>
          <w:sz w:val="17"/>
          <w:szCs w:val="17"/>
        </w:rPr>
      </w:pPr>
      <w:r w:rsidRPr="002C57CC">
        <w:rPr>
          <w:rFonts w:ascii="Times New Roman" w:eastAsia="Times New Roman" w:hAnsi="Times New Roman"/>
          <w:spacing w:val="-3"/>
          <w:sz w:val="17"/>
          <w:szCs w:val="17"/>
        </w:rPr>
        <w:t>The following plans marked A, B and C indicate such parts of the casino premises (previously defined by his Excellency the Governor in Executive Council and depicted by a purple line for information purposes only) which are to be regarded as being a gaming area (defined and depicted by a green line), including those parts which are to be regarded as being a premium gaming area that are set aside for premium customers and are only accessible in accordance with Clause 8.7 of the Approved Licensing Agreement (defined and depicted by a yellow line).</w:t>
      </w:r>
    </w:p>
    <w:p w:rsidR="002C57CC" w:rsidRPr="002C57CC" w:rsidRDefault="002C57CC" w:rsidP="002C57CC">
      <w:pPr>
        <w:rPr>
          <w:rFonts w:ascii="Times New Roman" w:eastAsia="Times New Roman" w:hAnsi="Times New Roman"/>
          <w:sz w:val="17"/>
          <w:szCs w:val="17"/>
        </w:rPr>
      </w:pPr>
      <w:r w:rsidRPr="002C57CC">
        <w:rPr>
          <w:rFonts w:ascii="Times New Roman" w:eastAsia="Times New Roman" w:hAnsi="Times New Roman"/>
          <w:sz w:val="17"/>
          <w:szCs w:val="17"/>
        </w:rPr>
        <w:t xml:space="preserve">This notice takes effect from the date of notice. </w:t>
      </w:r>
    </w:p>
    <w:p w:rsidR="002C57CC" w:rsidRPr="002C57CC" w:rsidRDefault="002C57CC" w:rsidP="002C57CC">
      <w:pPr>
        <w:rPr>
          <w:rFonts w:ascii="Times New Roman" w:eastAsia="Times New Roman" w:hAnsi="Times New Roman"/>
          <w:sz w:val="17"/>
          <w:szCs w:val="17"/>
        </w:rPr>
      </w:pPr>
      <w:r w:rsidRPr="002C57CC">
        <w:rPr>
          <w:rFonts w:ascii="Times New Roman" w:eastAsia="Times New Roman" w:hAnsi="Times New Roman"/>
          <w:sz w:val="17"/>
          <w:szCs w:val="17"/>
        </w:rPr>
        <w:t xml:space="preserve">This notice supersedes any previous notices published to define or re-define a gaming area or a premium gaming area within the casino premises. </w:t>
      </w:r>
    </w:p>
    <w:p w:rsidR="002C57CC" w:rsidRPr="002C57CC" w:rsidRDefault="002C57CC" w:rsidP="002C57CC">
      <w:pPr>
        <w:spacing w:after="0"/>
        <w:rPr>
          <w:rFonts w:ascii="Times New Roman" w:eastAsia="Times New Roman" w:hAnsi="Times New Roman"/>
          <w:sz w:val="17"/>
          <w:szCs w:val="17"/>
        </w:rPr>
      </w:pPr>
      <w:r w:rsidRPr="002C57CC">
        <w:rPr>
          <w:rFonts w:ascii="Times New Roman" w:eastAsia="Times New Roman" w:hAnsi="Times New Roman"/>
          <w:sz w:val="17"/>
          <w:szCs w:val="17"/>
        </w:rPr>
        <w:t>Dated: 23 December 2021</w:t>
      </w:r>
    </w:p>
    <w:p w:rsidR="002C57CC" w:rsidRPr="002C57CC" w:rsidRDefault="002C57CC" w:rsidP="002C57CC">
      <w:pPr>
        <w:spacing w:after="0"/>
        <w:jc w:val="right"/>
        <w:rPr>
          <w:rFonts w:ascii="Times New Roman" w:eastAsia="Times New Roman" w:hAnsi="Times New Roman"/>
          <w:smallCaps/>
          <w:sz w:val="17"/>
          <w:szCs w:val="20"/>
        </w:rPr>
      </w:pPr>
      <w:r w:rsidRPr="002C57CC">
        <w:rPr>
          <w:rFonts w:ascii="Times New Roman" w:eastAsia="Times New Roman" w:hAnsi="Times New Roman"/>
          <w:smallCaps/>
          <w:sz w:val="17"/>
          <w:szCs w:val="20"/>
        </w:rPr>
        <w:t>Dini Soulio</w:t>
      </w:r>
    </w:p>
    <w:p w:rsidR="002C57CC" w:rsidRPr="002C57CC" w:rsidRDefault="002C57CC" w:rsidP="002C57CC">
      <w:pPr>
        <w:spacing w:after="0" w:line="240" w:lineRule="auto"/>
        <w:jc w:val="right"/>
        <w:rPr>
          <w:rFonts w:ascii="Times New Roman" w:eastAsia="Times New Roman" w:hAnsi="Times New Roman"/>
          <w:sz w:val="17"/>
          <w:szCs w:val="17"/>
        </w:rPr>
      </w:pPr>
      <w:r w:rsidRPr="002C57CC">
        <w:rPr>
          <w:rFonts w:ascii="Times New Roman" w:eastAsia="Times New Roman" w:hAnsi="Times New Roman"/>
          <w:sz w:val="17"/>
          <w:szCs w:val="17"/>
        </w:rPr>
        <w:t>Liquor and Gambling Commissioner</w:t>
      </w:r>
    </w:p>
    <w:p w:rsidR="002C57CC" w:rsidRPr="002C57CC" w:rsidRDefault="002C57CC" w:rsidP="002C57CC">
      <w:pPr>
        <w:pBdr>
          <w:top w:val="single" w:sz="4" w:space="1" w:color="auto"/>
        </w:pBdr>
        <w:spacing w:before="100" w:line="14" w:lineRule="exact"/>
        <w:ind w:left="1080" w:right="1080"/>
        <w:jc w:val="center"/>
        <w:rPr>
          <w:rFonts w:ascii="Times New Roman" w:eastAsia="Times New Roman" w:hAnsi="Times New Roman"/>
          <w:sz w:val="17"/>
          <w:szCs w:val="17"/>
        </w:rPr>
      </w:pPr>
    </w:p>
    <w:p w:rsidR="002C57CC" w:rsidRPr="002C57CC" w:rsidRDefault="002C57CC" w:rsidP="002C57CC">
      <w:pPr>
        <w:spacing w:after="0" w:line="240" w:lineRule="auto"/>
        <w:jc w:val="left"/>
        <w:rPr>
          <w:rFonts w:ascii="Times New Roman" w:eastAsia="Times New Roman" w:hAnsi="Times New Roman"/>
          <w:sz w:val="17"/>
          <w:szCs w:val="17"/>
        </w:rPr>
      </w:pPr>
      <w:r w:rsidRPr="002C57CC">
        <w:rPr>
          <w:rFonts w:ascii="Times New Roman" w:eastAsia="Times New Roman" w:hAnsi="Times New Roman"/>
          <w:sz w:val="17"/>
          <w:szCs w:val="17"/>
        </w:rPr>
        <w:br w:type="page"/>
      </w:r>
    </w:p>
    <w:p w:rsidR="002C57CC" w:rsidRPr="002C57CC" w:rsidRDefault="002C57CC" w:rsidP="002C57CC">
      <w:pPr>
        <w:jc w:val="center"/>
        <w:rPr>
          <w:rFonts w:ascii="Times New Roman" w:hAnsi="Times New Roman"/>
          <w:smallCaps/>
          <w:sz w:val="17"/>
          <w:szCs w:val="17"/>
        </w:rPr>
      </w:pPr>
      <w:r w:rsidRPr="002C57CC">
        <w:rPr>
          <w:rFonts w:ascii="Times New Roman" w:hAnsi="Times New Roman"/>
          <w:smallCaps/>
          <w:sz w:val="17"/>
          <w:szCs w:val="17"/>
        </w:rPr>
        <w:lastRenderedPageBreak/>
        <w:t>Schedule 1</w:t>
      </w:r>
    </w:p>
    <w:p w:rsidR="002C57CC" w:rsidRPr="002C57CC" w:rsidRDefault="002C57CC" w:rsidP="002C57CC">
      <w:pPr>
        <w:jc w:val="center"/>
        <w:rPr>
          <w:rFonts w:ascii="Times New Roman" w:hAnsi="Times New Roman"/>
          <w:smallCaps/>
          <w:sz w:val="17"/>
          <w:szCs w:val="17"/>
          <w:vertAlign w:val="subscript"/>
          <w:lang w:eastAsia="en-AU"/>
        </w:rPr>
      </w:pPr>
      <w:r w:rsidRPr="002C57CC">
        <w:rPr>
          <w:rFonts w:ascii="Times New Roman" w:hAnsi="Times New Roman"/>
          <w:smallCaps/>
          <w:sz w:val="17"/>
          <w:szCs w:val="17"/>
          <w:lang w:eastAsia="en-AU"/>
        </w:rPr>
        <w:t>Plan A—Adelaide Casino—Approved Gaming Area—Ground Level</w:t>
      </w:r>
    </w:p>
    <w:p w:rsidR="002C57CC" w:rsidRPr="002C57CC" w:rsidRDefault="002C57CC" w:rsidP="002C57CC">
      <w:pPr>
        <w:spacing w:after="40"/>
        <w:rPr>
          <w:rFonts w:ascii="Times New Roman" w:eastAsia="Arial" w:hAnsi="Times New Roman"/>
          <w:b/>
          <w:sz w:val="17"/>
          <w:szCs w:val="17"/>
          <w:lang w:eastAsia="en-AU"/>
        </w:rPr>
      </w:pPr>
      <w:r w:rsidRPr="002C57CC">
        <w:rPr>
          <w:rFonts w:ascii="Times New Roman" w:eastAsia="Arial" w:hAnsi="Times New Roman"/>
          <w:b/>
          <w:sz w:val="17"/>
          <w:szCs w:val="17"/>
          <w:lang w:eastAsia="en-AU"/>
        </w:rPr>
        <w:t>Key:</w:t>
      </w:r>
    </w:p>
    <w:p w:rsidR="002C57CC" w:rsidRPr="002C57CC" w:rsidRDefault="002C57CC" w:rsidP="002C57CC">
      <w:pPr>
        <w:spacing w:after="0"/>
        <w:rPr>
          <w:rFonts w:ascii="Times New Roman" w:eastAsia="Arial" w:hAnsi="Times New Roman"/>
          <w:sz w:val="17"/>
          <w:szCs w:val="17"/>
          <w:lang w:eastAsia="en-AU"/>
        </w:rPr>
      </w:pPr>
      <w:r w:rsidRPr="002C57CC">
        <w:rPr>
          <w:rFonts w:ascii="Times New Roman" w:eastAsia="Arial" w:hAnsi="Times New Roman"/>
          <w:sz w:val="17"/>
          <w:szCs w:val="17"/>
          <w:lang w:eastAsia="en-AU"/>
        </w:rPr>
        <w:t>Purple Line—Casino Premises</w:t>
      </w:r>
    </w:p>
    <w:p w:rsidR="002C57CC" w:rsidRPr="002C57CC" w:rsidRDefault="002C57CC" w:rsidP="002C57CC">
      <w:pPr>
        <w:rPr>
          <w:rFonts w:ascii="Times New Roman" w:eastAsia="Arial" w:hAnsi="Times New Roman"/>
          <w:sz w:val="17"/>
          <w:szCs w:val="17"/>
          <w:lang w:eastAsia="en-AU"/>
        </w:rPr>
      </w:pPr>
      <w:r w:rsidRPr="002C57CC">
        <w:rPr>
          <w:rFonts w:ascii="Times New Roman" w:eastAsia="Arial" w:hAnsi="Times New Roman"/>
          <w:sz w:val="17"/>
          <w:szCs w:val="17"/>
          <w:lang w:eastAsia="en-AU"/>
        </w:rPr>
        <w:t>Green Line—Approved Gaming Area</w:t>
      </w:r>
    </w:p>
    <w:p w:rsidR="002C57CC" w:rsidRPr="002C57CC" w:rsidRDefault="002C57CC" w:rsidP="002C57CC">
      <w:pPr>
        <w:spacing w:after="0" w:line="240" w:lineRule="auto"/>
        <w:jc w:val="left"/>
        <w:rPr>
          <w:rFonts w:ascii="Times New Roman" w:eastAsia="Arial" w:hAnsi="Times New Roman"/>
          <w:sz w:val="17"/>
          <w:szCs w:val="17"/>
          <w:lang w:eastAsia="en-AU"/>
        </w:rPr>
      </w:pPr>
    </w:p>
    <w:p w:rsidR="002C57CC" w:rsidRPr="002C57CC" w:rsidRDefault="002C57CC" w:rsidP="002C57CC">
      <w:pPr>
        <w:rPr>
          <w:rFonts w:ascii="Times New Roman" w:eastAsia="Arial" w:hAnsi="Times New Roman"/>
          <w:sz w:val="17"/>
          <w:szCs w:val="17"/>
          <w:lang w:eastAsia="en-AU"/>
        </w:rPr>
      </w:pPr>
      <w:r w:rsidRPr="002C57CC">
        <w:rPr>
          <w:rFonts w:cs="Calibri"/>
          <w:noProof/>
          <w:color w:val="000000"/>
          <w:lang w:eastAsia="en-AU"/>
        </w:rPr>
        <w:drawing>
          <wp:anchor distT="0" distB="0" distL="114300" distR="114300" simplePos="0" relativeHeight="251659776" behindDoc="0" locked="0" layoutInCell="1" allowOverlap="1" wp14:anchorId="3BBA4B40" wp14:editId="74E5ADB0">
            <wp:simplePos x="0" y="0"/>
            <wp:positionH relativeFrom="margin">
              <wp:posOffset>-666750</wp:posOffset>
            </wp:positionH>
            <wp:positionV relativeFrom="margin">
              <wp:posOffset>2316480</wp:posOffset>
            </wp:positionV>
            <wp:extent cx="7271385" cy="3992245"/>
            <wp:effectExtent l="1270" t="0" r="6985" b="6985"/>
            <wp:wrapTopAndBottom/>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7271385" cy="3992245"/>
                    </a:xfrm>
                    <a:prstGeom prst="rect">
                      <a:avLst/>
                    </a:prstGeom>
                  </pic:spPr>
                </pic:pic>
              </a:graphicData>
            </a:graphic>
            <wp14:sizeRelH relativeFrom="margin">
              <wp14:pctWidth>0</wp14:pctWidth>
            </wp14:sizeRelH>
            <wp14:sizeRelV relativeFrom="margin">
              <wp14:pctHeight>0</wp14:pctHeight>
            </wp14:sizeRelV>
          </wp:anchor>
        </w:drawing>
      </w:r>
      <w:r w:rsidRPr="002C57CC">
        <w:rPr>
          <w:rFonts w:ascii="Times New Roman" w:eastAsia="Arial" w:hAnsi="Times New Roman"/>
          <w:sz w:val="17"/>
          <w:szCs w:val="17"/>
          <w:lang w:eastAsia="en-AU"/>
        </w:rPr>
        <w:br w:type="page"/>
      </w:r>
    </w:p>
    <w:p w:rsidR="002C57CC" w:rsidRPr="002C57CC" w:rsidRDefault="002C57CC" w:rsidP="002C57CC">
      <w:pPr>
        <w:jc w:val="center"/>
        <w:rPr>
          <w:rFonts w:ascii="Times New Roman" w:hAnsi="Times New Roman"/>
          <w:smallCaps/>
          <w:sz w:val="17"/>
          <w:szCs w:val="17"/>
          <w:vertAlign w:val="subscript"/>
          <w:lang w:eastAsia="en-AU"/>
        </w:rPr>
      </w:pPr>
      <w:r w:rsidRPr="002C57CC">
        <w:rPr>
          <w:rFonts w:ascii="Times New Roman" w:hAnsi="Times New Roman"/>
          <w:smallCaps/>
          <w:sz w:val="17"/>
          <w:szCs w:val="17"/>
          <w:lang w:eastAsia="en-AU"/>
        </w:rPr>
        <w:lastRenderedPageBreak/>
        <w:t>Plan B—Adelaide Casino—Approved Gaming Areas Floor Plan—Level 1</w:t>
      </w:r>
    </w:p>
    <w:p w:rsidR="002C57CC" w:rsidRPr="002C57CC" w:rsidRDefault="002C57CC" w:rsidP="002C57CC">
      <w:pPr>
        <w:spacing w:after="40"/>
        <w:rPr>
          <w:rFonts w:ascii="Times New Roman" w:eastAsia="Arial" w:hAnsi="Times New Roman"/>
          <w:b/>
          <w:sz w:val="17"/>
          <w:szCs w:val="17"/>
          <w:lang w:eastAsia="en-AU"/>
        </w:rPr>
      </w:pPr>
      <w:r w:rsidRPr="002C57CC">
        <w:rPr>
          <w:rFonts w:ascii="Times New Roman" w:eastAsia="Arial" w:hAnsi="Times New Roman"/>
          <w:b/>
          <w:sz w:val="17"/>
          <w:szCs w:val="17"/>
          <w:lang w:eastAsia="en-AU"/>
        </w:rPr>
        <w:t>Key:</w:t>
      </w:r>
    </w:p>
    <w:p w:rsidR="002C57CC" w:rsidRPr="002C57CC" w:rsidRDefault="002C57CC" w:rsidP="002C57CC">
      <w:pPr>
        <w:spacing w:after="0"/>
        <w:rPr>
          <w:rFonts w:ascii="Times New Roman" w:eastAsia="Arial" w:hAnsi="Times New Roman"/>
          <w:sz w:val="17"/>
          <w:szCs w:val="17"/>
          <w:lang w:eastAsia="en-AU"/>
        </w:rPr>
      </w:pPr>
      <w:r w:rsidRPr="002C57CC">
        <w:rPr>
          <w:rFonts w:ascii="Times New Roman" w:eastAsia="Arial" w:hAnsi="Times New Roman"/>
          <w:sz w:val="17"/>
          <w:szCs w:val="17"/>
          <w:lang w:eastAsia="en-AU"/>
        </w:rPr>
        <w:t>Green Line—Approved Gaming Area</w:t>
      </w:r>
    </w:p>
    <w:p w:rsidR="002C57CC" w:rsidRPr="002C57CC" w:rsidRDefault="002C57CC" w:rsidP="002C57CC">
      <w:pPr>
        <w:spacing w:after="0"/>
        <w:rPr>
          <w:rFonts w:ascii="Times New Roman" w:eastAsia="Arial" w:hAnsi="Times New Roman"/>
          <w:sz w:val="17"/>
          <w:szCs w:val="17"/>
        </w:rPr>
      </w:pPr>
      <w:r w:rsidRPr="002C57CC">
        <w:rPr>
          <w:rFonts w:ascii="Times New Roman" w:eastAsia="Times New Roman" w:hAnsi="Times New Roman"/>
          <w:sz w:val="17"/>
          <w:szCs w:val="17"/>
        </w:rPr>
        <w:t>Yellow Line—Approved Premium Gaming Area</w:t>
      </w:r>
    </w:p>
    <w:p w:rsidR="002C57CC" w:rsidRPr="002C57CC" w:rsidRDefault="002C57CC" w:rsidP="002C57CC">
      <w:pPr>
        <w:rPr>
          <w:rFonts w:ascii="Times New Roman" w:eastAsia="Arial" w:hAnsi="Times New Roman"/>
          <w:sz w:val="17"/>
          <w:szCs w:val="17"/>
          <w:lang w:eastAsia="en-AU"/>
        </w:rPr>
      </w:pPr>
      <w:r w:rsidRPr="002C57CC">
        <w:rPr>
          <w:rFonts w:ascii="Times New Roman" w:eastAsia="Arial" w:hAnsi="Times New Roman"/>
          <w:sz w:val="17"/>
          <w:szCs w:val="17"/>
          <w:lang w:eastAsia="en-AU"/>
        </w:rPr>
        <w:t>Purple Line—Casino Premises</w:t>
      </w:r>
    </w:p>
    <w:p w:rsidR="002C57CC" w:rsidRPr="002C57CC" w:rsidRDefault="002C57CC" w:rsidP="002C57CC">
      <w:pPr>
        <w:spacing w:after="254" w:line="259" w:lineRule="auto"/>
        <w:jc w:val="left"/>
        <w:rPr>
          <w:rFonts w:ascii="Times New Roman" w:eastAsia="Times New Roman" w:hAnsi="Times New Roman"/>
          <w:sz w:val="17"/>
          <w:szCs w:val="20"/>
        </w:rPr>
      </w:pPr>
      <w:r w:rsidRPr="002C57CC">
        <w:rPr>
          <w:rFonts w:ascii="Courier New" w:eastAsia="Courier New" w:hAnsi="Courier New" w:cs="Courier New"/>
          <w:noProof/>
          <w:color w:val="000000"/>
          <w:lang w:eastAsia="en-AU"/>
        </w:rPr>
        <w:drawing>
          <wp:anchor distT="0" distB="0" distL="114300" distR="114300" simplePos="0" relativeHeight="251660800" behindDoc="0" locked="0" layoutInCell="1" allowOverlap="1" wp14:anchorId="2A45382B" wp14:editId="3C888D95">
            <wp:simplePos x="0" y="0"/>
            <wp:positionH relativeFrom="margin">
              <wp:align>center</wp:align>
            </wp:positionH>
            <wp:positionV relativeFrom="paragraph">
              <wp:posOffset>2275205</wp:posOffset>
            </wp:positionV>
            <wp:extent cx="7709535" cy="3618865"/>
            <wp:effectExtent l="6985" t="0" r="0" b="0"/>
            <wp:wrapTopAndBottom/>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rot="16200000" flipH="1" flipV="1">
                      <a:off x="0" y="0"/>
                      <a:ext cx="7709535" cy="3618865"/>
                    </a:xfrm>
                    <a:prstGeom prst="rect">
                      <a:avLst/>
                    </a:prstGeom>
                  </pic:spPr>
                </pic:pic>
              </a:graphicData>
            </a:graphic>
            <wp14:sizeRelH relativeFrom="page">
              <wp14:pctWidth>0</wp14:pctWidth>
            </wp14:sizeRelH>
            <wp14:sizeRelV relativeFrom="page">
              <wp14:pctHeight>0</wp14:pctHeight>
            </wp14:sizeRelV>
          </wp:anchor>
        </w:drawing>
      </w:r>
      <w:r w:rsidRPr="002C57CC">
        <w:rPr>
          <w:rFonts w:ascii="Courier New" w:eastAsia="Courier New" w:hAnsi="Courier New" w:cs="Courier New"/>
          <w:noProof/>
          <w:color w:val="000000"/>
          <w:lang w:eastAsia="en-AU"/>
        </w:rPr>
        <w:drawing>
          <wp:anchor distT="0" distB="0" distL="114300" distR="114300" simplePos="0" relativeHeight="251661824" behindDoc="1" locked="0" layoutInCell="1" allowOverlap="1" wp14:anchorId="5DAC5D4D" wp14:editId="38843A73">
            <wp:simplePos x="0" y="0"/>
            <wp:positionH relativeFrom="column">
              <wp:posOffset>12861</wp:posOffset>
            </wp:positionH>
            <wp:positionV relativeFrom="paragraph">
              <wp:posOffset>1905</wp:posOffset>
            </wp:positionV>
            <wp:extent cx="170180" cy="137795"/>
            <wp:effectExtent l="0" t="0" r="1270" b="0"/>
            <wp:wrapTight wrapText="bothSides">
              <wp:wrapPolygon edited="0">
                <wp:start x="0" y="0"/>
                <wp:lineTo x="0" y="17917"/>
                <wp:lineTo x="19343" y="17917"/>
                <wp:lineTo x="193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0180" cy="137795"/>
                    </a:xfrm>
                    <a:prstGeom prst="rect">
                      <a:avLst/>
                    </a:prstGeom>
                  </pic:spPr>
                </pic:pic>
              </a:graphicData>
            </a:graphic>
            <wp14:sizeRelH relativeFrom="page">
              <wp14:pctWidth>0</wp14:pctWidth>
            </wp14:sizeRelH>
            <wp14:sizeRelV relativeFrom="page">
              <wp14:pctHeight>0</wp14:pctHeight>
            </wp14:sizeRelV>
          </wp:anchor>
        </w:drawing>
      </w:r>
      <w:r w:rsidRPr="002C57CC">
        <w:rPr>
          <w:rFonts w:ascii="Times New Roman" w:eastAsia="Times New Roman" w:hAnsi="Times New Roman"/>
          <w:sz w:val="17"/>
          <w:szCs w:val="20"/>
        </w:rPr>
        <w:t>—Excluded from Gaming Area</w:t>
      </w:r>
    </w:p>
    <w:p w:rsidR="002C57CC" w:rsidRPr="002C57CC" w:rsidRDefault="002C57CC" w:rsidP="002C57CC">
      <w:pPr>
        <w:spacing w:after="254" w:line="259" w:lineRule="auto"/>
        <w:jc w:val="left"/>
        <w:rPr>
          <w:rFonts w:ascii="Times New Roman" w:eastAsia="Times New Roman" w:hAnsi="Times New Roman"/>
          <w:sz w:val="17"/>
          <w:szCs w:val="20"/>
        </w:rPr>
      </w:pPr>
      <w:r w:rsidRPr="002C57CC">
        <w:rPr>
          <w:rFonts w:ascii="Times New Roman" w:eastAsia="Times New Roman" w:hAnsi="Times New Roman"/>
          <w:sz w:val="17"/>
          <w:szCs w:val="20"/>
        </w:rPr>
        <w:br w:type="page"/>
      </w:r>
    </w:p>
    <w:p w:rsidR="002C57CC" w:rsidRPr="002C57CC" w:rsidRDefault="002C57CC" w:rsidP="002C57CC">
      <w:pPr>
        <w:jc w:val="center"/>
        <w:rPr>
          <w:rFonts w:ascii="Times New Roman" w:hAnsi="Times New Roman"/>
          <w:smallCaps/>
          <w:sz w:val="17"/>
          <w:szCs w:val="17"/>
          <w:vertAlign w:val="subscript"/>
          <w:lang w:eastAsia="en-AU"/>
        </w:rPr>
      </w:pPr>
      <w:r w:rsidRPr="002C57CC">
        <w:rPr>
          <w:rFonts w:ascii="Times New Roman" w:hAnsi="Times New Roman"/>
          <w:smallCaps/>
          <w:sz w:val="17"/>
          <w:szCs w:val="17"/>
          <w:lang w:eastAsia="en-AU"/>
        </w:rPr>
        <w:lastRenderedPageBreak/>
        <w:t>Plan C—Adelaide Casino—Approved Gaming Areas—Level 9</w:t>
      </w:r>
    </w:p>
    <w:p w:rsidR="002C57CC" w:rsidRPr="002C57CC" w:rsidRDefault="002C57CC" w:rsidP="002C57CC">
      <w:pPr>
        <w:spacing w:after="40"/>
        <w:rPr>
          <w:rFonts w:ascii="Times New Roman" w:eastAsia="Arial" w:hAnsi="Times New Roman"/>
          <w:b/>
          <w:sz w:val="17"/>
          <w:szCs w:val="17"/>
          <w:lang w:eastAsia="en-AU"/>
        </w:rPr>
      </w:pPr>
      <w:r w:rsidRPr="002C57CC">
        <w:rPr>
          <w:rFonts w:ascii="Times New Roman" w:eastAsia="Arial" w:hAnsi="Times New Roman"/>
          <w:b/>
          <w:sz w:val="17"/>
          <w:szCs w:val="17"/>
          <w:lang w:eastAsia="en-AU"/>
        </w:rPr>
        <w:t>Key:</w:t>
      </w:r>
    </w:p>
    <w:p w:rsidR="002C57CC" w:rsidRPr="002C57CC" w:rsidRDefault="002C57CC" w:rsidP="002C57CC">
      <w:pPr>
        <w:spacing w:after="0"/>
        <w:rPr>
          <w:rFonts w:ascii="Times New Roman" w:eastAsia="Arial" w:hAnsi="Times New Roman"/>
          <w:sz w:val="17"/>
          <w:szCs w:val="17"/>
          <w:lang w:eastAsia="en-AU"/>
        </w:rPr>
      </w:pPr>
      <w:r w:rsidRPr="002C57CC">
        <w:rPr>
          <w:rFonts w:ascii="Times New Roman" w:eastAsia="Arial" w:hAnsi="Times New Roman"/>
          <w:sz w:val="17"/>
          <w:szCs w:val="17"/>
          <w:lang w:eastAsia="en-AU"/>
        </w:rPr>
        <w:t>Green Line—Approved Gaming Area</w:t>
      </w:r>
    </w:p>
    <w:p w:rsidR="002C57CC" w:rsidRPr="002C57CC" w:rsidRDefault="002C57CC" w:rsidP="002C57CC">
      <w:pPr>
        <w:spacing w:after="0"/>
        <w:rPr>
          <w:rFonts w:ascii="Times New Roman" w:eastAsia="Arial" w:hAnsi="Times New Roman"/>
          <w:sz w:val="17"/>
          <w:szCs w:val="17"/>
          <w:lang w:eastAsia="en-AU"/>
        </w:rPr>
      </w:pPr>
      <w:r w:rsidRPr="002C57CC">
        <w:rPr>
          <w:rFonts w:ascii="Times New Roman" w:eastAsia="Times New Roman" w:hAnsi="Times New Roman"/>
          <w:sz w:val="17"/>
          <w:szCs w:val="17"/>
        </w:rPr>
        <w:t>Yellow Line—Approved Premium Gaming Area</w:t>
      </w:r>
    </w:p>
    <w:p w:rsidR="002C57CC" w:rsidRPr="002C57CC" w:rsidRDefault="002C57CC" w:rsidP="002C57CC">
      <w:pPr>
        <w:spacing w:after="0"/>
        <w:rPr>
          <w:rFonts w:ascii="Times New Roman" w:eastAsia="Arial" w:hAnsi="Times New Roman"/>
          <w:sz w:val="17"/>
          <w:szCs w:val="17"/>
          <w:lang w:eastAsia="en-AU"/>
        </w:rPr>
      </w:pPr>
      <w:r w:rsidRPr="002C57CC">
        <w:rPr>
          <w:rFonts w:ascii="Times New Roman" w:eastAsia="Arial" w:hAnsi="Times New Roman"/>
          <w:sz w:val="17"/>
          <w:szCs w:val="17"/>
          <w:lang w:eastAsia="en-AU"/>
        </w:rPr>
        <w:t>Purple Line—Casino Premises</w:t>
      </w:r>
    </w:p>
    <w:p w:rsidR="002C57CC" w:rsidRPr="002C57CC" w:rsidRDefault="002C57CC" w:rsidP="002C57CC">
      <w:pPr>
        <w:spacing w:after="0"/>
        <w:rPr>
          <w:rFonts w:ascii="Times New Roman" w:eastAsia="Arial" w:hAnsi="Times New Roman"/>
          <w:sz w:val="17"/>
          <w:szCs w:val="17"/>
          <w:lang w:eastAsia="en-AU"/>
        </w:rPr>
      </w:pPr>
      <w:r w:rsidRPr="002C57CC">
        <w:rPr>
          <w:rFonts w:cs="Calibri"/>
          <w:noProof/>
          <w:color w:val="000000"/>
          <w:lang w:eastAsia="en-AU"/>
        </w:rPr>
        <w:drawing>
          <wp:anchor distT="0" distB="0" distL="114300" distR="114300" simplePos="0" relativeHeight="251662848" behindDoc="0" locked="0" layoutInCell="1" allowOverlap="1" wp14:anchorId="43C321B2" wp14:editId="2FF0944A">
            <wp:simplePos x="0" y="0"/>
            <wp:positionH relativeFrom="margin">
              <wp:align>center</wp:align>
            </wp:positionH>
            <wp:positionV relativeFrom="paragraph">
              <wp:posOffset>1711325</wp:posOffset>
            </wp:positionV>
            <wp:extent cx="7693660" cy="4492625"/>
            <wp:effectExtent l="317" t="0" r="2858" b="2857"/>
            <wp:wrapTopAndBottom/>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rot="16200000">
                      <a:off x="0" y="0"/>
                      <a:ext cx="7693660" cy="4492625"/>
                    </a:xfrm>
                    <a:prstGeom prst="rect">
                      <a:avLst/>
                    </a:prstGeom>
                  </pic:spPr>
                </pic:pic>
              </a:graphicData>
            </a:graphic>
            <wp14:sizeRelH relativeFrom="page">
              <wp14:pctWidth>0</wp14:pctWidth>
            </wp14:sizeRelH>
            <wp14:sizeRelV relativeFrom="page">
              <wp14:pctHeight>0</wp14:pctHeight>
            </wp14:sizeRelV>
          </wp:anchor>
        </w:drawing>
      </w:r>
    </w:p>
    <w:p w:rsidR="002C57CC" w:rsidRPr="002C57CC" w:rsidRDefault="002C57CC" w:rsidP="002C57CC">
      <w:pPr>
        <w:pBdr>
          <w:bottom w:val="single" w:sz="4" w:space="1" w:color="auto"/>
        </w:pBdr>
        <w:spacing w:after="0" w:line="52" w:lineRule="exact"/>
        <w:jc w:val="center"/>
        <w:rPr>
          <w:rFonts w:ascii="Times New Roman" w:eastAsia="Times New Roman" w:hAnsi="Times New Roman"/>
          <w:sz w:val="17"/>
          <w:szCs w:val="20"/>
        </w:rPr>
      </w:pPr>
    </w:p>
    <w:p w:rsidR="002C57CC" w:rsidRPr="002C57CC" w:rsidRDefault="002C57CC" w:rsidP="002C57CC">
      <w:pPr>
        <w:pBdr>
          <w:top w:val="single" w:sz="4" w:space="1" w:color="auto"/>
        </w:pBdr>
        <w:spacing w:before="34" w:after="0" w:line="14" w:lineRule="exact"/>
        <w:jc w:val="center"/>
        <w:rPr>
          <w:rFonts w:ascii="Times New Roman" w:eastAsia="Times New Roman" w:hAnsi="Times New Roman"/>
          <w:sz w:val="17"/>
          <w:szCs w:val="20"/>
        </w:rPr>
      </w:pPr>
    </w:p>
    <w:p w:rsidR="002C57CC" w:rsidRDefault="002C57CC">
      <w:pPr>
        <w:spacing w:after="0" w:line="240" w:lineRule="auto"/>
        <w:jc w:val="left"/>
        <w:rPr>
          <w:rFonts w:ascii="Times New Roman" w:eastAsia="Times New Roman" w:hAnsi="Times New Roman"/>
          <w:sz w:val="17"/>
          <w:szCs w:val="17"/>
        </w:rPr>
      </w:pPr>
      <w:r>
        <w:br w:type="page"/>
      </w:r>
    </w:p>
    <w:p w:rsidR="009C30E9" w:rsidRPr="009C30E9" w:rsidRDefault="009C30E9" w:rsidP="00D8720A">
      <w:pPr>
        <w:pStyle w:val="Heading2"/>
      </w:pPr>
      <w:bookmarkStart w:id="62" w:name="_Toc91161257"/>
      <w:r w:rsidRPr="009C30E9">
        <w:lastRenderedPageBreak/>
        <w:t>Controlled Substances (Poisons) Regulations 2011</w:t>
      </w:r>
      <w:bookmarkEnd w:id="62"/>
    </w:p>
    <w:p w:rsidR="009C30E9" w:rsidRPr="009C30E9" w:rsidRDefault="009C30E9" w:rsidP="009C30E9">
      <w:pPr>
        <w:jc w:val="center"/>
        <w:rPr>
          <w:rFonts w:ascii="Times New Roman" w:hAnsi="Times New Roman"/>
          <w:smallCaps/>
          <w:sz w:val="17"/>
          <w:szCs w:val="17"/>
        </w:rPr>
      </w:pPr>
      <w:r w:rsidRPr="009C30E9">
        <w:rPr>
          <w:rFonts w:ascii="Times New Roman" w:hAnsi="Times New Roman"/>
          <w:smallCaps/>
          <w:sz w:val="17"/>
          <w:szCs w:val="17"/>
        </w:rPr>
        <w:t>Regulation 33(2)(c)</w:t>
      </w:r>
    </w:p>
    <w:p w:rsidR="009C30E9" w:rsidRPr="009C30E9" w:rsidRDefault="009C30E9" w:rsidP="009C30E9">
      <w:pPr>
        <w:jc w:val="center"/>
        <w:rPr>
          <w:rFonts w:ascii="Times New Roman" w:hAnsi="Times New Roman"/>
          <w:i/>
          <w:sz w:val="17"/>
          <w:szCs w:val="17"/>
        </w:rPr>
      </w:pPr>
      <w:r w:rsidRPr="009C30E9">
        <w:rPr>
          <w:rFonts w:ascii="Times New Roman" w:hAnsi="Times New Roman"/>
          <w:i/>
          <w:sz w:val="17"/>
          <w:szCs w:val="17"/>
        </w:rPr>
        <w:t>Approved Electronic Communication—Digital Image of Prescription</w:t>
      </w:r>
    </w:p>
    <w:p w:rsidR="009C30E9" w:rsidRPr="009C30E9" w:rsidRDefault="009C30E9" w:rsidP="009C30E9">
      <w:pPr>
        <w:rPr>
          <w:rFonts w:ascii="Times New Roman" w:eastAsia="Times New Roman" w:hAnsi="Times New Roman"/>
          <w:sz w:val="17"/>
          <w:szCs w:val="17"/>
        </w:rPr>
      </w:pPr>
      <w:r w:rsidRPr="009C30E9">
        <w:rPr>
          <w:rFonts w:ascii="Times New Roman" w:eastAsia="Times New Roman" w:hAnsi="Times New Roman"/>
          <w:sz w:val="17"/>
          <w:szCs w:val="17"/>
        </w:rPr>
        <w:t>I, Robert Lucas, MLC, Acting Minister for Health and Wellbeing:</w:t>
      </w:r>
    </w:p>
    <w:p w:rsidR="009C30E9" w:rsidRPr="009C30E9" w:rsidRDefault="009C30E9" w:rsidP="009C30E9">
      <w:pPr>
        <w:ind w:left="426" w:hanging="284"/>
        <w:rPr>
          <w:rFonts w:ascii="Times New Roman" w:eastAsia="Times New Roman" w:hAnsi="Times New Roman"/>
          <w:sz w:val="17"/>
          <w:szCs w:val="17"/>
        </w:rPr>
      </w:pPr>
      <w:r w:rsidRPr="009C30E9">
        <w:rPr>
          <w:rFonts w:ascii="Times New Roman" w:eastAsia="Times New Roman" w:hAnsi="Times New Roman"/>
          <w:sz w:val="17"/>
          <w:szCs w:val="17"/>
        </w:rPr>
        <w:t>1.</w:t>
      </w:r>
      <w:r w:rsidRPr="009C30E9">
        <w:rPr>
          <w:rFonts w:ascii="Times New Roman" w:eastAsia="Times New Roman" w:hAnsi="Times New Roman"/>
          <w:sz w:val="17"/>
          <w:szCs w:val="17"/>
        </w:rPr>
        <w:tab/>
        <w:t xml:space="preserve">Pursuant to regulation 3(1) of the </w:t>
      </w:r>
      <w:r w:rsidRPr="009C30E9">
        <w:rPr>
          <w:rFonts w:ascii="Times New Roman" w:eastAsia="Times New Roman" w:hAnsi="Times New Roman"/>
          <w:i/>
          <w:sz w:val="17"/>
          <w:szCs w:val="17"/>
        </w:rPr>
        <w:t>Controlled Substances (Poisons) Regulations 2011</w:t>
      </w:r>
      <w:r w:rsidRPr="009C30E9">
        <w:rPr>
          <w:rFonts w:ascii="Times New Roman" w:eastAsia="Times New Roman" w:hAnsi="Times New Roman"/>
          <w:sz w:val="17"/>
          <w:szCs w:val="17"/>
        </w:rPr>
        <w:t xml:space="preserve">, </w:t>
      </w:r>
      <w:r w:rsidRPr="009C30E9">
        <w:rPr>
          <w:rFonts w:ascii="Times New Roman" w:eastAsia="Times New Roman" w:hAnsi="Times New Roman"/>
          <w:sz w:val="17"/>
          <w:szCs w:val="17"/>
          <w:u w:val="single"/>
        </w:rPr>
        <w:t>hereby</w:t>
      </w:r>
      <w:r w:rsidRPr="009C30E9">
        <w:rPr>
          <w:rFonts w:ascii="Times New Roman" w:eastAsia="Times New Roman" w:hAnsi="Times New Roman"/>
          <w:sz w:val="17"/>
          <w:szCs w:val="17"/>
        </w:rPr>
        <w:t xml:space="preserve"> determine that the electronic transmission of a digital image of a prescription is an approved electronic communication for the purpose of the definition of this term in the Regulations.</w:t>
      </w:r>
    </w:p>
    <w:p w:rsidR="009C30E9" w:rsidRPr="009C30E9" w:rsidRDefault="009C30E9" w:rsidP="009C30E9">
      <w:pPr>
        <w:ind w:left="426" w:hanging="284"/>
        <w:rPr>
          <w:rFonts w:ascii="Times New Roman" w:eastAsia="Times New Roman" w:hAnsi="Times New Roman"/>
          <w:sz w:val="17"/>
          <w:szCs w:val="17"/>
        </w:rPr>
      </w:pPr>
      <w:r w:rsidRPr="009C30E9">
        <w:rPr>
          <w:rFonts w:ascii="Times New Roman" w:eastAsia="Times New Roman" w:hAnsi="Times New Roman"/>
          <w:sz w:val="17"/>
          <w:szCs w:val="17"/>
        </w:rPr>
        <w:t>2.</w:t>
      </w:r>
      <w:r w:rsidRPr="009C30E9">
        <w:rPr>
          <w:rFonts w:ascii="Times New Roman" w:eastAsia="Times New Roman" w:hAnsi="Times New Roman"/>
          <w:sz w:val="17"/>
          <w:szCs w:val="17"/>
        </w:rPr>
        <w:tab/>
        <w:t xml:space="preserve">Pursuant to regulation 33(10) of the </w:t>
      </w:r>
      <w:r w:rsidRPr="009C30E9">
        <w:rPr>
          <w:rFonts w:ascii="Times New Roman" w:eastAsia="Times New Roman" w:hAnsi="Times New Roman"/>
          <w:i/>
          <w:sz w:val="17"/>
          <w:szCs w:val="17"/>
        </w:rPr>
        <w:t>Controlled Substances (Poisons) Regulations 2011</w:t>
      </w:r>
      <w:r w:rsidRPr="009C30E9">
        <w:rPr>
          <w:rFonts w:ascii="Times New Roman" w:eastAsia="Times New Roman" w:hAnsi="Times New Roman"/>
          <w:sz w:val="17"/>
          <w:szCs w:val="17"/>
        </w:rPr>
        <w:t xml:space="preserve">, </w:t>
      </w:r>
      <w:r w:rsidRPr="009C30E9">
        <w:rPr>
          <w:rFonts w:ascii="Times New Roman" w:eastAsia="Times New Roman" w:hAnsi="Times New Roman"/>
          <w:sz w:val="17"/>
          <w:szCs w:val="17"/>
          <w:u w:val="single"/>
        </w:rPr>
        <w:t>hereby</w:t>
      </w:r>
      <w:r w:rsidRPr="009C30E9">
        <w:rPr>
          <w:rFonts w:ascii="Times New Roman" w:eastAsia="Times New Roman" w:hAnsi="Times New Roman"/>
          <w:sz w:val="17"/>
          <w:szCs w:val="17"/>
        </w:rPr>
        <w:t xml:space="preserve"> determine that the following requirements must be complied with by a prescriber if the prescriber gives a pharmacist a prescription by an approved electronic communication which is an electronic transmission of a digital image of the prescription:</w:t>
      </w:r>
    </w:p>
    <w:p w:rsidR="009C30E9" w:rsidRPr="009C30E9" w:rsidRDefault="009C30E9" w:rsidP="009C30E9">
      <w:pPr>
        <w:ind w:left="709" w:hanging="284"/>
        <w:rPr>
          <w:rFonts w:ascii="Times New Roman" w:eastAsia="Times New Roman" w:hAnsi="Times New Roman"/>
          <w:sz w:val="17"/>
          <w:szCs w:val="17"/>
        </w:rPr>
      </w:pPr>
      <w:r w:rsidRPr="009C30E9">
        <w:rPr>
          <w:rFonts w:ascii="Times New Roman" w:eastAsia="Times New Roman" w:hAnsi="Times New Roman"/>
          <w:sz w:val="17"/>
          <w:szCs w:val="17"/>
        </w:rPr>
        <w:t>(a)</w:t>
      </w:r>
      <w:r w:rsidRPr="009C30E9">
        <w:rPr>
          <w:rFonts w:ascii="Times New Roman" w:eastAsia="Times New Roman" w:hAnsi="Times New Roman"/>
          <w:sz w:val="17"/>
          <w:szCs w:val="17"/>
        </w:rPr>
        <w:tab/>
      </w:r>
      <w:r w:rsidRPr="009C30E9">
        <w:rPr>
          <w:rFonts w:ascii="Times New Roman" w:eastAsia="Times New Roman" w:hAnsi="Times New Roman"/>
          <w:spacing w:val="-4"/>
          <w:sz w:val="17"/>
          <w:szCs w:val="17"/>
        </w:rPr>
        <w:t>The prescription can only be for a patient prescribed a Schedule 4 medicine as the result of a telehealth attendance or phone attendance.</w:t>
      </w:r>
    </w:p>
    <w:p w:rsidR="009C30E9" w:rsidRPr="009C30E9" w:rsidRDefault="009C30E9" w:rsidP="009C30E9">
      <w:pPr>
        <w:ind w:left="709" w:hanging="284"/>
        <w:rPr>
          <w:rFonts w:ascii="Times New Roman" w:eastAsia="Times New Roman" w:hAnsi="Times New Roman"/>
          <w:sz w:val="17"/>
          <w:szCs w:val="17"/>
        </w:rPr>
      </w:pPr>
      <w:r w:rsidRPr="009C30E9">
        <w:rPr>
          <w:rFonts w:ascii="Times New Roman" w:eastAsia="Times New Roman" w:hAnsi="Times New Roman"/>
          <w:sz w:val="17"/>
          <w:szCs w:val="17"/>
        </w:rPr>
        <w:t>(b)</w:t>
      </w:r>
      <w:r w:rsidRPr="009C30E9">
        <w:rPr>
          <w:rFonts w:ascii="Times New Roman" w:eastAsia="Times New Roman" w:hAnsi="Times New Roman"/>
          <w:sz w:val="17"/>
          <w:szCs w:val="17"/>
        </w:rPr>
        <w:tab/>
        <w:t>The prescription given to the pharmacist by electronic transmission must be a digital image of the prescription.</w:t>
      </w:r>
    </w:p>
    <w:p w:rsidR="009C30E9" w:rsidRPr="009C30E9" w:rsidRDefault="009C30E9" w:rsidP="009C30E9">
      <w:pPr>
        <w:ind w:left="709" w:hanging="284"/>
        <w:rPr>
          <w:rFonts w:ascii="Times New Roman" w:eastAsia="Times New Roman" w:hAnsi="Times New Roman"/>
          <w:sz w:val="17"/>
          <w:szCs w:val="17"/>
        </w:rPr>
      </w:pPr>
      <w:r w:rsidRPr="009C30E9">
        <w:rPr>
          <w:rFonts w:ascii="Times New Roman" w:eastAsia="Times New Roman" w:hAnsi="Times New Roman"/>
          <w:sz w:val="17"/>
          <w:szCs w:val="17"/>
        </w:rPr>
        <w:t>(c)</w:t>
      </w:r>
      <w:r w:rsidRPr="009C30E9">
        <w:rPr>
          <w:rFonts w:ascii="Times New Roman" w:eastAsia="Times New Roman" w:hAnsi="Times New Roman"/>
          <w:sz w:val="17"/>
          <w:szCs w:val="17"/>
        </w:rPr>
        <w:tab/>
        <w:t>The prescription must be given directly to the pharmacist by the prescriber (or an employee acting in accordance with the instruction of the prescriber) and cannot be given via the patient or any other intermediary.</w:t>
      </w:r>
    </w:p>
    <w:p w:rsidR="009C30E9" w:rsidRPr="009C30E9" w:rsidRDefault="009C30E9" w:rsidP="009C30E9">
      <w:pPr>
        <w:ind w:left="709" w:hanging="284"/>
        <w:rPr>
          <w:rFonts w:ascii="Times New Roman" w:eastAsia="Times New Roman" w:hAnsi="Times New Roman"/>
          <w:sz w:val="17"/>
          <w:szCs w:val="17"/>
        </w:rPr>
      </w:pPr>
      <w:r w:rsidRPr="009C30E9">
        <w:rPr>
          <w:rFonts w:ascii="Times New Roman" w:eastAsia="Times New Roman" w:hAnsi="Times New Roman"/>
          <w:sz w:val="17"/>
          <w:szCs w:val="17"/>
        </w:rPr>
        <w:t>(d)</w:t>
      </w:r>
      <w:r w:rsidRPr="009C30E9">
        <w:rPr>
          <w:rFonts w:ascii="Times New Roman" w:eastAsia="Times New Roman" w:hAnsi="Times New Roman"/>
          <w:sz w:val="17"/>
          <w:szCs w:val="17"/>
        </w:rPr>
        <w:tab/>
        <w:t xml:space="preserve">The provisions of the </w:t>
      </w:r>
      <w:r w:rsidRPr="009C30E9">
        <w:rPr>
          <w:rFonts w:ascii="Times New Roman" w:eastAsia="Times New Roman" w:hAnsi="Times New Roman"/>
          <w:i/>
          <w:sz w:val="17"/>
          <w:szCs w:val="17"/>
        </w:rPr>
        <w:t>National Health (COVID-19 Supply of Pharmaceutical Benefits) Special Arrangement 2020</w:t>
      </w:r>
      <w:r w:rsidRPr="009C30E9">
        <w:rPr>
          <w:rFonts w:ascii="Times New Roman" w:eastAsia="Times New Roman" w:hAnsi="Times New Roman"/>
          <w:sz w:val="17"/>
          <w:szCs w:val="17"/>
        </w:rPr>
        <w:t xml:space="preserve"> made under section 100 of the </w:t>
      </w:r>
      <w:r w:rsidRPr="009C30E9">
        <w:rPr>
          <w:rFonts w:ascii="Times New Roman" w:eastAsia="Times New Roman" w:hAnsi="Times New Roman"/>
          <w:i/>
          <w:sz w:val="17"/>
          <w:szCs w:val="17"/>
        </w:rPr>
        <w:t>National Health Act 1953</w:t>
      </w:r>
      <w:r w:rsidRPr="009C30E9">
        <w:rPr>
          <w:rFonts w:ascii="Times New Roman" w:eastAsia="Times New Roman" w:hAnsi="Times New Roman"/>
          <w:sz w:val="17"/>
          <w:szCs w:val="17"/>
        </w:rPr>
        <w:t xml:space="preserve"> (Cth) must be complied with by the prescriber (whether or not the drug is a pharmaceutical benefit).</w:t>
      </w:r>
    </w:p>
    <w:p w:rsidR="009C30E9" w:rsidRPr="009C30E9" w:rsidRDefault="009C30E9" w:rsidP="009C30E9">
      <w:pPr>
        <w:ind w:left="709" w:hanging="284"/>
        <w:rPr>
          <w:rFonts w:ascii="Times New Roman" w:eastAsia="Times New Roman" w:hAnsi="Times New Roman"/>
          <w:sz w:val="17"/>
          <w:szCs w:val="17"/>
        </w:rPr>
      </w:pPr>
      <w:r w:rsidRPr="009C30E9">
        <w:rPr>
          <w:rFonts w:ascii="Times New Roman" w:eastAsia="Times New Roman" w:hAnsi="Times New Roman"/>
          <w:sz w:val="17"/>
          <w:szCs w:val="17"/>
        </w:rPr>
        <w:t>(e)</w:t>
      </w:r>
      <w:r w:rsidRPr="009C30E9">
        <w:rPr>
          <w:rFonts w:ascii="Times New Roman" w:eastAsia="Times New Roman" w:hAnsi="Times New Roman"/>
          <w:sz w:val="17"/>
          <w:szCs w:val="17"/>
        </w:rPr>
        <w:tab/>
        <w:t>The original prescription must be retained by the prescriber for two years.</w:t>
      </w:r>
    </w:p>
    <w:p w:rsidR="009C30E9" w:rsidRPr="009C30E9" w:rsidRDefault="009C30E9" w:rsidP="009C30E9">
      <w:pPr>
        <w:ind w:left="709" w:hanging="284"/>
        <w:rPr>
          <w:rFonts w:ascii="Times New Roman" w:eastAsia="Times New Roman" w:hAnsi="Times New Roman"/>
          <w:sz w:val="17"/>
          <w:szCs w:val="17"/>
        </w:rPr>
      </w:pPr>
      <w:r w:rsidRPr="009C30E9">
        <w:rPr>
          <w:rFonts w:ascii="Times New Roman" w:eastAsia="Times New Roman" w:hAnsi="Times New Roman"/>
          <w:sz w:val="17"/>
          <w:szCs w:val="17"/>
        </w:rPr>
        <w:t>(f)</w:t>
      </w:r>
      <w:r w:rsidRPr="009C30E9">
        <w:rPr>
          <w:rFonts w:ascii="Times New Roman" w:eastAsia="Times New Roman" w:hAnsi="Times New Roman"/>
          <w:sz w:val="17"/>
          <w:szCs w:val="17"/>
        </w:rPr>
        <w:tab/>
        <w:t xml:space="preserve">The original prescription must be produced by the prescriber at the request of an authorised officer under the </w:t>
      </w:r>
      <w:r w:rsidRPr="009C30E9">
        <w:rPr>
          <w:rFonts w:ascii="Times New Roman" w:eastAsia="Times New Roman" w:hAnsi="Times New Roman"/>
          <w:i/>
          <w:sz w:val="17"/>
          <w:szCs w:val="17"/>
        </w:rPr>
        <w:t>Controlled Substances Act 1984</w:t>
      </w:r>
      <w:r w:rsidRPr="009C30E9">
        <w:rPr>
          <w:rFonts w:ascii="Times New Roman" w:eastAsia="Times New Roman" w:hAnsi="Times New Roman"/>
          <w:sz w:val="17"/>
          <w:szCs w:val="17"/>
        </w:rPr>
        <w:t>.</w:t>
      </w:r>
    </w:p>
    <w:p w:rsidR="009C30E9" w:rsidRPr="009C30E9" w:rsidRDefault="009C30E9" w:rsidP="009C30E9">
      <w:pPr>
        <w:rPr>
          <w:rFonts w:ascii="Times New Roman" w:eastAsia="Times New Roman" w:hAnsi="Times New Roman"/>
          <w:sz w:val="17"/>
          <w:szCs w:val="17"/>
        </w:rPr>
      </w:pPr>
      <w:r w:rsidRPr="009C30E9">
        <w:rPr>
          <w:rFonts w:ascii="Times New Roman" w:eastAsia="Times New Roman" w:hAnsi="Times New Roman"/>
          <w:sz w:val="17"/>
          <w:szCs w:val="17"/>
        </w:rPr>
        <w:t>For the purposes of this Instrument:</w:t>
      </w:r>
    </w:p>
    <w:p w:rsidR="009C30E9" w:rsidRPr="009C30E9" w:rsidRDefault="009C30E9" w:rsidP="009C30E9">
      <w:pPr>
        <w:ind w:left="284" w:hanging="142"/>
        <w:rPr>
          <w:rFonts w:ascii="Times New Roman" w:eastAsia="Times New Roman" w:hAnsi="Times New Roman"/>
          <w:sz w:val="17"/>
          <w:szCs w:val="17"/>
        </w:rPr>
      </w:pPr>
      <w:r w:rsidRPr="009C30E9">
        <w:rPr>
          <w:rFonts w:ascii="Times New Roman" w:eastAsia="Times New Roman" w:hAnsi="Times New Roman"/>
          <w:sz w:val="17"/>
          <w:szCs w:val="17"/>
        </w:rPr>
        <w:t>•</w:t>
      </w:r>
      <w:r w:rsidRPr="009C30E9">
        <w:rPr>
          <w:rFonts w:ascii="Times New Roman" w:eastAsia="Times New Roman" w:hAnsi="Times New Roman"/>
          <w:sz w:val="17"/>
          <w:szCs w:val="17"/>
        </w:rPr>
        <w:tab/>
      </w:r>
      <w:r w:rsidRPr="009C30E9">
        <w:rPr>
          <w:rFonts w:ascii="Times New Roman" w:eastAsia="Times New Roman" w:hAnsi="Times New Roman"/>
          <w:b/>
          <w:sz w:val="17"/>
          <w:szCs w:val="17"/>
        </w:rPr>
        <w:t>digital image</w:t>
      </w:r>
      <w:r w:rsidRPr="009C30E9">
        <w:rPr>
          <w:rFonts w:ascii="Times New Roman" w:eastAsia="Times New Roman" w:hAnsi="Times New Roman"/>
          <w:sz w:val="17"/>
          <w:szCs w:val="17"/>
        </w:rPr>
        <w:t xml:space="preserve"> of a prescription means an unaltered photo image of the original prescription or an unaltered photo image of a copy of the original prescription</w:t>
      </w:r>
    </w:p>
    <w:p w:rsidR="009C30E9" w:rsidRPr="009C30E9" w:rsidRDefault="009C30E9" w:rsidP="009C30E9">
      <w:pPr>
        <w:ind w:left="284" w:hanging="142"/>
        <w:rPr>
          <w:rFonts w:ascii="Times New Roman" w:eastAsia="Times New Roman" w:hAnsi="Times New Roman"/>
          <w:sz w:val="17"/>
          <w:szCs w:val="17"/>
        </w:rPr>
      </w:pPr>
      <w:r w:rsidRPr="009C30E9">
        <w:rPr>
          <w:rFonts w:ascii="Times New Roman" w:eastAsia="Times New Roman" w:hAnsi="Times New Roman"/>
          <w:sz w:val="17"/>
          <w:szCs w:val="17"/>
        </w:rPr>
        <w:t>•</w:t>
      </w:r>
      <w:r w:rsidRPr="009C30E9">
        <w:rPr>
          <w:rFonts w:ascii="Times New Roman" w:eastAsia="Times New Roman" w:hAnsi="Times New Roman"/>
          <w:sz w:val="17"/>
          <w:szCs w:val="17"/>
        </w:rPr>
        <w:tab/>
      </w:r>
      <w:r w:rsidRPr="009C30E9">
        <w:rPr>
          <w:rFonts w:ascii="Times New Roman" w:eastAsia="Times New Roman" w:hAnsi="Times New Roman"/>
          <w:b/>
          <w:sz w:val="17"/>
          <w:szCs w:val="17"/>
        </w:rPr>
        <w:t>phone attendance</w:t>
      </w:r>
      <w:r w:rsidRPr="009C30E9">
        <w:rPr>
          <w:rFonts w:ascii="Times New Roman" w:eastAsia="Times New Roman" w:hAnsi="Times New Roman"/>
          <w:sz w:val="17"/>
          <w:szCs w:val="17"/>
        </w:rPr>
        <w:t xml:space="preserve"> has the same meaning as in section 5 of the </w:t>
      </w:r>
      <w:r w:rsidRPr="009C30E9">
        <w:rPr>
          <w:rFonts w:ascii="Times New Roman" w:eastAsia="Times New Roman" w:hAnsi="Times New Roman"/>
          <w:i/>
          <w:sz w:val="17"/>
          <w:szCs w:val="17"/>
        </w:rPr>
        <w:t>Health Insurance (Section 3C General Medical Services—COVID-19 Telehealth and Telephone Attendances) Determination 2020</w:t>
      </w:r>
      <w:r w:rsidRPr="009C30E9">
        <w:rPr>
          <w:rFonts w:ascii="Times New Roman" w:eastAsia="Times New Roman" w:hAnsi="Times New Roman"/>
          <w:sz w:val="17"/>
          <w:szCs w:val="17"/>
        </w:rPr>
        <w:t xml:space="preserve"> made under subsection 3C(1) of the Health Insurance Act 1973 (Cth).</w:t>
      </w:r>
    </w:p>
    <w:p w:rsidR="009C30E9" w:rsidRPr="009C30E9" w:rsidRDefault="009C30E9" w:rsidP="009C30E9">
      <w:pPr>
        <w:ind w:left="284" w:hanging="142"/>
        <w:rPr>
          <w:rFonts w:ascii="Times New Roman" w:eastAsia="Times New Roman" w:hAnsi="Times New Roman"/>
          <w:sz w:val="17"/>
          <w:szCs w:val="17"/>
        </w:rPr>
      </w:pPr>
      <w:r w:rsidRPr="009C30E9">
        <w:rPr>
          <w:rFonts w:ascii="Times New Roman" w:eastAsia="Times New Roman" w:hAnsi="Times New Roman"/>
          <w:sz w:val="17"/>
          <w:szCs w:val="17"/>
        </w:rPr>
        <w:t>•</w:t>
      </w:r>
      <w:r w:rsidRPr="009C30E9">
        <w:rPr>
          <w:rFonts w:ascii="Times New Roman" w:eastAsia="Times New Roman" w:hAnsi="Times New Roman"/>
          <w:sz w:val="17"/>
          <w:szCs w:val="17"/>
        </w:rPr>
        <w:tab/>
      </w:r>
      <w:r w:rsidRPr="009C30E9">
        <w:rPr>
          <w:rFonts w:ascii="Times New Roman" w:eastAsia="Times New Roman" w:hAnsi="Times New Roman"/>
          <w:b/>
          <w:spacing w:val="-2"/>
          <w:sz w:val="17"/>
          <w:szCs w:val="17"/>
        </w:rPr>
        <w:t>telehealth attendance</w:t>
      </w:r>
      <w:r w:rsidRPr="009C30E9">
        <w:rPr>
          <w:rFonts w:ascii="Times New Roman" w:eastAsia="Times New Roman" w:hAnsi="Times New Roman"/>
          <w:spacing w:val="-2"/>
          <w:sz w:val="17"/>
          <w:szCs w:val="17"/>
        </w:rPr>
        <w:t xml:space="preserve"> has the same meaning as in section 5 of the </w:t>
      </w:r>
      <w:r w:rsidRPr="009C30E9">
        <w:rPr>
          <w:rFonts w:ascii="Times New Roman" w:eastAsia="Times New Roman" w:hAnsi="Times New Roman"/>
          <w:i/>
          <w:spacing w:val="-2"/>
          <w:sz w:val="17"/>
          <w:szCs w:val="17"/>
        </w:rPr>
        <w:t>Health Insurance (Section 3C General Medical Services—COVID-19</w:t>
      </w:r>
      <w:r w:rsidRPr="009C30E9">
        <w:rPr>
          <w:rFonts w:ascii="Times New Roman" w:eastAsia="Times New Roman" w:hAnsi="Times New Roman"/>
          <w:i/>
          <w:sz w:val="17"/>
          <w:szCs w:val="17"/>
        </w:rPr>
        <w:t xml:space="preserve"> Telehealth and Telephone Attendances) Determination 2020</w:t>
      </w:r>
      <w:r w:rsidRPr="009C30E9">
        <w:rPr>
          <w:rFonts w:ascii="Times New Roman" w:eastAsia="Times New Roman" w:hAnsi="Times New Roman"/>
          <w:sz w:val="17"/>
          <w:szCs w:val="17"/>
        </w:rPr>
        <w:t xml:space="preserve"> made under subsection 3C(1) of the </w:t>
      </w:r>
      <w:r w:rsidRPr="009C30E9">
        <w:rPr>
          <w:rFonts w:ascii="Times New Roman" w:eastAsia="Times New Roman" w:hAnsi="Times New Roman"/>
          <w:i/>
          <w:sz w:val="17"/>
          <w:szCs w:val="17"/>
        </w:rPr>
        <w:t xml:space="preserve">Health Insurance Act 1973 </w:t>
      </w:r>
      <w:r w:rsidRPr="009C30E9">
        <w:rPr>
          <w:rFonts w:ascii="Times New Roman" w:eastAsia="Times New Roman" w:hAnsi="Times New Roman"/>
          <w:sz w:val="17"/>
          <w:szCs w:val="17"/>
        </w:rPr>
        <w:t>(Cth).</w:t>
      </w:r>
    </w:p>
    <w:p w:rsidR="009C30E9" w:rsidRPr="009C30E9" w:rsidRDefault="009C30E9" w:rsidP="009C30E9">
      <w:pPr>
        <w:rPr>
          <w:rFonts w:ascii="Times New Roman" w:eastAsia="Times New Roman" w:hAnsi="Times New Roman"/>
          <w:spacing w:val="-2"/>
          <w:sz w:val="17"/>
          <w:szCs w:val="17"/>
        </w:rPr>
      </w:pPr>
      <w:r w:rsidRPr="009C30E9">
        <w:rPr>
          <w:rFonts w:ascii="Times New Roman" w:eastAsia="Times New Roman" w:hAnsi="Times New Roman"/>
          <w:spacing w:val="-2"/>
          <w:sz w:val="17"/>
          <w:szCs w:val="17"/>
        </w:rPr>
        <w:t>This Instrument comes into effect on the day on which it is made and continues in force until midnight on 31 March 2022 unless earlier revoked.</w:t>
      </w:r>
    </w:p>
    <w:p w:rsidR="009C30E9" w:rsidRPr="009C30E9" w:rsidRDefault="009C30E9" w:rsidP="009C30E9">
      <w:pPr>
        <w:spacing w:after="0"/>
        <w:rPr>
          <w:rFonts w:ascii="Times New Roman" w:eastAsia="Times New Roman" w:hAnsi="Times New Roman"/>
          <w:sz w:val="17"/>
          <w:szCs w:val="17"/>
        </w:rPr>
      </w:pPr>
      <w:r w:rsidRPr="009C30E9">
        <w:rPr>
          <w:rFonts w:ascii="Times New Roman" w:eastAsia="Times New Roman" w:hAnsi="Times New Roman"/>
          <w:sz w:val="17"/>
          <w:szCs w:val="17"/>
        </w:rPr>
        <w:t>Dated: 21 December 2021</w:t>
      </w:r>
    </w:p>
    <w:p w:rsidR="009C30E9" w:rsidRPr="009C30E9" w:rsidRDefault="009C30E9" w:rsidP="009C30E9">
      <w:pPr>
        <w:spacing w:after="0"/>
        <w:jc w:val="right"/>
        <w:rPr>
          <w:rFonts w:ascii="Times New Roman" w:eastAsia="Times New Roman" w:hAnsi="Times New Roman"/>
          <w:smallCaps/>
          <w:sz w:val="17"/>
          <w:szCs w:val="20"/>
        </w:rPr>
      </w:pPr>
      <w:r w:rsidRPr="009C30E9">
        <w:rPr>
          <w:rFonts w:ascii="Times New Roman" w:eastAsia="Times New Roman" w:hAnsi="Times New Roman"/>
          <w:smallCaps/>
          <w:sz w:val="17"/>
          <w:szCs w:val="20"/>
        </w:rPr>
        <w:t>Hon Robert Lucas MLC</w:t>
      </w:r>
    </w:p>
    <w:p w:rsidR="009C30E9" w:rsidRPr="009C30E9" w:rsidRDefault="009C30E9" w:rsidP="009C30E9">
      <w:pPr>
        <w:spacing w:after="0" w:line="240" w:lineRule="auto"/>
        <w:jc w:val="right"/>
        <w:rPr>
          <w:rFonts w:ascii="Times New Roman" w:eastAsia="Times New Roman" w:hAnsi="Times New Roman"/>
          <w:sz w:val="17"/>
          <w:szCs w:val="17"/>
        </w:rPr>
      </w:pPr>
      <w:r w:rsidRPr="009C30E9">
        <w:rPr>
          <w:rFonts w:ascii="Times New Roman" w:eastAsia="Times New Roman" w:hAnsi="Times New Roman"/>
          <w:sz w:val="17"/>
          <w:szCs w:val="17"/>
        </w:rPr>
        <w:t>Acting Minister for Health and Wellbeing</w:t>
      </w:r>
    </w:p>
    <w:p w:rsidR="009C30E9" w:rsidRPr="009C30E9" w:rsidRDefault="009C30E9" w:rsidP="009C30E9">
      <w:pPr>
        <w:pBdr>
          <w:bottom w:val="single" w:sz="4" w:space="1" w:color="auto"/>
        </w:pBdr>
        <w:spacing w:after="0" w:line="52" w:lineRule="exact"/>
        <w:jc w:val="center"/>
        <w:rPr>
          <w:rFonts w:ascii="Times New Roman" w:eastAsia="Times New Roman" w:hAnsi="Times New Roman"/>
          <w:sz w:val="17"/>
          <w:szCs w:val="17"/>
        </w:rPr>
      </w:pPr>
    </w:p>
    <w:p w:rsidR="009C30E9" w:rsidRPr="009C30E9" w:rsidRDefault="009C30E9" w:rsidP="009C30E9">
      <w:pPr>
        <w:pBdr>
          <w:top w:val="single" w:sz="4" w:space="1" w:color="auto"/>
        </w:pBdr>
        <w:spacing w:before="34" w:after="0" w:line="14" w:lineRule="exact"/>
        <w:jc w:val="center"/>
        <w:rPr>
          <w:rFonts w:ascii="Times New Roman" w:eastAsia="Times New Roman" w:hAnsi="Times New Roman"/>
          <w:sz w:val="17"/>
          <w:szCs w:val="17"/>
        </w:rPr>
      </w:pPr>
    </w:p>
    <w:p w:rsidR="009C30E9" w:rsidRPr="009C30E9" w:rsidRDefault="009C30E9" w:rsidP="009C30E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2C57CC" w:rsidRPr="002C57CC" w:rsidRDefault="002C57CC" w:rsidP="00D8720A">
      <w:pPr>
        <w:pStyle w:val="Heading2"/>
      </w:pPr>
      <w:bookmarkStart w:id="63" w:name="_Toc91161258"/>
      <w:r w:rsidRPr="002C57CC">
        <w:t>Electoral Act 1985</w:t>
      </w:r>
      <w:bookmarkEnd w:id="63"/>
    </w:p>
    <w:p w:rsidR="002C57CC" w:rsidRPr="002C57CC" w:rsidRDefault="002C57CC" w:rsidP="002C57CC">
      <w:pPr>
        <w:jc w:val="center"/>
        <w:rPr>
          <w:rFonts w:ascii="Times New Roman" w:hAnsi="Times New Roman"/>
          <w:i/>
          <w:sz w:val="17"/>
          <w:szCs w:val="17"/>
        </w:rPr>
      </w:pPr>
      <w:r w:rsidRPr="002C57CC">
        <w:rPr>
          <w:rFonts w:ascii="Times New Roman" w:hAnsi="Times New Roman"/>
          <w:i/>
          <w:sz w:val="17"/>
          <w:szCs w:val="17"/>
        </w:rPr>
        <w:t>Part 6 – Registration of Political Parties</w:t>
      </w:r>
    </w:p>
    <w:p w:rsidR="002C57CC" w:rsidRPr="002C57CC" w:rsidRDefault="002C57CC" w:rsidP="002C57CC">
      <w:pPr>
        <w:rPr>
          <w:rFonts w:ascii="Times New Roman" w:eastAsia="Times New Roman" w:hAnsi="Times New Roman"/>
          <w:sz w:val="17"/>
          <w:szCs w:val="17"/>
        </w:rPr>
      </w:pPr>
      <w:r w:rsidRPr="002C57CC">
        <w:rPr>
          <w:rFonts w:ascii="Times New Roman" w:eastAsia="Times New Roman" w:hAnsi="Times New Roman"/>
          <w:sz w:val="17"/>
          <w:szCs w:val="17"/>
        </w:rPr>
        <w:t xml:space="preserve">Notice is hereby given that the following application for registration as a registered political party under the provisions of Part 6 of the </w:t>
      </w:r>
      <w:r w:rsidRPr="002C57CC">
        <w:rPr>
          <w:rFonts w:ascii="Times New Roman" w:eastAsia="Times New Roman" w:hAnsi="Times New Roman"/>
          <w:i/>
          <w:sz w:val="17"/>
          <w:szCs w:val="17"/>
        </w:rPr>
        <w:t>Electoral Act, 1985</w:t>
      </w:r>
      <w:r w:rsidRPr="002C57CC">
        <w:rPr>
          <w:rFonts w:ascii="Times New Roman" w:eastAsia="Times New Roman" w:hAnsi="Times New Roman"/>
          <w:sz w:val="17"/>
          <w:szCs w:val="17"/>
        </w:rPr>
        <w:t>, has been received:</w:t>
      </w:r>
    </w:p>
    <w:p w:rsidR="002C57CC" w:rsidRPr="002C57CC" w:rsidRDefault="002C57CC" w:rsidP="002C57CC">
      <w:pPr>
        <w:tabs>
          <w:tab w:val="left" w:pos="2268"/>
        </w:tabs>
        <w:spacing w:after="0"/>
        <w:ind w:left="160"/>
        <w:rPr>
          <w:rFonts w:ascii="Times New Roman" w:eastAsia="Times New Roman" w:hAnsi="Times New Roman"/>
          <w:sz w:val="17"/>
          <w:szCs w:val="17"/>
        </w:rPr>
      </w:pPr>
      <w:r w:rsidRPr="002C57CC">
        <w:rPr>
          <w:rFonts w:ascii="Times New Roman" w:eastAsia="Times New Roman" w:hAnsi="Times New Roman"/>
          <w:sz w:val="17"/>
          <w:szCs w:val="17"/>
        </w:rPr>
        <w:t>Name of Party</w:t>
      </w:r>
      <w:r w:rsidRPr="002C57CC">
        <w:rPr>
          <w:rFonts w:ascii="Times New Roman" w:eastAsia="Times New Roman" w:hAnsi="Times New Roman"/>
          <w:sz w:val="17"/>
          <w:szCs w:val="17"/>
        </w:rPr>
        <w:tab/>
        <w:t>Legalise Cannabis South Australia Party</w:t>
      </w:r>
    </w:p>
    <w:p w:rsidR="002C57CC" w:rsidRPr="002C57CC" w:rsidRDefault="002C57CC" w:rsidP="002C57CC">
      <w:pPr>
        <w:tabs>
          <w:tab w:val="left" w:pos="2268"/>
        </w:tabs>
        <w:spacing w:after="0"/>
        <w:ind w:left="160"/>
        <w:rPr>
          <w:rFonts w:ascii="Times New Roman" w:eastAsia="Times New Roman" w:hAnsi="Times New Roman"/>
          <w:sz w:val="17"/>
          <w:szCs w:val="17"/>
        </w:rPr>
      </w:pPr>
      <w:r w:rsidRPr="002C57CC">
        <w:rPr>
          <w:rFonts w:ascii="Times New Roman" w:eastAsia="Times New Roman" w:hAnsi="Times New Roman"/>
          <w:sz w:val="17"/>
          <w:szCs w:val="17"/>
        </w:rPr>
        <w:t>Abbreviation of Party Name</w:t>
      </w:r>
      <w:r w:rsidRPr="002C57CC">
        <w:rPr>
          <w:rFonts w:ascii="Times New Roman" w:eastAsia="Times New Roman" w:hAnsi="Times New Roman"/>
          <w:sz w:val="17"/>
          <w:szCs w:val="17"/>
        </w:rPr>
        <w:tab/>
        <w:t>LCSA Party</w:t>
      </w:r>
    </w:p>
    <w:p w:rsidR="002C57CC" w:rsidRPr="002C57CC" w:rsidRDefault="002C57CC" w:rsidP="002C57CC">
      <w:pPr>
        <w:tabs>
          <w:tab w:val="left" w:pos="2268"/>
        </w:tabs>
        <w:ind w:left="160"/>
        <w:rPr>
          <w:rFonts w:ascii="Times New Roman" w:eastAsia="Times New Roman" w:hAnsi="Times New Roman"/>
          <w:sz w:val="17"/>
          <w:szCs w:val="17"/>
        </w:rPr>
      </w:pPr>
      <w:r w:rsidRPr="002C57CC">
        <w:rPr>
          <w:rFonts w:ascii="Times New Roman" w:eastAsia="Times New Roman" w:hAnsi="Times New Roman"/>
          <w:sz w:val="17"/>
          <w:szCs w:val="17"/>
        </w:rPr>
        <w:t>Name of Applicant</w:t>
      </w:r>
      <w:r w:rsidRPr="002C57CC">
        <w:rPr>
          <w:rFonts w:ascii="Times New Roman" w:eastAsia="Times New Roman" w:hAnsi="Times New Roman"/>
          <w:sz w:val="17"/>
          <w:szCs w:val="17"/>
        </w:rPr>
        <w:tab/>
        <w:t>Jessica Louise Kathleen Nies</w:t>
      </w:r>
    </w:p>
    <w:p w:rsidR="002C57CC" w:rsidRPr="002C57CC" w:rsidRDefault="002C57CC" w:rsidP="002C57CC">
      <w:pPr>
        <w:rPr>
          <w:rFonts w:ascii="Times New Roman" w:eastAsia="Times New Roman" w:hAnsi="Times New Roman"/>
          <w:sz w:val="17"/>
          <w:szCs w:val="17"/>
        </w:rPr>
      </w:pPr>
      <w:r w:rsidRPr="002C57CC">
        <w:rPr>
          <w:rFonts w:ascii="Times New Roman" w:eastAsia="Times New Roman" w:hAnsi="Times New Roman"/>
          <w:sz w:val="17"/>
          <w:szCs w:val="17"/>
        </w:rPr>
        <w:t xml:space="preserve">Any elector who believes that the application is not in accordance with the </w:t>
      </w:r>
      <w:r w:rsidRPr="002C57CC">
        <w:rPr>
          <w:rFonts w:ascii="Times New Roman" w:eastAsia="Times New Roman" w:hAnsi="Times New Roman"/>
          <w:i/>
          <w:iCs/>
          <w:sz w:val="17"/>
          <w:szCs w:val="17"/>
        </w:rPr>
        <w:t>Electoral Act 1985</w:t>
      </w:r>
      <w:r w:rsidRPr="002C57CC">
        <w:rPr>
          <w:rFonts w:ascii="Times New Roman" w:eastAsia="Times New Roman" w:hAnsi="Times New Roman"/>
          <w:sz w:val="17"/>
          <w:szCs w:val="17"/>
        </w:rPr>
        <w:t xml:space="preserve"> can formally object in writing to the Electoral Commissioner, Level 6, 60 Light Square Adelaide SA 5000 by 5pm (ACDT) on Monday 24 January 2022. Objections must contain the postal address and signature of the objector and detail the grounds upon which the objection is made.</w:t>
      </w:r>
    </w:p>
    <w:p w:rsidR="002C57CC" w:rsidRPr="002C57CC" w:rsidRDefault="002C57CC" w:rsidP="002C57CC">
      <w:pPr>
        <w:spacing w:after="0"/>
        <w:rPr>
          <w:rFonts w:ascii="Times New Roman" w:eastAsia="Times New Roman" w:hAnsi="Times New Roman"/>
          <w:sz w:val="17"/>
          <w:szCs w:val="17"/>
        </w:rPr>
      </w:pPr>
      <w:r w:rsidRPr="002C57CC">
        <w:rPr>
          <w:rFonts w:ascii="Times New Roman" w:eastAsia="Times New Roman" w:hAnsi="Times New Roman"/>
          <w:sz w:val="17"/>
          <w:szCs w:val="17"/>
        </w:rPr>
        <w:t>Dated: 23 December 2021</w:t>
      </w:r>
    </w:p>
    <w:p w:rsidR="002C57CC" w:rsidRPr="002C57CC" w:rsidRDefault="002C57CC" w:rsidP="002C57CC">
      <w:pPr>
        <w:spacing w:after="0"/>
        <w:jc w:val="right"/>
        <w:rPr>
          <w:rFonts w:ascii="Times New Roman" w:eastAsia="Times New Roman" w:hAnsi="Times New Roman"/>
          <w:smallCaps/>
          <w:sz w:val="17"/>
          <w:szCs w:val="20"/>
        </w:rPr>
      </w:pPr>
      <w:r w:rsidRPr="002C57CC">
        <w:rPr>
          <w:rFonts w:ascii="Times New Roman" w:eastAsia="Times New Roman" w:hAnsi="Times New Roman"/>
          <w:smallCaps/>
          <w:sz w:val="17"/>
          <w:szCs w:val="20"/>
        </w:rPr>
        <w:t>Mick Sherry</w:t>
      </w:r>
    </w:p>
    <w:p w:rsidR="002C57CC" w:rsidRPr="002C57CC" w:rsidRDefault="002C57CC" w:rsidP="002C57CC">
      <w:pPr>
        <w:spacing w:after="0" w:line="240" w:lineRule="auto"/>
        <w:jc w:val="right"/>
        <w:rPr>
          <w:rFonts w:ascii="Times New Roman" w:eastAsia="Times New Roman" w:hAnsi="Times New Roman"/>
          <w:sz w:val="17"/>
          <w:szCs w:val="17"/>
        </w:rPr>
      </w:pPr>
      <w:r w:rsidRPr="002C57CC">
        <w:rPr>
          <w:rFonts w:ascii="Times New Roman" w:eastAsia="Times New Roman" w:hAnsi="Times New Roman"/>
          <w:sz w:val="17"/>
          <w:szCs w:val="17"/>
        </w:rPr>
        <w:t>Electoral Commissioner</w:t>
      </w:r>
    </w:p>
    <w:p w:rsidR="002C57CC" w:rsidRPr="002C57CC" w:rsidRDefault="002C57CC" w:rsidP="002C57CC">
      <w:pPr>
        <w:pBdr>
          <w:top w:val="single" w:sz="4" w:space="1" w:color="auto"/>
        </w:pBdr>
        <w:spacing w:before="100" w:after="0" w:line="14" w:lineRule="exact"/>
        <w:jc w:val="center"/>
        <w:rPr>
          <w:rFonts w:ascii="Times New Roman" w:eastAsia="Times New Roman" w:hAnsi="Times New Roman"/>
          <w:sz w:val="17"/>
          <w:szCs w:val="17"/>
        </w:rPr>
      </w:pPr>
    </w:p>
    <w:p w:rsidR="002C57CC" w:rsidRDefault="002C57CC" w:rsidP="009C23A5">
      <w:pPr>
        <w:pStyle w:val="GG-body"/>
      </w:pPr>
    </w:p>
    <w:p w:rsidR="002C57CC" w:rsidRPr="002C57CC" w:rsidRDefault="002C57CC" w:rsidP="002C57CC">
      <w:pPr>
        <w:jc w:val="center"/>
        <w:rPr>
          <w:rFonts w:ascii="Times New Roman" w:hAnsi="Times New Roman"/>
          <w:caps/>
          <w:sz w:val="17"/>
          <w:szCs w:val="17"/>
        </w:rPr>
      </w:pPr>
      <w:r w:rsidRPr="002C57CC">
        <w:rPr>
          <w:rFonts w:ascii="Times New Roman" w:hAnsi="Times New Roman"/>
          <w:caps/>
          <w:sz w:val="17"/>
          <w:szCs w:val="17"/>
        </w:rPr>
        <w:t>Electoral Act 1985</w:t>
      </w:r>
    </w:p>
    <w:p w:rsidR="002C57CC" w:rsidRPr="002C57CC" w:rsidRDefault="002C57CC" w:rsidP="002C57CC">
      <w:pPr>
        <w:jc w:val="center"/>
        <w:rPr>
          <w:rFonts w:ascii="Times New Roman" w:hAnsi="Times New Roman"/>
          <w:i/>
          <w:sz w:val="17"/>
          <w:szCs w:val="17"/>
        </w:rPr>
      </w:pPr>
      <w:r w:rsidRPr="002C57CC">
        <w:rPr>
          <w:rFonts w:ascii="Times New Roman" w:hAnsi="Times New Roman"/>
          <w:i/>
          <w:sz w:val="17"/>
          <w:szCs w:val="17"/>
        </w:rPr>
        <w:t>Part 6 – Registration of Political Parties</w:t>
      </w:r>
    </w:p>
    <w:p w:rsidR="002C57CC" w:rsidRPr="002C57CC" w:rsidRDefault="002C57CC" w:rsidP="002C57CC">
      <w:pPr>
        <w:rPr>
          <w:rFonts w:ascii="Times New Roman" w:eastAsia="Times New Roman" w:hAnsi="Times New Roman"/>
          <w:sz w:val="17"/>
          <w:szCs w:val="17"/>
        </w:rPr>
      </w:pPr>
      <w:r w:rsidRPr="002C57CC">
        <w:rPr>
          <w:rFonts w:ascii="Times New Roman" w:eastAsia="Times New Roman" w:hAnsi="Times New Roman"/>
          <w:sz w:val="17"/>
          <w:szCs w:val="17"/>
        </w:rPr>
        <w:t xml:space="preserve">Notice is hereby given that the following application for registration as a registered political party under the provisions of Part 6 of the </w:t>
      </w:r>
      <w:r w:rsidRPr="002C57CC">
        <w:rPr>
          <w:rFonts w:ascii="Times New Roman" w:eastAsia="Times New Roman" w:hAnsi="Times New Roman"/>
          <w:i/>
          <w:sz w:val="17"/>
          <w:szCs w:val="17"/>
        </w:rPr>
        <w:t>Electoral Act, 1985</w:t>
      </w:r>
      <w:r w:rsidRPr="002C57CC">
        <w:rPr>
          <w:rFonts w:ascii="Times New Roman" w:eastAsia="Times New Roman" w:hAnsi="Times New Roman"/>
          <w:sz w:val="17"/>
          <w:szCs w:val="17"/>
        </w:rPr>
        <w:t>, has been received:</w:t>
      </w:r>
    </w:p>
    <w:p w:rsidR="002C57CC" w:rsidRPr="002C57CC" w:rsidRDefault="002C57CC" w:rsidP="002C57CC">
      <w:pPr>
        <w:tabs>
          <w:tab w:val="left" w:pos="2268"/>
        </w:tabs>
        <w:spacing w:after="0"/>
        <w:ind w:left="160"/>
        <w:rPr>
          <w:rFonts w:ascii="Times New Roman" w:eastAsia="Times New Roman" w:hAnsi="Times New Roman"/>
          <w:sz w:val="17"/>
          <w:szCs w:val="17"/>
        </w:rPr>
      </w:pPr>
      <w:r w:rsidRPr="002C57CC">
        <w:rPr>
          <w:rFonts w:ascii="Times New Roman" w:eastAsia="Times New Roman" w:hAnsi="Times New Roman"/>
          <w:sz w:val="17"/>
          <w:szCs w:val="17"/>
        </w:rPr>
        <w:t>Name of Party</w:t>
      </w:r>
      <w:r w:rsidRPr="002C57CC">
        <w:rPr>
          <w:rFonts w:ascii="Times New Roman" w:eastAsia="Times New Roman" w:hAnsi="Times New Roman"/>
          <w:sz w:val="17"/>
          <w:szCs w:val="17"/>
        </w:rPr>
        <w:tab/>
        <w:t>Liberal Democratic Party</w:t>
      </w:r>
    </w:p>
    <w:p w:rsidR="002C57CC" w:rsidRPr="002C57CC" w:rsidRDefault="002C57CC" w:rsidP="002C57CC">
      <w:pPr>
        <w:tabs>
          <w:tab w:val="left" w:pos="2268"/>
        </w:tabs>
        <w:spacing w:after="0"/>
        <w:ind w:left="160"/>
        <w:rPr>
          <w:rFonts w:ascii="Times New Roman" w:eastAsia="Times New Roman" w:hAnsi="Times New Roman"/>
          <w:sz w:val="17"/>
          <w:szCs w:val="17"/>
        </w:rPr>
      </w:pPr>
      <w:r w:rsidRPr="002C57CC">
        <w:rPr>
          <w:rFonts w:ascii="Times New Roman" w:eastAsia="Times New Roman" w:hAnsi="Times New Roman"/>
          <w:sz w:val="17"/>
          <w:szCs w:val="17"/>
        </w:rPr>
        <w:t>Abbreviation of Party Name</w:t>
      </w:r>
      <w:r w:rsidRPr="002C57CC">
        <w:rPr>
          <w:rFonts w:ascii="Times New Roman" w:eastAsia="Times New Roman" w:hAnsi="Times New Roman"/>
          <w:sz w:val="17"/>
          <w:szCs w:val="17"/>
        </w:rPr>
        <w:tab/>
        <w:t>Liberal Democrats less government more freedom</w:t>
      </w:r>
    </w:p>
    <w:p w:rsidR="002C57CC" w:rsidRPr="002C57CC" w:rsidRDefault="002C57CC" w:rsidP="002C57CC">
      <w:pPr>
        <w:tabs>
          <w:tab w:val="left" w:pos="2268"/>
        </w:tabs>
        <w:ind w:left="160"/>
        <w:rPr>
          <w:rFonts w:ascii="Times New Roman" w:eastAsia="Times New Roman" w:hAnsi="Times New Roman"/>
          <w:sz w:val="17"/>
          <w:szCs w:val="17"/>
        </w:rPr>
      </w:pPr>
      <w:r w:rsidRPr="002C57CC">
        <w:rPr>
          <w:rFonts w:ascii="Times New Roman" w:eastAsia="Times New Roman" w:hAnsi="Times New Roman"/>
          <w:sz w:val="17"/>
          <w:szCs w:val="17"/>
        </w:rPr>
        <w:t>Name of Applicant</w:t>
      </w:r>
      <w:r w:rsidRPr="002C57CC">
        <w:rPr>
          <w:rFonts w:ascii="Times New Roman" w:eastAsia="Times New Roman" w:hAnsi="Times New Roman"/>
          <w:sz w:val="17"/>
          <w:szCs w:val="17"/>
        </w:rPr>
        <w:tab/>
        <w:t>Stephen Terence Humble</w:t>
      </w:r>
    </w:p>
    <w:p w:rsidR="002C57CC" w:rsidRPr="002C57CC" w:rsidRDefault="002C57CC" w:rsidP="002C57CC">
      <w:pPr>
        <w:rPr>
          <w:rFonts w:ascii="Times New Roman" w:eastAsia="Times New Roman" w:hAnsi="Times New Roman"/>
          <w:sz w:val="17"/>
          <w:szCs w:val="17"/>
        </w:rPr>
      </w:pPr>
      <w:r w:rsidRPr="002C57CC">
        <w:rPr>
          <w:rFonts w:ascii="Times New Roman" w:eastAsia="Times New Roman" w:hAnsi="Times New Roman"/>
          <w:sz w:val="17"/>
          <w:szCs w:val="17"/>
        </w:rPr>
        <w:t xml:space="preserve">Any elector who believes that the application is not in accordance with the </w:t>
      </w:r>
      <w:r w:rsidRPr="002C57CC">
        <w:rPr>
          <w:rFonts w:ascii="Times New Roman" w:eastAsia="Times New Roman" w:hAnsi="Times New Roman"/>
          <w:i/>
          <w:iCs/>
          <w:sz w:val="17"/>
          <w:szCs w:val="17"/>
        </w:rPr>
        <w:t>Electoral Act 1985</w:t>
      </w:r>
      <w:r w:rsidRPr="002C57CC">
        <w:rPr>
          <w:rFonts w:ascii="Times New Roman" w:eastAsia="Times New Roman" w:hAnsi="Times New Roman"/>
          <w:sz w:val="17"/>
          <w:szCs w:val="17"/>
        </w:rPr>
        <w:t xml:space="preserve"> can formally object in writing to the Electoral Commissioner, Level 6, 60 Light Square Adelaide SA 5000 by 5pm (ACDT) on Monday 24 January 2022. Objections must contain the postal address and signature of the objector and detail the grounds upon which the objection is made.</w:t>
      </w:r>
    </w:p>
    <w:p w:rsidR="002C57CC" w:rsidRPr="002C57CC" w:rsidRDefault="002C57CC" w:rsidP="002C57CC">
      <w:pPr>
        <w:spacing w:after="0"/>
        <w:rPr>
          <w:rFonts w:ascii="Times New Roman" w:eastAsia="Times New Roman" w:hAnsi="Times New Roman"/>
          <w:sz w:val="17"/>
          <w:szCs w:val="17"/>
        </w:rPr>
      </w:pPr>
      <w:r w:rsidRPr="002C57CC">
        <w:rPr>
          <w:rFonts w:ascii="Times New Roman" w:eastAsia="Times New Roman" w:hAnsi="Times New Roman"/>
          <w:sz w:val="17"/>
          <w:szCs w:val="17"/>
        </w:rPr>
        <w:t>Dated: 23 December 2021</w:t>
      </w:r>
    </w:p>
    <w:p w:rsidR="002C57CC" w:rsidRPr="002C57CC" w:rsidRDefault="002C57CC" w:rsidP="002C57CC">
      <w:pPr>
        <w:spacing w:after="0"/>
        <w:jc w:val="right"/>
        <w:rPr>
          <w:rFonts w:ascii="Times New Roman" w:eastAsia="Times New Roman" w:hAnsi="Times New Roman"/>
          <w:smallCaps/>
          <w:sz w:val="17"/>
          <w:szCs w:val="20"/>
        </w:rPr>
      </w:pPr>
      <w:r w:rsidRPr="002C57CC">
        <w:rPr>
          <w:rFonts w:ascii="Times New Roman" w:eastAsia="Times New Roman" w:hAnsi="Times New Roman"/>
          <w:smallCaps/>
          <w:sz w:val="17"/>
          <w:szCs w:val="20"/>
        </w:rPr>
        <w:t>Mick Sherry</w:t>
      </w:r>
    </w:p>
    <w:p w:rsidR="002C57CC" w:rsidRDefault="002C57CC" w:rsidP="002C57CC">
      <w:pPr>
        <w:spacing w:after="0" w:line="240" w:lineRule="auto"/>
        <w:jc w:val="right"/>
        <w:rPr>
          <w:rFonts w:ascii="Times New Roman" w:eastAsia="Times New Roman" w:hAnsi="Times New Roman"/>
          <w:sz w:val="17"/>
          <w:szCs w:val="17"/>
        </w:rPr>
      </w:pPr>
      <w:r w:rsidRPr="002C57CC">
        <w:rPr>
          <w:rFonts w:ascii="Times New Roman" w:eastAsia="Times New Roman" w:hAnsi="Times New Roman"/>
          <w:sz w:val="17"/>
          <w:szCs w:val="17"/>
        </w:rPr>
        <w:t>Electoral Commissioner</w:t>
      </w:r>
    </w:p>
    <w:p w:rsidR="002C57CC" w:rsidRDefault="002C57CC" w:rsidP="002C57CC">
      <w:pPr>
        <w:pBdr>
          <w:bottom w:val="single" w:sz="4" w:space="1" w:color="auto"/>
        </w:pBdr>
        <w:spacing w:after="0" w:line="52" w:lineRule="exact"/>
        <w:jc w:val="center"/>
        <w:rPr>
          <w:rFonts w:ascii="Times New Roman" w:eastAsia="Times New Roman" w:hAnsi="Times New Roman"/>
          <w:sz w:val="17"/>
          <w:szCs w:val="20"/>
        </w:rPr>
      </w:pPr>
    </w:p>
    <w:p w:rsidR="002C57CC" w:rsidRDefault="002C57CC" w:rsidP="002C57CC">
      <w:pPr>
        <w:pBdr>
          <w:top w:val="single" w:sz="4" w:space="1" w:color="auto"/>
        </w:pBdr>
        <w:spacing w:before="34" w:after="0" w:line="14" w:lineRule="exact"/>
        <w:jc w:val="center"/>
        <w:rPr>
          <w:rFonts w:ascii="Times New Roman" w:eastAsia="Times New Roman" w:hAnsi="Times New Roman"/>
          <w:sz w:val="17"/>
          <w:szCs w:val="20"/>
        </w:rPr>
      </w:pPr>
    </w:p>
    <w:p w:rsidR="002C57CC" w:rsidRDefault="002C57CC" w:rsidP="001F324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2320C1" w:rsidRDefault="002320C1">
      <w:pPr>
        <w:spacing w:after="0" w:line="240" w:lineRule="auto"/>
        <w:jc w:val="left"/>
        <w:rPr>
          <w:rFonts w:ascii="Times New Roman" w:hAnsi="Times New Roman"/>
          <w:caps/>
          <w:sz w:val="17"/>
          <w:szCs w:val="17"/>
        </w:rPr>
      </w:pPr>
      <w:r>
        <w:br w:type="page"/>
      </w:r>
    </w:p>
    <w:p w:rsidR="00FF3538" w:rsidRPr="00CD6576" w:rsidRDefault="00FF3538" w:rsidP="00D8720A">
      <w:pPr>
        <w:pStyle w:val="Heading2"/>
      </w:pPr>
      <w:bookmarkStart w:id="64" w:name="_Toc91161259"/>
      <w:r w:rsidRPr="00CD6576">
        <w:lastRenderedPageBreak/>
        <w:t>Electricity Act 1996</w:t>
      </w:r>
      <w:bookmarkEnd w:id="64"/>
    </w:p>
    <w:p w:rsidR="00FF3538" w:rsidRDefault="00FF3538" w:rsidP="00FF3538">
      <w:pPr>
        <w:pStyle w:val="GG-Title1"/>
      </w:pPr>
      <w:r>
        <w:t>Gas Act 1997</w:t>
      </w:r>
    </w:p>
    <w:p w:rsidR="00FF3538" w:rsidRDefault="00FF3538" w:rsidP="00FF3538">
      <w:pPr>
        <w:pStyle w:val="GG-Title2"/>
      </w:pPr>
      <w:r>
        <w:t>Retailer Energy Productivity Scheme</w:t>
      </w:r>
    </w:p>
    <w:p w:rsidR="00FF3538" w:rsidRDefault="00FF3538" w:rsidP="00FF3538">
      <w:pPr>
        <w:pStyle w:val="GG-Title3"/>
      </w:pPr>
      <w:r>
        <w:t>Minimum Specifications for Energy Productivity Activities</w:t>
      </w:r>
    </w:p>
    <w:p w:rsidR="00FF3538" w:rsidRDefault="00FF3538" w:rsidP="00FF3538">
      <w:pPr>
        <w:pStyle w:val="GG-body"/>
      </w:pPr>
      <w:r>
        <w:t xml:space="preserve">Pursuant to Regulation 28 of the </w:t>
      </w:r>
      <w:r w:rsidRPr="00AE3892">
        <w:rPr>
          <w:i/>
        </w:rPr>
        <w:t>Electricity (General) Regulations 2012</w:t>
      </w:r>
      <w:r>
        <w:t xml:space="preserve"> and Regulation 22 of the </w:t>
      </w:r>
      <w:r w:rsidRPr="00AE3892">
        <w:rPr>
          <w:i/>
        </w:rPr>
        <w:t>Gas Regulations 2012</w:t>
      </w:r>
      <w:r>
        <w:t xml:space="preserve">, I determine the activities within the following document to be an energy productivity activity for the purposes of Part 4 of the </w:t>
      </w:r>
      <w:r w:rsidRPr="00AE3892">
        <w:rPr>
          <w:i/>
        </w:rPr>
        <w:t>Electricity (General) Regulations 2012</w:t>
      </w:r>
      <w:r>
        <w:t xml:space="preserve"> and Part 4 of the </w:t>
      </w:r>
      <w:r w:rsidRPr="00AE3892">
        <w:rPr>
          <w:i/>
        </w:rPr>
        <w:t>Gas Regulations 2012</w:t>
      </w:r>
      <w:r>
        <w:t xml:space="preserve"> from 1 January 2022.</w:t>
      </w:r>
    </w:p>
    <w:p w:rsidR="00FF3538" w:rsidRDefault="00FF3538" w:rsidP="00FF3538">
      <w:pPr>
        <w:pStyle w:val="GG-SDated"/>
      </w:pPr>
      <w:r>
        <w:t>Dated: 23 December 2021</w:t>
      </w:r>
    </w:p>
    <w:p w:rsidR="00FF3538" w:rsidRDefault="00FF3538" w:rsidP="00FF3538">
      <w:pPr>
        <w:pStyle w:val="GG-SName"/>
      </w:pPr>
      <w:r>
        <w:t>Dan Van Holst Pellekaan</w:t>
      </w:r>
    </w:p>
    <w:p w:rsidR="00FF3538" w:rsidRPr="00FA2052" w:rsidRDefault="00FF3538" w:rsidP="00FF3538">
      <w:pPr>
        <w:pStyle w:val="GG-Signature"/>
      </w:pPr>
      <w:r w:rsidRPr="00FA2052">
        <w:t>Minister for Energy and Mining</w:t>
      </w:r>
    </w:p>
    <w:p w:rsidR="00FF3538" w:rsidRDefault="00FF3538" w:rsidP="00FF3538">
      <w:pPr>
        <w:pStyle w:val="GG-body"/>
        <w:pBdr>
          <w:top w:val="single" w:sz="4" w:space="1" w:color="auto"/>
        </w:pBdr>
        <w:spacing w:before="100" w:line="14" w:lineRule="exact"/>
        <w:ind w:left="1080" w:right="1080"/>
        <w:jc w:val="center"/>
      </w:pPr>
    </w:p>
    <w:p w:rsidR="00FF3538" w:rsidRDefault="00FF3538" w:rsidP="00FF3538">
      <w:pPr>
        <w:pStyle w:val="GG-Title2"/>
      </w:pPr>
      <w:r w:rsidRPr="000E3405">
        <w:t xml:space="preserve">HC3 Install an Efficient New Ducted Evaporative Air Conditioner </w:t>
      </w:r>
      <w:r>
        <w:br/>
      </w:r>
      <w:r w:rsidRPr="000E3405">
        <w:t>Residential and Small Energy Consuming Customers Only</w:t>
      </w:r>
    </w:p>
    <w:p w:rsidR="00FF3538" w:rsidRDefault="00FF3538" w:rsidP="00FF3538">
      <w:pPr>
        <w:pStyle w:val="GG-Title3"/>
        <w:spacing w:after="0"/>
      </w:pPr>
      <w:r w:rsidRPr="000E3405">
        <w:t>Activity No.</w:t>
      </w:r>
      <w:r>
        <w:t xml:space="preserve"> </w:t>
      </w:r>
      <w:r w:rsidRPr="000E3405">
        <w:t>HC3</w:t>
      </w:r>
    </w:p>
    <w:p w:rsidR="00FF3538" w:rsidRPr="00B024EA" w:rsidRDefault="00FF3538" w:rsidP="00FF3538">
      <w:pPr>
        <w:pStyle w:val="GG-body"/>
        <w:ind w:left="284" w:hanging="284"/>
        <w:rPr>
          <w:b/>
        </w:rPr>
      </w:pPr>
      <w:r w:rsidRPr="00B024EA">
        <w:rPr>
          <w:b/>
        </w:rPr>
        <w:t>1.</w:t>
      </w:r>
      <w:r>
        <w:rPr>
          <w:b/>
        </w:rPr>
        <w:tab/>
      </w:r>
      <w:r w:rsidRPr="00B024EA">
        <w:rPr>
          <w:b/>
        </w:rPr>
        <w:t>Activity Specific Definitions</w:t>
      </w:r>
    </w:p>
    <w:p w:rsidR="00FF3538" w:rsidRDefault="00FF3538" w:rsidP="00FF3538">
      <w:pPr>
        <w:pStyle w:val="GG-body"/>
        <w:ind w:left="284"/>
      </w:pPr>
      <w:r w:rsidRPr="007A0336">
        <w:rPr>
          <w:b/>
        </w:rPr>
        <w:t>Ducted Evaporative Air-conditioner</w:t>
      </w:r>
      <w:r>
        <w:t xml:space="preserve"> means a ducted evaporative air conditioner within the scope of AS 2913-2000. This can include either direct or indirect type ducted evaporative coolers provided they meet the installed product requirements.</w:t>
      </w:r>
    </w:p>
    <w:p w:rsidR="00FF3538" w:rsidRDefault="00FF3538" w:rsidP="00FF3538">
      <w:pPr>
        <w:pStyle w:val="GG-body"/>
        <w:ind w:left="284"/>
      </w:pPr>
      <w:r w:rsidRPr="00F4616D">
        <w:rPr>
          <w:b/>
          <w:spacing w:val="-2"/>
        </w:rPr>
        <w:t xml:space="preserve">Ducted Refrigerative Cooler </w:t>
      </w:r>
      <w:r w:rsidRPr="00F4616D">
        <w:rPr>
          <w:spacing w:val="-2"/>
        </w:rPr>
        <w:t xml:space="preserve">means a ducted air conditioner with a cooling mode (can also have a heating mode) that is covered by the </w:t>
      </w:r>
      <w:r>
        <w:t>GEMS energy labelling and MEPS scheme under AS/NZS 3823.2 (2013) or GEMS Air Conditioners up to 65kW Determination 2019 as applicable.</w:t>
      </w:r>
    </w:p>
    <w:p w:rsidR="00FF3538" w:rsidRDefault="00FF3538" w:rsidP="00FF3538">
      <w:pPr>
        <w:pStyle w:val="GG-body"/>
        <w:ind w:left="284"/>
      </w:pPr>
      <w:r w:rsidRPr="007A0336">
        <w:rPr>
          <w:b/>
        </w:rPr>
        <w:t>Multi-split Refrigerative Cooler</w:t>
      </w:r>
      <w:r>
        <w:t xml:space="preserve"> means a multi-split air conditioner with a cooling mode (can also have a heating mode) that is covered by the GEMS energy labelling and MEPS scheme under AS/NZS 3823.2 (2013) or GEMS Air Conditioners up to 65kW Determination 2019 as applicable.</w:t>
      </w:r>
    </w:p>
    <w:p w:rsidR="00FF3538" w:rsidRDefault="00FF3538" w:rsidP="00FF3538">
      <w:pPr>
        <w:pStyle w:val="GG-body"/>
        <w:ind w:left="284"/>
      </w:pPr>
      <w:r w:rsidRPr="007A0336">
        <w:rPr>
          <w:b/>
        </w:rPr>
        <w:t>Non-ducted Refrigerative Cooler</w:t>
      </w:r>
      <w:r>
        <w:t xml:space="preserve"> means a non-ducted air conditioner with a cooling mode (can also have a heating mode) that is covered by the GEMS energy labelling and MEPS scheme under AS/NZS 3823.2 (2013) or GEMS Air Conditioners up to 65kW Determination 2019 as applicable.</w:t>
      </w:r>
    </w:p>
    <w:p w:rsidR="00FF3538" w:rsidRDefault="00FF3538" w:rsidP="00FF3538">
      <w:pPr>
        <w:pStyle w:val="GG-body"/>
        <w:ind w:left="284"/>
      </w:pPr>
      <w:r w:rsidRPr="007A0336">
        <w:rPr>
          <w:b/>
        </w:rPr>
        <w:t>Fixed Resistance Electric Heater</w:t>
      </w:r>
      <w:r>
        <w:t xml:space="preserve"> means an electric heater that utilizes a resistance electric heating element (ACOP = 1) that is permanently fixed within the building. Portable electric heaters such as fan convectors radiant or oil column heaters that are not permanently fixed do not qualify as </w:t>
      </w:r>
      <w:r w:rsidRPr="00434EEB">
        <w:rPr>
          <w:b/>
        </w:rPr>
        <w:t>a “fixed resistance electric heater”</w:t>
      </w:r>
      <w:r>
        <w:t>.</w:t>
      </w:r>
    </w:p>
    <w:p w:rsidR="00FF3538" w:rsidRDefault="00FF3538" w:rsidP="00FF3538">
      <w:pPr>
        <w:pStyle w:val="GG-body"/>
        <w:ind w:left="284"/>
      </w:pPr>
      <w:r w:rsidRPr="007A0336">
        <w:rPr>
          <w:b/>
        </w:rPr>
        <w:t>Effective EER</w:t>
      </w:r>
      <w:r>
        <w:t xml:space="preserve"> means the annual energy efficiency ratio as defined AS 2913-2000.</w:t>
      </w:r>
    </w:p>
    <w:p w:rsidR="00FF3538" w:rsidRDefault="00FF3538" w:rsidP="00FF3538">
      <w:pPr>
        <w:pStyle w:val="GG-body"/>
        <w:ind w:left="284"/>
      </w:pPr>
      <w:r w:rsidRPr="007A0336">
        <w:rPr>
          <w:b/>
        </w:rPr>
        <w:t>Inverter or Inverter Drive</w:t>
      </w:r>
      <w:r>
        <w:t xml:space="preserve"> refers to a ducted evaporative air-conditioner that has a variable speed drive utilizing a frequency converter for regulating the power fed into the fan. The inverter sits between the electrical supply and the motor and allows the fan motor to run at a speed or torque commensurate with the cooling demand.</w:t>
      </w:r>
    </w:p>
    <w:p w:rsidR="00FF3538" w:rsidRPr="00B024EA" w:rsidRDefault="00FF3538" w:rsidP="00FF3538">
      <w:pPr>
        <w:pStyle w:val="GG-body"/>
        <w:ind w:left="284" w:hanging="284"/>
        <w:rPr>
          <w:b/>
        </w:rPr>
      </w:pPr>
      <w:r w:rsidRPr="00B024EA">
        <w:rPr>
          <w:b/>
        </w:rPr>
        <w:t>2.</w:t>
      </w:r>
      <w:r>
        <w:rPr>
          <w:b/>
        </w:rPr>
        <w:tab/>
      </w:r>
      <w:r w:rsidRPr="00B024EA">
        <w:rPr>
          <w:b/>
        </w:rPr>
        <w:t>Activity Description (Summary)</w:t>
      </w:r>
    </w:p>
    <w:p w:rsidR="00FF3538" w:rsidRDefault="00FF3538" w:rsidP="00FF3538">
      <w:pPr>
        <w:pStyle w:val="GG-body"/>
        <w:ind w:left="284"/>
      </w:pPr>
      <w:r>
        <w:t>Install an efficient new ducted evaporative air conditioner. This can take one of four forms:</w:t>
      </w:r>
    </w:p>
    <w:p w:rsidR="00FF3538" w:rsidRDefault="00FF3538" w:rsidP="00FF3538">
      <w:pPr>
        <w:pStyle w:val="GG-body"/>
        <w:numPr>
          <w:ilvl w:val="0"/>
          <w:numId w:val="70"/>
        </w:numPr>
        <w:spacing w:after="0"/>
      </w:pPr>
      <w:r>
        <w:t>HC3(i) – Installation into a space with a pre-existing ducted refrigerative air-conditioner</w:t>
      </w:r>
    </w:p>
    <w:p w:rsidR="00FF3538" w:rsidRDefault="00FF3538" w:rsidP="00FF3538">
      <w:pPr>
        <w:pStyle w:val="GG-body"/>
        <w:numPr>
          <w:ilvl w:val="0"/>
          <w:numId w:val="70"/>
        </w:numPr>
        <w:spacing w:after="0"/>
      </w:pPr>
      <w:r>
        <w:t>HC3(ii) – Installation into a space with a pre-existing multi-split refrigerative air-conditioner</w:t>
      </w:r>
    </w:p>
    <w:p w:rsidR="00FF3538" w:rsidRDefault="00FF3538" w:rsidP="00FF3538">
      <w:pPr>
        <w:pStyle w:val="GG-body"/>
        <w:numPr>
          <w:ilvl w:val="0"/>
          <w:numId w:val="70"/>
        </w:numPr>
        <w:spacing w:after="0"/>
      </w:pPr>
      <w:r>
        <w:t>HC3(iii) – Installation into a space with a pre-existing non-ducted refrigerative air-conditioner</w:t>
      </w:r>
    </w:p>
    <w:p w:rsidR="00FF3538" w:rsidRDefault="00FF3538" w:rsidP="00FF3538">
      <w:pPr>
        <w:pStyle w:val="GG-body"/>
        <w:numPr>
          <w:ilvl w:val="0"/>
          <w:numId w:val="70"/>
        </w:numPr>
        <w:spacing w:after="0"/>
      </w:pPr>
      <w:r>
        <w:t>HC3(iv) – Installation into a space with a pre-existing ducted non-inverter type evaporative air-conditioner</w:t>
      </w:r>
    </w:p>
    <w:p w:rsidR="00FF3538" w:rsidRDefault="00FF3538" w:rsidP="00FF3538">
      <w:pPr>
        <w:pStyle w:val="GG-body"/>
        <w:numPr>
          <w:ilvl w:val="0"/>
          <w:numId w:val="70"/>
        </w:numPr>
      </w:pPr>
      <w:r>
        <w:t>HC3(v) – Installation into a space with no pre-existing air-conditioner of any type (e.g. into a new dwelling)</w:t>
      </w:r>
    </w:p>
    <w:p w:rsidR="00FF3538" w:rsidRDefault="00FF3538" w:rsidP="00FF3538">
      <w:pPr>
        <w:pStyle w:val="GG-body"/>
        <w:ind w:left="284"/>
      </w:pPr>
      <w:r>
        <w:t>Note: In cases where a dwelling has multiple single split air-conditioners installed, provided that those multiple units serve at least 50% of the total floor area then such an arrangement shall be deemed to be a multi-split central refrigerative system i.e. type HC3(ii) rather than type HC3(iii)</w:t>
      </w:r>
    </w:p>
    <w:p w:rsidR="00FF3538" w:rsidRPr="00B024EA" w:rsidRDefault="00FF3538" w:rsidP="00FF3538">
      <w:pPr>
        <w:pStyle w:val="GG-body"/>
        <w:ind w:left="284" w:hanging="284"/>
        <w:rPr>
          <w:b/>
        </w:rPr>
      </w:pPr>
      <w:r w:rsidRPr="00B024EA">
        <w:rPr>
          <w:b/>
        </w:rPr>
        <w:t>3.</w:t>
      </w:r>
      <w:r w:rsidRPr="00B024EA">
        <w:rPr>
          <w:b/>
        </w:rPr>
        <w:tab/>
        <w:t>Activity Eligibility Requirements</w:t>
      </w:r>
    </w:p>
    <w:p w:rsidR="00FF3538" w:rsidRDefault="00FF3538" w:rsidP="00FF3538">
      <w:pPr>
        <w:pStyle w:val="GG-body"/>
        <w:ind w:left="284"/>
      </w:pPr>
      <w:r>
        <w:t>Any Residential building or Small Energy Consuming Customers in South Australia where the installed product requirements and minimum installation requirements can be met. This can include new or replacement systems.</w:t>
      </w:r>
    </w:p>
    <w:p w:rsidR="00FF3538" w:rsidRDefault="00FF3538" w:rsidP="00FF3538">
      <w:pPr>
        <w:pStyle w:val="GG-body"/>
        <w:ind w:left="284"/>
      </w:pPr>
      <w:r>
        <w:t>This activity is not permitted in buildings where the main form of heating is fixed resistance electric heating (or specified to be fixed resistance electric heating in the case of buildings under construction or renovation).</w:t>
      </w:r>
    </w:p>
    <w:p w:rsidR="00FF3538" w:rsidRDefault="00FF3538" w:rsidP="00FF3538">
      <w:pPr>
        <w:pStyle w:val="GG-body"/>
        <w:ind w:left="284"/>
      </w:pPr>
      <w:r>
        <w:t>In relation to activity HC3(i), HC3(ii) and HC3(iii) all the pre-existing refrigerative air-conditioning systems within the conditioned spaces of the building that are of the cooling only type, must be fully decommissioned, removed from the property and disposed of (note: this does not apply to reverse cycle type air-conditioners).</w:t>
      </w:r>
    </w:p>
    <w:p w:rsidR="00FF3538" w:rsidRDefault="00FF3538" w:rsidP="00FF3538">
      <w:pPr>
        <w:pStyle w:val="GG-body"/>
        <w:ind w:left="284"/>
      </w:pPr>
      <w:r>
        <w:t>In relation to activity HC3(iv) the pre-existing evaporative cooler must be fully decommissioned, removed from the property and disposed of.</w:t>
      </w:r>
    </w:p>
    <w:p w:rsidR="00FF3538" w:rsidRDefault="00FF3538" w:rsidP="00FF3538">
      <w:pPr>
        <w:pStyle w:val="GG-body"/>
        <w:ind w:left="284"/>
      </w:pPr>
      <w:r>
        <w:t>Wherever possible, a replacement system for a cooling only incumbent system should use the same circuit breakers in the switchboard as had been used by the replaced system. Where this is not possible the replaced system must be disconnected at the switchboard by a licenced electrician such that it cannot be re-activated by the householder.</w:t>
      </w:r>
    </w:p>
    <w:p w:rsidR="00FF3538" w:rsidRPr="00B024EA" w:rsidRDefault="00FF3538" w:rsidP="00FF3538">
      <w:pPr>
        <w:pStyle w:val="GG-body"/>
        <w:ind w:left="284" w:hanging="284"/>
        <w:rPr>
          <w:b/>
        </w:rPr>
      </w:pPr>
      <w:r w:rsidRPr="00B024EA">
        <w:rPr>
          <w:b/>
        </w:rPr>
        <w:t>4.</w:t>
      </w:r>
      <w:r>
        <w:rPr>
          <w:b/>
        </w:rPr>
        <w:tab/>
      </w:r>
      <w:r w:rsidRPr="00B024EA">
        <w:rPr>
          <w:b/>
        </w:rPr>
        <w:t>Installed Product Requirements</w:t>
      </w:r>
    </w:p>
    <w:p w:rsidR="00FF3538" w:rsidRDefault="00FF3538" w:rsidP="00FF3538">
      <w:pPr>
        <w:pStyle w:val="GG-body"/>
        <w:ind w:left="284"/>
      </w:pPr>
      <w:r>
        <w:t>The ducted evaporative cooler must:</w:t>
      </w:r>
    </w:p>
    <w:p w:rsidR="00FF3538" w:rsidRDefault="00FF3538" w:rsidP="00FF3538">
      <w:pPr>
        <w:pStyle w:val="GG-body"/>
        <w:ind w:left="709" w:hanging="283"/>
      </w:pPr>
      <w:r>
        <w:t>(1)</w:t>
      </w:r>
      <w:r>
        <w:tab/>
        <w:t>Have a minimum capacity of 7 kW determined in accordance with AS 2913-2000</w:t>
      </w:r>
    </w:p>
    <w:p w:rsidR="00FF3538" w:rsidRDefault="00FF3538" w:rsidP="00FF3538">
      <w:pPr>
        <w:pStyle w:val="GG-body"/>
        <w:ind w:left="709" w:hanging="283"/>
      </w:pPr>
      <w:r>
        <w:t>(2)</w:t>
      </w:r>
      <w:r>
        <w:tab/>
        <w:t>Be compliant with all provisions within AS 2913-2000</w:t>
      </w:r>
    </w:p>
    <w:p w:rsidR="00FF3538" w:rsidRDefault="00FF3538" w:rsidP="00FF3538">
      <w:pPr>
        <w:pStyle w:val="GG-body"/>
        <w:ind w:left="709" w:hanging="283"/>
      </w:pPr>
      <w:r>
        <w:t>(3)</w:t>
      </w:r>
      <w:r>
        <w:tab/>
        <w:t>Have a warranty of at least 2 years</w:t>
      </w:r>
    </w:p>
    <w:p w:rsidR="00FF3538" w:rsidRDefault="00FF3538" w:rsidP="00FF3538">
      <w:pPr>
        <w:pStyle w:val="GG-body"/>
        <w:ind w:left="709" w:hanging="283"/>
      </w:pPr>
      <w:r>
        <w:t>(4)</w:t>
      </w:r>
      <w:r>
        <w:tab/>
        <w:t>Be installed using ductwork rated at a minimum of R1.5</w:t>
      </w:r>
    </w:p>
    <w:p w:rsidR="002320C1" w:rsidRDefault="002320C1">
      <w:pPr>
        <w:spacing w:after="0" w:line="240" w:lineRule="auto"/>
        <w:jc w:val="left"/>
        <w:rPr>
          <w:rFonts w:ascii="Times New Roman" w:eastAsia="Times New Roman" w:hAnsi="Times New Roman"/>
          <w:b/>
          <w:sz w:val="17"/>
          <w:szCs w:val="17"/>
        </w:rPr>
      </w:pPr>
      <w:r>
        <w:rPr>
          <w:b/>
        </w:rPr>
        <w:br w:type="page"/>
      </w:r>
    </w:p>
    <w:p w:rsidR="00FF3538" w:rsidRPr="00B024EA" w:rsidRDefault="00FF3538" w:rsidP="00FF3538">
      <w:pPr>
        <w:pStyle w:val="GG-body"/>
        <w:ind w:left="284" w:hanging="284"/>
        <w:rPr>
          <w:b/>
        </w:rPr>
      </w:pPr>
      <w:r w:rsidRPr="00B024EA">
        <w:rPr>
          <w:b/>
        </w:rPr>
        <w:lastRenderedPageBreak/>
        <w:t>5.</w:t>
      </w:r>
      <w:r w:rsidRPr="00B024EA">
        <w:rPr>
          <w:b/>
        </w:rPr>
        <w:tab/>
        <w:t>Minimum Installation Requirements</w:t>
      </w:r>
    </w:p>
    <w:p w:rsidR="00FF3538" w:rsidRDefault="00FF3538" w:rsidP="00FF3538">
      <w:pPr>
        <w:pStyle w:val="GG-body"/>
        <w:ind w:left="709" w:hanging="283"/>
      </w:pPr>
      <w:r>
        <w:t>(1)</w:t>
      </w:r>
      <w:r>
        <w:tab/>
        <w:t>All electrical wiring must be undertaken in accordance with AS/NZS 3000:2018 by an electrical worker under the supervision of a licensed electrical contractor.</w:t>
      </w:r>
    </w:p>
    <w:p w:rsidR="00FF3538" w:rsidRDefault="00FF3538" w:rsidP="00FF3538">
      <w:pPr>
        <w:pStyle w:val="GG-body"/>
        <w:ind w:left="709" w:hanging="283"/>
      </w:pPr>
      <w:r>
        <w:t>(2)</w:t>
      </w:r>
      <w:r>
        <w:tab/>
        <w:t>All plumbing work must be undertaken by a licenced plumber in accordance with current South Australian plumbing regulations.</w:t>
      </w:r>
    </w:p>
    <w:p w:rsidR="00FF3538" w:rsidRDefault="00FF3538" w:rsidP="00FF3538">
      <w:pPr>
        <w:pStyle w:val="GG-body"/>
        <w:ind w:left="709" w:hanging="283"/>
      </w:pPr>
      <w:r>
        <w:t>(3)</w:t>
      </w:r>
      <w:r>
        <w:tab/>
        <w:t>All installation work must be undertaken by a person who has received a qualification commensurate with Work Safely at Heights CPCCCM2012 or RIIWHS204E.</w:t>
      </w:r>
    </w:p>
    <w:p w:rsidR="00FF3538" w:rsidRDefault="00FF3538" w:rsidP="00FF3538">
      <w:pPr>
        <w:pStyle w:val="GG-body"/>
        <w:ind w:left="709" w:hanging="283"/>
      </w:pPr>
      <w:r>
        <w:t>(4)</w:t>
      </w:r>
      <w:r>
        <w:tab/>
        <w:t>Where a pre-existing ducted system that is to be decommissioned is not to have its outlets reused by the replacement system then the outlets of that decommissioned system must be effectively sealed at ceiling level such that there is no transmission of conditioned air from a space into any adjoining unconditioned space e.g. into the ceiling space above.</w:t>
      </w:r>
    </w:p>
    <w:p w:rsidR="00FF3538" w:rsidRDefault="00FF3538" w:rsidP="00FF3538">
      <w:pPr>
        <w:pStyle w:val="GG-body"/>
        <w:ind w:left="709" w:hanging="283"/>
      </w:pPr>
      <w:r>
        <w:t>(5)</w:t>
      </w:r>
      <w:r>
        <w:tab/>
        <w:t>No water discharge from the new evaporative system may be to a potable water supply (e.g. to a household water tank)</w:t>
      </w:r>
    </w:p>
    <w:p w:rsidR="00FF3538" w:rsidRDefault="00FF3538" w:rsidP="00FF3538">
      <w:pPr>
        <w:pStyle w:val="GG-body"/>
        <w:ind w:left="709" w:hanging="283"/>
      </w:pPr>
      <w:r>
        <w:t>(6)</w:t>
      </w:r>
      <w:r>
        <w:tab/>
        <w:t xml:space="preserve">Removed pre-existing coolers shall have refrigerants and any other scheduled substances disposed of in accordance with the Australian and New Zealand refrigerant handling code of practice as established under the </w:t>
      </w:r>
      <w:r w:rsidRPr="00256593">
        <w:rPr>
          <w:i/>
        </w:rPr>
        <w:t>Ozone Protection and Synthetic Greenhouse Gas Management Act 1989</w:t>
      </w:r>
      <w:r>
        <w:t xml:space="preserve"> (Cth).</w:t>
      </w:r>
    </w:p>
    <w:p w:rsidR="00FF3538" w:rsidRPr="00B024EA" w:rsidRDefault="00FF3538" w:rsidP="00FF3538">
      <w:pPr>
        <w:pStyle w:val="GG-body"/>
        <w:ind w:left="284" w:hanging="284"/>
        <w:rPr>
          <w:b/>
        </w:rPr>
      </w:pPr>
      <w:r>
        <w:rPr>
          <w:b/>
        </w:rPr>
        <w:t>6.</w:t>
      </w:r>
      <w:r>
        <w:rPr>
          <w:b/>
        </w:rPr>
        <w:tab/>
      </w:r>
      <w:r w:rsidRPr="00B024EA">
        <w:rPr>
          <w:b/>
        </w:rPr>
        <w:t>Normalised Reps Gigajoules</w:t>
      </w:r>
    </w:p>
    <w:p w:rsidR="00FF3538" w:rsidRDefault="00FF3538" w:rsidP="00FF3538">
      <w:pPr>
        <w:pStyle w:val="GG-body"/>
        <w:ind w:left="284"/>
      </w:pPr>
      <w:r>
        <w:t>The normalised REPS gigajoules per appliance from undertaking this this activity is as per the following tables.</w:t>
      </w:r>
    </w:p>
    <w:p w:rsidR="00FF3538" w:rsidRDefault="00FF3538" w:rsidP="00FF3538">
      <w:pPr>
        <w:pStyle w:val="GG-body"/>
        <w:ind w:left="284"/>
      </w:pPr>
      <w:r>
        <w:t>Separate values are provided for “NCC climate zones 4 and 5 and zone 6.</w:t>
      </w:r>
    </w:p>
    <w:p w:rsidR="00FF3538" w:rsidRDefault="00FF3538" w:rsidP="00FF3538">
      <w:pPr>
        <w:pStyle w:val="GG-body"/>
        <w:ind w:left="284"/>
      </w:pPr>
      <w:r>
        <w:t>Normalised REPS gigajoules are based on the installed products fan motor drive type (inverter or non-inverter).</w:t>
      </w:r>
    </w:p>
    <w:tbl>
      <w:tblPr>
        <w:tblW w:w="7225" w:type="dxa"/>
        <w:jc w:val="center"/>
        <w:tblBorders>
          <w:top w:val="single" w:sz="4" w:space="0" w:color="auto"/>
          <w:bottom w:val="single" w:sz="4" w:space="0" w:color="auto"/>
        </w:tblBorders>
        <w:tblLook w:val="04A0" w:firstRow="1" w:lastRow="0" w:firstColumn="1" w:lastColumn="0" w:noHBand="0" w:noVBand="1"/>
      </w:tblPr>
      <w:tblGrid>
        <w:gridCol w:w="4258"/>
        <w:gridCol w:w="1691"/>
        <w:gridCol w:w="1276"/>
      </w:tblGrid>
      <w:tr w:rsidR="00FF3538" w:rsidRPr="00DB2234" w:rsidTr="00491D21">
        <w:trPr>
          <w:trHeight w:val="20"/>
          <w:jc w:val="center"/>
        </w:trPr>
        <w:tc>
          <w:tcPr>
            <w:tcW w:w="7225" w:type="dxa"/>
            <w:gridSpan w:val="3"/>
            <w:tcBorders>
              <w:bottom w:val="nil"/>
            </w:tcBorders>
            <w:shd w:val="clear" w:color="auto" w:fill="auto"/>
            <w:noWrap/>
            <w:vAlign w:val="center"/>
          </w:tcPr>
          <w:p w:rsidR="00FF3538" w:rsidRPr="005F474E" w:rsidRDefault="00FF3538" w:rsidP="00491D21">
            <w:pPr>
              <w:pStyle w:val="GG-body"/>
              <w:spacing w:before="20" w:after="20"/>
              <w:jc w:val="left"/>
              <w:rPr>
                <w:b/>
              </w:rPr>
            </w:pPr>
            <w:r w:rsidRPr="005F474E">
              <w:rPr>
                <w:b/>
              </w:rPr>
              <w:t>HC3</w:t>
            </w:r>
          </w:p>
        </w:tc>
      </w:tr>
      <w:tr w:rsidR="00FF3538" w:rsidRPr="00DB2234" w:rsidTr="00491D21">
        <w:trPr>
          <w:trHeight w:val="20"/>
          <w:jc w:val="center"/>
        </w:trPr>
        <w:tc>
          <w:tcPr>
            <w:tcW w:w="4258" w:type="dxa"/>
            <w:tcBorders>
              <w:top w:val="nil"/>
              <w:bottom w:val="single" w:sz="4" w:space="0" w:color="auto"/>
            </w:tcBorders>
            <w:shd w:val="clear" w:color="auto" w:fill="auto"/>
            <w:vAlign w:val="center"/>
          </w:tcPr>
          <w:p w:rsidR="00FF3538" w:rsidRPr="005F474E" w:rsidRDefault="00FF3538" w:rsidP="00491D21">
            <w:pPr>
              <w:pStyle w:val="GG-body"/>
              <w:spacing w:before="20" w:after="20"/>
              <w:jc w:val="left"/>
              <w:rPr>
                <w:b/>
              </w:rPr>
            </w:pPr>
            <w:r w:rsidRPr="005F474E">
              <w:rPr>
                <w:b/>
              </w:rPr>
              <w:t>Activity</w:t>
            </w:r>
          </w:p>
        </w:tc>
        <w:tc>
          <w:tcPr>
            <w:tcW w:w="1691" w:type="dxa"/>
            <w:tcBorders>
              <w:top w:val="nil"/>
              <w:bottom w:val="single" w:sz="4" w:space="0" w:color="auto"/>
            </w:tcBorders>
            <w:shd w:val="clear" w:color="auto" w:fill="auto"/>
            <w:vAlign w:val="center"/>
          </w:tcPr>
          <w:p w:rsidR="00FF3538" w:rsidRPr="005F474E" w:rsidRDefault="00FF3538" w:rsidP="00491D21">
            <w:pPr>
              <w:pStyle w:val="GG-body"/>
              <w:spacing w:before="20" w:after="20"/>
              <w:jc w:val="center"/>
              <w:rPr>
                <w:b/>
              </w:rPr>
            </w:pPr>
            <w:r w:rsidRPr="005F474E">
              <w:rPr>
                <w:b/>
              </w:rPr>
              <w:t>Non</w:t>
            </w:r>
            <w:r>
              <w:rPr>
                <w:b/>
              </w:rPr>
              <w:t>-</w:t>
            </w:r>
            <w:r w:rsidRPr="005F474E">
              <w:rPr>
                <w:b/>
              </w:rPr>
              <w:t>Inverter Drive</w:t>
            </w:r>
          </w:p>
        </w:tc>
        <w:tc>
          <w:tcPr>
            <w:tcW w:w="1276" w:type="dxa"/>
            <w:tcBorders>
              <w:top w:val="nil"/>
              <w:bottom w:val="single" w:sz="4" w:space="0" w:color="auto"/>
            </w:tcBorders>
            <w:shd w:val="clear" w:color="auto" w:fill="auto"/>
            <w:vAlign w:val="center"/>
          </w:tcPr>
          <w:p w:rsidR="00FF3538" w:rsidRPr="005F474E" w:rsidRDefault="00FF3538" w:rsidP="00491D21">
            <w:pPr>
              <w:pStyle w:val="GG-body"/>
              <w:spacing w:before="20" w:after="20"/>
              <w:jc w:val="center"/>
              <w:rPr>
                <w:b/>
              </w:rPr>
            </w:pPr>
            <w:r w:rsidRPr="005F474E">
              <w:rPr>
                <w:b/>
              </w:rPr>
              <w:t>Inverter Drive</w:t>
            </w:r>
          </w:p>
        </w:tc>
      </w:tr>
      <w:tr w:rsidR="00FF3538" w:rsidRPr="00DB2234" w:rsidTr="00491D21">
        <w:trPr>
          <w:trHeight w:val="20"/>
          <w:jc w:val="center"/>
        </w:trPr>
        <w:tc>
          <w:tcPr>
            <w:tcW w:w="7225" w:type="dxa"/>
            <w:gridSpan w:val="3"/>
            <w:tcBorders>
              <w:top w:val="single" w:sz="4" w:space="0" w:color="auto"/>
            </w:tcBorders>
            <w:shd w:val="clear" w:color="auto" w:fill="auto"/>
            <w:noWrap/>
            <w:vAlign w:val="center"/>
          </w:tcPr>
          <w:p w:rsidR="00FF3538" w:rsidRPr="00DB2234" w:rsidRDefault="00FF3538" w:rsidP="00491D21">
            <w:pPr>
              <w:pStyle w:val="GG-body"/>
              <w:spacing w:before="20" w:after="20"/>
              <w:jc w:val="left"/>
            </w:pPr>
            <w:r w:rsidRPr="00DB2234">
              <w:rPr>
                <w:b/>
              </w:rPr>
              <w:t>NCC Climate Zones 4 and 5</w:t>
            </w:r>
          </w:p>
        </w:tc>
      </w:tr>
      <w:tr w:rsidR="00FF3538" w:rsidRPr="00DB2234" w:rsidTr="00491D21">
        <w:trPr>
          <w:trHeight w:val="20"/>
          <w:jc w:val="center"/>
        </w:trPr>
        <w:tc>
          <w:tcPr>
            <w:tcW w:w="4258" w:type="dxa"/>
            <w:shd w:val="clear" w:color="auto" w:fill="auto"/>
            <w:noWrap/>
          </w:tcPr>
          <w:p w:rsidR="00FF3538" w:rsidRPr="00DB2234" w:rsidRDefault="00FF3538" w:rsidP="00491D21">
            <w:pPr>
              <w:pStyle w:val="GG-body"/>
              <w:spacing w:before="20" w:after="20"/>
              <w:ind w:left="159" w:hanging="159"/>
              <w:jc w:val="left"/>
            </w:pPr>
            <w:r>
              <w:t xml:space="preserve">HC3(i) – </w:t>
            </w:r>
            <w:r w:rsidRPr="00DB2234">
              <w:t>Installation into a space with a pre</w:t>
            </w:r>
            <w:r>
              <w:t>-</w:t>
            </w:r>
            <w:r w:rsidRPr="00DB2234">
              <w:t xml:space="preserve">existing </w:t>
            </w:r>
            <w:r>
              <w:br/>
            </w:r>
            <w:r w:rsidRPr="00DB2234">
              <w:t>Ducted Refrigerative Air</w:t>
            </w:r>
            <w:r>
              <w:t>-</w:t>
            </w:r>
            <w:r w:rsidRPr="00DB2234">
              <w:t>conditioner</w:t>
            </w:r>
          </w:p>
        </w:tc>
        <w:tc>
          <w:tcPr>
            <w:tcW w:w="1691" w:type="dxa"/>
            <w:shd w:val="clear" w:color="auto" w:fill="auto"/>
            <w:noWrap/>
          </w:tcPr>
          <w:p w:rsidR="00FF3538" w:rsidRPr="00DB2234" w:rsidRDefault="00FF3538" w:rsidP="00491D21">
            <w:pPr>
              <w:pStyle w:val="GG-body"/>
              <w:spacing w:before="20" w:after="20"/>
              <w:jc w:val="right"/>
            </w:pPr>
            <w:r w:rsidRPr="00DB2234">
              <w:t>79.8</w:t>
            </w:r>
          </w:p>
        </w:tc>
        <w:tc>
          <w:tcPr>
            <w:tcW w:w="1276" w:type="dxa"/>
            <w:shd w:val="clear" w:color="auto" w:fill="auto"/>
            <w:noWrap/>
          </w:tcPr>
          <w:p w:rsidR="00FF3538" w:rsidRPr="00DB2234" w:rsidRDefault="00FF3538" w:rsidP="00491D21">
            <w:pPr>
              <w:pStyle w:val="GG-body"/>
              <w:spacing w:before="20" w:after="20"/>
              <w:ind w:right="34"/>
              <w:jc w:val="right"/>
            </w:pPr>
            <w:r w:rsidRPr="00DB2234">
              <w:t>107.1</w:t>
            </w:r>
          </w:p>
        </w:tc>
      </w:tr>
      <w:tr w:rsidR="00FF3538" w:rsidRPr="00DB2234" w:rsidTr="00491D21">
        <w:trPr>
          <w:trHeight w:val="20"/>
          <w:jc w:val="center"/>
        </w:trPr>
        <w:tc>
          <w:tcPr>
            <w:tcW w:w="4258" w:type="dxa"/>
            <w:shd w:val="clear" w:color="auto" w:fill="auto"/>
            <w:noWrap/>
          </w:tcPr>
          <w:p w:rsidR="00FF3538" w:rsidRPr="00DB2234" w:rsidRDefault="00FF3538" w:rsidP="00491D21">
            <w:pPr>
              <w:pStyle w:val="GG-body"/>
              <w:spacing w:before="20" w:after="20"/>
              <w:ind w:left="159" w:hanging="159"/>
              <w:jc w:val="left"/>
            </w:pPr>
            <w:r w:rsidRPr="00DB2234">
              <w:t>HC3(ii)</w:t>
            </w:r>
            <w:r>
              <w:t xml:space="preserve"> – </w:t>
            </w:r>
            <w:r w:rsidRPr="00DB2234">
              <w:t>Installation into a space with a pre</w:t>
            </w:r>
            <w:r>
              <w:t>-</w:t>
            </w:r>
            <w:r w:rsidRPr="00DB2234">
              <w:t xml:space="preserve">existing </w:t>
            </w:r>
            <w:r>
              <w:br/>
            </w:r>
            <w:r w:rsidRPr="00DB2234">
              <w:t>Multi</w:t>
            </w:r>
            <w:r>
              <w:t>-</w:t>
            </w:r>
            <w:r w:rsidRPr="00DB2234">
              <w:t>split Air</w:t>
            </w:r>
            <w:r>
              <w:t>-</w:t>
            </w:r>
            <w:r w:rsidRPr="00DB2234">
              <w:t>conditioner</w:t>
            </w:r>
          </w:p>
        </w:tc>
        <w:tc>
          <w:tcPr>
            <w:tcW w:w="1691" w:type="dxa"/>
            <w:shd w:val="clear" w:color="auto" w:fill="auto"/>
            <w:noWrap/>
          </w:tcPr>
          <w:p w:rsidR="00FF3538" w:rsidRPr="00DB2234" w:rsidRDefault="00FF3538" w:rsidP="00491D21">
            <w:pPr>
              <w:pStyle w:val="GG-body"/>
              <w:spacing w:before="20" w:after="20"/>
              <w:jc w:val="right"/>
            </w:pPr>
            <w:r w:rsidRPr="00DB2234">
              <w:t>39.2</w:t>
            </w:r>
          </w:p>
        </w:tc>
        <w:tc>
          <w:tcPr>
            <w:tcW w:w="1276" w:type="dxa"/>
            <w:shd w:val="clear" w:color="auto" w:fill="auto"/>
            <w:noWrap/>
          </w:tcPr>
          <w:p w:rsidR="00FF3538" w:rsidRPr="00DB2234" w:rsidRDefault="00FF3538" w:rsidP="00491D21">
            <w:pPr>
              <w:pStyle w:val="GG-body"/>
              <w:spacing w:before="20" w:after="20"/>
              <w:ind w:right="34"/>
              <w:jc w:val="right"/>
            </w:pPr>
            <w:r w:rsidRPr="00DB2234">
              <w:t>66.5</w:t>
            </w:r>
          </w:p>
        </w:tc>
      </w:tr>
      <w:tr w:rsidR="00FF3538" w:rsidRPr="00DB2234" w:rsidTr="00491D21">
        <w:trPr>
          <w:trHeight w:val="20"/>
          <w:jc w:val="center"/>
        </w:trPr>
        <w:tc>
          <w:tcPr>
            <w:tcW w:w="4258" w:type="dxa"/>
            <w:shd w:val="clear" w:color="auto" w:fill="auto"/>
            <w:noWrap/>
          </w:tcPr>
          <w:p w:rsidR="00FF3538" w:rsidRPr="00DB2234" w:rsidRDefault="00FF3538" w:rsidP="00491D21">
            <w:pPr>
              <w:pStyle w:val="GG-body"/>
              <w:spacing w:before="20" w:after="20"/>
              <w:ind w:left="159" w:hanging="159"/>
              <w:jc w:val="left"/>
            </w:pPr>
            <w:r>
              <w:t xml:space="preserve">HC3(iii) – </w:t>
            </w:r>
            <w:r w:rsidRPr="00DB2234">
              <w:t>Installation into a space with a pre</w:t>
            </w:r>
            <w:r>
              <w:t>-</w:t>
            </w:r>
            <w:r w:rsidRPr="00DB2234">
              <w:t xml:space="preserve">existing </w:t>
            </w:r>
            <w:r>
              <w:br/>
            </w:r>
            <w:r w:rsidRPr="00DB2234">
              <w:t>Non</w:t>
            </w:r>
            <w:r>
              <w:t>-</w:t>
            </w:r>
            <w:r w:rsidRPr="00DB2234">
              <w:t>Ducted Refrigerative Air</w:t>
            </w:r>
            <w:r>
              <w:t>-</w:t>
            </w:r>
            <w:r w:rsidRPr="00DB2234">
              <w:t>conditioner</w:t>
            </w:r>
          </w:p>
        </w:tc>
        <w:tc>
          <w:tcPr>
            <w:tcW w:w="1691" w:type="dxa"/>
            <w:shd w:val="clear" w:color="auto" w:fill="auto"/>
            <w:noWrap/>
          </w:tcPr>
          <w:p w:rsidR="00FF3538" w:rsidRPr="00DB2234" w:rsidRDefault="00FF3538" w:rsidP="00491D21">
            <w:pPr>
              <w:pStyle w:val="GG-body"/>
              <w:spacing w:before="20" w:after="20"/>
              <w:jc w:val="right"/>
            </w:pPr>
            <w:r w:rsidRPr="00DB2234">
              <w:t>31.4</w:t>
            </w:r>
          </w:p>
        </w:tc>
        <w:tc>
          <w:tcPr>
            <w:tcW w:w="1276" w:type="dxa"/>
            <w:shd w:val="clear" w:color="auto" w:fill="auto"/>
            <w:noWrap/>
          </w:tcPr>
          <w:p w:rsidR="00FF3538" w:rsidRPr="00DB2234" w:rsidRDefault="00FF3538" w:rsidP="00491D21">
            <w:pPr>
              <w:pStyle w:val="GG-body"/>
              <w:spacing w:before="20" w:after="20"/>
              <w:ind w:right="34"/>
              <w:jc w:val="right"/>
            </w:pPr>
            <w:r w:rsidRPr="00DB2234">
              <w:t>58.7</w:t>
            </w:r>
          </w:p>
        </w:tc>
      </w:tr>
      <w:tr w:rsidR="00FF3538" w:rsidRPr="00DB2234" w:rsidTr="00491D21">
        <w:trPr>
          <w:trHeight w:val="20"/>
          <w:jc w:val="center"/>
        </w:trPr>
        <w:tc>
          <w:tcPr>
            <w:tcW w:w="4258" w:type="dxa"/>
            <w:shd w:val="clear" w:color="auto" w:fill="auto"/>
            <w:noWrap/>
          </w:tcPr>
          <w:p w:rsidR="00FF3538" w:rsidRPr="00DB2234" w:rsidRDefault="00FF3538" w:rsidP="00491D21">
            <w:pPr>
              <w:pStyle w:val="GG-body"/>
              <w:spacing w:before="20" w:after="20"/>
              <w:ind w:left="159" w:hanging="159"/>
              <w:jc w:val="left"/>
            </w:pPr>
            <w:r>
              <w:t xml:space="preserve">HC3(iv) – </w:t>
            </w:r>
            <w:r w:rsidRPr="00DB2234">
              <w:t>Installation into a space with a pre</w:t>
            </w:r>
            <w:r>
              <w:t>-</w:t>
            </w:r>
            <w:r w:rsidRPr="00DB2234">
              <w:t>existing Ducted Evaporative air</w:t>
            </w:r>
            <w:r>
              <w:t>-</w:t>
            </w:r>
            <w:r w:rsidRPr="00DB2234">
              <w:t>conditioner (non</w:t>
            </w:r>
            <w:r>
              <w:t>-</w:t>
            </w:r>
            <w:r w:rsidRPr="00DB2234">
              <w:t>inverter type)</w:t>
            </w:r>
          </w:p>
        </w:tc>
        <w:tc>
          <w:tcPr>
            <w:tcW w:w="1691" w:type="dxa"/>
            <w:shd w:val="clear" w:color="auto" w:fill="auto"/>
            <w:noWrap/>
          </w:tcPr>
          <w:p w:rsidR="00FF3538" w:rsidRPr="00DB2234" w:rsidRDefault="00FF3538" w:rsidP="00491D21">
            <w:pPr>
              <w:pStyle w:val="GG-body"/>
              <w:spacing w:before="20" w:after="20"/>
              <w:jc w:val="right"/>
            </w:pPr>
            <w:r w:rsidRPr="00DB2234">
              <w:t>Not applicable</w:t>
            </w:r>
          </w:p>
        </w:tc>
        <w:tc>
          <w:tcPr>
            <w:tcW w:w="1276" w:type="dxa"/>
            <w:shd w:val="clear" w:color="auto" w:fill="auto"/>
            <w:noWrap/>
          </w:tcPr>
          <w:p w:rsidR="00FF3538" w:rsidRPr="00DB2234" w:rsidRDefault="00FF3538" w:rsidP="00491D21">
            <w:pPr>
              <w:pStyle w:val="GG-body"/>
              <w:spacing w:before="20" w:after="20"/>
              <w:ind w:right="34"/>
              <w:jc w:val="right"/>
            </w:pPr>
            <w:r w:rsidRPr="00DB2234">
              <w:t>27.3</w:t>
            </w:r>
          </w:p>
        </w:tc>
      </w:tr>
      <w:tr w:rsidR="00FF3538" w:rsidRPr="00DB2234" w:rsidTr="00491D21">
        <w:trPr>
          <w:trHeight w:val="20"/>
          <w:jc w:val="center"/>
        </w:trPr>
        <w:tc>
          <w:tcPr>
            <w:tcW w:w="4258" w:type="dxa"/>
            <w:shd w:val="clear" w:color="auto" w:fill="auto"/>
            <w:noWrap/>
          </w:tcPr>
          <w:p w:rsidR="00FF3538" w:rsidRPr="00DB2234" w:rsidRDefault="00FF3538" w:rsidP="00491D21">
            <w:pPr>
              <w:pStyle w:val="GG-body"/>
              <w:spacing w:before="20" w:after="20"/>
              <w:ind w:left="159" w:hanging="159"/>
              <w:jc w:val="left"/>
            </w:pPr>
            <w:r>
              <w:t xml:space="preserve">HC3(v) – </w:t>
            </w:r>
            <w:r w:rsidRPr="00DB2234">
              <w:t>Installation into a space with no pre</w:t>
            </w:r>
            <w:r>
              <w:t>-</w:t>
            </w:r>
            <w:r w:rsidRPr="00DB2234">
              <w:t xml:space="preserve">existing </w:t>
            </w:r>
            <w:r>
              <w:br/>
            </w:r>
            <w:r w:rsidRPr="00DB2234">
              <w:t>Air</w:t>
            </w:r>
            <w:r>
              <w:t>-</w:t>
            </w:r>
            <w:r w:rsidRPr="00DB2234">
              <w:t>conditioner</w:t>
            </w:r>
          </w:p>
        </w:tc>
        <w:tc>
          <w:tcPr>
            <w:tcW w:w="1691" w:type="dxa"/>
            <w:shd w:val="clear" w:color="auto" w:fill="auto"/>
            <w:noWrap/>
          </w:tcPr>
          <w:p w:rsidR="00FF3538" w:rsidRPr="00DB2234" w:rsidRDefault="00FF3538" w:rsidP="00491D21">
            <w:pPr>
              <w:pStyle w:val="GG-body"/>
              <w:spacing w:before="20" w:after="20"/>
              <w:jc w:val="right"/>
            </w:pPr>
            <w:r w:rsidRPr="00DB2234">
              <w:t>43.1</w:t>
            </w:r>
          </w:p>
        </w:tc>
        <w:tc>
          <w:tcPr>
            <w:tcW w:w="1276" w:type="dxa"/>
            <w:shd w:val="clear" w:color="auto" w:fill="auto"/>
            <w:noWrap/>
          </w:tcPr>
          <w:p w:rsidR="00FF3538" w:rsidRPr="00DB2234" w:rsidRDefault="00FF3538" w:rsidP="00491D21">
            <w:pPr>
              <w:pStyle w:val="GG-body"/>
              <w:spacing w:before="20" w:after="20"/>
              <w:ind w:right="34"/>
              <w:jc w:val="right"/>
            </w:pPr>
            <w:r w:rsidRPr="00DB2234">
              <w:t>70.4</w:t>
            </w:r>
          </w:p>
        </w:tc>
      </w:tr>
      <w:tr w:rsidR="00FF3538" w:rsidRPr="00DB2234" w:rsidTr="00491D21">
        <w:trPr>
          <w:trHeight w:val="20"/>
          <w:jc w:val="center"/>
        </w:trPr>
        <w:tc>
          <w:tcPr>
            <w:tcW w:w="7225" w:type="dxa"/>
            <w:gridSpan w:val="3"/>
            <w:shd w:val="clear" w:color="auto" w:fill="auto"/>
            <w:noWrap/>
            <w:vAlign w:val="center"/>
          </w:tcPr>
          <w:p w:rsidR="00FF3538" w:rsidRPr="00DB2234" w:rsidRDefault="00FF3538" w:rsidP="00491D21">
            <w:pPr>
              <w:pStyle w:val="GG-body"/>
              <w:spacing w:before="20" w:after="20"/>
              <w:jc w:val="left"/>
            </w:pPr>
            <w:r w:rsidRPr="00DB2234">
              <w:rPr>
                <w:b/>
              </w:rPr>
              <w:t>NCC Climate Zones 6</w:t>
            </w:r>
          </w:p>
        </w:tc>
      </w:tr>
      <w:tr w:rsidR="00FF3538" w:rsidRPr="00DB2234" w:rsidTr="00491D21">
        <w:trPr>
          <w:trHeight w:val="20"/>
          <w:jc w:val="center"/>
        </w:trPr>
        <w:tc>
          <w:tcPr>
            <w:tcW w:w="4258" w:type="dxa"/>
            <w:shd w:val="clear" w:color="auto" w:fill="auto"/>
            <w:noWrap/>
          </w:tcPr>
          <w:p w:rsidR="00FF3538" w:rsidRPr="00DB2234" w:rsidRDefault="00FF3538" w:rsidP="00491D21">
            <w:pPr>
              <w:pStyle w:val="GG-body"/>
              <w:spacing w:before="20" w:after="20"/>
              <w:ind w:left="159" w:hanging="159"/>
              <w:jc w:val="left"/>
            </w:pPr>
            <w:r>
              <w:t xml:space="preserve">HC3(i) – </w:t>
            </w:r>
            <w:r w:rsidRPr="00DB2234">
              <w:t>Installation into a space with a pre</w:t>
            </w:r>
            <w:r>
              <w:t>-</w:t>
            </w:r>
            <w:r w:rsidRPr="00DB2234">
              <w:t xml:space="preserve">existing </w:t>
            </w:r>
            <w:r>
              <w:br/>
            </w:r>
            <w:r w:rsidRPr="00DB2234">
              <w:t>Ducted Refrigerative Air</w:t>
            </w:r>
            <w:r>
              <w:t>-</w:t>
            </w:r>
            <w:r w:rsidRPr="00DB2234">
              <w:t>conditioner</w:t>
            </w:r>
          </w:p>
        </w:tc>
        <w:tc>
          <w:tcPr>
            <w:tcW w:w="1691" w:type="dxa"/>
            <w:shd w:val="clear" w:color="auto" w:fill="auto"/>
            <w:noWrap/>
          </w:tcPr>
          <w:p w:rsidR="00FF3538" w:rsidRPr="00DB2234" w:rsidRDefault="00FF3538" w:rsidP="00491D21">
            <w:pPr>
              <w:pStyle w:val="GG-body"/>
              <w:spacing w:before="20" w:after="20"/>
              <w:jc w:val="right"/>
            </w:pPr>
            <w:r w:rsidRPr="00DB2234">
              <w:t>20.6</w:t>
            </w:r>
          </w:p>
        </w:tc>
        <w:tc>
          <w:tcPr>
            <w:tcW w:w="1276" w:type="dxa"/>
            <w:shd w:val="clear" w:color="auto" w:fill="auto"/>
            <w:noWrap/>
          </w:tcPr>
          <w:p w:rsidR="00FF3538" w:rsidRPr="00DB2234" w:rsidRDefault="00FF3538" w:rsidP="00491D21">
            <w:pPr>
              <w:pStyle w:val="GG-body"/>
              <w:spacing w:before="20" w:after="20"/>
              <w:ind w:right="34"/>
              <w:jc w:val="right"/>
            </w:pPr>
            <w:r w:rsidRPr="00DB2234">
              <w:t>27.6</w:t>
            </w:r>
          </w:p>
        </w:tc>
      </w:tr>
      <w:tr w:rsidR="00FF3538" w:rsidRPr="00DB2234" w:rsidTr="00491D21">
        <w:trPr>
          <w:trHeight w:val="20"/>
          <w:jc w:val="center"/>
        </w:trPr>
        <w:tc>
          <w:tcPr>
            <w:tcW w:w="4258" w:type="dxa"/>
            <w:shd w:val="clear" w:color="auto" w:fill="auto"/>
            <w:noWrap/>
          </w:tcPr>
          <w:p w:rsidR="00FF3538" w:rsidRPr="00DB2234" w:rsidRDefault="00FF3538" w:rsidP="00491D21">
            <w:pPr>
              <w:pStyle w:val="GG-body"/>
              <w:spacing w:before="20" w:after="20"/>
              <w:ind w:left="159" w:hanging="159"/>
              <w:jc w:val="left"/>
            </w:pPr>
            <w:r>
              <w:t xml:space="preserve">HC3(ii) – </w:t>
            </w:r>
            <w:r w:rsidRPr="00DB2234">
              <w:t>Installation into a space with a pre</w:t>
            </w:r>
            <w:r>
              <w:t>-</w:t>
            </w:r>
            <w:r w:rsidRPr="00DB2234">
              <w:t xml:space="preserve">existing </w:t>
            </w:r>
            <w:r>
              <w:br/>
            </w:r>
            <w:r w:rsidRPr="00DB2234">
              <w:t>Multi</w:t>
            </w:r>
            <w:r>
              <w:t>-</w:t>
            </w:r>
            <w:r w:rsidRPr="00DB2234">
              <w:t>split Air</w:t>
            </w:r>
            <w:r>
              <w:t>-</w:t>
            </w:r>
            <w:r w:rsidRPr="00DB2234">
              <w:t>conditioner</w:t>
            </w:r>
          </w:p>
        </w:tc>
        <w:tc>
          <w:tcPr>
            <w:tcW w:w="1691" w:type="dxa"/>
            <w:shd w:val="clear" w:color="auto" w:fill="auto"/>
            <w:noWrap/>
          </w:tcPr>
          <w:p w:rsidR="00FF3538" w:rsidRPr="00DB2234" w:rsidRDefault="00FF3538" w:rsidP="00491D21">
            <w:pPr>
              <w:pStyle w:val="GG-body"/>
              <w:spacing w:before="20" w:after="20"/>
              <w:jc w:val="right"/>
            </w:pPr>
            <w:r w:rsidRPr="00DB2234">
              <w:t>10.1</w:t>
            </w:r>
          </w:p>
        </w:tc>
        <w:tc>
          <w:tcPr>
            <w:tcW w:w="1276" w:type="dxa"/>
            <w:shd w:val="clear" w:color="auto" w:fill="auto"/>
            <w:noWrap/>
          </w:tcPr>
          <w:p w:rsidR="00FF3538" w:rsidRPr="00DB2234" w:rsidRDefault="00FF3538" w:rsidP="00491D21">
            <w:pPr>
              <w:pStyle w:val="GG-body"/>
              <w:spacing w:before="20" w:after="20"/>
              <w:ind w:right="34"/>
              <w:jc w:val="right"/>
            </w:pPr>
            <w:r w:rsidRPr="00DB2234">
              <w:t>17.1</w:t>
            </w:r>
          </w:p>
        </w:tc>
      </w:tr>
      <w:tr w:rsidR="00FF3538" w:rsidRPr="00DB2234" w:rsidTr="00491D21">
        <w:trPr>
          <w:trHeight w:val="20"/>
          <w:jc w:val="center"/>
        </w:trPr>
        <w:tc>
          <w:tcPr>
            <w:tcW w:w="4258" w:type="dxa"/>
            <w:shd w:val="clear" w:color="auto" w:fill="auto"/>
            <w:noWrap/>
          </w:tcPr>
          <w:p w:rsidR="00FF3538" w:rsidRPr="00DB2234" w:rsidRDefault="00FF3538" w:rsidP="00491D21">
            <w:pPr>
              <w:pStyle w:val="GG-body"/>
              <w:spacing w:before="20" w:after="20"/>
              <w:ind w:left="159" w:hanging="159"/>
              <w:jc w:val="left"/>
            </w:pPr>
            <w:r>
              <w:t xml:space="preserve">HC3(iii) – </w:t>
            </w:r>
            <w:r w:rsidRPr="00DB2234">
              <w:t>Installation into a space with a pre</w:t>
            </w:r>
            <w:r>
              <w:t>-</w:t>
            </w:r>
            <w:r w:rsidRPr="00DB2234">
              <w:t xml:space="preserve">existing </w:t>
            </w:r>
            <w:r>
              <w:br/>
            </w:r>
            <w:r w:rsidRPr="00DB2234">
              <w:t>Non</w:t>
            </w:r>
            <w:r>
              <w:t>-</w:t>
            </w:r>
            <w:r w:rsidRPr="00DB2234">
              <w:t>Ducted Refrigerative Air</w:t>
            </w:r>
            <w:r>
              <w:t>-</w:t>
            </w:r>
            <w:r w:rsidRPr="00DB2234">
              <w:t>conditioner</w:t>
            </w:r>
          </w:p>
        </w:tc>
        <w:tc>
          <w:tcPr>
            <w:tcW w:w="1691" w:type="dxa"/>
            <w:shd w:val="clear" w:color="auto" w:fill="auto"/>
            <w:noWrap/>
          </w:tcPr>
          <w:p w:rsidR="00FF3538" w:rsidRPr="00DB2234" w:rsidRDefault="00FF3538" w:rsidP="00491D21">
            <w:pPr>
              <w:pStyle w:val="GG-body"/>
              <w:spacing w:before="20" w:after="20"/>
              <w:jc w:val="right"/>
            </w:pPr>
            <w:r w:rsidRPr="00DB2234">
              <w:t>8.1</w:t>
            </w:r>
          </w:p>
        </w:tc>
        <w:tc>
          <w:tcPr>
            <w:tcW w:w="1276" w:type="dxa"/>
            <w:shd w:val="clear" w:color="auto" w:fill="auto"/>
            <w:noWrap/>
          </w:tcPr>
          <w:p w:rsidR="00FF3538" w:rsidRPr="00DB2234" w:rsidRDefault="00FF3538" w:rsidP="00491D21">
            <w:pPr>
              <w:pStyle w:val="GG-body"/>
              <w:spacing w:before="20" w:after="20"/>
              <w:ind w:right="34"/>
              <w:jc w:val="right"/>
            </w:pPr>
            <w:r w:rsidRPr="00DB2234">
              <w:t>15.1</w:t>
            </w:r>
          </w:p>
        </w:tc>
      </w:tr>
      <w:tr w:rsidR="00FF3538" w:rsidRPr="00DB2234" w:rsidTr="00491D21">
        <w:trPr>
          <w:trHeight w:val="20"/>
          <w:jc w:val="center"/>
        </w:trPr>
        <w:tc>
          <w:tcPr>
            <w:tcW w:w="4258" w:type="dxa"/>
            <w:shd w:val="clear" w:color="auto" w:fill="auto"/>
            <w:noWrap/>
          </w:tcPr>
          <w:p w:rsidR="00FF3538" w:rsidRPr="00DB2234" w:rsidRDefault="00FF3538" w:rsidP="00491D21">
            <w:pPr>
              <w:pStyle w:val="GG-body"/>
              <w:spacing w:before="20" w:after="20"/>
              <w:ind w:left="159" w:hanging="159"/>
              <w:jc w:val="left"/>
            </w:pPr>
            <w:r>
              <w:t xml:space="preserve">HC3(iv) – </w:t>
            </w:r>
            <w:r w:rsidRPr="00DB2234">
              <w:t>Installation into a space with a pre</w:t>
            </w:r>
            <w:r>
              <w:t>-</w:t>
            </w:r>
            <w:r w:rsidRPr="00DB2234">
              <w:t>existing Ducted Evaporative air</w:t>
            </w:r>
            <w:r>
              <w:t>-</w:t>
            </w:r>
            <w:r w:rsidRPr="00DB2234">
              <w:t>conditioner (non</w:t>
            </w:r>
            <w:r>
              <w:t>-</w:t>
            </w:r>
            <w:r w:rsidRPr="00DB2234">
              <w:t>inverter type)</w:t>
            </w:r>
          </w:p>
        </w:tc>
        <w:tc>
          <w:tcPr>
            <w:tcW w:w="1691" w:type="dxa"/>
            <w:shd w:val="clear" w:color="auto" w:fill="auto"/>
            <w:noWrap/>
          </w:tcPr>
          <w:p w:rsidR="00FF3538" w:rsidRPr="00DB2234" w:rsidRDefault="00FF3538" w:rsidP="00491D21">
            <w:pPr>
              <w:pStyle w:val="GG-body"/>
              <w:spacing w:before="20" w:after="20"/>
              <w:jc w:val="right"/>
            </w:pPr>
            <w:r w:rsidRPr="00DB2234">
              <w:t>Not Applicable</w:t>
            </w:r>
          </w:p>
        </w:tc>
        <w:tc>
          <w:tcPr>
            <w:tcW w:w="1276" w:type="dxa"/>
            <w:shd w:val="clear" w:color="auto" w:fill="auto"/>
            <w:noWrap/>
          </w:tcPr>
          <w:p w:rsidR="00FF3538" w:rsidRPr="00DB2234" w:rsidRDefault="00FF3538" w:rsidP="00491D21">
            <w:pPr>
              <w:pStyle w:val="GG-body"/>
              <w:spacing w:before="20" w:after="20"/>
              <w:ind w:right="34"/>
              <w:jc w:val="right"/>
            </w:pPr>
            <w:r w:rsidRPr="00DB2234">
              <w:t>7.0</w:t>
            </w:r>
          </w:p>
        </w:tc>
      </w:tr>
      <w:tr w:rsidR="00FF3538" w:rsidRPr="00DB2234" w:rsidTr="00491D21">
        <w:trPr>
          <w:trHeight w:val="20"/>
          <w:jc w:val="center"/>
        </w:trPr>
        <w:tc>
          <w:tcPr>
            <w:tcW w:w="4258" w:type="dxa"/>
            <w:shd w:val="clear" w:color="auto" w:fill="auto"/>
            <w:noWrap/>
          </w:tcPr>
          <w:p w:rsidR="00FF3538" w:rsidRPr="00DB2234" w:rsidRDefault="00FF3538" w:rsidP="00491D21">
            <w:pPr>
              <w:pStyle w:val="GG-body"/>
              <w:spacing w:before="20" w:after="20"/>
              <w:ind w:left="159" w:hanging="159"/>
              <w:jc w:val="left"/>
            </w:pPr>
            <w:r>
              <w:t xml:space="preserve">HC3(v) – </w:t>
            </w:r>
            <w:r w:rsidRPr="00DB2234">
              <w:t>Installation into a space with no pre</w:t>
            </w:r>
            <w:r>
              <w:t>-</w:t>
            </w:r>
            <w:r w:rsidRPr="00DB2234">
              <w:t xml:space="preserve">existing </w:t>
            </w:r>
            <w:r>
              <w:br/>
            </w:r>
            <w:r w:rsidRPr="00DB2234">
              <w:t>Air</w:t>
            </w:r>
            <w:r>
              <w:t>-</w:t>
            </w:r>
            <w:r w:rsidRPr="00DB2234">
              <w:t>conditioner</w:t>
            </w:r>
          </w:p>
        </w:tc>
        <w:tc>
          <w:tcPr>
            <w:tcW w:w="1691" w:type="dxa"/>
            <w:shd w:val="clear" w:color="auto" w:fill="auto"/>
            <w:noWrap/>
          </w:tcPr>
          <w:p w:rsidR="00FF3538" w:rsidRPr="00DB2234" w:rsidRDefault="00FF3538" w:rsidP="00491D21">
            <w:pPr>
              <w:pStyle w:val="GG-body"/>
              <w:spacing w:before="20" w:after="20"/>
              <w:jc w:val="right"/>
            </w:pPr>
            <w:r w:rsidRPr="00DB2234">
              <w:t>11.1</w:t>
            </w:r>
          </w:p>
        </w:tc>
        <w:tc>
          <w:tcPr>
            <w:tcW w:w="1276" w:type="dxa"/>
            <w:shd w:val="clear" w:color="auto" w:fill="auto"/>
            <w:noWrap/>
          </w:tcPr>
          <w:p w:rsidR="00FF3538" w:rsidRPr="00DB2234" w:rsidRDefault="00FF3538" w:rsidP="00491D21">
            <w:pPr>
              <w:pStyle w:val="GG-body"/>
              <w:spacing w:before="20" w:after="20"/>
              <w:ind w:right="34"/>
              <w:jc w:val="right"/>
            </w:pPr>
            <w:r w:rsidRPr="00DB2234">
              <w:t>18.1</w:t>
            </w:r>
          </w:p>
        </w:tc>
      </w:tr>
    </w:tbl>
    <w:p w:rsidR="00FF3538" w:rsidRPr="00B024EA" w:rsidRDefault="00FF3538" w:rsidP="00FF3538">
      <w:pPr>
        <w:pStyle w:val="GG-body"/>
        <w:spacing w:before="80"/>
        <w:ind w:left="284" w:hanging="284"/>
        <w:rPr>
          <w:b/>
        </w:rPr>
      </w:pPr>
      <w:r>
        <w:rPr>
          <w:b/>
        </w:rPr>
        <w:t>7.</w:t>
      </w:r>
      <w:r>
        <w:rPr>
          <w:b/>
        </w:rPr>
        <w:tab/>
      </w:r>
      <w:r w:rsidRPr="00B024EA">
        <w:rPr>
          <w:b/>
        </w:rPr>
        <w:t>Guidance Note</w:t>
      </w:r>
      <w:r>
        <w:rPr>
          <w:b/>
        </w:rPr>
        <w:t>s (Informative Only—</w:t>
      </w:r>
      <w:r w:rsidRPr="00B024EA">
        <w:rPr>
          <w:b/>
        </w:rPr>
        <w:t>Not Mandatory)</w:t>
      </w:r>
    </w:p>
    <w:p w:rsidR="00FF3538" w:rsidRDefault="00FF3538" w:rsidP="00FF3538">
      <w:pPr>
        <w:pStyle w:val="GG-body"/>
        <w:ind w:left="284"/>
      </w:pPr>
      <w:r>
        <w:t>Persons installing heating/cooling systems should have regard to the “Air Conditioning Residential Best Practice Guideline” (2003) published by the Australian Institute of Refrigeration, Air Conditioning and Heating (AIRAH). All reasonable endeavours should be used to recycle removed systems.</w:t>
      </w:r>
    </w:p>
    <w:p w:rsidR="00BE5AE5" w:rsidRDefault="00FF3538" w:rsidP="00FF3538">
      <w:pPr>
        <w:pStyle w:val="GG-body"/>
        <w:ind w:left="284"/>
      </w:pPr>
      <w:r>
        <w:t xml:space="preserve">Refrigerants and any other scheduled substances must be disposed of in accordance with the Australian and New Zealand refrigerant handling code of practice as established under the </w:t>
      </w:r>
      <w:r w:rsidRPr="00712946">
        <w:rPr>
          <w:i/>
        </w:rPr>
        <w:t>Ozone Protection and Synthetic Greenhouse Gas Management Act 1989</w:t>
      </w:r>
      <w:r>
        <w:t xml:space="preserve"> (Cth).</w:t>
      </w:r>
    </w:p>
    <w:p w:rsidR="00FF3538" w:rsidRDefault="00FF3538" w:rsidP="00FF3538">
      <w:pPr>
        <w:pStyle w:val="GG-body"/>
        <w:pBdr>
          <w:bottom w:val="single" w:sz="4" w:space="1" w:color="auto"/>
        </w:pBdr>
        <w:spacing w:after="0" w:line="52" w:lineRule="exact"/>
        <w:jc w:val="center"/>
        <w:rPr>
          <w:szCs w:val="20"/>
        </w:rPr>
      </w:pPr>
    </w:p>
    <w:p w:rsidR="00FF3538" w:rsidRDefault="00FF3538" w:rsidP="00FF3538">
      <w:pPr>
        <w:pStyle w:val="GG-body"/>
        <w:pBdr>
          <w:top w:val="single" w:sz="4" w:space="1" w:color="auto"/>
        </w:pBdr>
        <w:spacing w:before="34" w:after="0" w:line="14" w:lineRule="exact"/>
        <w:jc w:val="center"/>
        <w:rPr>
          <w:szCs w:val="20"/>
        </w:rPr>
      </w:pPr>
    </w:p>
    <w:p w:rsidR="00FF3538" w:rsidRDefault="00FF3538" w:rsidP="00CC173B">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20"/>
        </w:rPr>
      </w:pPr>
    </w:p>
    <w:p w:rsidR="006572DF" w:rsidRPr="006572DF" w:rsidRDefault="006572DF" w:rsidP="00EA25B1">
      <w:pPr>
        <w:pStyle w:val="Heading2"/>
      </w:pPr>
      <w:bookmarkStart w:id="65" w:name="_Toc91161260"/>
      <w:r w:rsidRPr="006572DF">
        <w:t>Environment Protection Act 1993</w:t>
      </w:r>
      <w:bookmarkEnd w:id="65"/>
    </w:p>
    <w:p w:rsidR="006572DF" w:rsidRPr="006572DF" w:rsidRDefault="006572DF" w:rsidP="006572DF">
      <w:pPr>
        <w:jc w:val="center"/>
        <w:rPr>
          <w:rFonts w:ascii="Times New Roman" w:hAnsi="Times New Roman"/>
          <w:smallCaps/>
          <w:sz w:val="17"/>
          <w:szCs w:val="17"/>
        </w:rPr>
      </w:pPr>
      <w:r w:rsidRPr="006572DF">
        <w:rPr>
          <w:rFonts w:ascii="Times New Roman" w:hAnsi="Times New Roman"/>
          <w:smallCaps/>
          <w:sz w:val="17"/>
          <w:szCs w:val="17"/>
        </w:rPr>
        <w:t>Section 68</w:t>
      </w:r>
    </w:p>
    <w:p w:rsidR="006572DF" w:rsidRPr="006572DF" w:rsidRDefault="006572DF" w:rsidP="006572DF">
      <w:pPr>
        <w:jc w:val="center"/>
        <w:rPr>
          <w:rFonts w:ascii="Times New Roman" w:hAnsi="Times New Roman"/>
          <w:i/>
          <w:sz w:val="17"/>
          <w:szCs w:val="17"/>
        </w:rPr>
      </w:pPr>
      <w:r w:rsidRPr="006572DF">
        <w:rPr>
          <w:rFonts w:ascii="Times New Roman" w:hAnsi="Times New Roman"/>
          <w:i/>
          <w:sz w:val="17"/>
          <w:szCs w:val="17"/>
        </w:rPr>
        <w:t>Approval of Category B Containers</w:t>
      </w:r>
    </w:p>
    <w:p w:rsidR="006572DF" w:rsidRPr="006572DF" w:rsidRDefault="006572DF" w:rsidP="006572DF">
      <w:pPr>
        <w:rPr>
          <w:rFonts w:ascii="Times New Roman" w:eastAsia="Times New Roman" w:hAnsi="Times New Roman"/>
          <w:sz w:val="17"/>
          <w:szCs w:val="17"/>
        </w:rPr>
      </w:pPr>
      <w:r w:rsidRPr="006572DF">
        <w:rPr>
          <w:rFonts w:ascii="Times New Roman" w:eastAsia="Times New Roman" w:hAnsi="Times New Roman"/>
          <w:spacing w:val="-2"/>
          <w:sz w:val="17"/>
          <w:szCs w:val="17"/>
        </w:rPr>
        <w:t xml:space="preserve">I, Nicholas Stewart, Team Leader, Container Deposit Scheme and Product Stewardship and Delegate of the Environment Protection Authority </w:t>
      </w:r>
      <w:r w:rsidRPr="006572DF">
        <w:rPr>
          <w:rFonts w:ascii="Times New Roman" w:eastAsia="Times New Roman" w:hAnsi="Times New Roman"/>
          <w:sz w:val="17"/>
          <w:szCs w:val="17"/>
        </w:rPr>
        <w:t xml:space="preserve">(‘the Authority’), pursuant to section 68 of the </w:t>
      </w:r>
      <w:r w:rsidRPr="006572DF">
        <w:rPr>
          <w:rFonts w:ascii="Times New Roman" w:eastAsia="Times New Roman" w:hAnsi="Times New Roman"/>
          <w:i/>
          <w:sz w:val="17"/>
          <w:szCs w:val="17"/>
        </w:rPr>
        <w:t>Environment Protection Act 1993</w:t>
      </w:r>
      <w:r w:rsidRPr="006572DF">
        <w:rPr>
          <w:rFonts w:ascii="Times New Roman" w:eastAsia="Times New Roman" w:hAnsi="Times New Roman"/>
          <w:sz w:val="17"/>
          <w:szCs w:val="17"/>
        </w:rPr>
        <w:t xml:space="preserve"> (SA) (‘the Act’) hereby:</w:t>
      </w:r>
    </w:p>
    <w:p w:rsidR="006572DF" w:rsidRPr="006572DF" w:rsidRDefault="006572DF" w:rsidP="006572DF">
      <w:pPr>
        <w:ind w:left="142"/>
        <w:rPr>
          <w:rFonts w:ascii="Times New Roman" w:eastAsia="Times New Roman" w:hAnsi="Times New Roman"/>
          <w:sz w:val="17"/>
          <w:szCs w:val="17"/>
        </w:rPr>
      </w:pPr>
      <w:r w:rsidRPr="006572DF">
        <w:rPr>
          <w:rFonts w:ascii="Times New Roman" w:eastAsia="Times New Roman" w:hAnsi="Times New Roman"/>
          <w:sz w:val="17"/>
          <w:szCs w:val="17"/>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rsidR="006572DF" w:rsidRPr="006572DF" w:rsidRDefault="006572DF" w:rsidP="006572DF">
      <w:pPr>
        <w:ind w:left="709" w:hanging="284"/>
        <w:rPr>
          <w:rFonts w:ascii="Times New Roman" w:eastAsia="Times New Roman" w:hAnsi="Times New Roman"/>
          <w:sz w:val="17"/>
          <w:szCs w:val="17"/>
        </w:rPr>
      </w:pPr>
      <w:r w:rsidRPr="006572DF">
        <w:rPr>
          <w:rFonts w:ascii="Times New Roman" w:eastAsia="Times New Roman" w:hAnsi="Times New Roman"/>
          <w:sz w:val="17"/>
          <w:szCs w:val="17"/>
        </w:rPr>
        <w:t>(a)</w:t>
      </w:r>
      <w:r w:rsidRPr="006572DF">
        <w:rPr>
          <w:rFonts w:ascii="Times New Roman" w:eastAsia="Times New Roman" w:hAnsi="Times New Roman"/>
          <w:sz w:val="17"/>
          <w:szCs w:val="17"/>
        </w:rPr>
        <w:tab/>
        <w:t>the product which each class of containers shall contain;</w:t>
      </w:r>
    </w:p>
    <w:p w:rsidR="006572DF" w:rsidRPr="006572DF" w:rsidRDefault="006572DF" w:rsidP="006572DF">
      <w:pPr>
        <w:ind w:left="709" w:hanging="284"/>
        <w:rPr>
          <w:rFonts w:ascii="Times New Roman" w:eastAsia="Times New Roman" w:hAnsi="Times New Roman"/>
          <w:sz w:val="17"/>
          <w:szCs w:val="17"/>
        </w:rPr>
      </w:pPr>
      <w:r w:rsidRPr="006572DF">
        <w:rPr>
          <w:rFonts w:ascii="Times New Roman" w:eastAsia="Times New Roman" w:hAnsi="Times New Roman"/>
          <w:sz w:val="17"/>
          <w:szCs w:val="17"/>
        </w:rPr>
        <w:t>(b)</w:t>
      </w:r>
      <w:r w:rsidRPr="006572DF">
        <w:rPr>
          <w:rFonts w:ascii="Times New Roman" w:eastAsia="Times New Roman" w:hAnsi="Times New Roman"/>
          <w:sz w:val="17"/>
          <w:szCs w:val="17"/>
        </w:rPr>
        <w:tab/>
        <w:t>the size of the containers;</w:t>
      </w:r>
    </w:p>
    <w:p w:rsidR="006572DF" w:rsidRPr="006572DF" w:rsidRDefault="006572DF" w:rsidP="006572DF">
      <w:pPr>
        <w:ind w:left="709" w:hanging="284"/>
        <w:rPr>
          <w:rFonts w:ascii="Times New Roman" w:eastAsia="Times New Roman" w:hAnsi="Times New Roman"/>
          <w:sz w:val="17"/>
          <w:szCs w:val="17"/>
        </w:rPr>
      </w:pPr>
      <w:r w:rsidRPr="006572DF">
        <w:rPr>
          <w:rFonts w:ascii="Times New Roman" w:eastAsia="Times New Roman" w:hAnsi="Times New Roman"/>
          <w:sz w:val="17"/>
          <w:szCs w:val="17"/>
        </w:rPr>
        <w:t>(c)</w:t>
      </w:r>
      <w:r w:rsidRPr="006572DF">
        <w:rPr>
          <w:rFonts w:ascii="Times New Roman" w:eastAsia="Times New Roman" w:hAnsi="Times New Roman"/>
          <w:sz w:val="17"/>
          <w:szCs w:val="17"/>
        </w:rPr>
        <w:tab/>
        <w:t>the type of containers;</w:t>
      </w:r>
    </w:p>
    <w:p w:rsidR="006572DF" w:rsidRPr="006572DF" w:rsidRDefault="006572DF" w:rsidP="006572DF">
      <w:pPr>
        <w:ind w:left="709" w:hanging="284"/>
        <w:rPr>
          <w:rFonts w:ascii="Times New Roman" w:eastAsia="Times New Roman" w:hAnsi="Times New Roman"/>
          <w:sz w:val="17"/>
          <w:szCs w:val="17"/>
        </w:rPr>
      </w:pPr>
      <w:r w:rsidRPr="006572DF">
        <w:rPr>
          <w:rFonts w:ascii="Times New Roman" w:eastAsia="Times New Roman" w:hAnsi="Times New Roman"/>
          <w:sz w:val="17"/>
          <w:szCs w:val="17"/>
        </w:rPr>
        <w:t>(d)</w:t>
      </w:r>
      <w:r w:rsidRPr="006572DF">
        <w:rPr>
          <w:rFonts w:ascii="Times New Roman" w:eastAsia="Times New Roman" w:hAnsi="Times New Roman"/>
          <w:sz w:val="17"/>
          <w:szCs w:val="17"/>
        </w:rPr>
        <w:tab/>
        <w:t>the name of the holders of these approvals.</w:t>
      </w:r>
    </w:p>
    <w:p w:rsidR="00766830" w:rsidRDefault="00766830">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rsidR="006572DF" w:rsidRPr="006572DF" w:rsidRDefault="006572DF" w:rsidP="006572DF">
      <w:pPr>
        <w:ind w:left="426" w:hanging="284"/>
        <w:rPr>
          <w:rFonts w:ascii="Times New Roman" w:eastAsia="Times New Roman" w:hAnsi="Times New Roman"/>
          <w:sz w:val="17"/>
          <w:szCs w:val="17"/>
        </w:rPr>
      </w:pPr>
      <w:r w:rsidRPr="006572DF">
        <w:rPr>
          <w:rFonts w:ascii="Times New Roman" w:eastAsia="Times New Roman" w:hAnsi="Times New Roman"/>
          <w:sz w:val="17"/>
          <w:szCs w:val="17"/>
        </w:rPr>
        <w:lastRenderedPageBreak/>
        <w:t>1.</w:t>
      </w:r>
      <w:r w:rsidRPr="006572DF">
        <w:rPr>
          <w:rFonts w:ascii="Times New Roman" w:eastAsia="Times New Roman" w:hAnsi="Times New Roman"/>
          <w:sz w:val="17"/>
          <w:szCs w:val="17"/>
        </w:rPr>
        <w:tab/>
        <w:t>That containers of the class to which the approval relates must bear the refund marking specified by the Authority for containers of that class. The Authority specifies the following refund markings for Category B containers:</w:t>
      </w:r>
    </w:p>
    <w:p w:rsidR="006572DF" w:rsidRPr="006572DF" w:rsidRDefault="006572DF" w:rsidP="006572DF">
      <w:pPr>
        <w:ind w:left="709" w:hanging="284"/>
        <w:rPr>
          <w:rFonts w:ascii="Times New Roman" w:eastAsia="Times New Roman" w:hAnsi="Times New Roman"/>
          <w:sz w:val="17"/>
          <w:szCs w:val="17"/>
        </w:rPr>
      </w:pPr>
      <w:r w:rsidRPr="006572DF">
        <w:rPr>
          <w:rFonts w:ascii="Times New Roman" w:eastAsia="Times New Roman" w:hAnsi="Times New Roman"/>
          <w:sz w:val="17"/>
          <w:szCs w:val="17"/>
        </w:rPr>
        <w:t>(1)</w:t>
      </w:r>
      <w:r w:rsidRPr="006572DF">
        <w:rPr>
          <w:rFonts w:ascii="Times New Roman" w:eastAsia="Times New Roman" w:hAnsi="Times New Roman"/>
          <w:sz w:val="17"/>
          <w:szCs w:val="17"/>
        </w:rPr>
        <w:tab/>
        <w:t>“10c refund at collection depots when sold in SA”; or</w:t>
      </w:r>
    </w:p>
    <w:p w:rsidR="006572DF" w:rsidRPr="006572DF" w:rsidRDefault="006572DF" w:rsidP="006572DF">
      <w:pPr>
        <w:ind w:left="709" w:hanging="284"/>
        <w:rPr>
          <w:rFonts w:ascii="Times New Roman" w:eastAsia="Times New Roman" w:hAnsi="Times New Roman"/>
          <w:sz w:val="17"/>
          <w:szCs w:val="17"/>
        </w:rPr>
      </w:pPr>
      <w:r w:rsidRPr="006572DF">
        <w:rPr>
          <w:rFonts w:ascii="Times New Roman" w:eastAsia="Times New Roman" w:hAnsi="Times New Roman"/>
          <w:sz w:val="17"/>
          <w:szCs w:val="17"/>
        </w:rPr>
        <w:t>(2)</w:t>
      </w:r>
      <w:r w:rsidRPr="006572DF">
        <w:rPr>
          <w:rFonts w:ascii="Times New Roman" w:eastAsia="Times New Roman" w:hAnsi="Times New Roman"/>
          <w:sz w:val="17"/>
          <w:szCs w:val="17"/>
        </w:rPr>
        <w:tab/>
        <w:t>“10c refund at SA/NT collection depots in State/Territory of purchase”; or</w:t>
      </w:r>
    </w:p>
    <w:p w:rsidR="006572DF" w:rsidRPr="006572DF" w:rsidRDefault="006572DF" w:rsidP="006572DF">
      <w:pPr>
        <w:ind w:left="709" w:hanging="284"/>
        <w:rPr>
          <w:rFonts w:ascii="Times New Roman" w:eastAsia="Times New Roman" w:hAnsi="Times New Roman"/>
          <w:sz w:val="17"/>
          <w:szCs w:val="17"/>
        </w:rPr>
      </w:pPr>
      <w:r w:rsidRPr="006572DF">
        <w:rPr>
          <w:rFonts w:ascii="Times New Roman" w:eastAsia="Times New Roman" w:hAnsi="Times New Roman"/>
          <w:sz w:val="17"/>
          <w:szCs w:val="17"/>
        </w:rPr>
        <w:t>(3)</w:t>
      </w:r>
      <w:r w:rsidRPr="006572DF">
        <w:rPr>
          <w:rFonts w:ascii="Times New Roman" w:eastAsia="Times New Roman" w:hAnsi="Times New Roman"/>
          <w:sz w:val="17"/>
          <w:szCs w:val="17"/>
        </w:rPr>
        <w:tab/>
        <w:t>“10c refund at collection depots/points in participating state/territory of purchase”.</w:t>
      </w:r>
    </w:p>
    <w:p w:rsidR="006572DF" w:rsidRPr="006572DF" w:rsidRDefault="006572DF" w:rsidP="006572DF">
      <w:pPr>
        <w:ind w:left="426" w:hanging="284"/>
        <w:rPr>
          <w:rFonts w:ascii="Times New Roman" w:eastAsia="Times New Roman" w:hAnsi="Times New Roman"/>
          <w:sz w:val="17"/>
          <w:szCs w:val="17"/>
        </w:rPr>
      </w:pPr>
      <w:r w:rsidRPr="006572DF">
        <w:rPr>
          <w:rFonts w:ascii="Times New Roman" w:eastAsia="Times New Roman" w:hAnsi="Times New Roman"/>
          <w:sz w:val="17"/>
          <w:szCs w:val="17"/>
        </w:rPr>
        <w:t>2.</w:t>
      </w:r>
      <w:r w:rsidRPr="006572DF">
        <w:rPr>
          <w:rFonts w:ascii="Times New Roman" w:eastAsia="Times New Roman" w:hAnsi="Times New Roman"/>
          <w:sz w:val="17"/>
          <w:szCs w:val="17"/>
        </w:rPr>
        <w:tab/>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rsidR="006572DF" w:rsidRPr="006572DF" w:rsidRDefault="006572DF" w:rsidP="006572DF">
      <w:pPr>
        <w:ind w:left="426" w:hanging="284"/>
        <w:rPr>
          <w:rFonts w:ascii="Times New Roman" w:eastAsia="Times New Roman" w:hAnsi="Times New Roman"/>
          <w:sz w:val="17"/>
          <w:szCs w:val="17"/>
        </w:rPr>
      </w:pPr>
      <w:r w:rsidRPr="006572DF">
        <w:rPr>
          <w:rFonts w:ascii="Times New Roman" w:eastAsia="Times New Roman" w:hAnsi="Times New Roman"/>
          <w:sz w:val="17"/>
          <w:szCs w:val="17"/>
        </w:rPr>
        <w:t>3.</w:t>
      </w:r>
      <w:r w:rsidRPr="006572DF">
        <w:rPr>
          <w:rFonts w:ascii="Times New Roman" w:eastAsia="Times New Roman" w:hAnsi="Times New Roman"/>
          <w:sz w:val="17"/>
          <w:szCs w:val="17"/>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rsidR="006572DF" w:rsidRPr="006572DF" w:rsidRDefault="006572DF" w:rsidP="006572DF">
      <w:pPr>
        <w:ind w:left="426" w:hanging="284"/>
        <w:rPr>
          <w:rFonts w:ascii="Times New Roman" w:eastAsia="Times New Roman" w:hAnsi="Times New Roman"/>
          <w:sz w:val="17"/>
          <w:szCs w:val="17"/>
        </w:rPr>
      </w:pPr>
      <w:r w:rsidRPr="006572DF">
        <w:rPr>
          <w:rFonts w:ascii="Times New Roman" w:eastAsia="Times New Roman" w:hAnsi="Times New Roman"/>
          <w:sz w:val="17"/>
          <w:szCs w:val="17"/>
        </w:rPr>
        <w:t>4.</w:t>
      </w:r>
      <w:r w:rsidRPr="006572DF">
        <w:rPr>
          <w:rFonts w:ascii="Times New Roman" w:eastAsia="Times New Roman" w:hAnsi="Times New Roman"/>
          <w:sz w:val="17"/>
          <w:szCs w:val="17"/>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rsidR="006572DF" w:rsidRPr="006572DF" w:rsidRDefault="006572DF" w:rsidP="006572DF">
      <w:pPr>
        <w:spacing w:after="0"/>
        <w:rPr>
          <w:rFonts w:ascii="Times New Roman" w:eastAsia="Times New Roman" w:hAnsi="Times New Roman"/>
          <w:sz w:val="17"/>
          <w:szCs w:val="17"/>
        </w:rPr>
      </w:pPr>
      <w:r w:rsidRPr="006572DF">
        <w:rPr>
          <w:rFonts w:ascii="Times New Roman" w:eastAsia="Times New Roman" w:hAnsi="Times New Roman"/>
          <w:sz w:val="17"/>
          <w:szCs w:val="17"/>
        </w:rPr>
        <w:t>Dated: 23 December 2021</w:t>
      </w:r>
    </w:p>
    <w:p w:rsidR="006572DF" w:rsidRPr="006572DF" w:rsidRDefault="006572DF" w:rsidP="006572DF">
      <w:pPr>
        <w:spacing w:after="0"/>
        <w:jc w:val="right"/>
        <w:rPr>
          <w:rFonts w:ascii="Times New Roman" w:eastAsia="Times New Roman" w:hAnsi="Times New Roman"/>
          <w:smallCaps/>
          <w:sz w:val="17"/>
          <w:szCs w:val="20"/>
        </w:rPr>
      </w:pPr>
      <w:r w:rsidRPr="006572DF">
        <w:rPr>
          <w:rFonts w:ascii="Times New Roman" w:eastAsia="Times New Roman" w:hAnsi="Times New Roman"/>
          <w:smallCaps/>
          <w:sz w:val="17"/>
          <w:szCs w:val="20"/>
        </w:rPr>
        <w:t>Nicholas Stewart</w:t>
      </w:r>
    </w:p>
    <w:p w:rsidR="006572DF" w:rsidRPr="006572DF" w:rsidRDefault="006572DF" w:rsidP="006572DF">
      <w:pPr>
        <w:spacing w:after="0"/>
        <w:jc w:val="right"/>
        <w:rPr>
          <w:rFonts w:ascii="Times New Roman" w:eastAsia="Times New Roman" w:hAnsi="Times New Roman"/>
          <w:sz w:val="17"/>
          <w:szCs w:val="17"/>
        </w:rPr>
      </w:pPr>
      <w:r w:rsidRPr="006572DF">
        <w:rPr>
          <w:rFonts w:ascii="Times New Roman" w:eastAsia="Times New Roman" w:hAnsi="Times New Roman"/>
          <w:sz w:val="17"/>
          <w:szCs w:val="17"/>
        </w:rPr>
        <w:t>Team Leader, Container Deposit Scheme and Product Stewardship</w:t>
      </w:r>
    </w:p>
    <w:p w:rsidR="006572DF" w:rsidRPr="006572DF" w:rsidRDefault="006572DF" w:rsidP="006572DF">
      <w:pPr>
        <w:spacing w:after="0"/>
        <w:jc w:val="right"/>
        <w:rPr>
          <w:rFonts w:ascii="Times New Roman" w:eastAsia="Times New Roman" w:hAnsi="Times New Roman"/>
          <w:sz w:val="17"/>
          <w:szCs w:val="17"/>
        </w:rPr>
      </w:pPr>
      <w:r w:rsidRPr="006572DF">
        <w:rPr>
          <w:rFonts w:ascii="Times New Roman" w:eastAsia="Times New Roman" w:hAnsi="Times New Roman"/>
          <w:sz w:val="17"/>
          <w:szCs w:val="17"/>
        </w:rPr>
        <w:t>Delegate of the Environment Protection Authority</w:t>
      </w:r>
    </w:p>
    <w:p w:rsidR="006572DF" w:rsidRPr="006572DF" w:rsidRDefault="006572DF" w:rsidP="006572DF">
      <w:pPr>
        <w:pBdr>
          <w:top w:val="single" w:sz="4" w:space="1" w:color="auto"/>
        </w:pBdr>
        <w:spacing w:before="100" w:line="14" w:lineRule="exact"/>
        <w:ind w:left="1080" w:right="1080"/>
        <w:jc w:val="center"/>
        <w:rPr>
          <w:rFonts w:ascii="Times New Roman" w:eastAsia="Times New Roman" w:hAnsi="Times New Roman"/>
          <w:sz w:val="17"/>
          <w:szCs w:val="17"/>
        </w:rPr>
      </w:pPr>
    </w:p>
    <w:p w:rsidR="006572DF" w:rsidRPr="006572DF" w:rsidRDefault="006572DF" w:rsidP="006572DF">
      <w:pPr>
        <w:jc w:val="center"/>
        <w:rPr>
          <w:rFonts w:ascii="Times New Roman" w:hAnsi="Times New Roman"/>
          <w:smallCaps/>
          <w:sz w:val="17"/>
          <w:szCs w:val="17"/>
        </w:rPr>
      </w:pPr>
      <w:r w:rsidRPr="006572DF">
        <w:rPr>
          <w:rFonts w:ascii="Times New Roman" w:hAnsi="Times New Roman"/>
          <w:smallCaps/>
          <w:sz w:val="17"/>
          <w:szCs w:val="17"/>
        </w:rPr>
        <w:t>Schedule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78"/>
        <w:gridCol w:w="853"/>
        <w:gridCol w:w="1133"/>
        <w:gridCol w:w="2233"/>
        <w:gridCol w:w="1563"/>
      </w:tblGrid>
      <w:tr w:rsidR="006572DF" w:rsidRPr="006572DF" w:rsidTr="00491D21">
        <w:trPr>
          <w:trHeight w:val="20"/>
          <w:tblHeader/>
        </w:trPr>
        <w:tc>
          <w:tcPr>
            <w:tcW w:w="1911" w:type="pct"/>
            <w:tcBorders>
              <w:top w:val="single" w:sz="4" w:space="0" w:color="auto"/>
              <w:bottom w:val="single" w:sz="4" w:space="0" w:color="auto"/>
            </w:tcBorders>
            <w:noWrap/>
            <w:vAlign w:val="center"/>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6572DF">
              <w:rPr>
                <w:b/>
                <w:bCs/>
                <w:sz w:val="17"/>
                <w:szCs w:val="17"/>
              </w:rPr>
              <w:t>Column 1</w:t>
            </w:r>
          </w:p>
        </w:tc>
        <w:tc>
          <w:tcPr>
            <w:tcW w:w="455" w:type="pct"/>
            <w:tcBorders>
              <w:top w:val="single" w:sz="4" w:space="0" w:color="auto"/>
              <w:bottom w:val="single" w:sz="4" w:space="0" w:color="auto"/>
            </w:tcBorders>
            <w:noWrap/>
            <w:vAlign w:val="center"/>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6572DF">
              <w:rPr>
                <w:b/>
                <w:bCs/>
                <w:sz w:val="17"/>
                <w:szCs w:val="17"/>
              </w:rPr>
              <w:t>Column 2</w:t>
            </w:r>
          </w:p>
        </w:tc>
        <w:tc>
          <w:tcPr>
            <w:tcW w:w="605" w:type="pct"/>
            <w:tcBorders>
              <w:top w:val="single" w:sz="4" w:space="0" w:color="auto"/>
              <w:bottom w:val="single" w:sz="4" w:space="0" w:color="auto"/>
            </w:tcBorders>
            <w:noWrap/>
            <w:vAlign w:val="center"/>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6572DF">
              <w:rPr>
                <w:b/>
                <w:bCs/>
                <w:sz w:val="17"/>
                <w:szCs w:val="17"/>
              </w:rPr>
              <w:t>Column 3</w:t>
            </w:r>
          </w:p>
        </w:tc>
        <w:tc>
          <w:tcPr>
            <w:tcW w:w="1193" w:type="pct"/>
            <w:tcBorders>
              <w:top w:val="single" w:sz="4" w:space="0" w:color="auto"/>
              <w:bottom w:val="single" w:sz="4" w:space="0" w:color="auto"/>
            </w:tcBorders>
            <w:noWrap/>
            <w:vAlign w:val="center"/>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6572DF">
              <w:rPr>
                <w:b/>
                <w:bCs/>
                <w:sz w:val="17"/>
                <w:szCs w:val="17"/>
              </w:rPr>
              <w:t>Column 4</w:t>
            </w:r>
          </w:p>
        </w:tc>
        <w:tc>
          <w:tcPr>
            <w:tcW w:w="835" w:type="pct"/>
            <w:tcBorders>
              <w:top w:val="single" w:sz="4" w:space="0" w:color="auto"/>
              <w:bottom w:val="single" w:sz="4" w:space="0" w:color="auto"/>
            </w:tcBorders>
            <w:noWrap/>
            <w:vAlign w:val="center"/>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6572DF">
              <w:rPr>
                <w:b/>
                <w:bCs/>
                <w:sz w:val="17"/>
                <w:szCs w:val="17"/>
              </w:rPr>
              <w:t>Column 5</w:t>
            </w:r>
          </w:p>
        </w:tc>
      </w:tr>
      <w:tr w:rsidR="006572DF" w:rsidRPr="006572DF" w:rsidTr="00491D21">
        <w:trPr>
          <w:trHeight w:val="20"/>
          <w:tblHeader/>
        </w:trPr>
        <w:tc>
          <w:tcPr>
            <w:tcW w:w="1911" w:type="pct"/>
            <w:tcBorders>
              <w:top w:val="single" w:sz="4" w:space="0" w:color="auto"/>
              <w:bottom w:val="single" w:sz="4" w:space="0" w:color="auto"/>
            </w:tcBorders>
            <w:noWrap/>
            <w:vAlign w:val="center"/>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6572DF">
              <w:rPr>
                <w:b/>
                <w:bCs/>
                <w:sz w:val="17"/>
                <w:szCs w:val="17"/>
              </w:rPr>
              <w:t>Product Name</w:t>
            </w:r>
          </w:p>
        </w:tc>
        <w:tc>
          <w:tcPr>
            <w:tcW w:w="455" w:type="pct"/>
            <w:tcBorders>
              <w:top w:val="single" w:sz="4" w:space="0" w:color="auto"/>
              <w:bottom w:val="single" w:sz="4" w:space="0" w:color="auto"/>
            </w:tcBorders>
            <w:noWrap/>
            <w:vAlign w:val="center"/>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6572DF">
              <w:rPr>
                <w:b/>
                <w:bCs/>
                <w:sz w:val="17"/>
                <w:szCs w:val="17"/>
              </w:rPr>
              <w:t>Container Size</w:t>
            </w:r>
          </w:p>
        </w:tc>
        <w:tc>
          <w:tcPr>
            <w:tcW w:w="605" w:type="pct"/>
            <w:tcBorders>
              <w:top w:val="single" w:sz="4" w:space="0" w:color="auto"/>
              <w:bottom w:val="single" w:sz="4" w:space="0" w:color="auto"/>
            </w:tcBorders>
            <w:noWrap/>
            <w:vAlign w:val="center"/>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6572DF">
              <w:rPr>
                <w:b/>
                <w:bCs/>
                <w:sz w:val="17"/>
                <w:szCs w:val="17"/>
              </w:rPr>
              <w:t>Container Type</w:t>
            </w:r>
          </w:p>
        </w:tc>
        <w:tc>
          <w:tcPr>
            <w:tcW w:w="1193" w:type="pct"/>
            <w:tcBorders>
              <w:top w:val="single" w:sz="4" w:space="0" w:color="auto"/>
              <w:bottom w:val="single" w:sz="4" w:space="0" w:color="auto"/>
            </w:tcBorders>
            <w:noWrap/>
            <w:vAlign w:val="center"/>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6572DF">
              <w:rPr>
                <w:b/>
                <w:bCs/>
                <w:sz w:val="17"/>
                <w:szCs w:val="17"/>
              </w:rPr>
              <w:t>Approval Holder</w:t>
            </w:r>
          </w:p>
        </w:tc>
        <w:tc>
          <w:tcPr>
            <w:tcW w:w="835" w:type="pct"/>
            <w:tcBorders>
              <w:top w:val="single" w:sz="4" w:space="0" w:color="auto"/>
              <w:bottom w:val="single" w:sz="4" w:space="0" w:color="auto"/>
            </w:tcBorders>
            <w:noWrap/>
            <w:vAlign w:val="center"/>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6572DF">
              <w:rPr>
                <w:b/>
                <w:bCs/>
                <w:sz w:val="17"/>
                <w:szCs w:val="17"/>
              </w:rPr>
              <w:t>Collection Arrangements</w:t>
            </w:r>
          </w:p>
        </w:tc>
      </w:tr>
      <w:tr w:rsidR="006572DF" w:rsidRPr="006572DF" w:rsidTr="00491D21">
        <w:trPr>
          <w:trHeight w:val="20"/>
          <w:tblHeader/>
        </w:trPr>
        <w:tc>
          <w:tcPr>
            <w:tcW w:w="1911" w:type="pct"/>
            <w:tcBorders>
              <w:top w:val="single" w:sz="4" w:space="0" w:color="auto"/>
            </w:tcBorders>
            <w:noWrap/>
            <w:vAlign w:val="center"/>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Cs/>
                <w:sz w:val="17"/>
                <w:szCs w:val="17"/>
              </w:rPr>
            </w:pPr>
          </w:p>
        </w:tc>
        <w:tc>
          <w:tcPr>
            <w:tcW w:w="455" w:type="pct"/>
            <w:tcBorders>
              <w:top w:val="single" w:sz="4" w:space="0" w:color="auto"/>
            </w:tcBorders>
            <w:noWrap/>
            <w:vAlign w:val="center"/>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Cs/>
                <w:sz w:val="17"/>
                <w:szCs w:val="17"/>
              </w:rPr>
            </w:pPr>
          </w:p>
        </w:tc>
        <w:tc>
          <w:tcPr>
            <w:tcW w:w="605" w:type="pct"/>
            <w:tcBorders>
              <w:top w:val="single" w:sz="4" w:space="0" w:color="auto"/>
            </w:tcBorders>
            <w:noWrap/>
            <w:vAlign w:val="center"/>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Cs/>
                <w:sz w:val="17"/>
                <w:szCs w:val="17"/>
              </w:rPr>
            </w:pPr>
          </w:p>
        </w:tc>
        <w:tc>
          <w:tcPr>
            <w:tcW w:w="1193" w:type="pct"/>
            <w:tcBorders>
              <w:top w:val="single" w:sz="4" w:space="0" w:color="auto"/>
            </w:tcBorders>
            <w:noWrap/>
            <w:vAlign w:val="center"/>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Cs/>
                <w:sz w:val="17"/>
                <w:szCs w:val="17"/>
              </w:rPr>
            </w:pPr>
          </w:p>
        </w:tc>
        <w:tc>
          <w:tcPr>
            <w:tcW w:w="835" w:type="pct"/>
            <w:tcBorders>
              <w:top w:val="single" w:sz="4" w:space="0" w:color="auto"/>
            </w:tcBorders>
            <w:noWrap/>
            <w:vAlign w:val="center"/>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Cs/>
                <w:sz w:val="17"/>
                <w:szCs w:val="17"/>
              </w:rPr>
            </w:pP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London Essence Co Blood Orange &amp; Elderflower Tonic Water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3TWO1 Import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The London Essence Co Delicate London </w:t>
            </w:r>
            <w:r w:rsidRPr="006572DF">
              <w:rPr>
                <w:sz w:val="17"/>
                <w:szCs w:val="17"/>
              </w:rPr>
              <w:br/>
              <w:t>Ginger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3TWO1 Import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London Essence Co Grapefruit &amp; Rosemary Tonic Water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3TWO1 Import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London Essence Co LE Soda Water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3TWO1 Import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The London Essence Co Original Indian </w:t>
            </w:r>
            <w:r w:rsidRPr="006572DF">
              <w:rPr>
                <w:sz w:val="17"/>
                <w:szCs w:val="17"/>
              </w:rPr>
              <w:br/>
              <w:t>Tonic Water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3TWO1 Import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The London Essence Co Perfectly Spiced </w:t>
            </w:r>
            <w:r w:rsidRPr="006572DF">
              <w:rPr>
                <w:sz w:val="17"/>
                <w:szCs w:val="17"/>
              </w:rPr>
              <w:br/>
              <w:t>Ginger Beer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3TWO1 Import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London Essence Co Roasted Pineapple Crafted Soda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3TWO1 Import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London Essence Co White Peach &amp; Jasmine Crafted Soda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3TWO1 Import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5161 Tony Tony Cold Drip Coffee Concentrate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5161</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89 STH Old School Dry</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89 South Brewing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Lipton No Sugar Lemon Flavour Ice Tea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Asahi Beverages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Lipton No Sugar Lemon Flavour Ice Tea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1,500ml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Asahi Beverages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Lipton No Sugar Peach Flavour Ice Tea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Asahi Beverages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Lipton No Sugar Peach Flavour Ice Tea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1,500ml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Asahi Beverages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Good Tides Hard Seltzer Sparkling Water + Vodka Blackcurrant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Asahi Premium Beverages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Good Tides Hard Seltzer Sparkling Water + Vodka Mango</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Asahi Premium Beverages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Good Tides Hard Seltzer Sparkling Water + Vodka Watermelon</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Asahi Premium Beverages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Vodka Cruiser Free Zero Sugar Strawberry Watermelon Flavour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Asahi Premium Beverages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Vodka Cruiser It’s Your Sour Strawberry Flavour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Asahi Premium Beverages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Three Oaks Cider Co Tropical Hard Cider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Bickford’s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Big Shed Brewing Apricot And Peach Cheesecake Imperial Sour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Big Shed Brewing Concern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Big Shed Brewing Beauty And The Beast Lager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Big Shed Brewing Concern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Big Shed Brewing Blueberry And Pomegranate Cider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Big Shed Brewing Concern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Big Shed Brewing Cale For The Drive Home </w:t>
            </w:r>
            <w:r w:rsidRPr="006572DF">
              <w:rPr>
                <w:sz w:val="17"/>
                <w:szCs w:val="17"/>
              </w:rPr>
              <w:br/>
              <w:t>End Of Year Apple Cider At Home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Big Shed Brewing Concern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Big Shed Brewing Cold Californicator Cold IPA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Big Shed Brewing Concern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Big Shed Brewing Hellweisse Non Alcoholic Mango Sour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Big Shed Brewing Concern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Big Shed Brewing Lucky’s Hamptons Hazy</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Big Shed Brewing Concern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Big Shed Brewing M Metricon Lager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Big Shed Brewing Concern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Big Shed Brewing Triple MMM 104.7 Lager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Big Shed Brewing Concern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Billson’s Vodka Creamy Soda Lightly Sparkling Mixed Spirit Drink</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Billson’s Beverages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lastRenderedPageBreak/>
              <w:t xml:space="preserve">Billson’s Vodka Portello Lightly Sparkling </w:t>
            </w:r>
            <w:r w:rsidRPr="006572DF">
              <w:rPr>
                <w:sz w:val="17"/>
                <w:szCs w:val="17"/>
              </w:rPr>
              <w:br/>
              <w:t>Mixed Spirit Drink</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Billson’s Beverages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Billson’s Vodka Sarsaparilla Lightly Sparkling Mixed Spirit Drink</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Billson’s Beverages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Bobby Prebiotic Soft Drink Berry Low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Bobby’s Drinks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Bobby Prebiotic Soft Drink Cola Low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Bobby’s Drinks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Bobby Prebiotic Soft Drink Lemon Low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Bobby’s Drinks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Bobby Prebiotic Soft Drink Orange Low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Bobby’s Drinks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BSC Premium Protein Shake Banana Flavour </w:t>
            </w:r>
            <w:r w:rsidRPr="006572DF">
              <w:rPr>
                <w:sz w:val="17"/>
                <w:szCs w:val="17"/>
              </w:rPr>
              <w:br/>
              <w:t>Low Fat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450ml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Body Science International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BSC Premium Protein Shake Chocolate Flavour Low Fat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450ml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Body Science International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BSC Premium Protein Shake Vanilla Flavour </w:t>
            </w:r>
            <w:r w:rsidRPr="006572DF">
              <w:rPr>
                <w:sz w:val="17"/>
                <w:szCs w:val="17"/>
              </w:rPr>
              <w:br/>
              <w:t>Low Fat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450ml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Body Science International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Champ Chocolate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600ml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LiquidPaper</w:t>
            </w:r>
            <w:r w:rsidRPr="006572DF">
              <w:rPr>
                <w:sz w:val="17"/>
                <w:szCs w:val="17"/>
              </w:rPr>
              <w:br/>
              <w:t>Board</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Brownes Foods Operations </w:t>
            </w:r>
            <w:r w:rsidRPr="006572DF">
              <w:rPr>
                <w:sz w:val="17"/>
                <w:szCs w:val="17"/>
              </w:rPr>
              <w:br/>
              <w:t>Pty Limited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Champ Iced Coffee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600ml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LiquidPaper</w:t>
            </w:r>
            <w:r w:rsidRPr="006572DF">
              <w:rPr>
                <w:sz w:val="17"/>
                <w:szCs w:val="17"/>
              </w:rPr>
              <w:br/>
              <w:t>Board</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Brownes Foods Operations </w:t>
            </w:r>
            <w:r w:rsidRPr="006572DF">
              <w:rPr>
                <w:sz w:val="17"/>
                <w:szCs w:val="17"/>
              </w:rPr>
              <w:br/>
              <w:t>Pty Limited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Hunt And Brew Peru Mocha Cajamarca Coffee &amp; Black Cocoa No Added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400ml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Brownes Foods Operations </w:t>
            </w:r>
            <w:r w:rsidRPr="006572DF">
              <w:rPr>
                <w:sz w:val="17"/>
                <w:szCs w:val="17"/>
              </w:rPr>
              <w:br/>
              <w:t>Pty Limited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Burleigh Brewing Burleigh Sublime </w:t>
            </w:r>
            <w:r w:rsidRPr="006572DF">
              <w:rPr>
                <w:sz w:val="17"/>
                <w:szCs w:val="17"/>
              </w:rPr>
              <w:br/>
              <w:t>Mexican Lager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Burleigh Brewing Company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The Baron Samedi Ginger Beer &amp; Lime </w:t>
            </w:r>
            <w:r w:rsidRPr="006572DF">
              <w:rPr>
                <w:sz w:val="17"/>
                <w:szCs w:val="17"/>
              </w:rPr>
              <w:br/>
              <w:t>Enlivened With Haitian Spice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Campari Australia</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Baron Samedi Pina Colada Enlivened With Haitian Spice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Campari Australia</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Truly Lime Hard Seltzer Alcoholic Sparkling Water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Campari Australia</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Truly Watermelon &amp; Kiwi Hard Seltzer </w:t>
            </w:r>
            <w:r w:rsidRPr="006572DF">
              <w:rPr>
                <w:sz w:val="17"/>
                <w:szCs w:val="17"/>
              </w:rPr>
              <w:br/>
              <w:t>Alcoholic Sparkling Water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Campari Australia</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Frankie’s Classic Bloody Mary Fine Brine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900ml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Cartel &amp; Co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Fanta Orange No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600ml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Coca Cola Amatil (Aust)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Mount Franklin Lightly Sparkling Passionfruit </w:t>
            </w:r>
            <w:r w:rsidRPr="006572DF">
              <w:rPr>
                <w:sz w:val="17"/>
                <w:szCs w:val="17"/>
              </w:rPr>
              <w:br/>
              <w:t>Hint Of Natural Flavour No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1,250ml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Coca Cola Amatil (Aust)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Coopers Dry 3.5 Low Carb Mid Strength</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Coopers Brewery Limited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Coopers Regency Park Red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Coopers Brewery Limited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Club Setter Seltzer Tropical Low In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DBG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Export Gold Extra Low Carb</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DBG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Monteith’s Brewing Co Breakers Low Carb IPA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DBG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Monteith’s Brewing Co Golden Lager </w:t>
            </w:r>
            <w:r w:rsidRPr="006572DF">
              <w:rPr>
                <w:sz w:val="17"/>
                <w:szCs w:val="17"/>
              </w:rPr>
              <w:br/>
              <w:t>Malty Lager With Mellow Hops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DBG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Monteith’s Brewing Co Patriot APA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DBG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Monteith’s Brewing Co Sounds Hazy Vibrant Hazy Pale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DBG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Orchard Thieves Cider Rose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DBG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D 2021 Snowglobe White Christmas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Daicom Australia Pty Ltd </w:t>
            </w:r>
            <w:r w:rsidRPr="006572DF">
              <w:rPr>
                <w:sz w:val="17"/>
                <w:szCs w:val="17"/>
              </w:rPr>
              <w:br/>
              <w:t>t/a Dainton Brewery</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D Cherry ‘Ris’Mas Christmas Puddin’ Stout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Daicom Australia Pty Ltd </w:t>
            </w:r>
            <w:r w:rsidRPr="006572DF">
              <w:rPr>
                <w:sz w:val="17"/>
                <w:szCs w:val="17"/>
              </w:rPr>
              <w:br/>
              <w:t>t/a Dainton Brewery</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D Hip Hip Puree Peach &amp; Mango Smoothie Sour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Daicom Australia Pty Ltd </w:t>
            </w:r>
            <w:r w:rsidRPr="006572DF">
              <w:rPr>
                <w:sz w:val="17"/>
                <w:szCs w:val="17"/>
              </w:rPr>
              <w:br/>
              <w:t>t/a Dainton Brewery</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D Hyperdrive West Coast IIPA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Daicom Australia Pty Ltd </w:t>
            </w:r>
            <w:r w:rsidRPr="006572DF">
              <w:rPr>
                <w:sz w:val="17"/>
                <w:szCs w:val="17"/>
              </w:rPr>
              <w:br/>
              <w:t>t/a Dainton Brewery</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D Jiggy Juice S.O.T.B. NEIPA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Daicom Australia Pty Ltd </w:t>
            </w:r>
            <w:r w:rsidRPr="006572DF">
              <w:rPr>
                <w:sz w:val="17"/>
                <w:szCs w:val="17"/>
              </w:rPr>
              <w:br/>
              <w:t>t/a Dainton Brewery</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D Lupe de Lupe Maxx Hopps NEIPA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Daicom Australia Pty Ltd </w:t>
            </w:r>
            <w:r w:rsidRPr="006572DF">
              <w:rPr>
                <w:sz w:val="17"/>
                <w:szCs w:val="17"/>
              </w:rPr>
              <w:br/>
              <w:t>t/a Dainton Brewery</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D Major Tom New World IPA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Daicom Australia Pty Ltd </w:t>
            </w:r>
            <w:r w:rsidRPr="006572DF">
              <w:rPr>
                <w:sz w:val="17"/>
                <w:szCs w:val="17"/>
              </w:rPr>
              <w:br/>
              <w:t>t/a Dainton Brewery</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D Mosaic My Day Single Hop Hazy Session IPA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Daicom Australia Pty Ltd </w:t>
            </w:r>
            <w:r w:rsidRPr="006572DF">
              <w:rPr>
                <w:sz w:val="17"/>
                <w:szCs w:val="17"/>
              </w:rPr>
              <w:br/>
              <w:t>t/a Dainton Brewery</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D The Associates Double NEIPA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Daicom Australia Pty Ltd </w:t>
            </w:r>
            <w:r w:rsidRPr="006572DF">
              <w:rPr>
                <w:sz w:val="17"/>
                <w:szCs w:val="17"/>
              </w:rPr>
              <w:br/>
              <w:t>t/a Dainton Brewery</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Dainton Beer Fifth Anniversary Brew D5 5-Hop Anniversary NEIPA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Daicom Australia Pty Ltd </w:t>
            </w:r>
            <w:r w:rsidRPr="006572DF">
              <w:rPr>
                <w:sz w:val="17"/>
                <w:szCs w:val="17"/>
              </w:rPr>
              <w:br/>
              <w:t>t/a Dainton Brewery</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Captain Morgan Tropical Coconut &amp; Watermelon Spiced With Soda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Diageo Australia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Johnnie Walker Black Label Highball Scotch Whisky Crisp Apple &amp; Soda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Diageo Australia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UDL Cocktails Classic Margarita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Diageo Australia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Pure Crystal Energy</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Diamond Products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DC Adelaide Hills Sparkling Spring Water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Drink Creatively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Hard Fizz Lychee &amp; Apple Sparkling Hard Seltzer Sugar Free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Fizzy Mates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Capi Low Sugar Lime &amp; Agave With A Hint Of Orange And Salt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Fresh Local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lastRenderedPageBreak/>
              <w:t>Rockstar Energy Drink Original No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Frucor Suntory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Suntory Boss Coffee Rainbow Mountain Blend Coffee Beverage With Milk And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179ml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Can—Steel</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pacing w:val="-2"/>
                <w:sz w:val="17"/>
                <w:szCs w:val="17"/>
              </w:rPr>
              <w:t>Frucor Suntory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Genki Chi Forest Sparkling Water White Peach</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1,250ml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Genki Forest Milk Tea Classic Flavour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450ml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Genki Forest Milk Tea Jasmine Flavour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450ml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Genki Forest Sparkling Water Calamansi Lime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Genki Forest Sparkling Water Calamansi Lime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480ml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Genki Forest Sparkling Water Cucumber Twist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Genki Forest Sparkling Water Grape Delight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Genki Forest Sparkling Water Green Apple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Genki Forest Sparkling Water Lime &amp; Cactus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480ml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Genki Forest Sparkling Water Lime &amp; Cactus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Genki Forest Sparkling Water Lychee Fizzy</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pacing w:val="-2"/>
                <w:sz w:val="17"/>
                <w:szCs w:val="17"/>
              </w:rPr>
            </w:pPr>
            <w:r w:rsidRPr="006572DF">
              <w:rPr>
                <w:spacing w:val="-2"/>
                <w:sz w:val="17"/>
                <w:szCs w:val="17"/>
              </w:rPr>
              <w:t>Genki Forest Sparkling Water Pineapple &amp; Sea Salt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480ml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Genki Forest Sparkling Water Plum Passion</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Genki Forest Sparkling Water White Peach</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Genki Forest Sparkling Water White Strawberry &amp; Coconut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Genki Forest Sparkling Water Yogurt Refresh</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2"/>
                <w:sz w:val="17"/>
                <w:szCs w:val="17"/>
              </w:rPr>
            </w:pPr>
            <w:r w:rsidRPr="006572DF">
              <w:rPr>
                <w:spacing w:val="-2"/>
                <w:sz w:val="17"/>
                <w:szCs w:val="17"/>
              </w:rPr>
              <w:t>Genki Forest (Singapore) Pte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Koonowla Clare Valley Lager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George Family Wine Growers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Koonowla Clare Valley Pale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George Family Wine Growers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Koonowla Clare Valley Session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George Family Wine Growers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H2 ALOE Prebiotic Detox Water Pineapple </w:t>
            </w:r>
            <w:r w:rsidRPr="006572DF">
              <w:rPr>
                <w:sz w:val="17"/>
                <w:szCs w:val="17"/>
              </w:rPr>
              <w:br/>
              <w:t>No Added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1,000ml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H2coco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H2 ALOE Prebiotic Detox Water Pineapple </w:t>
            </w:r>
            <w:r w:rsidRPr="006572DF">
              <w:rPr>
                <w:sz w:val="17"/>
                <w:szCs w:val="17"/>
              </w:rPr>
              <w:br/>
              <w:t>No Added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H2coco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H2 ALOE Prebiotic Detox Water Pure </w:t>
            </w:r>
            <w:r w:rsidRPr="006572DF">
              <w:rPr>
                <w:sz w:val="17"/>
                <w:szCs w:val="17"/>
              </w:rPr>
              <w:br/>
              <w:t>No Added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H2coco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H2 ALOE Prebiotic Detox Water Pure </w:t>
            </w:r>
            <w:r w:rsidRPr="006572DF">
              <w:rPr>
                <w:sz w:val="17"/>
                <w:szCs w:val="17"/>
              </w:rPr>
              <w:br/>
              <w:t>No Added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1,000ml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H2coco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H2 ALOE Prebiotic Detox Water Watermelon </w:t>
            </w:r>
            <w:r w:rsidRPr="006572DF">
              <w:rPr>
                <w:sz w:val="17"/>
                <w:szCs w:val="17"/>
              </w:rPr>
              <w:br/>
              <w:t>No Added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1,000ml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H2coco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H2 ALOE Prebiotic Detox Water Watermelon </w:t>
            </w:r>
            <w:r w:rsidRPr="006572DF">
              <w:rPr>
                <w:sz w:val="17"/>
                <w:szCs w:val="17"/>
              </w:rPr>
              <w:br/>
              <w:t>No Added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H2coco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H2 Pineapple Juice With Prebiotic No Added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H2coco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Lunae Sparkling Juniper Water With Amazonite Immersion Sugar Free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Higher State Co</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Lunae Sparkling Juniper Water With Amazonite Immersion Sugar Free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Higher State Co</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Lunae Sparkling Rose Water With Rose Quartz Immersion Lightly Sparkled Sugar Free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Higher State Co</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Lunae Sparkling Smokey Rose Water With </w:t>
            </w:r>
            <w:r w:rsidRPr="006572DF">
              <w:rPr>
                <w:sz w:val="17"/>
                <w:szCs w:val="17"/>
              </w:rPr>
              <w:br/>
              <w:t xml:space="preserve">Rose &amp; Smokey Quartz Immersion </w:t>
            </w:r>
            <w:r w:rsidRPr="006572DF">
              <w:rPr>
                <w:sz w:val="17"/>
                <w:szCs w:val="17"/>
              </w:rPr>
              <w:br/>
              <w:t>Lightly Sparkled Sugar Free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Higher State Co</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Monday Distillery Aperitz Spritz Non Alcoholic Sugar Free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Higher State Co</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Honeysuckle Distillery Paradise Gin Spritz </w:t>
            </w:r>
            <w:r w:rsidRPr="006572DF">
              <w:rPr>
                <w:sz w:val="17"/>
                <w:szCs w:val="17"/>
              </w:rPr>
              <w:br/>
              <w:t>An Invigorating Pairing Of Blood Orange Cinnamon And Gin</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Honeysuckle Creek Distillery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Honeysuckle Distillery Splendid Gin Citrus Refreshing Yuzu Stirred With Soda And Gin</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Honeysuckle Creek Distillery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Honeysuckle Distillery Tropical Vodka Crush </w:t>
            </w:r>
            <w:r w:rsidRPr="006572DF">
              <w:rPr>
                <w:sz w:val="17"/>
                <w:szCs w:val="17"/>
              </w:rPr>
              <w:br/>
              <w:t>An Oasis Of Mango Puree And A Hint Of Coconut Flavour Blended With Vodka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Honeysuckle Creek Distillery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Naked Life Wimbledon Spritz Non-Alcoholic Cocktail Sugar Free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Inspi Beverages Pty Ltd </w:t>
            </w:r>
            <w:r w:rsidRPr="006572DF">
              <w:rPr>
                <w:sz w:val="17"/>
                <w:szCs w:val="17"/>
              </w:rPr>
              <w:br/>
              <w:t>t/as Naked Life</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Naked Life American Malt Spirit &amp; Cola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Inspi Beverages Pty Ltd </w:t>
            </w:r>
            <w:r w:rsidRPr="006572DF">
              <w:rPr>
                <w:sz w:val="17"/>
                <w:szCs w:val="17"/>
              </w:rPr>
              <w:br/>
              <w:t>t/as Naked Life</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Naked Life Australian Cane Spirit &amp; Cola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Inspi Beverages Pty Ltd </w:t>
            </w:r>
            <w:r w:rsidRPr="006572DF">
              <w:rPr>
                <w:sz w:val="17"/>
                <w:szCs w:val="17"/>
              </w:rPr>
              <w:br/>
              <w:t>t/as Naked Life</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Naked Life Canadian Rye Spirit Dry &amp; Lime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Inspi Beverages Pty Ltd </w:t>
            </w:r>
            <w:r w:rsidRPr="006572DF">
              <w:rPr>
                <w:sz w:val="17"/>
                <w:szCs w:val="17"/>
              </w:rPr>
              <w:br/>
              <w:t>t/as Naked Life</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Naked Life Gin &amp; Tonic Non-Alcoholic Cocktail Sugar Free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Inspi Beverages Pty Ltd </w:t>
            </w:r>
            <w:r w:rsidRPr="006572DF">
              <w:rPr>
                <w:sz w:val="17"/>
                <w:szCs w:val="17"/>
              </w:rPr>
              <w:br/>
              <w:t>t/as Naked Life</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Naked Life Italian Spritz Non-Alcoholic Cocktail Sugar Free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Inspi Beverages Pty Ltd </w:t>
            </w:r>
            <w:r w:rsidRPr="006572DF">
              <w:rPr>
                <w:sz w:val="17"/>
                <w:szCs w:val="17"/>
              </w:rPr>
              <w:br/>
              <w:t>t/as Naked Life</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Naked Life Margarita Non-Alcoholic Cocktail Sugar Free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Inspi Beverages Pty Ltd </w:t>
            </w:r>
            <w:r w:rsidRPr="006572DF">
              <w:rPr>
                <w:sz w:val="17"/>
                <w:szCs w:val="17"/>
              </w:rPr>
              <w:br/>
              <w:t>t/as Naked Life</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Naked Life Negroni Non-Alcoholic Cocktail </w:t>
            </w:r>
            <w:r w:rsidRPr="006572DF">
              <w:rPr>
                <w:sz w:val="17"/>
                <w:szCs w:val="17"/>
              </w:rPr>
              <w:br/>
              <w:t>Sugar Free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Inspi Beverages Pty Ltd </w:t>
            </w:r>
            <w:r w:rsidRPr="006572DF">
              <w:rPr>
                <w:sz w:val="17"/>
                <w:szCs w:val="17"/>
              </w:rPr>
              <w:br/>
              <w:t>t/as Naked Life</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lastRenderedPageBreak/>
              <w:t>Naked Life Spiced Carribean Dry &amp; Lime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Inspi Beverages Pty Ltd </w:t>
            </w:r>
            <w:r w:rsidRPr="006572DF">
              <w:rPr>
                <w:sz w:val="17"/>
                <w:szCs w:val="17"/>
              </w:rPr>
              <w:br/>
              <w:t>t/as Naked Life</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Naked Life Whiskey Sour Non-Alcoholic Cocktail Sugar Free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Inspi Beverages Pty Ltd </w:t>
            </w:r>
            <w:r w:rsidRPr="006572DF">
              <w:rPr>
                <w:sz w:val="17"/>
                <w:szCs w:val="17"/>
              </w:rPr>
              <w:br/>
              <w:t>t/as Naked Life</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Naked Life Yuzu Sake Non-Alcoholic Cocktail Sugar Free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Inspi Beverages Pty Ltd </w:t>
            </w:r>
            <w:r w:rsidRPr="006572DF">
              <w:rPr>
                <w:sz w:val="17"/>
                <w:szCs w:val="17"/>
              </w:rPr>
              <w:br/>
              <w:t>t/as Naked Life</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Halls Est 1849 Stonie Ginger Beer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4"/>
                <w:sz w:val="17"/>
                <w:szCs w:val="17"/>
              </w:rPr>
            </w:pPr>
            <w:r w:rsidRPr="006572DF">
              <w:rPr>
                <w:spacing w:val="-4"/>
                <w:sz w:val="17"/>
                <w:szCs w:val="17"/>
              </w:rPr>
              <w:t>Jolt Corporation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Halls Est 1849 Stonie Ginger Beer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4"/>
                <w:sz w:val="17"/>
                <w:szCs w:val="17"/>
              </w:rPr>
            </w:pPr>
            <w:r w:rsidRPr="006572DF">
              <w:rPr>
                <w:spacing w:val="-4"/>
                <w:sz w:val="17"/>
                <w:szCs w:val="17"/>
              </w:rPr>
              <w:t>Jolt Corporation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Halls Fruita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4"/>
                <w:sz w:val="17"/>
                <w:szCs w:val="17"/>
              </w:rPr>
            </w:pPr>
            <w:r w:rsidRPr="006572DF">
              <w:rPr>
                <w:spacing w:val="-4"/>
                <w:sz w:val="17"/>
                <w:szCs w:val="17"/>
              </w:rPr>
              <w:t>Jolt Corporation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Halls Fruita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4"/>
                <w:sz w:val="17"/>
                <w:szCs w:val="17"/>
              </w:rPr>
            </w:pPr>
            <w:r w:rsidRPr="006572DF">
              <w:rPr>
                <w:spacing w:val="-4"/>
                <w:sz w:val="17"/>
                <w:szCs w:val="17"/>
              </w:rPr>
              <w:t>Jolt Corporation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Halls Lemon Twist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4"/>
                <w:sz w:val="17"/>
                <w:szCs w:val="17"/>
              </w:rPr>
            </w:pPr>
            <w:r w:rsidRPr="006572DF">
              <w:rPr>
                <w:spacing w:val="-4"/>
                <w:sz w:val="17"/>
                <w:szCs w:val="17"/>
              </w:rPr>
              <w:t>Jolt Corporation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Halls Lemon Twist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4"/>
                <w:sz w:val="17"/>
                <w:szCs w:val="17"/>
              </w:rPr>
            </w:pPr>
            <w:r w:rsidRPr="006572DF">
              <w:rPr>
                <w:spacing w:val="-4"/>
                <w:sz w:val="17"/>
                <w:szCs w:val="17"/>
              </w:rPr>
              <w:t>Jolt Corporation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Halls Lemonade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4"/>
                <w:sz w:val="17"/>
                <w:szCs w:val="17"/>
              </w:rPr>
            </w:pPr>
            <w:r w:rsidRPr="006572DF">
              <w:rPr>
                <w:spacing w:val="-4"/>
                <w:sz w:val="17"/>
                <w:szCs w:val="17"/>
              </w:rPr>
              <w:t>Jolt Corporation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Halls Lemonade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pacing w:val="-4"/>
                <w:sz w:val="17"/>
                <w:szCs w:val="17"/>
              </w:rPr>
            </w:pPr>
            <w:r w:rsidRPr="006572DF">
              <w:rPr>
                <w:spacing w:val="-4"/>
                <w:sz w:val="17"/>
                <w:szCs w:val="17"/>
              </w:rPr>
              <w:t>Jolt Corporation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Master Mary Original Spiced Rum &amp; Cola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LIQUORLAND (Australia)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Master Mary Original Spiced Rum &amp; Dry</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LIQUORLAND (Australia)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Master Mary Pineapple &amp; Ginger Rum &amp; Soda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LIQUORLAND (Australia)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St Helena Imported Brandy</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150ml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LIQUORLAND (Australia)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Brooklyn Brand Summer Pale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pacing w:val="-4"/>
                <w:sz w:val="17"/>
                <w:szCs w:val="17"/>
              </w:rPr>
              <w:t>Lion Beer Spirits &amp; Wine Pty Ltd</w:t>
            </w:r>
            <w:r w:rsidRPr="006572DF">
              <w:rPr>
                <w:sz w:val="17"/>
                <w:szCs w:val="17"/>
              </w:rPr>
              <w:t xml:space="preserve"> t/as Lion Beer Australia</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Brooklyn Brewery The Stonewall INN IPA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pacing w:val="-4"/>
                <w:sz w:val="17"/>
                <w:szCs w:val="17"/>
              </w:rPr>
              <w:t>Lion Beer Spirits &amp; Wine Pty Ltd</w:t>
            </w:r>
            <w:r w:rsidRPr="006572DF">
              <w:rPr>
                <w:sz w:val="17"/>
                <w:szCs w:val="17"/>
              </w:rPr>
              <w:t xml:space="preserve"> t/as Lion Beer Australia</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James Squire Pioneers Collection English IPA Barrel Aged In Single Malt Whisky Casks </w:t>
            </w:r>
            <w:r w:rsidRPr="006572DF">
              <w:rPr>
                <w:sz w:val="17"/>
                <w:szCs w:val="17"/>
              </w:rPr>
              <w:br/>
              <w:t>With Macadamia Honey</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pacing w:val="-4"/>
                <w:sz w:val="17"/>
                <w:szCs w:val="17"/>
              </w:rPr>
              <w:t>Lion Beer Spirits &amp; Wine Pty Ltd</w:t>
            </w:r>
            <w:r w:rsidRPr="006572DF">
              <w:rPr>
                <w:sz w:val="17"/>
                <w:szCs w:val="17"/>
              </w:rPr>
              <w:t xml:space="preserve"> t/as Lion Beer Australia</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Little Creatures Loud Mouth Juicy Lager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pacing w:val="-4"/>
                <w:sz w:val="17"/>
                <w:szCs w:val="17"/>
              </w:rPr>
              <w:t>Lion Beer Spirits &amp; Wine Pty Ltd</w:t>
            </w:r>
            <w:r w:rsidRPr="006572DF">
              <w:rPr>
                <w:sz w:val="17"/>
                <w:szCs w:val="17"/>
              </w:rPr>
              <w:t xml:space="preserve"> t/as Lion Beer Australia</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New Belgium Brewing Voodoo Ranger Hazy India Pale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pacing w:val="-4"/>
                <w:sz w:val="17"/>
                <w:szCs w:val="17"/>
              </w:rPr>
              <w:t>Lion Beer Spirits &amp; Wine Pty Ltd</w:t>
            </w:r>
            <w:r w:rsidRPr="006572DF">
              <w:rPr>
                <w:sz w:val="17"/>
                <w:szCs w:val="17"/>
              </w:rPr>
              <w:t xml:space="preserve"> t/as Lion Beer Australia</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Panhead The Ace Margarita Gose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pacing w:val="-4"/>
                <w:sz w:val="17"/>
                <w:szCs w:val="17"/>
              </w:rPr>
              <w:t>Lion Beer Spirits &amp; Wine Pty Ltd</w:t>
            </w:r>
            <w:r w:rsidRPr="006572DF">
              <w:rPr>
                <w:sz w:val="17"/>
                <w:szCs w:val="17"/>
              </w:rPr>
              <w:t xml:space="preserve"> t/as Lion Beer Australia</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White Rabbit Jackalope Whisky Sour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pacing w:val="-4"/>
                <w:sz w:val="17"/>
                <w:szCs w:val="17"/>
              </w:rPr>
              <w:t>Lion Beer Spirits &amp; Wine Pty Ltd</w:t>
            </w:r>
            <w:r w:rsidRPr="006572DF">
              <w:rPr>
                <w:sz w:val="17"/>
                <w:szCs w:val="17"/>
              </w:rPr>
              <w:t xml:space="preserve"> t/as Lion Beer Australia</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Lobo Lenswulf Cloudy Cider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Lobo Juice &amp; Cider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Ballistic Beer Co Frosty Yowie Cold IPA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Mighty Craft Operations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Ballistic Beer Co Sleep When You’re Dead </w:t>
            </w:r>
            <w:r w:rsidRPr="006572DF">
              <w:rPr>
                <w:sz w:val="17"/>
                <w:szCs w:val="17"/>
              </w:rPr>
              <w:br/>
              <w:t>Cryo Pop IPA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Mighty Craft Operations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Better Beer Day For It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Mighty Craft Operations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Better Beer Ginger Beer Lower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Mighty Craft Operations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Better Beer Zero Alc</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Mighty Craft Operations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Sauce Brewing Co Special Batch Sazy Sour </w:t>
            </w:r>
            <w:r w:rsidRPr="006572DF">
              <w:rPr>
                <w:sz w:val="17"/>
                <w:szCs w:val="17"/>
              </w:rPr>
              <w:br/>
              <w:t>Hazy Pale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Mighty Craft Operations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Slipstream Brewing Co West Coast Tour IPA California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Mighty Craft Operations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Slipstream Brewing Co West Coast Tour IPA Idaho</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Mighty Craft Operations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My Muscle Chef Plant Based Smoothie </w:t>
            </w:r>
            <w:r w:rsidRPr="006572DF">
              <w:rPr>
                <w:sz w:val="17"/>
                <w:szCs w:val="17"/>
              </w:rPr>
              <w:br/>
              <w:t>Banana Super Greens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My Muscle Chef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Flagcan Distributors</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My Muscle Chef Plant Based Smoothie </w:t>
            </w:r>
            <w:r w:rsidRPr="006572DF">
              <w:rPr>
                <w:sz w:val="17"/>
                <w:szCs w:val="17"/>
              </w:rPr>
              <w:br/>
              <w:t>Choc Hazelnut Flavoured</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My Muscle Chef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Flagcan Distributors</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My Muscle Chef Plant Based Smoothie </w:t>
            </w:r>
            <w:r w:rsidRPr="006572DF">
              <w:rPr>
                <w:sz w:val="17"/>
                <w:szCs w:val="17"/>
              </w:rPr>
              <w:br/>
              <w:t>Mixed Berry</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My Muscle Chef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Flagcan Distributors</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Pixel Piquette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Ochre Nation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Bondi Circus Born In Bondi Nitro Black Coffee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Pablo &amp; Rusty’s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Bondi Circus Born in Bondi Chai Latte Oat Milk</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Pablo &amp; Rusty’s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Bondi Circus Born in Bondi Latte Brewed On </w:t>
            </w:r>
            <w:r w:rsidRPr="006572DF">
              <w:rPr>
                <w:sz w:val="17"/>
                <w:szCs w:val="17"/>
              </w:rPr>
              <w:br/>
              <w:t>Oat Milk</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Pablo &amp; Rusty’s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P&amp;R Nitro Pure Black Coffee Colombian</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Pablo &amp; Rusty’s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Pikes Beer Co The Suburban Brew New Zealand Dry Hopped Pilsener Chilly Bin</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Pikes Beer Company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Pirate Life Brewing Adelaide Fringe Lager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Pirate Life Brewery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Pirate Life Brewing Azacca Single Hop IPA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Pirate Life Brewery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Pirate Life Brewing Best Pilsner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Pirate Life Brewery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Pirate Life Brewing Chardonnay Barrel-Aged Belgian Blonde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Pirate Life Brewery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Pirate Life Brewing R Session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Pirate Life Brewery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Pirate Life Brewing Summer Haze Pale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Pirate Life Brewery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Maxade Berry Blast Isotonic Sports Drink</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600ml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Planet Sales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Maxade Berry No Sugar Sports Water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600ml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Planet Sales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Maxade Blackcurrant Isotonic Sports Drink</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600ml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Planet Sales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Maxade Lemon Lime Isotonic Sports Drink</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600ml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Planet Sales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Maxade Lemon No Sugar Sports Water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600ml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Planet Sales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lastRenderedPageBreak/>
              <w:t>Red Bull The Ruby Edition Pomegranate Flavour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Red Bull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Red Bull Zero</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Red Bull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Smug AF Margarita Non Alcoholic Low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Smug Enterprises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Smug AF Mojito Non Alcoholic Low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Smug Enterprises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Lo Bros Feel Good Kombucha Orange &amp; Mango Organic Low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Soulfresh Group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Lo Bros Feel Good Kombucha Orange &amp; Mango Organic Low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Soulfresh Group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Lo Bros Feijoa Feel Good Kombucha Organic </w:t>
            </w:r>
            <w:r w:rsidRPr="006572DF">
              <w:rPr>
                <w:sz w:val="17"/>
                <w:szCs w:val="17"/>
              </w:rPr>
              <w:br/>
              <w:t>Low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Soulfresh Group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Lo Bros Ginger Beer Feel Good Kombucha Organic Low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Soulfresh Group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Lo Bros Limited Edition Kombucha Naturally </w:t>
            </w:r>
            <w:r w:rsidRPr="006572DF">
              <w:rPr>
                <w:sz w:val="17"/>
                <w:szCs w:val="17"/>
              </w:rPr>
              <w:br/>
              <w:t>Low In Sugar Pineapple &amp; Lime Organic</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Soulfresh Group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Lo Bros Limited Edition Kombucha Naturally </w:t>
            </w:r>
            <w:r w:rsidRPr="006572DF">
              <w:rPr>
                <w:sz w:val="17"/>
                <w:szCs w:val="17"/>
              </w:rPr>
              <w:br/>
              <w:t>Low In Sugar Pineapple &amp; Lime Organic</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Soulfresh Group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Parrot Bay Strawberry</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Southtrade International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Seagram’s VO Dry</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Southtrade International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Taco Beer Coriander Lime &amp; Corn</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Stone &amp; Wood Brewing Company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Gatherer Watermelon Cuc</w:t>
            </w:r>
            <w:r w:rsidR="008A640A">
              <w:rPr>
                <w:sz w:val="17"/>
                <w:szCs w:val="17"/>
              </w:rPr>
              <w:t>u</w:t>
            </w:r>
            <w:r w:rsidRPr="006572DF">
              <w:rPr>
                <w:sz w:val="17"/>
                <w:szCs w:val="17"/>
              </w:rPr>
              <w:t>mber &amp; Mint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Stone &amp; Wood Brewing Company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FREE Brewing Co Organic Lager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Struman’s Organic Beer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Americano</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170ml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The Everleigh Bottling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Bellini Non Alcoholic Cocktail</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170ml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The Everleigh Bottling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French 75</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170ml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The Everleigh Bottling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Fruit Cup</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170ml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The Everleigh Bottling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Palomita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170ml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The Everleigh Bottling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Everleigh Bottling Co Coffee House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The Everleigh Bottling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Everleigh Bottling Co Coffee House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80ml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The Everleigh Bottling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Everleigh Bottling Co Manhattan</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90ml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The Everleigh Bottling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Everleigh Bottling Co Manhattan</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The Everleigh Bottling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Everleigh Bottling Co Martini</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90ml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The Everleigh Bottling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Everleigh Bottling Co Martini</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The Everleigh Bottling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Everleigh Bottling Co Negroni</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The Everleigh Bottling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Everleigh Bottling Co Negroni</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85ml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The Everleigh Bottling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Everleigh Bottling Co Old Fashioned</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500ml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The Everleigh Bottling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Everleigh Bottling Co Old Fashioned</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80ml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The Everleigh Bottling Co </w:t>
            </w:r>
            <w:r w:rsidRPr="006572DF">
              <w:rPr>
                <w:sz w:val="17"/>
                <w:szCs w:val="17"/>
              </w:rPr>
              <w:br/>
              <w:t>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Kreol Sparkling Antioxidant Infusion All Natural Blood Orange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The Natural Beverage Company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Kreol Sparkling Antioxidant Infusion All Natural Ginger Lime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The Natural Beverage Company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Kreol Sparkling Antioxidant Infusion All Natural Pineapple Jalapeno &amp; Lime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The Natural Beverage Company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Kreol Sparkling Antioxidant Infusion All Natural Ruby Grapefruit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The Natural Beverage Company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Kreol Sparkling Antioxidant Infusion All Natural Tangerine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The Natural Beverage Company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Kreol Sparkling Nutrient Infusion All Natural Mango Lime &amp; Turmeric</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The Natural Beverage Company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Kreol Sparkling Nutrient Infusion All Natural Passionfruit &amp; Orange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The Natural Beverage Company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Kreol Sparkling Nutrient Infusion All Natural Pineapple &amp; Ginger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The Natural Beverage Company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Kreol Sparkling Nutrient Infusion All Natural Raspberry &amp; Lime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The Natural Beverage Company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The Surburban Brew Cul De Sour Peach and Apricot Sour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The Suburban Brew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Angostura Chill Blood Orange &amp; Bitters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The Trustee For Speakeasy Drinks Unit Trust</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lastRenderedPageBreak/>
              <w:t>Angostura Chill Hibiscus &amp; Bitters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The Trustee For Speakeasy Drinks Unit Trust</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Angostura Chill Lemon Lime &amp; Bitters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The Trustee For Speakeasy Drinks Unit Trust</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Lennox Pure Pilsner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The Trustee For Speakeasy Drinks Unit Trust</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Tiny Fish Brew Co Black IPA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Tiny Fish Brew Co</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Tiny Fish Brew Co Pale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Tiny Fish Brew Co</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Tiny Fish Brew Co Seasonal Sour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Tiny Fish Brew Co</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Tiny Fish Brew Co Session Stout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Tiny Fish Brew Co</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Tiny Fish Session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Tiny Fish Brew Co</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Cerberus Ouzo &amp; Cola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Tom Christopoulos and Sons Pty Ltd T/As Vittorio Spirits</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Cerberus Ouzo &amp; Lemonade No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Tom Christopoulos and Sons Pty Ltd T/As Vittorio Spirits</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Cerberus Ouzo &amp; Orange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Tom Christopoulos and Sons Pty Ltd T/As Vittorio Spirits</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Cerberus Ouzo &amp; Raspberry</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Tom Christopoulos and Sons Pty Ltd T/As Vittorio Spirits</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Grainshaker Australian Vodka Juicy Watermelon</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Top Shelf International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Grainshaker Australian Vodka Tropical Pineapple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Top Shelf International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Grainshaker Australian Vodka Wild Guava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Top Shelf International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Aloha 65 Vodka Cocktail With Pineapple </w:t>
            </w:r>
            <w:r w:rsidRPr="006572DF">
              <w:rPr>
                <w:sz w:val="17"/>
                <w:szCs w:val="17"/>
              </w:rPr>
              <w:br/>
              <w:t>Ginger And A Hint Of Chilli</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Tribe Brands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Mornington Peninsula Bay Haze Hazy Pale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Tribe Brands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Mornington Peninsula Free Non-Alc XPA</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Tribe Brands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Pailhead Session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Tribe Brands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Wilde Beer Crisp Lager Gluten Free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Tribe Brands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Wilde Brewing Co Ginger Dingo Brewed With Lemon Myrtle Alcoholic Ginger Beer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330ml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Tribe Brands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Wilde Guru Sparkling Hop Water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Tribe Brands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 xml:space="preserve">Wilde Guru Sparkling Hop Water With </w:t>
            </w:r>
            <w:r w:rsidRPr="006572DF">
              <w:rPr>
                <w:sz w:val="17"/>
                <w:szCs w:val="17"/>
              </w:rPr>
              <w:br/>
              <w:t>Lemon &amp; Lime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Tribe Brands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Coles Mango Nectar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2,000ml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Tru Blu Beverages Pty Limited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Flagcan Distributors</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Coles Sparkling Water Pineapple &amp; Mango Naturally Flavoured And Sweetened</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1,250ml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PET</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Tru Blu Beverages Pty Limited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Flagcan Distributors</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Sunlit Orange Flavoured Soft Drink</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Tru Blu Beverages Pty Limited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Flagcan Distributors</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23rd St Signature Gin &amp; Tonic No Sugar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Vok Beverages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Beenleigh Artisan Distillers Spiced Rum And Ginger Beer With Native Botanicals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Vok Beverages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Caltowie Chilled Out ‘N’ Fired Up Hazy Pale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Watsacowie Brewing Company</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Wat Seltz Hard Seltzerveza Lemon + Lime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Watsacowie Brewing Company</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Watsacowie Brewing Company Pink Peesey Cowiemelon Gose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Watsacowie Brewing Company</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Hubble Bubble Bubblegum Cider</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355ml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 xml:space="preserve">Whet Whistle Pty Ltd </w:t>
            </w:r>
            <w:r w:rsidRPr="006572DF">
              <w:rPr>
                <w:sz w:val="17"/>
                <w:szCs w:val="17"/>
              </w:rPr>
              <w:br/>
              <w:t>t/as Brewboys</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Woolstore Brewery Cocky Stout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Woolstore Brewery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Woolstore Brewery Pale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Woolstore Brewery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Woolstore Brewery Smash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Woolstore Brewery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Woolstore Brewery Tradies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Woolstore Brewery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Marine Stores Ltd</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Yeo Haus Draught</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Yeo Haus Refreshment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Yeo Haus Steam Ale</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375ml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Aluminium</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Yeo Haus Refreshment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Lyre’s Agave Blanco Spirit Non Alcoholic Spirits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Zero Proof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Lyre’s Agave Blanco Spirit Non Alcoholic Spirits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Zero Proof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Lyre’s Agave Reserva Spirit Non Alcoholic Spirits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Zero Proof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Lyre’s Agave Reserva Spirit Non Alcoholic Spirits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Zero Proof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Lyre’s Classico Non Alcoholic Sparkling</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750ml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Zero Proof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Lyre’s Highland Malt Non Alcoholic Spirits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700ml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Zero Proof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491D21">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Lyre’s Highland Malt Non Alcoholic Spirits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Zero Proof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6572DF">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57" w:hanging="159"/>
              <w:contextualSpacing/>
              <w:jc w:val="left"/>
              <w:rPr>
                <w:sz w:val="17"/>
                <w:szCs w:val="17"/>
              </w:rPr>
            </w:pPr>
            <w:r w:rsidRPr="006572DF">
              <w:rPr>
                <w:sz w:val="17"/>
                <w:szCs w:val="17"/>
              </w:rPr>
              <w:t>Lyre’s Pink London Spirit Non Alcoholic Spirits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70"/>
              <w:contextualSpacing/>
              <w:jc w:val="right"/>
              <w:rPr>
                <w:sz w:val="17"/>
                <w:szCs w:val="17"/>
              </w:rPr>
            </w:pPr>
            <w:r w:rsidRPr="006572DF">
              <w:rPr>
                <w:sz w:val="17"/>
                <w:szCs w:val="17"/>
              </w:rPr>
              <w:t>200ml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contextualSpacing/>
              <w:jc w:val="left"/>
              <w:rPr>
                <w:sz w:val="17"/>
                <w:szCs w:val="17"/>
              </w:rPr>
            </w:pPr>
            <w:r w:rsidRPr="006572DF">
              <w:rPr>
                <w:sz w:val="17"/>
                <w:szCs w:val="17"/>
              </w:rPr>
              <w:t>Zero Proof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01" w:hanging="159"/>
              <w:contextualSpacing/>
              <w:jc w:val="left"/>
              <w:rPr>
                <w:sz w:val="17"/>
                <w:szCs w:val="17"/>
              </w:rPr>
            </w:pPr>
            <w:r w:rsidRPr="006572DF">
              <w:rPr>
                <w:sz w:val="17"/>
                <w:szCs w:val="17"/>
              </w:rPr>
              <w:t>Statewide Recycling</w:t>
            </w:r>
          </w:p>
        </w:tc>
      </w:tr>
      <w:tr w:rsidR="006572DF" w:rsidRPr="006572DF" w:rsidTr="006572DF">
        <w:trPr>
          <w:trHeight w:val="20"/>
        </w:trPr>
        <w:tc>
          <w:tcPr>
            <w:tcW w:w="1911"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59" w:right="57" w:hanging="159"/>
              <w:contextualSpacing/>
              <w:jc w:val="left"/>
              <w:rPr>
                <w:sz w:val="17"/>
                <w:szCs w:val="17"/>
              </w:rPr>
            </w:pPr>
            <w:r w:rsidRPr="006572DF">
              <w:rPr>
                <w:sz w:val="17"/>
                <w:szCs w:val="17"/>
              </w:rPr>
              <w:t>Lyre’s Pink London Spirit Non Alcoholic Spirits</w:t>
            </w:r>
          </w:p>
        </w:tc>
        <w:tc>
          <w:tcPr>
            <w:tcW w:w="45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170"/>
              <w:contextualSpacing/>
              <w:jc w:val="right"/>
              <w:rPr>
                <w:sz w:val="17"/>
                <w:szCs w:val="17"/>
              </w:rPr>
            </w:pPr>
            <w:r w:rsidRPr="006572DF">
              <w:rPr>
                <w:sz w:val="17"/>
                <w:szCs w:val="17"/>
              </w:rPr>
              <w:t>700ml</w:t>
            </w:r>
          </w:p>
        </w:tc>
        <w:tc>
          <w:tcPr>
            <w:tcW w:w="60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16" w:hanging="159"/>
              <w:contextualSpacing/>
              <w:jc w:val="left"/>
              <w:rPr>
                <w:sz w:val="17"/>
                <w:szCs w:val="17"/>
              </w:rPr>
            </w:pPr>
            <w:r w:rsidRPr="006572DF">
              <w:rPr>
                <w:sz w:val="17"/>
                <w:szCs w:val="17"/>
              </w:rPr>
              <w:t>Glass</w:t>
            </w:r>
          </w:p>
        </w:tc>
        <w:tc>
          <w:tcPr>
            <w:tcW w:w="1193"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59" w:hanging="159"/>
              <w:contextualSpacing/>
              <w:jc w:val="left"/>
              <w:rPr>
                <w:sz w:val="17"/>
                <w:szCs w:val="17"/>
              </w:rPr>
            </w:pPr>
            <w:r w:rsidRPr="006572DF">
              <w:rPr>
                <w:sz w:val="17"/>
                <w:szCs w:val="17"/>
              </w:rPr>
              <w:t>Zero Proof Australia Pty Ltd</w:t>
            </w:r>
          </w:p>
        </w:tc>
        <w:tc>
          <w:tcPr>
            <w:tcW w:w="835" w:type="pct"/>
            <w:noWrap/>
            <w:hideMark/>
          </w:tcPr>
          <w:p w:rsidR="006572DF" w:rsidRPr="006572DF" w:rsidRDefault="006572DF" w:rsidP="006572D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01" w:hanging="159"/>
              <w:contextualSpacing/>
              <w:jc w:val="left"/>
              <w:rPr>
                <w:sz w:val="17"/>
                <w:szCs w:val="17"/>
              </w:rPr>
            </w:pPr>
            <w:r w:rsidRPr="006572DF">
              <w:rPr>
                <w:sz w:val="17"/>
                <w:szCs w:val="17"/>
              </w:rPr>
              <w:t>Statewide Recycling</w:t>
            </w:r>
          </w:p>
        </w:tc>
      </w:tr>
    </w:tbl>
    <w:p w:rsidR="006572DF" w:rsidRDefault="006572DF" w:rsidP="006572DF">
      <w:pPr>
        <w:pBdr>
          <w:bottom w:val="single" w:sz="4" w:space="1" w:color="auto"/>
        </w:pBdr>
        <w:spacing w:after="0" w:line="52" w:lineRule="exact"/>
        <w:jc w:val="center"/>
        <w:rPr>
          <w:rFonts w:ascii="Times New Roman" w:eastAsia="Times New Roman" w:hAnsi="Times New Roman"/>
          <w:sz w:val="17"/>
          <w:szCs w:val="20"/>
        </w:rPr>
      </w:pPr>
    </w:p>
    <w:p w:rsidR="006572DF" w:rsidRDefault="006572DF" w:rsidP="006572DF">
      <w:pPr>
        <w:pBdr>
          <w:top w:val="single" w:sz="4" w:space="1" w:color="auto"/>
        </w:pBdr>
        <w:spacing w:before="34" w:after="0" w:line="14" w:lineRule="exact"/>
        <w:jc w:val="center"/>
        <w:rPr>
          <w:rFonts w:ascii="Times New Roman" w:eastAsia="Times New Roman" w:hAnsi="Times New Roman"/>
          <w:sz w:val="17"/>
          <w:szCs w:val="20"/>
        </w:rPr>
      </w:pPr>
    </w:p>
    <w:p w:rsidR="006572DF" w:rsidRDefault="006572DF" w:rsidP="006572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BE1C2C" w:rsidRPr="00BE1C2C" w:rsidRDefault="00BE1C2C" w:rsidP="00EA25B1">
      <w:pPr>
        <w:pStyle w:val="Heading2"/>
      </w:pPr>
      <w:bookmarkStart w:id="66" w:name="_Toc91161261"/>
      <w:r w:rsidRPr="00BE1C2C">
        <w:t>Equal Opportunity Act 1984</w:t>
      </w:r>
      <w:bookmarkEnd w:id="66"/>
    </w:p>
    <w:p w:rsidR="00BE1C2C" w:rsidRPr="00BE1C2C" w:rsidRDefault="00BE1C2C" w:rsidP="00BE1C2C">
      <w:pPr>
        <w:jc w:val="center"/>
        <w:rPr>
          <w:rFonts w:ascii="Times New Roman" w:hAnsi="Times New Roman"/>
          <w:smallCaps/>
          <w:sz w:val="17"/>
          <w:szCs w:val="17"/>
        </w:rPr>
      </w:pPr>
      <w:r w:rsidRPr="00BE1C2C">
        <w:rPr>
          <w:rFonts w:ascii="Times New Roman" w:hAnsi="Times New Roman"/>
          <w:smallCaps/>
          <w:sz w:val="17"/>
          <w:szCs w:val="17"/>
        </w:rPr>
        <w:t>South Australian Civil and Administrative Tribunal</w:t>
      </w:r>
    </w:p>
    <w:p w:rsidR="00BE1C2C" w:rsidRPr="00BE1C2C" w:rsidRDefault="00BE1C2C" w:rsidP="00BE1C2C">
      <w:pPr>
        <w:jc w:val="center"/>
        <w:rPr>
          <w:rFonts w:ascii="Times New Roman" w:hAnsi="Times New Roman"/>
          <w:i/>
          <w:sz w:val="17"/>
          <w:szCs w:val="17"/>
        </w:rPr>
      </w:pPr>
      <w:r w:rsidRPr="00BE1C2C">
        <w:rPr>
          <w:rFonts w:ascii="Times New Roman" w:hAnsi="Times New Roman"/>
          <w:i/>
          <w:sz w:val="17"/>
          <w:szCs w:val="17"/>
        </w:rPr>
        <w:t>Notice of Exemption before Tribunal Member Edward Stratton-Smith</w:t>
      </w:r>
    </w:p>
    <w:p w:rsidR="00BE1C2C" w:rsidRPr="00BE1C2C" w:rsidRDefault="00BE1C2C" w:rsidP="00BE1C2C">
      <w:pPr>
        <w:rPr>
          <w:rFonts w:ascii="Times New Roman" w:eastAsia="Times New Roman" w:hAnsi="Times New Roman"/>
          <w:sz w:val="17"/>
          <w:szCs w:val="17"/>
        </w:rPr>
      </w:pPr>
      <w:r w:rsidRPr="00BE1C2C">
        <w:rPr>
          <w:rFonts w:ascii="Times New Roman" w:eastAsia="Times New Roman" w:hAnsi="Times New Roman"/>
          <w:sz w:val="17"/>
          <w:szCs w:val="17"/>
        </w:rPr>
        <w:t>I HEREBY certify that on the 30</w:t>
      </w:r>
      <w:r w:rsidRPr="00BE1C2C">
        <w:rPr>
          <w:rFonts w:ascii="Times New Roman" w:eastAsia="Times New Roman" w:hAnsi="Times New Roman"/>
          <w:sz w:val="17"/>
          <w:szCs w:val="17"/>
          <w:vertAlign w:val="superscript"/>
        </w:rPr>
        <w:t>th</w:t>
      </w:r>
      <w:r w:rsidRPr="00BE1C2C">
        <w:rPr>
          <w:rFonts w:ascii="Times New Roman" w:eastAsia="Times New Roman" w:hAnsi="Times New Roman"/>
          <w:sz w:val="17"/>
          <w:szCs w:val="17"/>
        </w:rPr>
        <w:t xml:space="preserve"> November 2021, the South Australian Civil and Administrative Tribunal, on application of Office of the Director of Public Prosecutions, made the following orders for an exemption:</w:t>
      </w:r>
    </w:p>
    <w:p w:rsidR="00BE1C2C" w:rsidRPr="00BE1C2C" w:rsidRDefault="00BE1C2C" w:rsidP="00BE1C2C">
      <w:pPr>
        <w:ind w:left="480" w:hanging="320"/>
        <w:rPr>
          <w:rFonts w:ascii="Times New Roman" w:eastAsia="Times New Roman" w:hAnsi="Times New Roman"/>
          <w:sz w:val="17"/>
          <w:szCs w:val="17"/>
          <w:lang w:val="en"/>
        </w:rPr>
      </w:pPr>
      <w:r w:rsidRPr="00BE1C2C">
        <w:rPr>
          <w:rFonts w:ascii="Times New Roman" w:eastAsia="Times New Roman" w:hAnsi="Times New Roman"/>
          <w:sz w:val="17"/>
          <w:szCs w:val="17"/>
        </w:rPr>
        <w:t xml:space="preserve">1. </w:t>
      </w:r>
      <w:r w:rsidRPr="00BE1C2C">
        <w:rPr>
          <w:rFonts w:ascii="Times New Roman" w:eastAsia="Times New Roman" w:hAnsi="Times New Roman"/>
          <w:sz w:val="17"/>
          <w:szCs w:val="17"/>
        </w:rPr>
        <w:tab/>
        <w:t xml:space="preserve">Pursuant to s 92 of the </w:t>
      </w:r>
      <w:r w:rsidRPr="00BE1C2C">
        <w:rPr>
          <w:rFonts w:ascii="Times New Roman" w:eastAsia="Times New Roman" w:hAnsi="Times New Roman"/>
          <w:i/>
          <w:iCs/>
          <w:sz w:val="17"/>
          <w:szCs w:val="17"/>
        </w:rPr>
        <w:t>Equal Opportunity Act 1984</w:t>
      </w:r>
      <w:r w:rsidRPr="00BE1C2C">
        <w:rPr>
          <w:rFonts w:ascii="Times New Roman" w:eastAsia="Times New Roman" w:hAnsi="Times New Roman"/>
          <w:sz w:val="17"/>
          <w:szCs w:val="17"/>
        </w:rPr>
        <w:t>, the Office of the Director of Public Prosecutions is exempted from the provisions of s 52 and s 103 of the Act so as to authorise it to offer employment for the role of Aboriginal and Torres Strait Islander Witness Assistance Officer only to suitably qualified Aboriginal or Torres Strait Islander persons.</w:t>
      </w:r>
    </w:p>
    <w:p w:rsidR="00BE1C2C" w:rsidRPr="00BE1C2C" w:rsidRDefault="00BE1C2C" w:rsidP="00BE1C2C">
      <w:pPr>
        <w:ind w:left="480" w:hanging="320"/>
        <w:rPr>
          <w:rFonts w:ascii="Times New Roman" w:eastAsia="Times New Roman" w:hAnsi="Times New Roman"/>
          <w:sz w:val="17"/>
          <w:szCs w:val="17"/>
          <w:lang w:val="en"/>
        </w:rPr>
      </w:pPr>
      <w:r w:rsidRPr="00BE1C2C">
        <w:rPr>
          <w:rFonts w:ascii="Times New Roman" w:eastAsia="Times New Roman" w:hAnsi="Times New Roman"/>
          <w:sz w:val="17"/>
          <w:szCs w:val="17"/>
          <w:lang w:val="en"/>
        </w:rPr>
        <w:t xml:space="preserve">2. </w:t>
      </w:r>
      <w:r w:rsidRPr="00BE1C2C">
        <w:rPr>
          <w:rFonts w:ascii="Times New Roman" w:eastAsia="Times New Roman" w:hAnsi="Times New Roman"/>
          <w:sz w:val="17"/>
          <w:szCs w:val="17"/>
          <w:lang w:val="en"/>
        </w:rPr>
        <w:tab/>
        <w:t>The above exemption is to remain in force for a period of 3 years commencing on 30</w:t>
      </w:r>
      <w:r w:rsidRPr="00BE1C2C">
        <w:rPr>
          <w:rFonts w:ascii="Times New Roman" w:eastAsia="Times New Roman" w:hAnsi="Times New Roman"/>
          <w:sz w:val="17"/>
          <w:szCs w:val="17"/>
          <w:vertAlign w:val="superscript"/>
          <w:lang w:val="en"/>
        </w:rPr>
        <w:t>th</w:t>
      </w:r>
      <w:r w:rsidRPr="00BE1C2C">
        <w:rPr>
          <w:rFonts w:ascii="Times New Roman" w:eastAsia="Times New Roman" w:hAnsi="Times New Roman"/>
          <w:sz w:val="17"/>
          <w:szCs w:val="17"/>
          <w:lang w:val="en"/>
        </w:rPr>
        <w:t xml:space="preserve"> November 2021.</w:t>
      </w:r>
    </w:p>
    <w:p w:rsidR="00BE1C2C" w:rsidRPr="00BE1C2C" w:rsidRDefault="00BE1C2C" w:rsidP="00BE1C2C">
      <w:pPr>
        <w:spacing w:after="0"/>
        <w:rPr>
          <w:rFonts w:ascii="Times New Roman" w:eastAsia="Times New Roman" w:hAnsi="Times New Roman"/>
          <w:sz w:val="17"/>
          <w:szCs w:val="17"/>
        </w:rPr>
      </w:pPr>
      <w:r w:rsidRPr="00BE1C2C">
        <w:rPr>
          <w:rFonts w:ascii="Times New Roman" w:eastAsia="Times New Roman" w:hAnsi="Times New Roman"/>
          <w:sz w:val="17"/>
          <w:szCs w:val="17"/>
        </w:rPr>
        <w:t>Dated: 17 December 2021</w:t>
      </w:r>
    </w:p>
    <w:p w:rsidR="00BE1C2C" w:rsidRPr="00BE1C2C" w:rsidRDefault="00BE1C2C" w:rsidP="00BE1C2C">
      <w:pPr>
        <w:spacing w:after="0"/>
        <w:jc w:val="right"/>
        <w:rPr>
          <w:rFonts w:ascii="Times New Roman" w:eastAsia="Times New Roman" w:hAnsi="Times New Roman"/>
          <w:smallCaps/>
          <w:sz w:val="17"/>
          <w:szCs w:val="17"/>
        </w:rPr>
      </w:pPr>
      <w:r w:rsidRPr="00BE1C2C">
        <w:rPr>
          <w:rFonts w:ascii="Times New Roman" w:eastAsia="Times New Roman" w:hAnsi="Times New Roman"/>
          <w:smallCaps/>
          <w:sz w:val="17"/>
          <w:szCs w:val="20"/>
        </w:rPr>
        <w:lastRenderedPageBreak/>
        <w:t>Anne Lindsay</w:t>
      </w:r>
    </w:p>
    <w:p w:rsidR="00BE1C2C" w:rsidRPr="00BE1C2C" w:rsidRDefault="00BE1C2C" w:rsidP="00BE1C2C">
      <w:pPr>
        <w:spacing w:after="0" w:line="240" w:lineRule="auto"/>
        <w:jc w:val="right"/>
        <w:rPr>
          <w:rFonts w:ascii="Times New Roman" w:eastAsia="Times New Roman" w:hAnsi="Times New Roman"/>
          <w:sz w:val="17"/>
          <w:szCs w:val="17"/>
        </w:rPr>
      </w:pPr>
      <w:r w:rsidRPr="00BE1C2C">
        <w:rPr>
          <w:rFonts w:ascii="Times New Roman" w:eastAsia="Times New Roman" w:hAnsi="Times New Roman"/>
          <w:sz w:val="17"/>
          <w:szCs w:val="17"/>
        </w:rPr>
        <w:t>Principal Registrar</w:t>
      </w:r>
    </w:p>
    <w:p w:rsidR="00BE1C2C" w:rsidRPr="00BE1C2C" w:rsidRDefault="00BE1C2C" w:rsidP="00BE1C2C">
      <w:pPr>
        <w:spacing w:after="0" w:line="240" w:lineRule="auto"/>
        <w:jc w:val="right"/>
        <w:rPr>
          <w:rFonts w:ascii="Times New Roman" w:eastAsia="Times New Roman" w:hAnsi="Times New Roman"/>
          <w:sz w:val="17"/>
          <w:szCs w:val="17"/>
        </w:rPr>
      </w:pPr>
      <w:r w:rsidRPr="00BE1C2C">
        <w:rPr>
          <w:rFonts w:ascii="Times New Roman" w:eastAsia="Times New Roman" w:hAnsi="Times New Roman"/>
          <w:sz w:val="17"/>
          <w:szCs w:val="17"/>
        </w:rPr>
        <w:t>South Australian Civil and Administrative Tribunal</w:t>
      </w:r>
    </w:p>
    <w:p w:rsidR="006572DF" w:rsidRDefault="00BE1C2C" w:rsidP="00BE1C2C">
      <w:pPr>
        <w:rPr>
          <w:rFonts w:ascii="Times New Roman" w:eastAsia="Times New Roman" w:hAnsi="Times New Roman"/>
          <w:sz w:val="17"/>
          <w:szCs w:val="17"/>
        </w:rPr>
      </w:pPr>
      <w:r w:rsidRPr="00BE1C2C">
        <w:rPr>
          <w:rFonts w:ascii="Times New Roman" w:eastAsia="Times New Roman" w:hAnsi="Times New Roman"/>
          <w:sz w:val="17"/>
          <w:szCs w:val="17"/>
        </w:rPr>
        <w:t>SACAT Reference Number: 2021/SA003561</w:t>
      </w:r>
    </w:p>
    <w:p w:rsidR="00BE1C2C" w:rsidRDefault="00BE1C2C" w:rsidP="00BE1C2C">
      <w:pPr>
        <w:pBdr>
          <w:bottom w:val="single" w:sz="4" w:space="1" w:color="auto"/>
        </w:pBdr>
        <w:spacing w:after="0" w:line="52" w:lineRule="exact"/>
        <w:jc w:val="center"/>
        <w:rPr>
          <w:rFonts w:ascii="Times New Roman" w:eastAsia="Times New Roman" w:hAnsi="Times New Roman"/>
          <w:sz w:val="17"/>
          <w:szCs w:val="20"/>
        </w:rPr>
      </w:pPr>
    </w:p>
    <w:p w:rsidR="00BE1C2C" w:rsidRDefault="00BE1C2C" w:rsidP="00BE1C2C">
      <w:pPr>
        <w:pBdr>
          <w:top w:val="single" w:sz="4" w:space="1" w:color="auto"/>
        </w:pBdr>
        <w:spacing w:before="34" w:after="0" w:line="14" w:lineRule="exact"/>
        <w:jc w:val="center"/>
        <w:rPr>
          <w:rFonts w:ascii="Times New Roman" w:eastAsia="Times New Roman" w:hAnsi="Times New Roman"/>
          <w:sz w:val="17"/>
          <w:szCs w:val="20"/>
        </w:rPr>
      </w:pPr>
    </w:p>
    <w:p w:rsidR="00D050F2" w:rsidRDefault="00D050F2" w:rsidP="00D050F2">
      <w:pPr>
        <w:pStyle w:val="GG-body"/>
        <w:spacing w:after="0"/>
      </w:pPr>
    </w:p>
    <w:p w:rsidR="00381816" w:rsidRPr="00381816" w:rsidRDefault="00381816" w:rsidP="00EA25B1">
      <w:pPr>
        <w:pStyle w:val="Heading2"/>
      </w:pPr>
      <w:bookmarkStart w:id="67" w:name="_Toc91161262"/>
      <w:r w:rsidRPr="00381816">
        <w:t>Fisheries Management Act 2007</w:t>
      </w:r>
      <w:bookmarkEnd w:id="67"/>
    </w:p>
    <w:p w:rsidR="00381816" w:rsidRPr="00381816" w:rsidRDefault="00381816" w:rsidP="00381816">
      <w:pPr>
        <w:jc w:val="center"/>
        <w:rPr>
          <w:rFonts w:ascii="Times New Roman" w:hAnsi="Times New Roman"/>
          <w:smallCaps/>
          <w:sz w:val="17"/>
          <w:szCs w:val="17"/>
        </w:rPr>
      </w:pPr>
      <w:r w:rsidRPr="00381816">
        <w:rPr>
          <w:rFonts w:ascii="Times New Roman" w:hAnsi="Times New Roman"/>
          <w:smallCaps/>
          <w:sz w:val="17"/>
          <w:szCs w:val="17"/>
        </w:rPr>
        <w:t>Section 72</w:t>
      </w:r>
    </w:p>
    <w:p w:rsidR="00381816" w:rsidRPr="00381816" w:rsidRDefault="00381816" w:rsidP="00381816">
      <w:pPr>
        <w:jc w:val="center"/>
        <w:rPr>
          <w:rFonts w:ascii="Times New Roman" w:hAnsi="Times New Roman"/>
          <w:i/>
          <w:sz w:val="17"/>
          <w:szCs w:val="17"/>
        </w:rPr>
      </w:pPr>
      <w:r w:rsidRPr="00381816">
        <w:rPr>
          <w:rFonts w:ascii="Times New Roman" w:hAnsi="Times New Roman"/>
          <w:i/>
          <w:sz w:val="17"/>
          <w:szCs w:val="17"/>
        </w:rPr>
        <w:t>Permit to Possess and Control a Protected Species</w:t>
      </w:r>
    </w:p>
    <w:p w:rsidR="00381816" w:rsidRPr="00381816" w:rsidRDefault="00381816" w:rsidP="00381816">
      <w:pPr>
        <w:rPr>
          <w:rFonts w:ascii="Times New Roman" w:eastAsia="Times New Roman" w:hAnsi="Times New Roman"/>
          <w:sz w:val="17"/>
          <w:szCs w:val="17"/>
        </w:rPr>
      </w:pPr>
      <w:r w:rsidRPr="00381816">
        <w:rPr>
          <w:rFonts w:ascii="Times New Roman" w:eastAsia="Times New Roman" w:hAnsi="Times New Roman"/>
          <w:sz w:val="17"/>
          <w:szCs w:val="17"/>
        </w:rPr>
        <w:t xml:space="preserve">For the purpose of subsection 72(2) of the </w:t>
      </w:r>
      <w:r w:rsidRPr="00381816">
        <w:rPr>
          <w:rFonts w:ascii="Times New Roman" w:eastAsia="Times New Roman" w:hAnsi="Times New Roman"/>
          <w:i/>
          <w:iCs/>
          <w:sz w:val="17"/>
          <w:szCs w:val="17"/>
        </w:rPr>
        <w:t>Fisheries Management Act 2007</w:t>
      </w:r>
      <w:r w:rsidRPr="00381816">
        <w:rPr>
          <w:rFonts w:ascii="Times New Roman" w:eastAsia="Times New Roman" w:hAnsi="Times New Roman"/>
          <w:sz w:val="17"/>
          <w:szCs w:val="17"/>
        </w:rPr>
        <w:t>, this permit is issued to authorise the holder of the permit or her agents to be in possession and/or control of the protected species specified below, subject to the conditions of this permit.</w:t>
      </w:r>
    </w:p>
    <w:p w:rsidR="00381816" w:rsidRPr="00381816" w:rsidRDefault="00381816" w:rsidP="00381816">
      <w:pPr>
        <w:tabs>
          <w:tab w:val="left" w:pos="1418"/>
        </w:tabs>
        <w:rPr>
          <w:rFonts w:ascii="Times New Roman" w:eastAsia="Times New Roman" w:hAnsi="Times New Roman"/>
          <w:sz w:val="17"/>
          <w:szCs w:val="17"/>
        </w:rPr>
      </w:pPr>
      <w:r w:rsidRPr="00381816">
        <w:rPr>
          <w:rFonts w:ascii="Times New Roman" w:eastAsia="Times New Roman" w:hAnsi="Times New Roman"/>
          <w:sz w:val="17"/>
          <w:szCs w:val="17"/>
        </w:rPr>
        <w:t>Permit Number:</w:t>
      </w:r>
      <w:r w:rsidRPr="00381816">
        <w:rPr>
          <w:rFonts w:ascii="Times New Roman" w:eastAsia="Times New Roman" w:hAnsi="Times New Roman"/>
          <w:sz w:val="17"/>
          <w:szCs w:val="17"/>
        </w:rPr>
        <w:tab/>
        <w:t>MP0171</w:t>
      </w:r>
    </w:p>
    <w:p w:rsidR="00381816" w:rsidRPr="00381816" w:rsidRDefault="00381816" w:rsidP="00381816">
      <w:pPr>
        <w:tabs>
          <w:tab w:val="left" w:pos="1418"/>
        </w:tabs>
        <w:spacing w:after="0"/>
        <w:rPr>
          <w:rFonts w:ascii="Times New Roman" w:eastAsia="Times New Roman" w:hAnsi="Times New Roman"/>
          <w:sz w:val="17"/>
          <w:szCs w:val="17"/>
        </w:rPr>
      </w:pPr>
      <w:r w:rsidRPr="00381816">
        <w:rPr>
          <w:rFonts w:ascii="Times New Roman" w:eastAsia="Times New Roman" w:hAnsi="Times New Roman"/>
          <w:sz w:val="17"/>
          <w:szCs w:val="17"/>
        </w:rPr>
        <w:t>Permit holder:</w:t>
      </w:r>
      <w:r w:rsidRPr="00381816">
        <w:rPr>
          <w:rFonts w:ascii="Times New Roman" w:eastAsia="Times New Roman" w:hAnsi="Times New Roman"/>
          <w:sz w:val="17"/>
          <w:szCs w:val="17"/>
        </w:rPr>
        <w:tab/>
        <w:t>Ms Kate Mason</w:t>
      </w:r>
    </w:p>
    <w:p w:rsidR="00381816" w:rsidRPr="00381816" w:rsidRDefault="00381816" w:rsidP="00381816">
      <w:pPr>
        <w:tabs>
          <w:tab w:val="left" w:pos="1418"/>
        </w:tabs>
        <w:spacing w:after="0"/>
        <w:rPr>
          <w:rFonts w:ascii="Times New Roman" w:eastAsia="Times New Roman" w:hAnsi="Times New Roman"/>
          <w:sz w:val="17"/>
          <w:szCs w:val="17"/>
        </w:rPr>
      </w:pPr>
      <w:r w:rsidRPr="00381816">
        <w:rPr>
          <w:rFonts w:ascii="Times New Roman" w:eastAsia="Times New Roman" w:hAnsi="Times New Roman"/>
          <w:sz w:val="17"/>
          <w:szCs w:val="17"/>
        </w:rPr>
        <w:tab/>
        <w:t>Murraylands and Riverland Landscape Board</w:t>
      </w:r>
    </w:p>
    <w:p w:rsidR="00381816" w:rsidRPr="00381816" w:rsidRDefault="00381816" w:rsidP="00381816">
      <w:pPr>
        <w:tabs>
          <w:tab w:val="left" w:pos="1418"/>
        </w:tabs>
        <w:spacing w:after="0"/>
        <w:rPr>
          <w:rFonts w:ascii="Times New Roman" w:eastAsia="Times New Roman" w:hAnsi="Times New Roman"/>
          <w:sz w:val="17"/>
          <w:szCs w:val="17"/>
        </w:rPr>
      </w:pPr>
      <w:r w:rsidRPr="00381816">
        <w:rPr>
          <w:rFonts w:ascii="Times New Roman" w:eastAsia="Times New Roman" w:hAnsi="Times New Roman"/>
          <w:sz w:val="17"/>
          <w:szCs w:val="17"/>
        </w:rPr>
        <w:tab/>
        <w:t xml:space="preserve">110a Mannum Road </w:t>
      </w:r>
    </w:p>
    <w:p w:rsidR="00381816" w:rsidRPr="00381816" w:rsidRDefault="00381816" w:rsidP="00381816">
      <w:pPr>
        <w:tabs>
          <w:tab w:val="left" w:pos="1418"/>
        </w:tabs>
        <w:rPr>
          <w:rFonts w:ascii="Times New Roman" w:eastAsia="Times New Roman" w:hAnsi="Times New Roman"/>
          <w:sz w:val="17"/>
          <w:szCs w:val="17"/>
        </w:rPr>
      </w:pPr>
      <w:r w:rsidRPr="00381816">
        <w:rPr>
          <w:rFonts w:ascii="Times New Roman" w:eastAsia="Times New Roman" w:hAnsi="Times New Roman"/>
          <w:sz w:val="17"/>
          <w:szCs w:val="17"/>
        </w:rPr>
        <w:tab/>
        <w:t>MURRAY BRIDGE SA 5253</w:t>
      </w:r>
    </w:p>
    <w:p w:rsidR="00381816" w:rsidRPr="00381816" w:rsidRDefault="00381816" w:rsidP="00381816">
      <w:pPr>
        <w:tabs>
          <w:tab w:val="left" w:pos="1418"/>
        </w:tabs>
        <w:spacing w:after="0"/>
        <w:rPr>
          <w:rFonts w:ascii="Times New Roman" w:eastAsia="Times New Roman" w:hAnsi="Times New Roman"/>
          <w:sz w:val="17"/>
          <w:szCs w:val="17"/>
        </w:rPr>
      </w:pPr>
      <w:r w:rsidRPr="00381816">
        <w:rPr>
          <w:rFonts w:ascii="Times New Roman" w:eastAsia="Times New Roman" w:hAnsi="Times New Roman"/>
          <w:sz w:val="17"/>
          <w:szCs w:val="17"/>
        </w:rPr>
        <w:t>Specified species:</w:t>
      </w:r>
      <w:r w:rsidRPr="00381816">
        <w:rPr>
          <w:rFonts w:ascii="Times New Roman" w:eastAsia="Times New Roman" w:hAnsi="Times New Roman"/>
          <w:sz w:val="17"/>
          <w:szCs w:val="17"/>
        </w:rPr>
        <w:tab/>
        <w:t>Yarra Pygmy Perch (Nannoperca obscura)</w:t>
      </w:r>
    </w:p>
    <w:p w:rsidR="00381816" w:rsidRPr="00381816" w:rsidRDefault="00381816" w:rsidP="00381816">
      <w:pPr>
        <w:tabs>
          <w:tab w:val="left" w:pos="1418"/>
        </w:tabs>
        <w:spacing w:after="0"/>
        <w:rPr>
          <w:rFonts w:ascii="Times New Roman" w:eastAsia="Times New Roman" w:hAnsi="Times New Roman"/>
          <w:sz w:val="17"/>
          <w:szCs w:val="17"/>
        </w:rPr>
      </w:pPr>
      <w:r w:rsidRPr="00381816">
        <w:rPr>
          <w:rFonts w:ascii="Times New Roman" w:eastAsia="Times New Roman" w:hAnsi="Times New Roman"/>
          <w:sz w:val="17"/>
          <w:szCs w:val="17"/>
        </w:rPr>
        <w:tab/>
        <w:t>Southern Pygmy Perch (Nannoperca australis)</w:t>
      </w:r>
    </w:p>
    <w:p w:rsidR="00381816" w:rsidRPr="00381816" w:rsidRDefault="00381816" w:rsidP="00381816">
      <w:pPr>
        <w:tabs>
          <w:tab w:val="left" w:pos="1418"/>
        </w:tabs>
        <w:spacing w:after="0"/>
        <w:rPr>
          <w:rFonts w:ascii="Times New Roman" w:eastAsia="Times New Roman" w:hAnsi="Times New Roman"/>
          <w:sz w:val="17"/>
          <w:szCs w:val="17"/>
        </w:rPr>
      </w:pPr>
      <w:r w:rsidRPr="00381816">
        <w:rPr>
          <w:rFonts w:ascii="Times New Roman" w:eastAsia="Times New Roman" w:hAnsi="Times New Roman"/>
          <w:sz w:val="17"/>
          <w:szCs w:val="17"/>
        </w:rPr>
        <w:tab/>
        <w:t>Southern Purple-Spotted Gudgeon (Mogurnda adspersa)</w:t>
      </w:r>
    </w:p>
    <w:p w:rsidR="00381816" w:rsidRPr="00381816" w:rsidRDefault="00381816" w:rsidP="00381816">
      <w:pPr>
        <w:rPr>
          <w:rFonts w:ascii="Times New Roman" w:eastAsia="Times New Roman" w:hAnsi="Times New Roman"/>
          <w:b/>
          <w:sz w:val="17"/>
          <w:szCs w:val="17"/>
        </w:rPr>
      </w:pPr>
      <w:r w:rsidRPr="00381816">
        <w:rPr>
          <w:rFonts w:ascii="Times New Roman" w:eastAsia="Times New Roman" w:hAnsi="Times New Roman"/>
          <w:b/>
          <w:sz w:val="17"/>
          <w:szCs w:val="17"/>
        </w:rPr>
        <w:t>Conditions</w:t>
      </w:r>
    </w:p>
    <w:p w:rsidR="00381816" w:rsidRPr="00381816" w:rsidRDefault="00381816" w:rsidP="00381816">
      <w:pPr>
        <w:tabs>
          <w:tab w:val="left" w:pos="284"/>
        </w:tabs>
        <w:ind w:left="284" w:hanging="284"/>
        <w:rPr>
          <w:rFonts w:ascii="Times New Roman" w:eastAsia="Times New Roman" w:hAnsi="Times New Roman"/>
          <w:sz w:val="17"/>
          <w:szCs w:val="17"/>
        </w:rPr>
      </w:pPr>
      <w:r w:rsidRPr="00381816">
        <w:rPr>
          <w:rFonts w:ascii="Times New Roman" w:eastAsia="Times New Roman" w:hAnsi="Times New Roman"/>
          <w:sz w:val="17"/>
          <w:szCs w:val="17"/>
        </w:rPr>
        <w:t>1.</w:t>
      </w:r>
      <w:r w:rsidRPr="00381816">
        <w:rPr>
          <w:rFonts w:ascii="Times New Roman" w:eastAsia="Times New Roman" w:hAnsi="Times New Roman"/>
          <w:sz w:val="17"/>
          <w:szCs w:val="17"/>
        </w:rPr>
        <w:tab/>
        <w:t>The permit is valid from 17 December 2021 until 17 December 2022, unless varied or revoked earlier.</w:t>
      </w:r>
    </w:p>
    <w:p w:rsidR="00381816" w:rsidRPr="00381816" w:rsidRDefault="00381816" w:rsidP="00381816">
      <w:pPr>
        <w:tabs>
          <w:tab w:val="left" w:pos="284"/>
        </w:tabs>
        <w:ind w:left="284" w:hanging="284"/>
        <w:rPr>
          <w:rFonts w:ascii="Times New Roman" w:eastAsia="Times New Roman" w:hAnsi="Times New Roman"/>
          <w:sz w:val="17"/>
          <w:szCs w:val="17"/>
        </w:rPr>
      </w:pPr>
      <w:r w:rsidRPr="00381816">
        <w:rPr>
          <w:rFonts w:ascii="Times New Roman" w:eastAsia="Times New Roman" w:hAnsi="Times New Roman"/>
          <w:sz w:val="17"/>
          <w:szCs w:val="17"/>
        </w:rPr>
        <w:t>2.</w:t>
      </w:r>
      <w:r w:rsidRPr="00381816">
        <w:rPr>
          <w:rFonts w:ascii="Times New Roman" w:eastAsia="Times New Roman" w:hAnsi="Times New Roman"/>
          <w:sz w:val="17"/>
          <w:szCs w:val="17"/>
        </w:rPr>
        <w:tab/>
        <w:t>The permit holder will be deemed responsible for the conduct of all persons conducting the permitted activities under this notice. Any person conducting activities under this permit must be provided with a copy of this notice, which they must have signed as an indication that they have read and understand the conditions under it.</w:t>
      </w:r>
    </w:p>
    <w:p w:rsidR="00381816" w:rsidRPr="00381816" w:rsidRDefault="00381816" w:rsidP="00381816">
      <w:pPr>
        <w:tabs>
          <w:tab w:val="left" w:pos="284"/>
        </w:tabs>
        <w:ind w:left="284" w:hanging="284"/>
        <w:rPr>
          <w:rFonts w:ascii="Times New Roman" w:eastAsia="Times New Roman" w:hAnsi="Times New Roman"/>
          <w:sz w:val="17"/>
          <w:szCs w:val="17"/>
        </w:rPr>
      </w:pPr>
      <w:r w:rsidRPr="00381816">
        <w:rPr>
          <w:rFonts w:ascii="Times New Roman" w:eastAsia="Times New Roman" w:hAnsi="Times New Roman"/>
          <w:sz w:val="17"/>
          <w:szCs w:val="17"/>
        </w:rPr>
        <w:t>3.</w:t>
      </w:r>
      <w:r w:rsidRPr="00381816">
        <w:rPr>
          <w:rFonts w:ascii="Times New Roman" w:eastAsia="Times New Roman" w:hAnsi="Times New Roman"/>
          <w:sz w:val="17"/>
          <w:szCs w:val="17"/>
        </w:rPr>
        <w:tab/>
        <w:t>The nominated agents that may undertake this activity are:</w:t>
      </w:r>
    </w:p>
    <w:p w:rsidR="00381816" w:rsidRPr="00381816" w:rsidRDefault="00381816" w:rsidP="00381816">
      <w:pPr>
        <w:numPr>
          <w:ilvl w:val="0"/>
          <w:numId w:val="78"/>
        </w:numPr>
        <w:spacing w:after="0"/>
        <w:ind w:left="851"/>
        <w:rPr>
          <w:rFonts w:ascii="Times New Roman" w:eastAsia="Times New Roman" w:hAnsi="Times New Roman"/>
          <w:sz w:val="17"/>
          <w:szCs w:val="17"/>
        </w:rPr>
      </w:pPr>
      <w:r w:rsidRPr="00381816">
        <w:rPr>
          <w:rFonts w:ascii="Times New Roman" w:eastAsia="Times New Roman" w:hAnsi="Times New Roman"/>
          <w:sz w:val="17"/>
          <w:szCs w:val="17"/>
        </w:rPr>
        <w:t>Nick Whiterod – Aquasave – Nature Glenelg Trust, PO Box 796 Victor Harbor SA 5211</w:t>
      </w:r>
    </w:p>
    <w:p w:rsidR="00381816" w:rsidRPr="00381816" w:rsidRDefault="00381816" w:rsidP="00381816">
      <w:pPr>
        <w:numPr>
          <w:ilvl w:val="0"/>
          <w:numId w:val="78"/>
        </w:numPr>
        <w:spacing w:after="0"/>
        <w:ind w:left="851"/>
        <w:rPr>
          <w:rFonts w:ascii="Times New Roman" w:eastAsia="Times New Roman" w:hAnsi="Times New Roman"/>
          <w:sz w:val="17"/>
          <w:szCs w:val="17"/>
        </w:rPr>
      </w:pPr>
      <w:r w:rsidRPr="00381816">
        <w:rPr>
          <w:rFonts w:ascii="Times New Roman" w:eastAsia="Times New Roman" w:hAnsi="Times New Roman"/>
          <w:sz w:val="17"/>
          <w:szCs w:val="17"/>
        </w:rPr>
        <w:t>Sylvia Zukowski – Aquasave - Nature Glenelg Trust, PO Box 796 Victor Harbor SA 5211</w:t>
      </w:r>
    </w:p>
    <w:p w:rsidR="00381816" w:rsidRPr="00381816" w:rsidRDefault="00381816" w:rsidP="00381816">
      <w:pPr>
        <w:numPr>
          <w:ilvl w:val="0"/>
          <w:numId w:val="78"/>
        </w:numPr>
        <w:spacing w:after="0"/>
        <w:ind w:left="851"/>
        <w:rPr>
          <w:rFonts w:ascii="Times New Roman" w:eastAsia="Times New Roman" w:hAnsi="Times New Roman"/>
          <w:sz w:val="17"/>
          <w:szCs w:val="17"/>
        </w:rPr>
      </w:pPr>
      <w:r w:rsidRPr="00381816">
        <w:rPr>
          <w:rFonts w:ascii="Times New Roman" w:eastAsia="Times New Roman" w:hAnsi="Times New Roman"/>
          <w:sz w:val="17"/>
          <w:szCs w:val="17"/>
        </w:rPr>
        <w:t>Ruan Gannon - Aquasave - Nature Glenelg Trust, PO Box 796 Victor Harbor SA 5211</w:t>
      </w:r>
    </w:p>
    <w:p w:rsidR="00381816" w:rsidRPr="00381816" w:rsidRDefault="00381816" w:rsidP="00381816">
      <w:pPr>
        <w:numPr>
          <w:ilvl w:val="0"/>
          <w:numId w:val="78"/>
        </w:numPr>
        <w:spacing w:after="0"/>
        <w:ind w:left="851"/>
        <w:rPr>
          <w:rFonts w:ascii="Times New Roman" w:eastAsia="Times New Roman" w:hAnsi="Times New Roman"/>
          <w:sz w:val="17"/>
          <w:szCs w:val="17"/>
        </w:rPr>
      </w:pPr>
      <w:r w:rsidRPr="00381816">
        <w:rPr>
          <w:rFonts w:ascii="Times New Roman" w:eastAsia="Times New Roman" w:hAnsi="Times New Roman"/>
          <w:sz w:val="17"/>
          <w:szCs w:val="17"/>
        </w:rPr>
        <w:t>Sam Hardy – MRLB – 110a Mannum Road, Murray Bridge, SA 5253</w:t>
      </w:r>
    </w:p>
    <w:p w:rsidR="00381816" w:rsidRPr="00381816" w:rsidRDefault="00381816" w:rsidP="00381816">
      <w:pPr>
        <w:numPr>
          <w:ilvl w:val="0"/>
          <w:numId w:val="78"/>
        </w:numPr>
        <w:spacing w:after="0"/>
        <w:ind w:left="851"/>
        <w:rPr>
          <w:rFonts w:ascii="Times New Roman" w:eastAsia="Times New Roman" w:hAnsi="Times New Roman"/>
          <w:sz w:val="17"/>
          <w:szCs w:val="17"/>
        </w:rPr>
      </w:pPr>
      <w:r w:rsidRPr="00381816">
        <w:rPr>
          <w:rFonts w:ascii="Times New Roman" w:eastAsia="Times New Roman" w:hAnsi="Times New Roman"/>
          <w:sz w:val="17"/>
          <w:szCs w:val="17"/>
        </w:rPr>
        <w:t>Connor Gervais - 110a Mannum Road, Murray Bridge, SA 5253</w:t>
      </w:r>
    </w:p>
    <w:p w:rsidR="00381816" w:rsidRPr="00381816" w:rsidRDefault="00381816" w:rsidP="00381816">
      <w:pPr>
        <w:numPr>
          <w:ilvl w:val="0"/>
          <w:numId w:val="78"/>
        </w:numPr>
        <w:spacing w:after="0"/>
        <w:ind w:left="851"/>
        <w:rPr>
          <w:rFonts w:ascii="Times New Roman" w:eastAsia="Times New Roman" w:hAnsi="Times New Roman"/>
          <w:sz w:val="17"/>
          <w:szCs w:val="17"/>
        </w:rPr>
      </w:pPr>
      <w:r w:rsidRPr="00381816">
        <w:rPr>
          <w:rFonts w:ascii="Times New Roman" w:eastAsia="Times New Roman" w:hAnsi="Times New Roman"/>
          <w:sz w:val="17"/>
          <w:szCs w:val="17"/>
        </w:rPr>
        <w:t>Tiffany Nay - 110a Mannum Road, Murray Bridge, SA 5253</w:t>
      </w:r>
    </w:p>
    <w:p w:rsidR="00381816" w:rsidRPr="00381816" w:rsidRDefault="00381816" w:rsidP="00381816">
      <w:pPr>
        <w:numPr>
          <w:ilvl w:val="0"/>
          <w:numId w:val="78"/>
        </w:numPr>
        <w:spacing w:after="0"/>
        <w:ind w:left="851"/>
        <w:rPr>
          <w:rFonts w:ascii="Times New Roman" w:eastAsia="Times New Roman" w:hAnsi="Times New Roman"/>
          <w:sz w:val="17"/>
          <w:szCs w:val="17"/>
        </w:rPr>
      </w:pPr>
      <w:r w:rsidRPr="00381816">
        <w:rPr>
          <w:rFonts w:ascii="Times New Roman" w:eastAsia="Times New Roman" w:hAnsi="Times New Roman"/>
          <w:sz w:val="17"/>
          <w:szCs w:val="17"/>
        </w:rPr>
        <w:t>Stephanie Robinson – MRLB – PO Box 231 Berri SA 5343</w:t>
      </w:r>
    </w:p>
    <w:p w:rsidR="00381816" w:rsidRPr="00381816" w:rsidRDefault="00381816" w:rsidP="00381816">
      <w:pPr>
        <w:numPr>
          <w:ilvl w:val="0"/>
          <w:numId w:val="78"/>
        </w:numPr>
        <w:spacing w:after="0"/>
        <w:ind w:left="851"/>
        <w:rPr>
          <w:rFonts w:ascii="Times New Roman" w:eastAsia="Times New Roman" w:hAnsi="Times New Roman"/>
          <w:sz w:val="17"/>
          <w:szCs w:val="17"/>
        </w:rPr>
      </w:pPr>
      <w:r w:rsidRPr="00381816">
        <w:rPr>
          <w:rFonts w:ascii="Times New Roman" w:eastAsia="Times New Roman" w:hAnsi="Times New Roman"/>
          <w:sz w:val="17"/>
          <w:szCs w:val="17"/>
        </w:rPr>
        <w:t>Courtney Monk – MRLB - PO Box 231 Berri SA 5343</w:t>
      </w:r>
    </w:p>
    <w:p w:rsidR="00381816" w:rsidRPr="00381816" w:rsidRDefault="00381816" w:rsidP="00381816">
      <w:pPr>
        <w:numPr>
          <w:ilvl w:val="0"/>
          <w:numId w:val="78"/>
        </w:numPr>
        <w:ind w:left="851"/>
        <w:rPr>
          <w:rFonts w:ascii="Times New Roman" w:eastAsia="Times New Roman" w:hAnsi="Times New Roman"/>
          <w:sz w:val="17"/>
          <w:szCs w:val="17"/>
        </w:rPr>
      </w:pPr>
      <w:r w:rsidRPr="00381816">
        <w:rPr>
          <w:rFonts w:ascii="Times New Roman" w:eastAsia="Times New Roman" w:hAnsi="Times New Roman"/>
          <w:sz w:val="17"/>
          <w:szCs w:val="17"/>
        </w:rPr>
        <w:t>Annie Kriesl – MRLB - PO Box 231 Berri SA 5343</w:t>
      </w:r>
    </w:p>
    <w:p w:rsidR="00381816" w:rsidRPr="00381816" w:rsidRDefault="00381816" w:rsidP="00381816">
      <w:pPr>
        <w:tabs>
          <w:tab w:val="left" w:pos="284"/>
        </w:tabs>
        <w:ind w:left="284" w:hanging="284"/>
        <w:rPr>
          <w:rFonts w:ascii="Times New Roman" w:eastAsia="Times New Roman" w:hAnsi="Times New Roman"/>
          <w:sz w:val="17"/>
          <w:szCs w:val="17"/>
        </w:rPr>
      </w:pPr>
      <w:r w:rsidRPr="00381816">
        <w:rPr>
          <w:rFonts w:ascii="Times New Roman" w:eastAsia="Times New Roman" w:hAnsi="Times New Roman"/>
          <w:sz w:val="17"/>
          <w:szCs w:val="17"/>
        </w:rPr>
        <w:t>4.</w:t>
      </w:r>
      <w:r w:rsidRPr="00381816">
        <w:rPr>
          <w:rFonts w:ascii="Times New Roman" w:eastAsia="Times New Roman" w:hAnsi="Times New Roman"/>
          <w:sz w:val="17"/>
          <w:szCs w:val="17"/>
        </w:rPr>
        <w:tab/>
        <w:t>The specified species may only be held at the following locations as described in the table below:</w:t>
      </w:r>
    </w:p>
    <w:tbl>
      <w:tblPr>
        <w:tblW w:w="8992" w:type="dxa"/>
        <w:jc w:val="right"/>
        <w:tblLayout w:type="fixed"/>
        <w:tblLook w:val="0000" w:firstRow="0" w:lastRow="0" w:firstColumn="0" w:lastColumn="0" w:noHBand="0" w:noVBand="0"/>
      </w:tblPr>
      <w:tblGrid>
        <w:gridCol w:w="1666"/>
        <w:gridCol w:w="924"/>
        <w:gridCol w:w="1484"/>
        <w:gridCol w:w="574"/>
        <w:gridCol w:w="532"/>
        <w:gridCol w:w="657"/>
        <w:gridCol w:w="658"/>
        <w:gridCol w:w="812"/>
        <w:gridCol w:w="910"/>
        <w:gridCol w:w="775"/>
      </w:tblGrid>
      <w:tr w:rsidR="00381816" w:rsidRPr="00381816" w:rsidTr="00491D21">
        <w:trPr>
          <w:trHeight w:val="90"/>
          <w:jc w:val="right"/>
        </w:trPr>
        <w:tc>
          <w:tcPr>
            <w:tcW w:w="1666" w:type="dxa"/>
            <w:tcBorders>
              <w:top w:val="single" w:sz="4" w:space="0" w:color="auto"/>
              <w:bottom w:val="single" w:sz="4" w:space="0" w:color="auto"/>
            </w:tcBorders>
            <w:vAlign w:val="center"/>
          </w:tcPr>
          <w:p w:rsidR="00381816" w:rsidRPr="00381816" w:rsidRDefault="00381816" w:rsidP="00381816">
            <w:pPr>
              <w:spacing w:before="20" w:after="20"/>
              <w:jc w:val="center"/>
              <w:rPr>
                <w:rFonts w:ascii="Times New Roman" w:eastAsia="Times New Roman" w:hAnsi="Times New Roman"/>
                <w:b/>
                <w:bCs/>
                <w:sz w:val="17"/>
                <w:szCs w:val="17"/>
              </w:rPr>
            </w:pPr>
            <w:r w:rsidRPr="00381816">
              <w:rPr>
                <w:rFonts w:ascii="Times New Roman" w:eastAsia="Times New Roman" w:hAnsi="Times New Roman"/>
                <w:b/>
                <w:bCs/>
                <w:sz w:val="17"/>
                <w:szCs w:val="17"/>
              </w:rPr>
              <w:t>Site</w:t>
            </w:r>
          </w:p>
        </w:tc>
        <w:tc>
          <w:tcPr>
            <w:tcW w:w="924" w:type="dxa"/>
            <w:tcBorders>
              <w:top w:val="single" w:sz="4" w:space="0" w:color="auto"/>
              <w:bottom w:val="single" w:sz="4" w:space="0" w:color="auto"/>
            </w:tcBorders>
            <w:vAlign w:val="center"/>
          </w:tcPr>
          <w:p w:rsidR="00381816" w:rsidRPr="00381816" w:rsidRDefault="00381816" w:rsidP="00381816">
            <w:pPr>
              <w:spacing w:before="20" w:after="20"/>
              <w:jc w:val="center"/>
              <w:rPr>
                <w:rFonts w:ascii="Times New Roman" w:eastAsia="Times New Roman" w:hAnsi="Times New Roman"/>
                <w:b/>
                <w:bCs/>
                <w:sz w:val="17"/>
                <w:szCs w:val="17"/>
              </w:rPr>
            </w:pPr>
            <w:r w:rsidRPr="00381816">
              <w:rPr>
                <w:rFonts w:ascii="Times New Roman" w:eastAsia="Times New Roman" w:hAnsi="Times New Roman"/>
                <w:b/>
                <w:bCs/>
                <w:sz w:val="17"/>
                <w:szCs w:val="17"/>
              </w:rPr>
              <w:t>Type</w:t>
            </w:r>
          </w:p>
        </w:tc>
        <w:tc>
          <w:tcPr>
            <w:tcW w:w="1484" w:type="dxa"/>
            <w:tcBorders>
              <w:top w:val="single" w:sz="4" w:space="0" w:color="auto"/>
              <w:bottom w:val="single" w:sz="4" w:space="0" w:color="auto"/>
            </w:tcBorders>
            <w:vAlign w:val="center"/>
          </w:tcPr>
          <w:p w:rsidR="00381816" w:rsidRPr="00381816" w:rsidRDefault="00381816" w:rsidP="00381816">
            <w:pPr>
              <w:spacing w:before="20" w:after="20"/>
              <w:jc w:val="center"/>
              <w:rPr>
                <w:rFonts w:ascii="Times New Roman" w:eastAsia="Times New Roman" w:hAnsi="Times New Roman"/>
                <w:b/>
                <w:bCs/>
                <w:sz w:val="17"/>
                <w:szCs w:val="17"/>
              </w:rPr>
            </w:pPr>
            <w:r w:rsidRPr="00381816">
              <w:rPr>
                <w:rFonts w:ascii="Times New Roman" w:eastAsia="Times New Roman" w:hAnsi="Times New Roman"/>
                <w:b/>
                <w:bCs/>
                <w:sz w:val="17"/>
                <w:szCs w:val="17"/>
              </w:rPr>
              <w:t>Locality</w:t>
            </w:r>
          </w:p>
        </w:tc>
        <w:tc>
          <w:tcPr>
            <w:tcW w:w="574" w:type="dxa"/>
            <w:tcBorders>
              <w:top w:val="single" w:sz="4" w:space="0" w:color="auto"/>
              <w:bottom w:val="single" w:sz="4" w:space="0" w:color="auto"/>
            </w:tcBorders>
            <w:vAlign w:val="center"/>
          </w:tcPr>
          <w:p w:rsidR="00381816" w:rsidRPr="00381816" w:rsidRDefault="00381816" w:rsidP="00381816">
            <w:pPr>
              <w:spacing w:before="20" w:after="20"/>
              <w:jc w:val="center"/>
              <w:rPr>
                <w:rFonts w:ascii="Times New Roman" w:eastAsia="Times New Roman" w:hAnsi="Times New Roman"/>
                <w:b/>
                <w:bCs/>
                <w:sz w:val="17"/>
                <w:szCs w:val="17"/>
              </w:rPr>
            </w:pPr>
            <w:r w:rsidRPr="00381816">
              <w:rPr>
                <w:rFonts w:ascii="Times New Roman" w:eastAsia="Times New Roman" w:hAnsi="Times New Roman"/>
                <w:b/>
                <w:bCs/>
                <w:sz w:val="17"/>
                <w:szCs w:val="17"/>
              </w:rPr>
              <w:t>YPP</w:t>
            </w:r>
          </w:p>
        </w:tc>
        <w:tc>
          <w:tcPr>
            <w:tcW w:w="532" w:type="dxa"/>
            <w:tcBorders>
              <w:top w:val="single" w:sz="4" w:space="0" w:color="auto"/>
              <w:bottom w:val="single" w:sz="4" w:space="0" w:color="auto"/>
            </w:tcBorders>
            <w:vAlign w:val="center"/>
          </w:tcPr>
          <w:p w:rsidR="00381816" w:rsidRPr="00381816" w:rsidRDefault="00381816" w:rsidP="00381816">
            <w:pPr>
              <w:spacing w:before="20" w:after="20"/>
              <w:jc w:val="center"/>
              <w:rPr>
                <w:rFonts w:ascii="Times New Roman" w:eastAsia="Times New Roman" w:hAnsi="Times New Roman"/>
                <w:b/>
                <w:bCs/>
                <w:sz w:val="17"/>
                <w:szCs w:val="17"/>
              </w:rPr>
            </w:pPr>
            <w:r w:rsidRPr="00381816">
              <w:rPr>
                <w:rFonts w:ascii="Times New Roman" w:eastAsia="Times New Roman" w:hAnsi="Times New Roman"/>
                <w:b/>
                <w:bCs/>
                <w:sz w:val="17"/>
                <w:szCs w:val="17"/>
              </w:rPr>
              <w:t>SPP</w:t>
            </w:r>
          </w:p>
        </w:tc>
        <w:tc>
          <w:tcPr>
            <w:tcW w:w="657" w:type="dxa"/>
            <w:tcBorders>
              <w:top w:val="single" w:sz="4" w:space="0" w:color="auto"/>
              <w:bottom w:val="single" w:sz="4" w:space="0" w:color="auto"/>
            </w:tcBorders>
            <w:vAlign w:val="center"/>
          </w:tcPr>
          <w:p w:rsidR="00381816" w:rsidRPr="00381816" w:rsidRDefault="00381816" w:rsidP="00381816">
            <w:pPr>
              <w:spacing w:before="20" w:after="20"/>
              <w:jc w:val="center"/>
              <w:rPr>
                <w:rFonts w:ascii="Times New Roman" w:eastAsia="Times New Roman" w:hAnsi="Times New Roman"/>
                <w:b/>
                <w:bCs/>
                <w:sz w:val="17"/>
                <w:szCs w:val="17"/>
              </w:rPr>
            </w:pPr>
            <w:r w:rsidRPr="00381816">
              <w:rPr>
                <w:rFonts w:ascii="Times New Roman" w:eastAsia="Times New Roman" w:hAnsi="Times New Roman"/>
                <w:b/>
                <w:bCs/>
                <w:sz w:val="17"/>
                <w:szCs w:val="17"/>
              </w:rPr>
              <w:t>SPSG</w:t>
            </w:r>
          </w:p>
        </w:tc>
        <w:tc>
          <w:tcPr>
            <w:tcW w:w="658" w:type="dxa"/>
            <w:tcBorders>
              <w:top w:val="single" w:sz="4" w:space="0" w:color="auto"/>
              <w:bottom w:val="single" w:sz="4" w:space="0" w:color="auto"/>
            </w:tcBorders>
            <w:vAlign w:val="center"/>
          </w:tcPr>
          <w:p w:rsidR="00381816" w:rsidRPr="00381816" w:rsidRDefault="00381816" w:rsidP="00381816">
            <w:pPr>
              <w:spacing w:before="20" w:after="20"/>
              <w:jc w:val="center"/>
              <w:rPr>
                <w:rFonts w:ascii="Times New Roman" w:eastAsia="Times New Roman" w:hAnsi="Times New Roman"/>
                <w:b/>
                <w:bCs/>
                <w:sz w:val="17"/>
                <w:szCs w:val="17"/>
              </w:rPr>
            </w:pPr>
            <w:r w:rsidRPr="00381816">
              <w:rPr>
                <w:rFonts w:ascii="Times New Roman" w:eastAsia="Times New Roman" w:hAnsi="Times New Roman"/>
                <w:b/>
                <w:bCs/>
                <w:sz w:val="17"/>
                <w:szCs w:val="17"/>
              </w:rPr>
              <w:t>MHH</w:t>
            </w:r>
          </w:p>
        </w:tc>
        <w:tc>
          <w:tcPr>
            <w:tcW w:w="812" w:type="dxa"/>
            <w:tcBorders>
              <w:top w:val="single" w:sz="4" w:space="0" w:color="auto"/>
              <w:bottom w:val="single" w:sz="4" w:space="0" w:color="auto"/>
            </w:tcBorders>
            <w:vAlign w:val="center"/>
          </w:tcPr>
          <w:p w:rsidR="00381816" w:rsidRPr="00381816" w:rsidRDefault="00381816" w:rsidP="00381816">
            <w:pPr>
              <w:spacing w:before="20" w:after="20"/>
              <w:jc w:val="center"/>
              <w:rPr>
                <w:rFonts w:ascii="Times New Roman" w:eastAsia="Times New Roman" w:hAnsi="Times New Roman"/>
                <w:b/>
                <w:bCs/>
                <w:sz w:val="17"/>
                <w:szCs w:val="17"/>
              </w:rPr>
            </w:pPr>
            <w:r w:rsidRPr="00381816">
              <w:rPr>
                <w:rFonts w:ascii="Times New Roman" w:eastAsia="Times New Roman" w:hAnsi="Times New Roman"/>
                <w:b/>
                <w:bCs/>
                <w:sz w:val="17"/>
                <w:szCs w:val="17"/>
              </w:rPr>
              <w:t>Easting</w:t>
            </w:r>
          </w:p>
        </w:tc>
        <w:tc>
          <w:tcPr>
            <w:tcW w:w="910" w:type="dxa"/>
            <w:tcBorders>
              <w:top w:val="single" w:sz="4" w:space="0" w:color="auto"/>
              <w:bottom w:val="single" w:sz="4" w:space="0" w:color="auto"/>
            </w:tcBorders>
            <w:vAlign w:val="center"/>
          </w:tcPr>
          <w:p w:rsidR="00381816" w:rsidRPr="00381816" w:rsidRDefault="00381816" w:rsidP="00381816">
            <w:pPr>
              <w:spacing w:before="20" w:after="20"/>
              <w:jc w:val="center"/>
              <w:rPr>
                <w:rFonts w:ascii="Times New Roman" w:eastAsia="Times New Roman" w:hAnsi="Times New Roman"/>
                <w:b/>
                <w:bCs/>
                <w:sz w:val="17"/>
                <w:szCs w:val="17"/>
              </w:rPr>
            </w:pPr>
            <w:r w:rsidRPr="00381816">
              <w:rPr>
                <w:rFonts w:ascii="Times New Roman" w:eastAsia="Times New Roman" w:hAnsi="Times New Roman"/>
                <w:b/>
                <w:bCs/>
                <w:sz w:val="17"/>
                <w:szCs w:val="17"/>
              </w:rPr>
              <w:t>Northing</w:t>
            </w:r>
          </w:p>
        </w:tc>
        <w:tc>
          <w:tcPr>
            <w:tcW w:w="775" w:type="dxa"/>
            <w:tcBorders>
              <w:top w:val="single" w:sz="4" w:space="0" w:color="auto"/>
              <w:bottom w:val="single" w:sz="4" w:space="0" w:color="auto"/>
            </w:tcBorders>
            <w:vAlign w:val="center"/>
          </w:tcPr>
          <w:p w:rsidR="00381816" w:rsidRPr="00381816" w:rsidRDefault="00381816" w:rsidP="00381816">
            <w:pPr>
              <w:spacing w:before="20" w:after="20"/>
              <w:jc w:val="center"/>
              <w:rPr>
                <w:rFonts w:ascii="Times New Roman" w:eastAsia="Times New Roman" w:hAnsi="Times New Roman"/>
                <w:b/>
                <w:bCs/>
                <w:sz w:val="17"/>
                <w:szCs w:val="17"/>
              </w:rPr>
            </w:pPr>
            <w:r w:rsidRPr="00381816">
              <w:rPr>
                <w:rFonts w:ascii="Times New Roman" w:eastAsia="Times New Roman" w:hAnsi="Times New Roman"/>
                <w:b/>
                <w:bCs/>
                <w:sz w:val="17"/>
                <w:szCs w:val="17"/>
              </w:rPr>
              <w:t>Datum</w:t>
            </w:r>
          </w:p>
        </w:tc>
      </w:tr>
      <w:tr w:rsidR="00381816" w:rsidRPr="00381816" w:rsidTr="00491D21">
        <w:trPr>
          <w:trHeight w:val="111"/>
          <w:jc w:val="right"/>
        </w:trPr>
        <w:tc>
          <w:tcPr>
            <w:tcW w:w="1666" w:type="dxa"/>
            <w:tcBorders>
              <w:top w:val="single" w:sz="4" w:space="0" w:color="auto"/>
            </w:tcBorders>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Alberton Primary School </w:t>
            </w:r>
          </w:p>
        </w:tc>
        <w:tc>
          <w:tcPr>
            <w:tcW w:w="924" w:type="dxa"/>
            <w:tcBorders>
              <w:top w:val="single" w:sz="4" w:space="0" w:color="auto"/>
            </w:tcBorders>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Hatchery </w:t>
            </w:r>
          </w:p>
        </w:tc>
        <w:tc>
          <w:tcPr>
            <w:tcW w:w="1484" w:type="dxa"/>
            <w:tcBorders>
              <w:top w:val="single" w:sz="4" w:space="0" w:color="auto"/>
            </w:tcBorders>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Alberton </w:t>
            </w:r>
          </w:p>
        </w:tc>
        <w:tc>
          <w:tcPr>
            <w:tcW w:w="574" w:type="dxa"/>
            <w:tcBorders>
              <w:top w:val="single" w:sz="4" w:space="0" w:color="auto"/>
            </w:tcBorders>
          </w:tcPr>
          <w:p w:rsidR="00381816" w:rsidRPr="00381816" w:rsidRDefault="00381816" w:rsidP="00381816">
            <w:pPr>
              <w:spacing w:before="20" w:after="20"/>
              <w:rPr>
                <w:rFonts w:ascii="Times New Roman" w:eastAsia="Times New Roman" w:hAnsi="Times New Roman"/>
                <w:sz w:val="17"/>
                <w:szCs w:val="17"/>
              </w:rPr>
            </w:pPr>
          </w:p>
        </w:tc>
        <w:tc>
          <w:tcPr>
            <w:tcW w:w="532" w:type="dxa"/>
            <w:tcBorders>
              <w:top w:val="single" w:sz="4" w:space="0" w:color="auto"/>
            </w:tcBorders>
          </w:tcPr>
          <w:p w:rsidR="00381816" w:rsidRPr="00381816" w:rsidRDefault="00381816" w:rsidP="00381816">
            <w:pPr>
              <w:spacing w:before="20" w:after="20"/>
              <w:rPr>
                <w:rFonts w:ascii="Times New Roman" w:eastAsia="Times New Roman" w:hAnsi="Times New Roman"/>
                <w:sz w:val="17"/>
                <w:szCs w:val="17"/>
              </w:rPr>
            </w:pPr>
          </w:p>
        </w:tc>
        <w:tc>
          <w:tcPr>
            <w:tcW w:w="657" w:type="dxa"/>
            <w:tcBorders>
              <w:top w:val="single" w:sz="4" w:space="0" w:color="auto"/>
            </w:tcBorders>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58" w:type="dxa"/>
            <w:tcBorders>
              <w:top w:val="single" w:sz="4" w:space="0" w:color="auto"/>
            </w:tcBorders>
          </w:tcPr>
          <w:p w:rsidR="00381816" w:rsidRPr="00381816" w:rsidRDefault="00381816" w:rsidP="00381816">
            <w:pPr>
              <w:spacing w:before="20" w:after="20"/>
              <w:rPr>
                <w:rFonts w:ascii="Times New Roman" w:eastAsia="Times New Roman" w:hAnsi="Times New Roman"/>
                <w:sz w:val="17"/>
                <w:szCs w:val="17"/>
              </w:rPr>
            </w:pPr>
          </w:p>
        </w:tc>
        <w:tc>
          <w:tcPr>
            <w:tcW w:w="812" w:type="dxa"/>
            <w:tcBorders>
              <w:top w:val="single" w:sz="4" w:space="0" w:color="auto"/>
            </w:tcBorders>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272599 </w:t>
            </w:r>
          </w:p>
        </w:tc>
        <w:tc>
          <w:tcPr>
            <w:tcW w:w="910" w:type="dxa"/>
            <w:tcBorders>
              <w:top w:val="single" w:sz="4" w:space="0" w:color="auto"/>
            </w:tcBorders>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6139493 </w:t>
            </w:r>
          </w:p>
        </w:tc>
        <w:tc>
          <w:tcPr>
            <w:tcW w:w="775" w:type="dxa"/>
            <w:tcBorders>
              <w:top w:val="single" w:sz="4" w:space="0" w:color="auto"/>
            </w:tcBorders>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111"/>
          <w:jc w:val="right"/>
        </w:trPr>
        <w:tc>
          <w:tcPr>
            <w:tcW w:w="166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Beyond Wetlands </w:t>
            </w:r>
          </w:p>
        </w:tc>
        <w:tc>
          <w:tcPr>
            <w:tcW w:w="92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484"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Victor Harbour </w:t>
            </w:r>
          </w:p>
        </w:tc>
        <w:tc>
          <w:tcPr>
            <w:tcW w:w="57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53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57"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58"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81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287386 </w:t>
            </w:r>
          </w:p>
        </w:tc>
        <w:tc>
          <w:tcPr>
            <w:tcW w:w="910"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6065375 </w:t>
            </w:r>
          </w:p>
        </w:tc>
        <w:tc>
          <w:tcPr>
            <w:tcW w:w="775"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jc w:val="right"/>
        </w:trPr>
        <w:tc>
          <w:tcPr>
            <w:tcW w:w="166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Cole Crossing Road Dam </w:t>
            </w:r>
          </w:p>
        </w:tc>
        <w:tc>
          <w:tcPr>
            <w:tcW w:w="92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484"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Nangkita </w:t>
            </w:r>
          </w:p>
        </w:tc>
        <w:tc>
          <w:tcPr>
            <w:tcW w:w="57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532" w:type="dxa"/>
          </w:tcPr>
          <w:p w:rsidR="00381816" w:rsidRPr="00381816" w:rsidRDefault="00381816" w:rsidP="00381816">
            <w:pPr>
              <w:spacing w:before="20" w:after="20"/>
              <w:rPr>
                <w:rFonts w:ascii="Times New Roman" w:eastAsia="Times New Roman" w:hAnsi="Times New Roman"/>
                <w:sz w:val="17"/>
                <w:szCs w:val="17"/>
              </w:rPr>
            </w:pPr>
          </w:p>
        </w:tc>
        <w:tc>
          <w:tcPr>
            <w:tcW w:w="657" w:type="dxa"/>
          </w:tcPr>
          <w:p w:rsidR="00381816" w:rsidRPr="00381816" w:rsidRDefault="00381816" w:rsidP="00381816">
            <w:pPr>
              <w:spacing w:before="20" w:after="20"/>
              <w:rPr>
                <w:rFonts w:ascii="Times New Roman" w:eastAsia="Times New Roman" w:hAnsi="Times New Roman"/>
                <w:sz w:val="17"/>
                <w:szCs w:val="17"/>
              </w:rPr>
            </w:pPr>
          </w:p>
        </w:tc>
        <w:tc>
          <w:tcPr>
            <w:tcW w:w="658" w:type="dxa"/>
          </w:tcPr>
          <w:p w:rsidR="00381816" w:rsidRPr="00381816" w:rsidRDefault="00381816" w:rsidP="00381816">
            <w:pPr>
              <w:spacing w:before="20" w:after="20"/>
              <w:rPr>
                <w:rFonts w:ascii="Times New Roman" w:eastAsia="Times New Roman" w:hAnsi="Times New Roman"/>
                <w:sz w:val="17"/>
                <w:szCs w:val="17"/>
              </w:rPr>
            </w:pPr>
          </w:p>
        </w:tc>
        <w:tc>
          <w:tcPr>
            <w:tcW w:w="81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292340 </w:t>
            </w:r>
          </w:p>
        </w:tc>
        <w:tc>
          <w:tcPr>
            <w:tcW w:w="910"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6086197 </w:t>
            </w:r>
          </w:p>
        </w:tc>
        <w:tc>
          <w:tcPr>
            <w:tcW w:w="775"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111"/>
          <w:jc w:val="right"/>
        </w:trPr>
        <w:tc>
          <w:tcPr>
            <w:tcW w:w="166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Crouch Dam </w:t>
            </w:r>
          </w:p>
        </w:tc>
        <w:tc>
          <w:tcPr>
            <w:tcW w:w="92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484"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Yundi </w:t>
            </w:r>
          </w:p>
        </w:tc>
        <w:tc>
          <w:tcPr>
            <w:tcW w:w="57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532" w:type="dxa"/>
          </w:tcPr>
          <w:p w:rsidR="00381816" w:rsidRPr="00381816" w:rsidRDefault="00381816" w:rsidP="00381816">
            <w:pPr>
              <w:spacing w:before="20" w:after="20"/>
              <w:rPr>
                <w:rFonts w:ascii="Times New Roman" w:eastAsia="Times New Roman" w:hAnsi="Times New Roman"/>
                <w:sz w:val="17"/>
                <w:szCs w:val="17"/>
              </w:rPr>
            </w:pPr>
          </w:p>
        </w:tc>
        <w:tc>
          <w:tcPr>
            <w:tcW w:w="657" w:type="dxa"/>
          </w:tcPr>
          <w:p w:rsidR="00381816" w:rsidRPr="00381816" w:rsidRDefault="00381816" w:rsidP="00381816">
            <w:pPr>
              <w:spacing w:before="20" w:after="20"/>
              <w:rPr>
                <w:rFonts w:ascii="Times New Roman" w:eastAsia="Times New Roman" w:hAnsi="Times New Roman"/>
                <w:sz w:val="17"/>
                <w:szCs w:val="17"/>
              </w:rPr>
            </w:pPr>
          </w:p>
        </w:tc>
        <w:tc>
          <w:tcPr>
            <w:tcW w:w="658" w:type="dxa"/>
          </w:tcPr>
          <w:p w:rsidR="00381816" w:rsidRPr="00381816" w:rsidRDefault="00381816" w:rsidP="00381816">
            <w:pPr>
              <w:spacing w:before="20" w:after="20"/>
              <w:rPr>
                <w:rFonts w:ascii="Times New Roman" w:eastAsia="Times New Roman" w:hAnsi="Times New Roman"/>
                <w:sz w:val="17"/>
                <w:szCs w:val="17"/>
              </w:rPr>
            </w:pPr>
          </w:p>
        </w:tc>
        <w:tc>
          <w:tcPr>
            <w:tcW w:w="81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287070 </w:t>
            </w:r>
          </w:p>
        </w:tc>
        <w:tc>
          <w:tcPr>
            <w:tcW w:w="910"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6088349 </w:t>
            </w:r>
          </w:p>
        </w:tc>
        <w:tc>
          <w:tcPr>
            <w:tcW w:w="775"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jc w:val="right"/>
        </w:trPr>
        <w:tc>
          <w:tcPr>
            <w:tcW w:w="166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Greenlands Drive Dam </w:t>
            </w:r>
          </w:p>
        </w:tc>
        <w:tc>
          <w:tcPr>
            <w:tcW w:w="92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484"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Murray Bridge </w:t>
            </w:r>
          </w:p>
        </w:tc>
        <w:tc>
          <w:tcPr>
            <w:tcW w:w="57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532" w:type="dxa"/>
          </w:tcPr>
          <w:p w:rsidR="00381816" w:rsidRPr="00381816" w:rsidRDefault="00381816" w:rsidP="00381816">
            <w:pPr>
              <w:spacing w:before="20" w:after="20"/>
              <w:rPr>
                <w:rFonts w:ascii="Times New Roman" w:eastAsia="Times New Roman" w:hAnsi="Times New Roman"/>
                <w:sz w:val="17"/>
                <w:szCs w:val="17"/>
              </w:rPr>
            </w:pPr>
          </w:p>
        </w:tc>
        <w:tc>
          <w:tcPr>
            <w:tcW w:w="657" w:type="dxa"/>
          </w:tcPr>
          <w:p w:rsidR="00381816" w:rsidRPr="00381816" w:rsidRDefault="00381816" w:rsidP="00381816">
            <w:pPr>
              <w:spacing w:before="20" w:after="20"/>
              <w:rPr>
                <w:rFonts w:ascii="Times New Roman" w:eastAsia="Times New Roman" w:hAnsi="Times New Roman"/>
                <w:sz w:val="17"/>
                <w:szCs w:val="17"/>
              </w:rPr>
            </w:pPr>
          </w:p>
        </w:tc>
        <w:tc>
          <w:tcPr>
            <w:tcW w:w="658" w:type="dxa"/>
          </w:tcPr>
          <w:p w:rsidR="00381816" w:rsidRPr="00381816" w:rsidRDefault="00381816" w:rsidP="00381816">
            <w:pPr>
              <w:spacing w:before="20" w:after="20"/>
              <w:rPr>
                <w:rFonts w:ascii="Times New Roman" w:eastAsia="Times New Roman" w:hAnsi="Times New Roman"/>
                <w:sz w:val="17"/>
                <w:szCs w:val="17"/>
              </w:rPr>
            </w:pPr>
          </w:p>
        </w:tc>
        <w:tc>
          <w:tcPr>
            <w:tcW w:w="81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339951 </w:t>
            </w:r>
          </w:p>
        </w:tc>
        <w:tc>
          <w:tcPr>
            <w:tcW w:w="910"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6112119 </w:t>
            </w:r>
          </w:p>
        </w:tc>
        <w:tc>
          <w:tcPr>
            <w:tcW w:w="775"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111"/>
          <w:jc w:val="right"/>
        </w:trPr>
        <w:tc>
          <w:tcPr>
            <w:tcW w:w="166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Holy Family School </w:t>
            </w:r>
          </w:p>
        </w:tc>
        <w:tc>
          <w:tcPr>
            <w:tcW w:w="92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484"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Happy Valley </w:t>
            </w:r>
          </w:p>
        </w:tc>
        <w:tc>
          <w:tcPr>
            <w:tcW w:w="574" w:type="dxa"/>
          </w:tcPr>
          <w:p w:rsidR="00381816" w:rsidRPr="00381816" w:rsidRDefault="00381816" w:rsidP="00381816">
            <w:pPr>
              <w:spacing w:before="20" w:after="20"/>
              <w:rPr>
                <w:rFonts w:ascii="Times New Roman" w:eastAsia="Times New Roman" w:hAnsi="Times New Roman"/>
                <w:sz w:val="17"/>
                <w:szCs w:val="17"/>
              </w:rPr>
            </w:pPr>
          </w:p>
        </w:tc>
        <w:tc>
          <w:tcPr>
            <w:tcW w:w="532" w:type="dxa"/>
          </w:tcPr>
          <w:p w:rsidR="00381816" w:rsidRPr="00381816" w:rsidRDefault="00381816" w:rsidP="00381816">
            <w:pPr>
              <w:spacing w:before="20" w:after="20"/>
              <w:rPr>
                <w:rFonts w:ascii="Times New Roman" w:eastAsia="Times New Roman" w:hAnsi="Times New Roman"/>
                <w:sz w:val="17"/>
                <w:szCs w:val="17"/>
              </w:rPr>
            </w:pPr>
          </w:p>
        </w:tc>
        <w:tc>
          <w:tcPr>
            <w:tcW w:w="657"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58" w:type="dxa"/>
          </w:tcPr>
          <w:p w:rsidR="00381816" w:rsidRPr="00381816" w:rsidRDefault="00381816" w:rsidP="00381816">
            <w:pPr>
              <w:spacing w:before="20" w:after="20"/>
              <w:rPr>
                <w:rFonts w:ascii="Times New Roman" w:eastAsia="Times New Roman" w:hAnsi="Times New Roman"/>
                <w:sz w:val="17"/>
                <w:szCs w:val="17"/>
              </w:rPr>
            </w:pPr>
          </w:p>
        </w:tc>
        <w:tc>
          <w:tcPr>
            <w:tcW w:w="81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280607 </w:t>
            </w:r>
          </w:p>
        </w:tc>
        <w:tc>
          <w:tcPr>
            <w:tcW w:w="910"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6114616 </w:t>
            </w:r>
          </w:p>
        </w:tc>
        <w:tc>
          <w:tcPr>
            <w:tcW w:w="775"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200"/>
          <w:jc w:val="right"/>
        </w:trPr>
        <w:tc>
          <w:tcPr>
            <w:tcW w:w="166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Investigator College EcoCentre </w:t>
            </w:r>
          </w:p>
        </w:tc>
        <w:tc>
          <w:tcPr>
            <w:tcW w:w="92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484"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Currency Creek </w:t>
            </w:r>
          </w:p>
        </w:tc>
        <w:tc>
          <w:tcPr>
            <w:tcW w:w="57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532" w:type="dxa"/>
          </w:tcPr>
          <w:p w:rsidR="00381816" w:rsidRPr="00381816" w:rsidRDefault="00381816" w:rsidP="00381816">
            <w:pPr>
              <w:spacing w:before="20" w:after="20"/>
              <w:rPr>
                <w:rFonts w:ascii="Times New Roman" w:eastAsia="Times New Roman" w:hAnsi="Times New Roman"/>
                <w:sz w:val="17"/>
                <w:szCs w:val="17"/>
              </w:rPr>
            </w:pPr>
          </w:p>
        </w:tc>
        <w:tc>
          <w:tcPr>
            <w:tcW w:w="657" w:type="dxa"/>
          </w:tcPr>
          <w:p w:rsidR="00381816" w:rsidRPr="00381816" w:rsidRDefault="00381816" w:rsidP="00381816">
            <w:pPr>
              <w:spacing w:before="20" w:after="20"/>
              <w:rPr>
                <w:rFonts w:ascii="Times New Roman" w:eastAsia="Times New Roman" w:hAnsi="Times New Roman"/>
                <w:sz w:val="17"/>
                <w:szCs w:val="17"/>
              </w:rPr>
            </w:pPr>
          </w:p>
        </w:tc>
        <w:tc>
          <w:tcPr>
            <w:tcW w:w="658" w:type="dxa"/>
          </w:tcPr>
          <w:p w:rsidR="00381816" w:rsidRPr="00381816" w:rsidRDefault="00381816" w:rsidP="00381816">
            <w:pPr>
              <w:spacing w:before="20" w:after="20"/>
              <w:rPr>
                <w:rFonts w:ascii="Times New Roman" w:eastAsia="Times New Roman" w:hAnsi="Times New Roman"/>
                <w:sz w:val="17"/>
                <w:szCs w:val="17"/>
              </w:rPr>
            </w:pPr>
          </w:p>
        </w:tc>
        <w:tc>
          <w:tcPr>
            <w:tcW w:w="81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300212 </w:t>
            </w:r>
          </w:p>
        </w:tc>
        <w:tc>
          <w:tcPr>
            <w:tcW w:w="910"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6073033 </w:t>
            </w:r>
          </w:p>
        </w:tc>
        <w:tc>
          <w:tcPr>
            <w:tcW w:w="775"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jc w:val="right"/>
        </w:trPr>
        <w:tc>
          <w:tcPr>
            <w:tcW w:w="166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Kingston YPP dam 1 </w:t>
            </w:r>
          </w:p>
        </w:tc>
        <w:tc>
          <w:tcPr>
            <w:tcW w:w="92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484"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Kingston SE </w:t>
            </w:r>
          </w:p>
        </w:tc>
        <w:tc>
          <w:tcPr>
            <w:tcW w:w="57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532" w:type="dxa"/>
          </w:tcPr>
          <w:p w:rsidR="00381816" w:rsidRPr="00381816" w:rsidRDefault="00381816" w:rsidP="00381816">
            <w:pPr>
              <w:spacing w:before="20" w:after="20"/>
              <w:rPr>
                <w:rFonts w:ascii="Times New Roman" w:eastAsia="Times New Roman" w:hAnsi="Times New Roman"/>
                <w:sz w:val="17"/>
                <w:szCs w:val="17"/>
              </w:rPr>
            </w:pPr>
          </w:p>
        </w:tc>
        <w:tc>
          <w:tcPr>
            <w:tcW w:w="657" w:type="dxa"/>
          </w:tcPr>
          <w:p w:rsidR="00381816" w:rsidRPr="00381816" w:rsidRDefault="00381816" w:rsidP="00381816">
            <w:pPr>
              <w:spacing w:before="20" w:after="20"/>
              <w:rPr>
                <w:rFonts w:ascii="Times New Roman" w:eastAsia="Times New Roman" w:hAnsi="Times New Roman"/>
                <w:sz w:val="17"/>
                <w:szCs w:val="17"/>
              </w:rPr>
            </w:pPr>
          </w:p>
        </w:tc>
        <w:tc>
          <w:tcPr>
            <w:tcW w:w="658" w:type="dxa"/>
          </w:tcPr>
          <w:p w:rsidR="00381816" w:rsidRPr="00381816" w:rsidRDefault="00381816" w:rsidP="00381816">
            <w:pPr>
              <w:spacing w:before="20" w:after="20"/>
              <w:rPr>
                <w:rFonts w:ascii="Times New Roman" w:eastAsia="Times New Roman" w:hAnsi="Times New Roman"/>
                <w:sz w:val="17"/>
                <w:szCs w:val="17"/>
              </w:rPr>
            </w:pPr>
          </w:p>
        </w:tc>
        <w:tc>
          <w:tcPr>
            <w:tcW w:w="81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446311 </w:t>
            </w:r>
          </w:p>
        </w:tc>
        <w:tc>
          <w:tcPr>
            <w:tcW w:w="910"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5842721 </w:t>
            </w:r>
          </w:p>
        </w:tc>
        <w:tc>
          <w:tcPr>
            <w:tcW w:w="775"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jc w:val="right"/>
        </w:trPr>
        <w:tc>
          <w:tcPr>
            <w:tcW w:w="166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Kingston YPP dam 2 </w:t>
            </w:r>
          </w:p>
        </w:tc>
        <w:tc>
          <w:tcPr>
            <w:tcW w:w="92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484"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Kingston SE </w:t>
            </w:r>
          </w:p>
        </w:tc>
        <w:tc>
          <w:tcPr>
            <w:tcW w:w="57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532" w:type="dxa"/>
          </w:tcPr>
          <w:p w:rsidR="00381816" w:rsidRPr="00381816" w:rsidRDefault="00381816" w:rsidP="00381816">
            <w:pPr>
              <w:spacing w:before="20" w:after="20"/>
              <w:rPr>
                <w:rFonts w:ascii="Times New Roman" w:eastAsia="Times New Roman" w:hAnsi="Times New Roman"/>
                <w:sz w:val="17"/>
                <w:szCs w:val="17"/>
              </w:rPr>
            </w:pPr>
          </w:p>
        </w:tc>
        <w:tc>
          <w:tcPr>
            <w:tcW w:w="657" w:type="dxa"/>
          </w:tcPr>
          <w:p w:rsidR="00381816" w:rsidRPr="00381816" w:rsidRDefault="00381816" w:rsidP="00381816">
            <w:pPr>
              <w:spacing w:before="20" w:after="20"/>
              <w:rPr>
                <w:rFonts w:ascii="Times New Roman" w:eastAsia="Times New Roman" w:hAnsi="Times New Roman"/>
                <w:sz w:val="17"/>
                <w:szCs w:val="17"/>
              </w:rPr>
            </w:pPr>
          </w:p>
        </w:tc>
        <w:tc>
          <w:tcPr>
            <w:tcW w:w="658" w:type="dxa"/>
          </w:tcPr>
          <w:p w:rsidR="00381816" w:rsidRPr="00381816" w:rsidRDefault="00381816" w:rsidP="00381816">
            <w:pPr>
              <w:spacing w:before="20" w:after="20"/>
              <w:rPr>
                <w:rFonts w:ascii="Times New Roman" w:eastAsia="Times New Roman" w:hAnsi="Times New Roman"/>
                <w:sz w:val="17"/>
                <w:szCs w:val="17"/>
              </w:rPr>
            </w:pPr>
          </w:p>
        </w:tc>
        <w:tc>
          <w:tcPr>
            <w:tcW w:w="81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479201 </w:t>
            </w:r>
          </w:p>
        </w:tc>
        <w:tc>
          <w:tcPr>
            <w:tcW w:w="910"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5811699 </w:t>
            </w:r>
          </w:p>
        </w:tc>
        <w:tc>
          <w:tcPr>
            <w:tcW w:w="775"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199"/>
          <w:jc w:val="right"/>
        </w:trPr>
        <w:tc>
          <w:tcPr>
            <w:tcW w:w="166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Mosquito Hill Rd </w:t>
            </w:r>
          </w:p>
        </w:tc>
        <w:tc>
          <w:tcPr>
            <w:tcW w:w="92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484"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Mosquito Hill, SA </w:t>
            </w:r>
          </w:p>
        </w:tc>
        <w:tc>
          <w:tcPr>
            <w:tcW w:w="57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532" w:type="dxa"/>
          </w:tcPr>
          <w:p w:rsidR="00381816" w:rsidRPr="00381816" w:rsidRDefault="00381816" w:rsidP="00381816">
            <w:pPr>
              <w:spacing w:before="20" w:after="20"/>
              <w:rPr>
                <w:rFonts w:ascii="Times New Roman" w:eastAsia="Times New Roman" w:hAnsi="Times New Roman"/>
                <w:sz w:val="17"/>
                <w:szCs w:val="17"/>
              </w:rPr>
            </w:pPr>
          </w:p>
        </w:tc>
        <w:tc>
          <w:tcPr>
            <w:tcW w:w="657" w:type="dxa"/>
          </w:tcPr>
          <w:p w:rsidR="00381816" w:rsidRPr="00381816" w:rsidRDefault="00381816" w:rsidP="00381816">
            <w:pPr>
              <w:spacing w:before="20" w:after="20"/>
              <w:rPr>
                <w:rFonts w:ascii="Times New Roman" w:eastAsia="Times New Roman" w:hAnsi="Times New Roman"/>
                <w:sz w:val="17"/>
                <w:szCs w:val="17"/>
              </w:rPr>
            </w:pPr>
          </w:p>
        </w:tc>
        <w:tc>
          <w:tcPr>
            <w:tcW w:w="658" w:type="dxa"/>
          </w:tcPr>
          <w:p w:rsidR="00381816" w:rsidRPr="00381816" w:rsidRDefault="00381816" w:rsidP="00381816">
            <w:pPr>
              <w:spacing w:before="20" w:after="20"/>
              <w:rPr>
                <w:rFonts w:ascii="Times New Roman" w:eastAsia="Times New Roman" w:hAnsi="Times New Roman"/>
                <w:sz w:val="17"/>
                <w:szCs w:val="17"/>
              </w:rPr>
            </w:pPr>
          </w:p>
        </w:tc>
        <w:tc>
          <w:tcPr>
            <w:tcW w:w="81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289610 </w:t>
            </w:r>
          </w:p>
        </w:tc>
        <w:tc>
          <w:tcPr>
            <w:tcW w:w="910"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6076916 </w:t>
            </w:r>
          </w:p>
        </w:tc>
        <w:tc>
          <w:tcPr>
            <w:tcW w:w="775"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130"/>
          <w:jc w:val="right"/>
        </w:trPr>
        <w:tc>
          <w:tcPr>
            <w:tcW w:w="166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Neil Dam </w:t>
            </w:r>
          </w:p>
        </w:tc>
        <w:tc>
          <w:tcPr>
            <w:tcW w:w="92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484"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Ashbourne </w:t>
            </w:r>
          </w:p>
        </w:tc>
        <w:tc>
          <w:tcPr>
            <w:tcW w:w="57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532" w:type="dxa"/>
          </w:tcPr>
          <w:p w:rsidR="00381816" w:rsidRPr="00381816" w:rsidRDefault="00381816" w:rsidP="00381816">
            <w:pPr>
              <w:spacing w:before="20" w:after="20"/>
              <w:rPr>
                <w:rFonts w:ascii="Times New Roman" w:eastAsia="Times New Roman" w:hAnsi="Times New Roman"/>
                <w:sz w:val="17"/>
                <w:szCs w:val="17"/>
              </w:rPr>
            </w:pPr>
          </w:p>
        </w:tc>
        <w:tc>
          <w:tcPr>
            <w:tcW w:w="657" w:type="dxa"/>
          </w:tcPr>
          <w:p w:rsidR="00381816" w:rsidRPr="00381816" w:rsidRDefault="00381816" w:rsidP="00381816">
            <w:pPr>
              <w:spacing w:before="20" w:after="20"/>
              <w:rPr>
                <w:rFonts w:ascii="Times New Roman" w:eastAsia="Times New Roman" w:hAnsi="Times New Roman"/>
                <w:sz w:val="17"/>
                <w:szCs w:val="17"/>
              </w:rPr>
            </w:pPr>
          </w:p>
        </w:tc>
        <w:tc>
          <w:tcPr>
            <w:tcW w:w="658" w:type="dxa"/>
          </w:tcPr>
          <w:p w:rsidR="00381816" w:rsidRPr="00381816" w:rsidRDefault="00381816" w:rsidP="00381816">
            <w:pPr>
              <w:spacing w:before="20" w:after="20"/>
              <w:rPr>
                <w:rFonts w:ascii="Times New Roman" w:eastAsia="Times New Roman" w:hAnsi="Times New Roman"/>
                <w:sz w:val="17"/>
                <w:szCs w:val="17"/>
              </w:rPr>
            </w:pPr>
          </w:p>
        </w:tc>
        <w:tc>
          <w:tcPr>
            <w:tcW w:w="81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292995 </w:t>
            </w:r>
          </w:p>
        </w:tc>
        <w:tc>
          <w:tcPr>
            <w:tcW w:w="910"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6096044 </w:t>
            </w:r>
          </w:p>
        </w:tc>
        <w:tc>
          <w:tcPr>
            <w:tcW w:w="775"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jc w:val="right"/>
        </w:trPr>
        <w:tc>
          <w:tcPr>
            <w:tcW w:w="166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Robertson Dam </w:t>
            </w:r>
          </w:p>
        </w:tc>
        <w:tc>
          <w:tcPr>
            <w:tcW w:w="92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484"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Nangkita </w:t>
            </w:r>
          </w:p>
        </w:tc>
        <w:tc>
          <w:tcPr>
            <w:tcW w:w="57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532" w:type="dxa"/>
          </w:tcPr>
          <w:p w:rsidR="00381816" w:rsidRPr="00381816" w:rsidRDefault="00381816" w:rsidP="00381816">
            <w:pPr>
              <w:spacing w:before="20" w:after="20"/>
              <w:rPr>
                <w:rFonts w:ascii="Times New Roman" w:eastAsia="Times New Roman" w:hAnsi="Times New Roman"/>
                <w:sz w:val="17"/>
                <w:szCs w:val="17"/>
              </w:rPr>
            </w:pPr>
          </w:p>
        </w:tc>
        <w:tc>
          <w:tcPr>
            <w:tcW w:w="657" w:type="dxa"/>
          </w:tcPr>
          <w:p w:rsidR="00381816" w:rsidRPr="00381816" w:rsidRDefault="00381816" w:rsidP="00381816">
            <w:pPr>
              <w:spacing w:before="20" w:after="20"/>
              <w:rPr>
                <w:rFonts w:ascii="Times New Roman" w:eastAsia="Times New Roman" w:hAnsi="Times New Roman"/>
                <w:sz w:val="17"/>
                <w:szCs w:val="17"/>
              </w:rPr>
            </w:pPr>
          </w:p>
        </w:tc>
        <w:tc>
          <w:tcPr>
            <w:tcW w:w="658" w:type="dxa"/>
          </w:tcPr>
          <w:p w:rsidR="00381816" w:rsidRPr="00381816" w:rsidRDefault="00381816" w:rsidP="00381816">
            <w:pPr>
              <w:spacing w:before="20" w:after="20"/>
              <w:rPr>
                <w:rFonts w:ascii="Times New Roman" w:eastAsia="Times New Roman" w:hAnsi="Times New Roman"/>
                <w:sz w:val="17"/>
                <w:szCs w:val="17"/>
              </w:rPr>
            </w:pPr>
          </w:p>
        </w:tc>
        <w:tc>
          <w:tcPr>
            <w:tcW w:w="81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288793 </w:t>
            </w:r>
          </w:p>
        </w:tc>
        <w:tc>
          <w:tcPr>
            <w:tcW w:w="910"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6086134 </w:t>
            </w:r>
          </w:p>
        </w:tc>
        <w:tc>
          <w:tcPr>
            <w:tcW w:w="775"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jc w:val="right"/>
        </w:trPr>
        <w:tc>
          <w:tcPr>
            <w:tcW w:w="166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Softfoot</w:t>
            </w:r>
          </w:p>
        </w:tc>
        <w:tc>
          <w:tcPr>
            <w:tcW w:w="92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Surrogate</w:t>
            </w:r>
          </w:p>
        </w:tc>
        <w:tc>
          <w:tcPr>
            <w:tcW w:w="1484"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Mount Compass</w:t>
            </w:r>
          </w:p>
        </w:tc>
        <w:tc>
          <w:tcPr>
            <w:tcW w:w="57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532" w:type="dxa"/>
          </w:tcPr>
          <w:p w:rsidR="00381816" w:rsidRPr="00381816" w:rsidRDefault="00381816" w:rsidP="00381816">
            <w:pPr>
              <w:spacing w:before="20" w:after="20"/>
              <w:rPr>
                <w:rFonts w:ascii="Times New Roman" w:eastAsia="Times New Roman" w:hAnsi="Times New Roman"/>
                <w:sz w:val="17"/>
                <w:szCs w:val="17"/>
              </w:rPr>
            </w:pPr>
          </w:p>
        </w:tc>
        <w:tc>
          <w:tcPr>
            <w:tcW w:w="657" w:type="dxa"/>
          </w:tcPr>
          <w:p w:rsidR="00381816" w:rsidRPr="00381816" w:rsidRDefault="00381816" w:rsidP="00381816">
            <w:pPr>
              <w:spacing w:before="20" w:after="20"/>
              <w:rPr>
                <w:rFonts w:ascii="Times New Roman" w:eastAsia="Times New Roman" w:hAnsi="Times New Roman"/>
                <w:sz w:val="17"/>
                <w:szCs w:val="17"/>
              </w:rPr>
            </w:pPr>
          </w:p>
        </w:tc>
        <w:tc>
          <w:tcPr>
            <w:tcW w:w="658" w:type="dxa"/>
          </w:tcPr>
          <w:p w:rsidR="00381816" w:rsidRPr="00381816" w:rsidRDefault="00381816" w:rsidP="00381816">
            <w:pPr>
              <w:spacing w:before="20" w:after="20"/>
              <w:rPr>
                <w:rFonts w:ascii="Times New Roman" w:eastAsia="Times New Roman" w:hAnsi="Times New Roman"/>
                <w:sz w:val="17"/>
                <w:szCs w:val="17"/>
              </w:rPr>
            </w:pPr>
          </w:p>
        </w:tc>
        <w:tc>
          <w:tcPr>
            <w:tcW w:w="81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280612</w:t>
            </w:r>
          </w:p>
        </w:tc>
        <w:tc>
          <w:tcPr>
            <w:tcW w:w="910"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6071811</w:t>
            </w:r>
          </w:p>
        </w:tc>
        <w:tc>
          <w:tcPr>
            <w:tcW w:w="775"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GDA94</w:t>
            </w:r>
          </w:p>
        </w:tc>
      </w:tr>
      <w:tr w:rsidR="00381816" w:rsidRPr="00381816" w:rsidTr="00491D21">
        <w:trPr>
          <w:trHeight w:val="90"/>
          <w:jc w:val="right"/>
        </w:trPr>
        <w:tc>
          <w:tcPr>
            <w:tcW w:w="166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St Francis School</w:t>
            </w:r>
          </w:p>
        </w:tc>
        <w:tc>
          <w:tcPr>
            <w:tcW w:w="92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Hatchery</w:t>
            </w:r>
          </w:p>
        </w:tc>
        <w:tc>
          <w:tcPr>
            <w:tcW w:w="1484"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Wynn Vale SA</w:t>
            </w:r>
          </w:p>
        </w:tc>
        <w:tc>
          <w:tcPr>
            <w:tcW w:w="574" w:type="dxa"/>
          </w:tcPr>
          <w:p w:rsidR="00381816" w:rsidRPr="00381816" w:rsidRDefault="00381816" w:rsidP="00381816">
            <w:pPr>
              <w:spacing w:before="20" w:after="20"/>
              <w:rPr>
                <w:rFonts w:ascii="Times New Roman" w:eastAsia="Times New Roman" w:hAnsi="Times New Roman"/>
                <w:sz w:val="17"/>
                <w:szCs w:val="17"/>
              </w:rPr>
            </w:pPr>
          </w:p>
        </w:tc>
        <w:tc>
          <w:tcPr>
            <w:tcW w:w="532" w:type="dxa"/>
          </w:tcPr>
          <w:p w:rsidR="00381816" w:rsidRPr="00381816" w:rsidRDefault="00381816" w:rsidP="00381816">
            <w:pPr>
              <w:spacing w:before="20" w:after="20"/>
              <w:rPr>
                <w:rFonts w:ascii="Times New Roman" w:eastAsia="Times New Roman" w:hAnsi="Times New Roman"/>
                <w:sz w:val="17"/>
                <w:szCs w:val="17"/>
              </w:rPr>
            </w:pPr>
          </w:p>
        </w:tc>
        <w:tc>
          <w:tcPr>
            <w:tcW w:w="657"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58" w:type="dxa"/>
          </w:tcPr>
          <w:p w:rsidR="00381816" w:rsidRPr="00381816" w:rsidRDefault="00381816" w:rsidP="00381816">
            <w:pPr>
              <w:spacing w:before="20" w:after="20"/>
              <w:rPr>
                <w:rFonts w:ascii="Times New Roman" w:eastAsia="Times New Roman" w:hAnsi="Times New Roman"/>
                <w:sz w:val="17"/>
                <w:szCs w:val="17"/>
              </w:rPr>
            </w:pPr>
          </w:p>
        </w:tc>
        <w:tc>
          <w:tcPr>
            <w:tcW w:w="81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289546</w:t>
            </w:r>
          </w:p>
        </w:tc>
        <w:tc>
          <w:tcPr>
            <w:tcW w:w="910"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6146505</w:t>
            </w:r>
          </w:p>
        </w:tc>
        <w:tc>
          <w:tcPr>
            <w:tcW w:w="775"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GDA94</w:t>
            </w:r>
          </w:p>
        </w:tc>
      </w:tr>
      <w:tr w:rsidR="00381816" w:rsidRPr="00381816" w:rsidTr="00491D21">
        <w:trPr>
          <w:trHeight w:val="90"/>
          <w:jc w:val="right"/>
        </w:trPr>
        <w:tc>
          <w:tcPr>
            <w:tcW w:w="166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Thompson Dam</w:t>
            </w:r>
          </w:p>
        </w:tc>
        <w:tc>
          <w:tcPr>
            <w:tcW w:w="92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Surrogate</w:t>
            </w:r>
          </w:p>
        </w:tc>
        <w:tc>
          <w:tcPr>
            <w:tcW w:w="1484"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Mount Compass</w:t>
            </w:r>
          </w:p>
        </w:tc>
        <w:tc>
          <w:tcPr>
            <w:tcW w:w="57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532" w:type="dxa"/>
          </w:tcPr>
          <w:p w:rsidR="00381816" w:rsidRPr="00381816" w:rsidRDefault="00381816" w:rsidP="00381816">
            <w:pPr>
              <w:spacing w:before="20" w:after="20"/>
              <w:rPr>
                <w:rFonts w:ascii="Times New Roman" w:eastAsia="Times New Roman" w:hAnsi="Times New Roman"/>
                <w:sz w:val="17"/>
                <w:szCs w:val="17"/>
              </w:rPr>
            </w:pPr>
          </w:p>
        </w:tc>
        <w:tc>
          <w:tcPr>
            <w:tcW w:w="657" w:type="dxa"/>
          </w:tcPr>
          <w:p w:rsidR="00381816" w:rsidRPr="00381816" w:rsidRDefault="00381816" w:rsidP="00381816">
            <w:pPr>
              <w:spacing w:before="20" w:after="20"/>
              <w:rPr>
                <w:rFonts w:ascii="Times New Roman" w:eastAsia="Times New Roman" w:hAnsi="Times New Roman"/>
                <w:sz w:val="17"/>
                <w:szCs w:val="17"/>
              </w:rPr>
            </w:pPr>
          </w:p>
        </w:tc>
        <w:tc>
          <w:tcPr>
            <w:tcW w:w="658" w:type="dxa"/>
          </w:tcPr>
          <w:p w:rsidR="00381816" w:rsidRPr="00381816" w:rsidRDefault="00381816" w:rsidP="00381816">
            <w:pPr>
              <w:spacing w:before="20" w:after="20"/>
              <w:rPr>
                <w:rFonts w:ascii="Times New Roman" w:eastAsia="Times New Roman" w:hAnsi="Times New Roman"/>
                <w:sz w:val="17"/>
                <w:szCs w:val="17"/>
              </w:rPr>
            </w:pPr>
          </w:p>
        </w:tc>
        <w:tc>
          <w:tcPr>
            <w:tcW w:w="81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278528</w:t>
            </w:r>
          </w:p>
        </w:tc>
        <w:tc>
          <w:tcPr>
            <w:tcW w:w="910"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6072890</w:t>
            </w:r>
          </w:p>
        </w:tc>
        <w:tc>
          <w:tcPr>
            <w:tcW w:w="775"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GDA94</w:t>
            </w:r>
          </w:p>
        </w:tc>
      </w:tr>
      <w:tr w:rsidR="00381816" w:rsidRPr="00381816" w:rsidTr="00491D21">
        <w:trPr>
          <w:trHeight w:val="90"/>
          <w:jc w:val="right"/>
        </w:trPr>
        <w:tc>
          <w:tcPr>
            <w:tcW w:w="166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Urrbrae Agriculture College</w:t>
            </w:r>
          </w:p>
        </w:tc>
        <w:tc>
          <w:tcPr>
            <w:tcW w:w="924"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Hatchery</w:t>
            </w:r>
          </w:p>
        </w:tc>
        <w:tc>
          <w:tcPr>
            <w:tcW w:w="1484"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Urrbrae</w:t>
            </w:r>
          </w:p>
        </w:tc>
        <w:tc>
          <w:tcPr>
            <w:tcW w:w="574" w:type="dxa"/>
          </w:tcPr>
          <w:p w:rsidR="00381816" w:rsidRPr="00381816" w:rsidRDefault="00381816" w:rsidP="00381816">
            <w:pPr>
              <w:spacing w:before="20" w:after="20"/>
              <w:rPr>
                <w:rFonts w:ascii="Times New Roman" w:eastAsia="Times New Roman" w:hAnsi="Times New Roman"/>
                <w:sz w:val="17"/>
                <w:szCs w:val="17"/>
              </w:rPr>
            </w:pPr>
          </w:p>
        </w:tc>
        <w:tc>
          <w:tcPr>
            <w:tcW w:w="532" w:type="dxa"/>
          </w:tcPr>
          <w:p w:rsidR="00381816" w:rsidRPr="00381816" w:rsidRDefault="00381816" w:rsidP="00381816">
            <w:pPr>
              <w:spacing w:before="20" w:after="20"/>
              <w:rPr>
                <w:rFonts w:ascii="Times New Roman" w:eastAsia="Times New Roman" w:hAnsi="Times New Roman"/>
                <w:sz w:val="17"/>
                <w:szCs w:val="17"/>
              </w:rPr>
            </w:pPr>
          </w:p>
        </w:tc>
        <w:tc>
          <w:tcPr>
            <w:tcW w:w="657"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58" w:type="dxa"/>
          </w:tcPr>
          <w:p w:rsidR="00381816" w:rsidRPr="00381816" w:rsidRDefault="00381816" w:rsidP="00381816">
            <w:pPr>
              <w:spacing w:before="20" w:after="20"/>
              <w:rPr>
                <w:rFonts w:ascii="Times New Roman" w:eastAsia="Times New Roman" w:hAnsi="Times New Roman"/>
                <w:sz w:val="17"/>
                <w:szCs w:val="17"/>
              </w:rPr>
            </w:pPr>
          </w:p>
        </w:tc>
        <w:tc>
          <w:tcPr>
            <w:tcW w:w="812"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283079</w:t>
            </w:r>
          </w:p>
        </w:tc>
        <w:tc>
          <w:tcPr>
            <w:tcW w:w="910"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6127901</w:t>
            </w:r>
          </w:p>
        </w:tc>
        <w:tc>
          <w:tcPr>
            <w:tcW w:w="775" w:type="dxa"/>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GDA94</w:t>
            </w:r>
          </w:p>
        </w:tc>
      </w:tr>
      <w:tr w:rsidR="00381816" w:rsidRPr="00381816" w:rsidTr="00491D21">
        <w:trPr>
          <w:trHeight w:val="90"/>
          <w:jc w:val="right"/>
        </w:trPr>
        <w:tc>
          <w:tcPr>
            <w:tcW w:w="1666" w:type="dxa"/>
            <w:tcBorders>
              <w:bottom w:val="single" w:sz="4" w:space="0" w:color="auto"/>
            </w:tcBorders>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Yundi Road Dam</w:t>
            </w:r>
          </w:p>
        </w:tc>
        <w:tc>
          <w:tcPr>
            <w:tcW w:w="924" w:type="dxa"/>
            <w:tcBorders>
              <w:bottom w:val="single" w:sz="4" w:space="0" w:color="auto"/>
            </w:tcBorders>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Surrogate</w:t>
            </w:r>
          </w:p>
        </w:tc>
        <w:tc>
          <w:tcPr>
            <w:tcW w:w="1484" w:type="dxa"/>
            <w:tcBorders>
              <w:bottom w:val="single" w:sz="4" w:space="0" w:color="auto"/>
            </w:tcBorders>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Mount Compass</w:t>
            </w:r>
          </w:p>
        </w:tc>
        <w:tc>
          <w:tcPr>
            <w:tcW w:w="574" w:type="dxa"/>
            <w:tcBorders>
              <w:bottom w:val="single" w:sz="4" w:space="0" w:color="auto"/>
            </w:tcBorders>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532" w:type="dxa"/>
            <w:tcBorders>
              <w:bottom w:val="single" w:sz="4" w:space="0" w:color="auto"/>
            </w:tcBorders>
          </w:tcPr>
          <w:p w:rsidR="00381816" w:rsidRPr="00381816" w:rsidRDefault="00381816" w:rsidP="00381816">
            <w:pPr>
              <w:spacing w:before="20" w:after="20"/>
              <w:rPr>
                <w:rFonts w:ascii="Times New Roman" w:eastAsia="Times New Roman" w:hAnsi="Times New Roman"/>
                <w:sz w:val="17"/>
                <w:szCs w:val="17"/>
              </w:rPr>
            </w:pPr>
          </w:p>
        </w:tc>
        <w:tc>
          <w:tcPr>
            <w:tcW w:w="657" w:type="dxa"/>
            <w:tcBorders>
              <w:bottom w:val="single" w:sz="4" w:space="0" w:color="auto"/>
            </w:tcBorders>
          </w:tcPr>
          <w:p w:rsidR="00381816" w:rsidRPr="00381816" w:rsidRDefault="00381816" w:rsidP="00381816">
            <w:pPr>
              <w:spacing w:before="20" w:after="20"/>
              <w:rPr>
                <w:rFonts w:ascii="Times New Roman" w:eastAsia="Times New Roman" w:hAnsi="Times New Roman"/>
                <w:sz w:val="17"/>
                <w:szCs w:val="17"/>
              </w:rPr>
            </w:pPr>
          </w:p>
        </w:tc>
        <w:tc>
          <w:tcPr>
            <w:tcW w:w="658" w:type="dxa"/>
            <w:tcBorders>
              <w:bottom w:val="single" w:sz="4" w:space="0" w:color="auto"/>
            </w:tcBorders>
          </w:tcPr>
          <w:p w:rsidR="00381816" w:rsidRPr="00381816" w:rsidRDefault="00381816" w:rsidP="00381816">
            <w:pPr>
              <w:spacing w:before="20" w:after="20"/>
              <w:rPr>
                <w:rFonts w:ascii="Times New Roman" w:eastAsia="Times New Roman" w:hAnsi="Times New Roman"/>
                <w:sz w:val="17"/>
                <w:szCs w:val="17"/>
              </w:rPr>
            </w:pPr>
          </w:p>
        </w:tc>
        <w:tc>
          <w:tcPr>
            <w:tcW w:w="812" w:type="dxa"/>
            <w:tcBorders>
              <w:bottom w:val="single" w:sz="4" w:space="0" w:color="auto"/>
            </w:tcBorders>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284528</w:t>
            </w:r>
          </w:p>
        </w:tc>
        <w:tc>
          <w:tcPr>
            <w:tcW w:w="910" w:type="dxa"/>
            <w:tcBorders>
              <w:bottom w:val="single" w:sz="4" w:space="0" w:color="auto"/>
            </w:tcBorders>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6089528</w:t>
            </w:r>
          </w:p>
        </w:tc>
        <w:tc>
          <w:tcPr>
            <w:tcW w:w="775" w:type="dxa"/>
            <w:tcBorders>
              <w:bottom w:val="single" w:sz="4" w:space="0" w:color="auto"/>
            </w:tcBorders>
          </w:tcPr>
          <w:p w:rsidR="00381816" w:rsidRPr="00381816" w:rsidRDefault="00381816" w:rsidP="00381816">
            <w:pPr>
              <w:spacing w:before="20" w:after="20"/>
              <w:rPr>
                <w:rFonts w:ascii="Times New Roman" w:eastAsia="Times New Roman" w:hAnsi="Times New Roman"/>
                <w:sz w:val="17"/>
                <w:szCs w:val="17"/>
              </w:rPr>
            </w:pPr>
            <w:r w:rsidRPr="00381816">
              <w:rPr>
                <w:rFonts w:ascii="Times New Roman" w:eastAsia="Times New Roman" w:hAnsi="Times New Roman"/>
                <w:sz w:val="17"/>
                <w:szCs w:val="17"/>
              </w:rPr>
              <w:t>GDA94</w:t>
            </w:r>
          </w:p>
        </w:tc>
      </w:tr>
    </w:tbl>
    <w:p w:rsidR="00381816" w:rsidRPr="00381816" w:rsidRDefault="00381816" w:rsidP="00381816">
      <w:pPr>
        <w:tabs>
          <w:tab w:val="left" w:pos="284"/>
        </w:tabs>
        <w:spacing w:before="80"/>
        <w:ind w:left="284" w:hanging="284"/>
        <w:rPr>
          <w:rFonts w:ascii="Times New Roman" w:eastAsia="Times New Roman" w:hAnsi="Times New Roman"/>
          <w:sz w:val="17"/>
          <w:szCs w:val="17"/>
        </w:rPr>
      </w:pPr>
      <w:r w:rsidRPr="00381816">
        <w:rPr>
          <w:rFonts w:ascii="Times New Roman" w:eastAsia="Times New Roman" w:hAnsi="Times New Roman"/>
          <w:sz w:val="17"/>
          <w:szCs w:val="17"/>
        </w:rPr>
        <w:t>5.</w:t>
      </w:r>
      <w:r w:rsidRPr="00381816">
        <w:rPr>
          <w:rFonts w:ascii="Times New Roman" w:eastAsia="Times New Roman" w:hAnsi="Times New Roman"/>
          <w:sz w:val="17"/>
          <w:szCs w:val="17"/>
        </w:rPr>
        <w:tab/>
        <w:t>Specified species held pursuant to this permit must not be sold or traded.</w:t>
      </w:r>
    </w:p>
    <w:p w:rsidR="00381816" w:rsidRPr="00381816" w:rsidRDefault="00381816" w:rsidP="00381816">
      <w:pPr>
        <w:tabs>
          <w:tab w:val="left" w:pos="284"/>
        </w:tabs>
        <w:ind w:left="284" w:hanging="284"/>
        <w:rPr>
          <w:rFonts w:ascii="Times New Roman" w:eastAsia="Times New Roman" w:hAnsi="Times New Roman"/>
          <w:sz w:val="17"/>
          <w:szCs w:val="17"/>
        </w:rPr>
      </w:pPr>
      <w:r w:rsidRPr="00381816">
        <w:rPr>
          <w:rFonts w:ascii="Times New Roman" w:eastAsia="Times New Roman" w:hAnsi="Times New Roman"/>
          <w:sz w:val="17"/>
          <w:szCs w:val="17"/>
        </w:rPr>
        <w:t>6.</w:t>
      </w:r>
      <w:r w:rsidRPr="00381816">
        <w:rPr>
          <w:rFonts w:ascii="Times New Roman" w:eastAsia="Times New Roman" w:hAnsi="Times New Roman"/>
          <w:sz w:val="17"/>
          <w:szCs w:val="17"/>
        </w:rPr>
        <w:tab/>
        <w:t>Specified species retained pursuant to this permit must not be relocated from locations listed in Condition 3 without the written approval of the Executive Director, Fisheries and Aquaculture.</w:t>
      </w:r>
    </w:p>
    <w:p w:rsidR="00381816" w:rsidRPr="00381816" w:rsidRDefault="00381816" w:rsidP="00381816">
      <w:pPr>
        <w:tabs>
          <w:tab w:val="left" w:pos="284"/>
        </w:tabs>
        <w:ind w:left="284" w:hanging="284"/>
        <w:rPr>
          <w:rFonts w:ascii="Times New Roman" w:eastAsia="Times New Roman" w:hAnsi="Times New Roman"/>
          <w:sz w:val="17"/>
          <w:szCs w:val="17"/>
        </w:rPr>
      </w:pPr>
      <w:r w:rsidRPr="00381816">
        <w:rPr>
          <w:rFonts w:ascii="Times New Roman" w:eastAsia="Times New Roman" w:hAnsi="Times New Roman"/>
          <w:sz w:val="17"/>
          <w:szCs w:val="17"/>
        </w:rPr>
        <w:t>7.</w:t>
      </w:r>
      <w:r w:rsidRPr="00381816">
        <w:rPr>
          <w:rFonts w:ascii="Times New Roman" w:eastAsia="Times New Roman" w:hAnsi="Times New Roman"/>
          <w:sz w:val="17"/>
          <w:szCs w:val="17"/>
        </w:rPr>
        <w:tab/>
        <w:t xml:space="preserve">The permit holder must contact PIRSA Fisheries and Aquaculture, Manager, Aquatic Animal Health Unit on (08) 8429 0505 to notify any unusually high mortalities or outbreak of any disease (suspected or confirmed) in fish held pursuant to this permit. </w:t>
      </w:r>
    </w:p>
    <w:p w:rsidR="00381816" w:rsidRPr="00381816" w:rsidRDefault="00381816" w:rsidP="00381816">
      <w:pPr>
        <w:tabs>
          <w:tab w:val="left" w:pos="284"/>
        </w:tabs>
        <w:ind w:left="284" w:hanging="284"/>
        <w:rPr>
          <w:rFonts w:ascii="Times New Roman" w:eastAsia="Times New Roman" w:hAnsi="Times New Roman"/>
          <w:sz w:val="17"/>
          <w:szCs w:val="17"/>
        </w:rPr>
      </w:pPr>
      <w:r w:rsidRPr="00381816">
        <w:rPr>
          <w:rFonts w:ascii="Times New Roman" w:eastAsia="Times New Roman" w:hAnsi="Times New Roman"/>
          <w:sz w:val="17"/>
          <w:szCs w:val="17"/>
        </w:rPr>
        <w:t>8.</w:t>
      </w:r>
      <w:r w:rsidRPr="00381816">
        <w:rPr>
          <w:rFonts w:ascii="Times New Roman" w:eastAsia="Times New Roman" w:hAnsi="Times New Roman"/>
          <w:sz w:val="17"/>
          <w:szCs w:val="17"/>
        </w:rPr>
        <w:tab/>
        <w:t>While engaging in the permitted activity, the permit holder or their agents must be in possession of a copy of this permit. It must be produced to a PIRSA Fisheries Officer if requested.</w:t>
      </w:r>
    </w:p>
    <w:p w:rsidR="00381816" w:rsidRPr="00381816" w:rsidRDefault="00381816" w:rsidP="00381816">
      <w:pPr>
        <w:tabs>
          <w:tab w:val="left" w:pos="284"/>
        </w:tabs>
        <w:ind w:left="284" w:hanging="284"/>
        <w:rPr>
          <w:rFonts w:ascii="Times New Roman" w:eastAsia="Times New Roman" w:hAnsi="Times New Roman"/>
          <w:sz w:val="17"/>
          <w:szCs w:val="17"/>
        </w:rPr>
      </w:pPr>
      <w:r w:rsidRPr="00381816">
        <w:rPr>
          <w:rFonts w:ascii="Times New Roman" w:eastAsia="Times New Roman" w:hAnsi="Times New Roman"/>
          <w:sz w:val="17"/>
          <w:szCs w:val="17"/>
        </w:rPr>
        <w:t>9.</w:t>
      </w:r>
      <w:r w:rsidRPr="00381816">
        <w:rPr>
          <w:rFonts w:ascii="Times New Roman" w:eastAsia="Times New Roman" w:hAnsi="Times New Roman"/>
          <w:sz w:val="17"/>
          <w:szCs w:val="17"/>
        </w:rPr>
        <w:tab/>
        <w:t>The permit holder must not contravene or fail to comply with the Fisheries Management Act 2007 or any regulations made under that Act, except where specifically permitted by this notice.</w:t>
      </w:r>
    </w:p>
    <w:p w:rsidR="00381816" w:rsidRPr="00381816" w:rsidRDefault="00381816" w:rsidP="00381816">
      <w:pPr>
        <w:spacing w:after="0"/>
        <w:rPr>
          <w:rFonts w:ascii="Times New Roman" w:eastAsia="Times New Roman" w:hAnsi="Times New Roman"/>
          <w:sz w:val="17"/>
          <w:szCs w:val="17"/>
        </w:rPr>
      </w:pPr>
      <w:r w:rsidRPr="00381816">
        <w:rPr>
          <w:rFonts w:ascii="Times New Roman" w:eastAsia="Times New Roman" w:hAnsi="Times New Roman"/>
          <w:sz w:val="17"/>
          <w:szCs w:val="17"/>
        </w:rPr>
        <w:lastRenderedPageBreak/>
        <w:t>Dated: 17 December 2021</w:t>
      </w:r>
    </w:p>
    <w:p w:rsidR="00381816" w:rsidRPr="00381816" w:rsidRDefault="00381816" w:rsidP="00381816">
      <w:pPr>
        <w:spacing w:after="0"/>
        <w:jc w:val="right"/>
        <w:rPr>
          <w:rFonts w:ascii="Times New Roman" w:eastAsia="Times New Roman" w:hAnsi="Times New Roman"/>
          <w:smallCaps/>
          <w:sz w:val="17"/>
          <w:szCs w:val="20"/>
        </w:rPr>
      </w:pPr>
      <w:r w:rsidRPr="00381816">
        <w:rPr>
          <w:rFonts w:ascii="Times New Roman" w:eastAsia="Times New Roman" w:hAnsi="Times New Roman"/>
          <w:smallCaps/>
          <w:sz w:val="17"/>
          <w:szCs w:val="20"/>
        </w:rPr>
        <w:t>Prof Gavin Begg</w:t>
      </w:r>
    </w:p>
    <w:p w:rsidR="00381816" w:rsidRPr="00381816" w:rsidRDefault="00381816" w:rsidP="00381816">
      <w:pPr>
        <w:spacing w:after="0" w:line="240" w:lineRule="auto"/>
        <w:jc w:val="right"/>
        <w:rPr>
          <w:rFonts w:ascii="Times New Roman" w:eastAsia="Times New Roman" w:hAnsi="Times New Roman"/>
          <w:sz w:val="17"/>
          <w:szCs w:val="17"/>
        </w:rPr>
      </w:pPr>
      <w:r w:rsidRPr="00381816">
        <w:rPr>
          <w:rFonts w:ascii="Times New Roman" w:eastAsia="Times New Roman" w:hAnsi="Times New Roman"/>
          <w:sz w:val="17"/>
          <w:szCs w:val="17"/>
        </w:rPr>
        <w:t>Executive Director</w:t>
      </w:r>
    </w:p>
    <w:p w:rsidR="00381816" w:rsidRPr="00381816" w:rsidRDefault="00381816" w:rsidP="00381816">
      <w:pPr>
        <w:spacing w:after="0" w:line="240" w:lineRule="auto"/>
        <w:jc w:val="right"/>
        <w:rPr>
          <w:rFonts w:ascii="Times New Roman" w:eastAsia="Times New Roman" w:hAnsi="Times New Roman"/>
          <w:sz w:val="17"/>
          <w:szCs w:val="17"/>
        </w:rPr>
      </w:pPr>
      <w:r w:rsidRPr="00381816">
        <w:rPr>
          <w:rFonts w:ascii="Times New Roman" w:eastAsia="Times New Roman" w:hAnsi="Times New Roman"/>
          <w:sz w:val="17"/>
          <w:szCs w:val="17"/>
        </w:rPr>
        <w:t>Fisheries and Aquaculture</w:t>
      </w:r>
    </w:p>
    <w:p w:rsidR="00381816" w:rsidRPr="00381816" w:rsidRDefault="00381816" w:rsidP="00381816">
      <w:pPr>
        <w:spacing w:after="0" w:line="240" w:lineRule="auto"/>
        <w:jc w:val="right"/>
        <w:rPr>
          <w:rFonts w:ascii="Times New Roman" w:eastAsia="Times New Roman" w:hAnsi="Times New Roman"/>
          <w:sz w:val="17"/>
          <w:szCs w:val="17"/>
        </w:rPr>
      </w:pPr>
      <w:r w:rsidRPr="00381816">
        <w:rPr>
          <w:rFonts w:ascii="Times New Roman" w:eastAsia="Times New Roman" w:hAnsi="Times New Roman"/>
          <w:sz w:val="17"/>
          <w:szCs w:val="17"/>
        </w:rPr>
        <w:t>Delegate of the Minister for Primary Industries and Regional Development</w:t>
      </w:r>
    </w:p>
    <w:p w:rsidR="00381816" w:rsidRPr="00381816" w:rsidRDefault="00381816" w:rsidP="00381816">
      <w:pPr>
        <w:pBdr>
          <w:top w:val="single" w:sz="4" w:space="1" w:color="auto"/>
        </w:pBdr>
        <w:spacing w:before="100" w:after="0" w:line="14" w:lineRule="exact"/>
        <w:jc w:val="center"/>
        <w:rPr>
          <w:rFonts w:ascii="Times New Roman" w:eastAsia="Times New Roman" w:hAnsi="Times New Roman"/>
          <w:sz w:val="17"/>
          <w:szCs w:val="17"/>
        </w:rPr>
      </w:pPr>
    </w:p>
    <w:p w:rsidR="00DF5295" w:rsidRDefault="00DF5295">
      <w:pPr>
        <w:spacing w:after="0" w:line="240" w:lineRule="auto"/>
        <w:jc w:val="left"/>
        <w:rPr>
          <w:rFonts w:ascii="Times New Roman" w:hAnsi="Times New Roman"/>
          <w:caps/>
          <w:sz w:val="17"/>
          <w:szCs w:val="17"/>
        </w:rPr>
      </w:pPr>
      <w:r>
        <w:rPr>
          <w:rFonts w:ascii="Times New Roman" w:hAnsi="Times New Roman"/>
          <w:caps/>
          <w:sz w:val="17"/>
          <w:szCs w:val="17"/>
        </w:rPr>
        <w:br w:type="page"/>
      </w:r>
    </w:p>
    <w:p w:rsidR="00381816" w:rsidRPr="00381816" w:rsidRDefault="00381816" w:rsidP="00381816">
      <w:pPr>
        <w:jc w:val="center"/>
        <w:rPr>
          <w:rFonts w:ascii="Times New Roman" w:eastAsia="Times New Roman" w:hAnsi="Times New Roman"/>
          <w:caps/>
          <w:sz w:val="17"/>
          <w:szCs w:val="17"/>
        </w:rPr>
      </w:pPr>
      <w:r w:rsidRPr="00381816">
        <w:rPr>
          <w:rFonts w:ascii="Times New Roman" w:hAnsi="Times New Roman"/>
          <w:caps/>
          <w:sz w:val="17"/>
          <w:szCs w:val="17"/>
        </w:rPr>
        <w:lastRenderedPageBreak/>
        <w:t>Fisheries Management Act 2007</w:t>
      </w:r>
    </w:p>
    <w:p w:rsidR="00381816" w:rsidRPr="00381816" w:rsidRDefault="00381816" w:rsidP="00381816">
      <w:pPr>
        <w:jc w:val="center"/>
        <w:rPr>
          <w:rFonts w:ascii="Times New Roman" w:hAnsi="Times New Roman"/>
          <w:smallCaps/>
          <w:sz w:val="17"/>
          <w:szCs w:val="17"/>
        </w:rPr>
      </w:pPr>
      <w:r w:rsidRPr="00381816">
        <w:rPr>
          <w:rFonts w:ascii="Times New Roman" w:hAnsi="Times New Roman"/>
          <w:smallCaps/>
          <w:sz w:val="17"/>
          <w:szCs w:val="17"/>
        </w:rPr>
        <w:t>Section 78(2)</w:t>
      </w:r>
    </w:p>
    <w:p w:rsidR="00381816" w:rsidRPr="00381816" w:rsidRDefault="00381816" w:rsidP="00381816">
      <w:pPr>
        <w:spacing w:after="0"/>
        <w:jc w:val="center"/>
        <w:rPr>
          <w:rFonts w:ascii="Times New Roman" w:hAnsi="Times New Roman"/>
          <w:i/>
          <w:sz w:val="17"/>
          <w:szCs w:val="17"/>
        </w:rPr>
      </w:pPr>
      <w:r w:rsidRPr="00381816">
        <w:rPr>
          <w:rFonts w:ascii="Times New Roman" w:hAnsi="Times New Roman"/>
          <w:i/>
          <w:sz w:val="17"/>
          <w:szCs w:val="17"/>
        </w:rPr>
        <w:t>Permit to Release Fish</w:t>
      </w:r>
    </w:p>
    <w:p w:rsidR="00381816" w:rsidRPr="00381816" w:rsidRDefault="00381816" w:rsidP="00381816">
      <w:pPr>
        <w:tabs>
          <w:tab w:val="left" w:pos="1418"/>
        </w:tabs>
        <w:spacing w:after="0"/>
        <w:rPr>
          <w:rFonts w:ascii="Times New Roman" w:eastAsia="Times New Roman" w:hAnsi="Times New Roman"/>
          <w:sz w:val="17"/>
          <w:szCs w:val="17"/>
        </w:rPr>
      </w:pPr>
      <w:r w:rsidRPr="00381816">
        <w:rPr>
          <w:rFonts w:ascii="Times New Roman" w:eastAsia="Times New Roman" w:hAnsi="Times New Roman"/>
          <w:sz w:val="17"/>
          <w:szCs w:val="17"/>
        </w:rPr>
        <w:t xml:space="preserve">Permit holder: </w:t>
      </w:r>
      <w:r w:rsidRPr="00381816">
        <w:rPr>
          <w:rFonts w:ascii="Times New Roman" w:eastAsia="Times New Roman" w:hAnsi="Times New Roman"/>
          <w:sz w:val="17"/>
          <w:szCs w:val="17"/>
        </w:rPr>
        <w:tab/>
        <w:t>Kate Mason</w:t>
      </w:r>
    </w:p>
    <w:p w:rsidR="00381816" w:rsidRPr="00381816" w:rsidRDefault="00381816" w:rsidP="00381816">
      <w:pPr>
        <w:tabs>
          <w:tab w:val="left" w:pos="1418"/>
        </w:tabs>
        <w:spacing w:after="0"/>
        <w:rPr>
          <w:rFonts w:ascii="Times New Roman" w:eastAsia="Times New Roman" w:hAnsi="Times New Roman"/>
          <w:sz w:val="17"/>
          <w:szCs w:val="17"/>
        </w:rPr>
      </w:pPr>
      <w:r w:rsidRPr="00381816">
        <w:rPr>
          <w:rFonts w:ascii="Times New Roman" w:eastAsia="Times New Roman" w:hAnsi="Times New Roman"/>
          <w:sz w:val="17"/>
          <w:szCs w:val="17"/>
        </w:rPr>
        <w:tab/>
        <w:t>Murraylands and Riverland Landscape Board</w:t>
      </w:r>
    </w:p>
    <w:p w:rsidR="00381816" w:rsidRPr="00381816" w:rsidRDefault="00381816" w:rsidP="00381816">
      <w:pPr>
        <w:tabs>
          <w:tab w:val="left" w:pos="1418"/>
        </w:tabs>
        <w:spacing w:after="0"/>
        <w:rPr>
          <w:rFonts w:ascii="Times New Roman" w:eastAsia="Times New Roman" w:hAnsi="Times New Roman"/>
          <w:sz w:val="17"/>
          <w:szCs w:val="17"/>
        </w:rPr>
      </w:pPr>
      <w:r w:rsidRPr="00381816">
        <w:rPr>
          <w:rFonts w:ascii="Times New Roman" w:eastAsia="Times New Roman" w:hAnsi="Times New Roman"/>
          <w:sz w:val="17"/>
          <w:szCs w:val="17"/>
        </w:rPr>
        <w:tab/>
        <w:t>110a Mannum Road</w:t>
      </w:r>
    </w:p>
    <w:p w:rsidR="00381816" w:rsidRPr="00381816" w:rsidRDefault="00381816" w:rsidP="00EE6D8F">
      <w:pPr>
        <w:tabs>
          <w:tab w:val="left" w:pos="1418"/>
        </w:tabs>
        <w:spacing w:after="60"/>
        <w:rPr>
          <w:rFonts w:ascii="Times New Roman" w:eastAsia="Times New Roman" w:hAnsi="Times New Roman"/>
          <w:sz w:val="17"/>
          <w:szCs w:val="17"/>
        </w:rPr>
      </w:pPr>
      <w:r w:rsidRPr="00381816">
        <w:rPr>
          <w:rFonts w:ascii="Times New Roman" w:eastAsia="Times New Roman" w:hAnsi="Times New Roman"/>
          <w:sz w:val="17"/>
          <w:szCs w:val="17"/>
        </w:rPr>
        <w:tab/>
        <w:t>MURRAY BRIDGE SA 5253</w:t>
      </w:r>
    </w:p>
    <w:p w:rsidR="00381816" w:rsidRPr="00381816" w:rsidRDefault="00381816" w:rsidP="00EE6D8F">
      <w:pPr>
        <w:tabs>
          <w:tab w:val="left" w:pos="1418"/>
        </w:tabs>
        <w:spacing w:after="60"/>
        <w:rPr>
          <w:rFonts w:ascii="Times New Roman" w:eastAsia="Times New Roman" w:hAnsi="Times New Roman"/>
          <w:sz w:val="17"/>
          <w:szCs w:val="17"/>
        </w:rPr>
      </w:pPr>
      <w:r w:rsidRPr="00381816">
        <w:rPr>
          <w:rFonts w:ascii="Times New Roman" w:eastAsia="Times New Roman" w:hAnsi="Times New Roman"/>
          <w:sz w:val="17"/>
          <w:szCs w:val="17"/>
        </w:rPr>
        <w:t>Permit Number:</w:t>
      </w:r>
      <w:r w:rsidRPr="00381816">
        <w:rPr>
          <w:rFonts w:ascii="Times New Roman" w:eastAsia="Times New Roman" w:hAnsi="Times New Roman"/>
          <w:sz w:val="17"/>
          <w:szCs w:val="17"/>
        </w:rPr>
        <w:tab/>
        <w:t>MP0164</w:t>
      </w:r>
    </w:p>
    <w:p w:rsidR="00381816" w:rsidRPr="00381816" w:rsidRDefault="00381816" w:rsidP="00381816">
      <w:pPr>
        <w:rPr>
          <w:rFonts w:ascii="Times New Roman" w:eastAsia="Times New Roman" w:hAnsi="Times New Roman"/>
          <w:b/>
          <w:sz w:val="17"/>
          <w:szCs w:val="17"/>
        </w:rPr>
      </w:pPr>
      <w:r w:rsidRPr="00381816">
        <w:rPr>
          <w:rFonts w:ascii="Times New Roman" w:eastAsia="Times New Roman" w:hAnsi="Times New Roman"/>
          <w:b/>
          <w:sz w:val="17"/>
          <w:szCs w:val="17"/>
        </w:rPr>
        <w:t>Agents</w:t>
      </w:r>
    </w:p>
    <w:p w:rsidR="00381816" w:rsidRPr="00381816" w:rsidRDefault="00381816" w:rsidP="00381816">
      <w:pPr>
        <w:numPr>
          <w:ilvl w:val="0"/>
          <w:numId w:val="82"/>
        </w:numPr>
        <w:spacing w:after="0"/>
        <w:rPr>
          <w:rFonts w:ascii="Times New Roman" w:eastAsia="Times New Roman" w:hAnsi="Times New Roman"/>
          <w:sz w:val="17"/>
          <w:szCs w:val="17"/>
        </w:rPr>
      </w:pPr>
      <w:r w:rsidRPr="00381816">
        <w:rPr>
          <w:rFonts w:ascii="Times New Roman" w:eastAsia="Times New Roman" w:hAnsi="Times New Roman"/>
          <w:sz w:val="17"/>
          <w:szCs w:val="17"/>
        </w:rPr>
        <w:t>Nick Whiterod – Aquasave – Nature Glenelg Trust, PO Box 796 Victor Harbor SA 5211</w:t>
      </w:r>
    </w:p>
    <w:p w:rsidR="00381816" w:rsidRPr="00381816" w:rsidRDefault="00381816" w:rsidP="00381816">
      <w:pPr>
        <w:numPr>
          <w:ilvl w:val="0"/>
          <w:numId w:val="82"/>
        </w:numPr>
        <w:spacing w:after="0"/>
        <w:rPr>
          <w:rFonts w:ascii="Times New Roman" w:eastAsia="Times New Roman" w:hAnsi="Times New Roman"/>
          <w:sz w:val="17"/>
          <w:szCs w:val="17"/>
        </w:rPr>
      </w:pPr>
      <w:r w:rsidRPr="00381816">
        <w:rPr>
          <w:rFonts w:ascii="Times New Roman" w:eastAsia="Times New Roman" w:hAnsi="Times New Roman"/>
          <w:sz w:val="17"/>
          <w:szCs w:val="17"/>
        </w:rPr>
        <w:t>Sylvia Zukowski – Aquasave - Nature Glenelg Trust, PO Box 796 Victor Harbor SA 5211</w:t>
      </w:r>
    </w:p>
    <w:p w:rsidR="00381816" w:rsidRPr="00381816" w:rsidRDefault="00381816" w:rsidP="00381816">
      <w:pPr>
        <w:numPr>
          <w:ilvl w:val="0"/>
          <w:numId w:val="82"/>
        </w:numPr>
        <w:spacing w:after="0"/>
        <w:rPr>
          <w:rFonts w:ascii="Times New Roman" w:eastAsia="Times New Roman" w:hAnsi="Times New Roman"/>
          <w:sz w:val="17"/>
          <w:szCs w:val="17"/>
        </w:rPr>
      </w:pPr>
      <w:r w:rsidRPr="00381816">
        <w:rPr>
          <w:rFonts w:ascii="Times New Roman" w:eastAsia="Times New Roman" w:hAnsi="Times New Roman"/>
          <w:sz w:val="17"/>
          <w:szCs w:val="17"/>
        </w:rPr>
        <w:t>Ruan Gannon - Aquasave - Nature Glenelg Trust, PO Box 796 Victor Harbor SA 5211</w:t>
      </w:r>
    </w:p>
    <w:p w:rsidR="00381816" w:rsidRPr="00381816" w:rsidRDefault="00381816" w:rsidP="00381816">
      <w:pPr>
        <w:numPr>
          <w:ilvl w:val="0"/>
          <w:numId w:val="82"/>
        </w:numPr>
        <w:spacing w:after="0"/>
        <w:rPr>
          <w:rFonts w:ascii="Times New Roman" w:eastAsia="Times New Roman" w:hAnsi="Times New Roman"/>
          <w:sz w:val="17"/>
          <w:szCs w:val="17"/>
        </w:rPr>
      </w:pPr>
      <w:r w:rsidRPr="00381816">
        <w:rPr>
          <w:rFonts w:ascii="Times New Roman" w:eastAsia="Times New Roman" w:hAnsi="Times New Roman"/>
          <w:sz w:val="17"/>
          <w:szCs w:val="17"/>
        </w:rPr>
        <w:t>Sam Hardy – MRLB – 110a Mannum Road, Murray Bridge, SA 5253</w:t>
      </w:r>
    </w:p>
    <w:p w:rsidR="00381816" w:rsidRPr="00381816" w:rsidRDefault="00381816" w:rsidP="00381816">
      <w:pPr>
        <w:numPr>
          <w:ilvl w:val="0"/>
          <w:numId w:val="82"/>
        </w:numPr>
        <w:spacing w:after="0"/>
        <w:rPr>
          <w:rFonts w:ascii="Times New Roman" w:eastAsia="Times New Roman" w:hAnsi="Times New Roman"/>
          <w:sz w:val="17"/>
          <w:szCs w:val="17"/>
        </w:rPr>
      </w:pPr>
      <w:r w:rsidRPr="00381816">
        <w:rPr>
          <w:rFonts w:ascii="Times New Roman" w:eastAsia="Times New Roman" w:hAnsi="Times New Roman"/>
          <w:sz w:val="17"/>
          <w:szCs w:val="17"/>
        </w:rPr>
        <w:t>Stephanie Robinson – MRLB – PO Box 231 Berri SA 5343</w:t>
      </w:r>
    </w:p>
    <w:p w:rsidR="00381816" w:rsidRPr="00381816" w:rsidRDefault="00381816" w:rsidP="00381816">
      <w:pPr>
        <w:numPr>
          <w:ilvl w:val="0"/>
          <w:numId w:val="82"/>
        </w:numPr>
        <w:spacing w:after="0"/>
        <w:rPr>
          <w:rFonts w:ascii="Times New Roman" w:eastAsia="Times New Roman" w:hAnsi="Times New Roman"/>
          <w:sz w:val="17"/>
          <w:szCs w:val="17"/>
        </w:rPr>
      </w:pPr>
      <w:r w:rsidRPr="00381816">
        <w:rPr>
          <w:rFonts w:ascii="Times New Roman" w:eastAsia="Times New Roman" w:hAnsi="Times New Roman"/>
          <w:sz w:val="17"/>
          <w:szCs w:val="17"/>
        </w:rPr>
        <w:t xml:space="preserve">Connor Gervais - 110a Mannum Road, Murray Bridge, SA 5253 </w:t>
      </w:r>
    </w:p>
    <w:p w:rsidR="00381816" w:rsidRPr="00381816" w:rsidRDefault="00381816" w:rsidP="00381816">
      <w:pPr>
        <w:numPr>
          <w:ilvl w:val="0"/>
          <w:numId w:val="82"/>
        </w:numPr>
        <w:spacing w:after="0"/>
        <w:rPr>
          <w:rFonts w:ascii="Times New Roman" w:eastAsia="Times New Roman" w:hAnsi="Times New Roman"/>
          <w:sz w:val="17"/>
          <w:szCs w:val="17"/>
        </w:rPr>
      </w:pPr>
      <w:r w:rsidRPr="00381816">
        <w:rPr>
          <w:rFonts w:ascii="Times New Roman" w:eastAsia="Times New Roman" w:hAnsi="Times New Roman"/>
          <w:sz w:val="17"/>
          <w:szCs w:val="17"/>
        </w:rPr>
        <w:t xml:space="preserve">Tiffany Nay - 110a Mannum Road, Murray Bridge, SA 5253 </w:t>
      </w:r>
    </w:p>
    <w:p w:rsidR="00381816" w:rsidRPr="00381816" w:rsidRDefault="00381816" w:rsidP="00381816">
      <w:pPr>
        <w:numPr>
          <w:ilvl w:val="0"/>
          <w:numId w:val="82"/>
        </w:numPr>
        <w:spacing w:after="0"/>
        <w:rPr>
          <w:rFonts w:ascii="Times New Roman" w:eastAsia="Times New Roman" w:hAnsi="Times New Roman"/>
          <w:sz w:val="17"/>
          <w:szCs w:val="17"/>
        </w:rPr>
      </w:pPr>
      <w:r w:rsidRPr="00381816">
        <w:rPr>
          <w:rFonts w:ascii="Times New Roman" w:eastAsia="Times New Roman" w:hAnsi="Times New Roman"/>
          <w:sz w:val="17"/>
          <w:szCs w:val="17"/>
        </w:rPr>
        <w:t>Courtney Monk – MRLB - PO Box 231 Berri SA 5343</w:t>
      </w:r>
    </w:p>
    <w:p w:rsidR="00381816" w:rsidRPr="00381816" w:rsidRDefault="00381816" w:rsidP="00EE6D8F">
      <w:pPr>
        <w:numPr>
          <w:ilvl w:val="0"/>
          <w:numId w:val="82"/>
        </w:numPr>
        <w:spacing w:after="60"/>
        <w:ind w:hanging="357"/>
        <w:rPr>
          <w:rFonts w:ascii="Times New Roman" w:eastAsia="Times New Roman" w:hAnsi="Times New Roman"/>
          <w:sz w:val="17"/>
          <w:szCs w:val="17"/>
        </w:rPr>
      </w:pPr>
      <w:r w:rsidRPr="00381816">
        <w:rPr>
          <w:rFonts w:ascii="Times New Roman" w:eastAsia="Times New Roman" w:hAnsi="Times New Roman"/>
          <w:sz w:val="17"/>
          <w:szCs w:val="17"/>
        </w:rPr>
        <w:t>Annie Kriesl – MRLB - PO Box 231 Berri SA 5343</w:t>
      </w:r>
    </w:p>
    <w:p w:rsidR="00381816" w:rsidRPr="00381816" w:rsidRDefault="00381816" w:rsidP="00381816">
      <w:pPr>
        <w:rPr>
          <w:rFonts w:ascii="Times New Roman" w:eastAsia="Times New Roman" w:hAnsi="Times New Roman"/>
          <w:b/>
          <w:sz w:val="17"/>
          <w:szCs w:val="17"/>
        </w:rPr>
      </w:pPr>
      <w:r w:rsidRPr="00381816">
        <w:rPr>
          <w:rFonts w:ascii="Times New Roman" w:eastAsia="Times New Roman" w:hAnsi="Times New Roman"/>
          <w:b/>
          <w:sz w:val="17"/>
          <w:szCs w:val="17"/>
        </w:rPr>
        <w:t>Specified waters</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820"/>
        <w:gridCol w:w="1246"/>
        <w:gridCol w:w="1329"/>
        <w:gridCol w:w="567"/>
        <w:gridCol w:w="610"/>
        <w:gridCol w:w="665"/>
        <w:gridCol w:w="709"/>
        <w:gridCol w:w="768"/>
        <w:gridCol w:w="878"/>
        <w:gridCol w:w="755"/>
        <w:gridCol w:w="13"/>
      </w:tblGrid>
      <w:tr w:rsidR="00381816" w:rsidRPr="00381816" w:rsidTr="00491D21">
        <w:trPr>
          <w:trHeight w:val="90"/>
        </w:trPr>
        <w:tc>
          <w:tcPr>
            <w:tcW w:w="1820" w:type="dxa"/>
            <w:tcBorders>
              <w:top w:val="single" w:sz="4" w:space="0" w:color="auto"/>
              <w:bottom w:val="single" w:sz="4" w:space="0" w:color="auto"/>
            </w:tcBorders>
          </w:tcPr>
          <w:p w:rsidR="00381816" w:rsidRPr="00381816" w:rsidRDefault="00381816" w:rsidP="00381816">
            <w:pPr>
              <w:spacing w:before="20" w:after="20"/>
              <w:jc w:val="center"/>
              <w:rPr>
                <w:rFonts w:ascii="Times New Roman" w:eastAsia="Times New Roman" w:hAnsi="Times New Roman"/>
                <w:sz w:val="17"/>
                <w:szCs w:val="17"/>
              </w:rPr>
            </w:pPr>
            <w:r w:rsidRPr="00381816">
              <w:rPr>
                <w:rFonts w:ascii="Times New Roman" w:eastAsia="Times New Roman" w:hAnsi="Times New Roman"/>
                <w:b/>
                <w:bCs/>
                <w:sz w:val="17"/>
                <w:szCs w:val="17"/>
              </w:rPr>
              <w:t>Site</w:t>
            </w:r>
          </w:p>
        </w:tc>
        <w:tc>
          <w:tcPr>
            <w:tcW w:w="1246" w:type="dxa"/>
            <w:tcBorders>
              <w:top w:val="single" w:sz="4" w:space="0" w:color="auto"/>
              <w:bottom w:val="single" w:sz="4" w:space="0" w:color="auto"/>
            </w:tcBorders>
          </w:tcPr>
          <w:p w:rsidR="00381816" w:rsidRPr="00381816" w:rsidRDefault="00381816" w:rsidP="00381816">
            <w:pPr>
              <w:spacing w:before="20" w:after="20"/>
              <w:jc w:val="center"/>
              <w:rPr>
                <w:rFonts w:ascii="Times New Roman" w:eastAsia="Times New Roman" w:hAnsi="Times New Roman"/>
                <w:sz w:val="17"/>
                <w:szCs w:val="17"/>
              </w:rPr>
            </w:pPr>
            <w:r w:rsidRPr="00381816">
              <w:rPr>
                <w:rFonts w:ascii="Times New Roman" w:eastAsia="Times New Roman" w:hAnsi="Times New Roman"/>
                <w:b/>
                <w:bCs/>
                <w:sz w:val="17"/>
                <w:szCs w:val="17"/>
              </w:rPr>
              <w:t>Type</w:t>
            </w:r>
          </w:p>
        </w:tc>
        <w:tc>
          <w:tcPr>
            <w:tcW w:w="1329" w:type="dxa"/>
            <w:tcBorders>
              <w:top w:val="single" w:sz="4" w:space="0" w:color="auto"/>
              <w:bottom w:val="single" w:sz="4" w:space="0" w:color="auto"/>
            </w:tcBorders>
          </w:tcPr>
          <w:p w:rsidR="00381816" w:rsidRPr="00381816" w:rsidRDefault="00381816" w:rsidP="00381816">
            <w:pPr>
              <w:spacing w:before="20" w:after="20"/>
              <w:jc w:val="center"/>
              <w:rPr>
                <w:rFonts w:ascii="Times New Roman" w:eastAsia="Times New Roman" w:hAnsi="Times New Roman"/>
                <w:sz w:val="17"/>
                <w:szCs w:val="17"/>
              </w:rPr>
            </w:pPr>
            <w:r w:rsidRPr="00381816">
              <w:rPr>
                <w:rFonts w:ascii="Times New Roman" w:eastAsia="Times New Roman" w:hAnsi="Times New Roman"/>
                <w:b/>
                <w:bCs/>
                <w:sz w:val="17"/>
                <w:szCs w:val="17"/>
              </w:rPr>
              <w:t>Locality</w:t>
            </w:r>
          </w:p>
        </w:tc>
        <w:tc>
          <w:tcPr>
            <w:tcW w:w="567" w:type="dxa"/>
            <w:tcBorders>
              <w:top w:val="single" w:sz="4" w:space="0" w:color="auto"/>
              <w:bottom w:val="single" w:sz="4" w:space="0" w:color="auto"/>
            </w:tcBorders>
          </w:tcPr>
          <w:p w:rsidR="00381816" w:rsidRPr="00381816" w:rsidRDefault="00381816" w:rsidP="00381816">
            <w:pPr>
              <w:spacing w:before="20" w:after="20"/>
              <w:jc w:val="center"/>
              <w:rPr>
                <w:rFonts w:ascii="Times New Roman" w:eastAsia="Times New Roman" w:hAnsi="Times New Roman"/>
                <w:sz w:val="17"/>
                <w:szCs w:val="17"/>
              </w:rPr>
            </w:pPr>
            <w:r w:rsidRPr="00381816">
              <w:rPr>
                <w:rFonts w:ascii="Times New Roman" w:eastAsia="Times New Roman" w:hAnsi="Times New Roman"/>
                <w:b/>
                <w:bCs/>
                <w:sz w:val="17"/>
                <w:szCs w:val="17"/>
              </w:rPr>
              <w:t>YPP</w:t>
            </w:r>
          </w:p>
        </w:tc>
        <w:tc>
          <w:tcPr>
            <w:tcW w:w="610" w:type="dxa"/>
            <w:tcBorders>
              <w:top w:val="single" w:sz="4" w:space="0" w:color="auto"/>
              <w:bottom w:val="single" w:sz="4" w:space="0" w:color="auto"/>
            </w:tcBorders>
          </w:tcPr>
          <w:p w:rsidR="00381816" w:rsidRPr="00381816" w:rsidRDefault="00381816" w:rsidP="00381816">
            <w:pPr>
              <w:spacing w:before="20" w:after="20"/>
              <w:jc w:val="center"/>
              <w:rPr>
                <w:rFonts w:ascii="Times New Roman" w:eastAsia="Times New Roman" w:hAnsi="Times New Roman"/>
                <w:sz w:val="17"/>
                <w:szCs w:val="17"/>
              </w:rPr>
            </w:pPr>
            <w:r w:rsidRPr="00381816">
              <w:rPr>
                <w:rFonts w:ascii="Times New Roman" w:eastAsia="Times New Roman" w:hAnsi="Times New Roman"/>
                <w:b/>
                <w:bCs/>
                <w:sz w:val="17"/>
                <w:szCs w:val="17"/>
              </w:rPr>
              <w:t>SPP</w:t>
            </w:r>
          </w:p>
        </w:tc>
        <w:tc>
          <w:tcPr>
            <w:tcW w:w="665" w:type="dxa"/>
            <w:tcBorders>
              <w:top w:val="single" w:sz="4" w:space="0" w:color="auto"/>
              <w:bottom w:val="single" w:sz="4" w:space="0" w:color="auto"/>
            </w:tcBorders>
          </w:tcPr>
          <w:p w:rsidR="00381816" w:rsidRPr="00381816" w:rsidRDefault="00381816" w:rsidP="00381816">
            <w:pPr>
              <w:spacing w:before="20" w:after="20"/>
              <w:jc w:val="center"/>
              <w:rPr>
                <w:rFonts w:ascii="Times New Roman" w:eastAsia="Times New Roman" w:hAnsi="Times New Roman"/>
                <w:sz w:val="17"/>
                <w:szCs w:val="17"/>
              </w:rPr>
            </w:pPr>
            <w:r w:rsidRPr="00381816">
              <w:rPr>
                <w:rFonts w:ascii="Times New Roman" w:eastAsia="Times New Roman" w:hAnsi="Times New Roman"/>
                <w:b/>
                <w:bCs/>
                <w:sz w:val="17"/>
                <w:szCs w:val="17"/>
              </w:rPr>
              <w:t>SPSG</w:t>
            </w:r>
          </w:p>
        </w:tc>
        <w:tc>
          <w:tcPr>
            <w:tcW w:w="709" w:type="dxa"/>
            <w:tcBorders>
              <w:top w:val="single" w:sz="4" w:space="0" w:color="auto"/>
              <w:bottom w:val="single" w:sz="4" w:space="0" w:color="auto"/>
            </w:tcBorders>
          </w:tcPr>
          <w:p w:rsidR="00381816" w:rsidRPr="00381816" w:rsidRDefault="00381816" w:rsidP="00381816">
            <w:pPr>
              <w:spacing w:before="20" w:after="20"/>
              <w:jc w:val="center"/>
              <w:rPr>
                <w:rFonts w:ascii="Times New Roman" w:eastAsia="Times New Roman" w:hAnsi="Times New Roman"/>
                <w:sz w:val="17"/>
                <w:szCs w:val="17"/>
              </w:rPr>
            </w:pPr>
            <w:r w:rsidRPr="00381816">
              <w:rPr>
                <w:rFonts w:ascii="Times New Roman" w:eastAsia="Times New Roman" w:hAnsi="Times New Roman"/>
                <w:b/>
                <w:bCs/>
                <w:sz w:val="17"/>
                <w:szCs w:val="17"/>
              </w:rPr>
              <w:t>MHH</w:t>
            </w:r>
          </w:p>
        </w:tc>
        <w:tc>
          <w:tcPr>
            <w:tcW w:w="768" w:type="dxa"/>
            <w:tcBorders>
              <w:top w:val="single" w:sz="4" w:space="0" w:color="auto"/>
              <w:bottom w:val="single" w:sz="4" w:space="0" w:color="auto"/>
            </w:tcBorders>
          </w:tcPr>
          <w:p w:rsidR="00381816" w:rsidRPr="00381816" w:rsidRDefault="00381816" w:rsidP="00381816">
            <w:pPr>
              <w:spacing w:before="20" w:after="20"/>
              <w:jc w:val="center"/>
              <w:rPr>
                <w:rFonts w:ascii="Times New Roman" w:eastAsia="Times New Roman" w:hAnsi="Times New Roman"/>
                <w:sz w:val="17"/>
                <w:szCs w:val="17"/>
              </w:rPr>
            </w:pPr>
            <w:r w:rsidRPr="00381816">
              <w:rPr>
                <w:rFonts w:ascii="Times New Roman" w:eastAsia="Times New Roman" w:hAnsi="Times New Roman"/>
                <w:b/>
                <w:bCs/>
                <w:sz w:val="17"/>
                <w:szCs w:val="17"/>
              </w:rPr>
              <w:t>Easting</w:t>
            </w:r>
          </w:p>
        </w:tc>
        <w:tc>
          <w:tcPr>
            <w:tcW w:w="878" w:type="dxa"/>
            <w:tcBorders>
              <w:top w:val="single" w:sz="4" w:space="0" w:color="auto"/>
              <w:bottom w:val="single" w:sz="4" w:space="0" w:color="auto"/>
            </w:tcBorders>
          </w:tcPr>
          <w:p w:rsidR="00381816" w:rsidRPr="00381816" w:rsidRDefault="00381816" w:rsidP="00381816">
            <w:pPr>
              <w:spacing w:before="20" w:after="20"/>
              <w:jc w:val="center"/>
              <w:rPr>
                <w:rFonts w:ascii="Times New Roman" w:eastAsia="Times New Roman" w:hAnsi="Times New Roman"/>
                <w:sz w:val="17"/>
                <w:szCs w:val="17"/>
              </w:rPr>
            </w:pPr>
            <w:r w:rsidRPr="00381816">
              <w:rPr>
                <w:rFonts w:ascii="Times New Roman" w:eastAsia="Times New Roman" w:hAnsi="Times New Roman"/>
                <w:b/>
                <w:bCs/>
                <w:sz w:val="17"/>
                <w:szCs w:val="17"/>
              </w:rPr>
              <w:t>Northing</w:t>
            </w:r>
          </w:p>
        </w:tc>
        <w:tc>
          <w:tcPr>
            <w:tcW w:w="768" w:type="dxa"/>
            <w:gridSpan w:val="2"/>
            <w:tcBorders>
              <w:top w:val="single" w:sz="4" w:space="0" w:color="auto"/>
              <w:bottom w:val="single" w:sz="4" w:space="0" w:color="auto"/>
            </w:tcBorders>
          </w:tcPr>
          <w:p w:rsidR="00381816" w:rsidRPr="00381816" w:rsidRDefault="00381816" w:rsidP="00381816">
            <w:pPr>
              <w:spacing w:before="20" w:after="20"/>
              <w:jc w:val="center"/>
              <w:rPr>
                <w:rFonts w:ascii="Times New Roman" w:eastAsia="Times New Roman" w:hAnsi="Times New Roman"/>
                <w:sz w:val="17"/>
                <w:szCs w:val="17"/>
              </w:rPr>
            </w:pPr>
            <w:r w:rsidRPr="00381816">
              <w:rPr>
                <w:rFonts w:ascii="Times New Roman" w:eastAsia="Times New Roman" w:hAnsi="Times New Roman"/>
                <w:b/>
                <w:bCs/>
                <w:sz w:val="17"/>
                <w:szCs w:val="17"/>
              </w:rPr>
              <w:t>Datum</w:t>
            </w:r>
          </w:p>
        </w:tc>
      </w:tr>
      <w:tr w:rsidR="00381816" w:rsidRPr="00381816" w:rsidTr="00491D21">
        <w:trPr>
          <w:trHeight w:val="111"/>
        </w:trPr>
        <w:tc>
          <w:tcPr>
            <w:tcW w:w="1820" w:type="dxa"/>
            <w:tcBorders>
              <w:top w:val="single" w:sz="4" w:space="0" w:color="auto"/>
            </w:tcBorders>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Alberton Primary School </w:t>
            </w:r>
          </w:p>
        </w:tc>
        <w:tc>
          <w:tcPr>
            <w:tcW w:w="1246" w:type="dxa"/>
            <w:tcBorders>
              <w:top w:val="single" w:sz="4" w:space="0" w:color="auto"/>
            </w:tcBorders>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Hatchery </w:t>
            </w:r>
          </w:p>
        </w:tc>
        <w:tc>
          <w:tcPr>
            <w:tcW w:w="1329" w:type="dxa"/>
            <w:tcBorders>
              <w:top w:val="single" w:sz="4" w:space="0" w:color="auto"/>
            </w:tcBorders>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Alberton </w:t>
            </w:r>
          </w:p>
        </w:tc>
        <w:tc>
          <w:tcPr>
            <w:tcW w:w="567" w:type="dxa"/>
            <w:tcBorders>
              <w:top w:val="single" w:sz="4" w:space="0" w:color="auto"/>
            </w:tcBorders>
          </w:tcPr>
          <w:p w:rsidR="00381816" w:rsidRPr="00381816" w:rsidRDefault="00381816" w:rsidP="00381816">
            <w:pPr>
              <w:spacing w:before="20" w:after="20"/>
              <w:jc w:val="left"/>
              <w:rPr>
                <w:rFonts w:ascii="Times New Roman" w:eastAsia="Times New Roman" w:hAnsi="Times New Roman"/>
                <w:sz w:val="17"/>
                <w:szCs w:val="17"/>
              </w:rPr>
            </w:pPr>
          </w:p>
        </w:tc>
        <w:tc>
          <w:tcPr>
            <w:tcW w:w="610" w:type="dxa"/>
            <w:tcBorders>
              <w:top w:val="single" w:sz="4" w:space="0" w:color="auto"/>
            </w:tcBorders>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Borders>
              <w:top w:val="single" w:sz="4" w:space="0" w:color="auto"/>
            </w:tcBorders>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709" w:type="dxa"/>
            <w:tcBorders>
              <w:top w:val="single" w:sz="4" w:space="0" w:color="auto"/>
            </w:tcBorders>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Borders>
              <w:top w:val="single" w:sz="4" w:space="0" w:color="auto"/>
            </w:tcBorders>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272599 </w:t>
            </w:r>
          </w:p>
        </w:tc>
        <w:tc>
          <w:tcPr>
            <w:tcW w:w="878" w:type="dxa"/>
            <w:tcBorders>
              <w:top w:val="single" w:sz="4" w:space="0" w:color="auto"/>
            </w:tcBorders>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6139493 </w:t>
            </w:r>
          </w:p>
        </w:tc>
        <w:tc>
          <w:tcPr>
            <w:tcW w:w="768" w:type="dxa"/>
            <w:gridSpan w:val="2"/>
            <w:tcBorders>
              <w:top w:val="single" w:sz="4" w:space="0" w:color="auto"/>
            </w:tcBorders>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Berri Evaporation Basin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Wild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Berri, SA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460153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6204737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111"/>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Beyond Wetlands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Victor Harbour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287386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6065375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Cole Crossing Road Dam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pacing w:val="-4"/>
                <w:sz w:val="17"/>
                <w:szCs w:val="17"/>
              </w:rPr>
              <w:t>Surrogate - new</w:t>
            </w:r>
            <w:r w:rsidRPr="00381816">
              <w:rPr>
                <w:rFonts w:ascii="Times New Roman" w:eastAsia="Times New Roman" w:hAnsi="Times New Roman"/>
                <w:sz w:val="17"/>
                <w:szCs w:val="17"/>
              </w:rPr>
              <w:t xml:space="preserve">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Nangkita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292340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6086197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111"/>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Crouch Dam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Yundi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287070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6088349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Currency Creek Confluence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Reintroduction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Goolwa North,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303493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6070444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Disher Creek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Wild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Berri, SA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472262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6211396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Frenchmans Creek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Reintroduction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Wingillie, NSW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528129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6229942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Greenlands Drive Dam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Murray Bridge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339951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6112119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20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Hindmarsh Island Wetland Complex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Reintroduction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Hindmarsh Island, SA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309528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6066536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111"/>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Holy Family School </w:t>
            </w:r>
          </w:p>
        </w:tc>
        <w:tc>
          <w:tcPr>
            <w:tcW w:w="1246" w:type="dxa"/>
          </w:tcPr>
          <w:p w:rsidR="00381816" w:rsidRPr="00381816" w:rsidRDefault="00381816" w:rsidP="00381816">
            <w:pPr>
              <w:spacing w:before="20" w:after="20"/>
              <w:jc w:val="left"/>
              <w:rPr>
                <w:rFonts w:ascii="Times New Roman" w:eastAsia="Times New Roman" w:hAnsi="Times New Roman"/>
                <w:spacing w:val="-4"/>
                <w:sz w:val="17"/>
                <w:szCs w:val="17"/>
              </w:rPr>
            </w:pPr>
            <w:r w:rsidRPr="00381816">
              <w:rPr>
                <w:rFonts w:ascii="Times New Roman" w:eastAsia="Times New Roman" w:hAnsi="Times New Roman"/>
                <w:spacing w:val="-4"/>
                <w:sz w:val="17"/>
                <w:szCs w:val="17"/>
              </w:rPr>
              <w:t xml:space="preserve">Surrogate - new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Happy Valley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280607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6114616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20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Investigator College EcoCentre </w:t>
            </w:r>
          </w:p>
        </w:tc>
        <w:tc>
          <w:tcPr>
            <w:tcW w:w="1246" w:type="dxa"/>
          </w:tcPr>
          <w:p w:rsidR="00381816" w:rsidRPr="00381816" w:rsidRDefault="00381816" w:rsidP="00381816">
            <w:pPr>
              <w:spacing w:before="20" w:after="20"/>
              <w:jc w:val="left"/>
              <w:rPr>
                <w:rFonts w:ascii="Times New Roman" w:eastAsia="Times New Roman" w:hAnsi="Times New Roman"/>
                <w:spacing w:val="-4"/>
                <w:sz w:val="17"/>
                <w:szCs w:val="17"/>
              </w:rPr>
            </w:pPr>
            <w:r w:rsidRPr="00381816">
              <w:rPr>
                <w:rFonts w:ascii="Times New Roman" w:eastAsia="Times New Roman" w:hAnsi="Times New Roman"/>
                <w:spacing w:val="-4"/>
                <w:sz w:val="17"/>
                <w:szCs w:val="17"/>
              </w:rPr>
              <w:t xml:space="preserve">Surrogate - new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Currency Creek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300212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6073033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20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Jury Swamp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Reintroduction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Mypolonga, SA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346589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6119593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Kingston YPP dam 1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Kingston SE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446311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5842721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Kingston YPP dam 2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Surrogate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Kingston SE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479201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5811699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20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Lake Albert Fringing Wetlands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Reintroduction </w:t>
            </w:r>
          </w:p>
        </w:tc>
        <w:tc>
          <w:tcPr>
            <w:tcW w:w="1329" w:type="dxa"/>
          </w:tcPr>
          <w:p w:rsidR="00381816" w:rsidRPr="00381816" w:rsidRDefault="00381816" w:rsidP="00381816">
            <w:pPr>
              <w:spacing w:before="20" w:after="20"/>
              <w:jc w:val="left"/>
              <w:rPr>
                <w:rFonts w:ascii="Times New Roman" w:eastAsia="Times New Roman" w:hAnsi="Times New Roman"/>
                <w:spacing w:val="-4"/>
                <w:sz w:val="17"/>
                <w:szCs w:val="17"/>
              </w:rPr>
            </w:pPr>
            <w:r w:rsidRPr="00381816">
              <w:rPr>
                <w:rFonts w:ascii="Times New Roman" w:eastAsia="Times New Roman" w:hAnsi="Times New Roman"/>
                <w:spacing w:val="-4"/>
                <w:sz w:val="17"/>
                <w:szCs w:val="17"/>
              </w:rPr>
              <w:t xml:space="preserve">Lake Albert, SA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346720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6057936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20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Lake Alexandrina Fringing Wetlands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Reintroduction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pacing w:val="-4"/>
                <w:sz w:val="17"/>
                <w:szCs w:val="17"/>
              </w:rPr>
              <w:t>Lake Alexandrina, SA</w:t>
            </w:r>
            <w:r w:rsidRPr="00381816">
              <w:rPr>
                <w:rFonts w:ascii="Times New Roman" w:eastAsia="Times New Roman" w:hAnsi="Times New Roman"/>
                <w:sz w:val="17"/>
                <w:szCs w:val="17"/>
              </w:rPr>
              <w:t xml:space="preserve">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321955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6081220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Lower Finniss River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Reintroduction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Finniss, SA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303340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6079924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20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Mosquito Hill Rd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pacing w:val="-4"/>
                <w:sz w:val="17"/>
                <w:szCs w:val="17"/>
              </w:rPr>
              <w:t>Surrogate - new</w:t>
            </w:r>
            <w:r w:rsidRPr="00381816">
              <w:rPr>
                <w:rFonts w:ascii="Times New Roman" w:eastAsia="Times New Roman" w:hAnsi="Times New Roman"/>
                <w:sz w:val="17"/>
                <w:szCs w:val="17"/>
              </w:rPr>
              <w:t xml:space="preserve">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pacing w:val="-4"/>
                <w:sz w:val="17"/>
                <w:szCs w:val="17"/>
              </w:rPr>
              <w:t>Mosquito Hill, SA</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289610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6076916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gridAfter w:val="1"/>
          <w:wAfter w:w="13" w:type="dxa"/>
          <w:trHeight w:val="20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Mundoo Island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Reintroduction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pacing w:val="-4"/>
                <w:sz w:val="17"/>
                <w:szCs w:val="17"/>
              </w:rPr>
              <w:t>Mundoo Island, SA</w:t>
            </w:r>
            <w:r w:rsidRPr="00381816">
              <w:rPr>
                <w:rFonts w:ascii="Times New Roman" w:eastAsia="Times New Roman" w:hAnsi="Times New Roman"/>
                <w:sz w:val="17"/>
                <w:szCs w:val="17"/>
              </w:rPr>
              <w:t xml:space="preserve">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311705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6064212 </w:t>
            </w:r>
          </w:p>
        </w:tc>
        <w:tc>
          <w:tcPr>
            <w:tcW w:w="755"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13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Neil Dam </w:t>
            </w:r>
          </w:p>
        </w:tc>
        <w:tc>
          <w:tcPr>
            <w:tcW w:w="1246" w:type="dxa"/>
          </w:tcPr>
          <w:p w:rsidR="00381816" w:rsidRPr="00381816" w:rsidRDefault="00381816" w:rsidP="00381816">
            <w:pPr>
              <w:spacing w:before="20" w:after="20"/>
              <w:jc w:val="left"/>
              <w:rPr>
                <w:rFonts w:ascii="Times New Roman" w:eastAsia="Times New Roman" w:hAnsi="Times New Roman"/>
                <w:spacing w:val="-4"/>
                <w:sz w:val="17"/>
                <w:szCs w:val="17"/>
              </w:rPr>
            </w:pPr>
            <w:r w:rsidRPr="00381816">
              <w:rPr>
                <w:rFonts w:ascii="Times New Roman" w:eastAsia="Times New Roman" w:hAnsi="Times New Roman"/>
                <w:spacing w:val="-4"/>
                <w:sz w:val="17"/>
                <w:szCs w:val="17"/>
              </w:rPr>
              <w:t xml:space="preserve">Surrogate - new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Ashbourne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292995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6096044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129"/>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Noora Disposal Basin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Wild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Loxton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482575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6195302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Robertson Dam </w:t>
            </w:r>
          </w:p>
        </w:tc>
        <w:tc>
          <w:tcPr>
            <w:tcW w:w="1246" w:type="dxa"/>
          </w:tcPr>
          <w:p w:rsidR="00381816" w:rsidRPr="00381816" w:rsidRDefault="00381816" w:rsidP="00381816">
            <w:pPr>
              <w:spacing w:before="20" w:after="20"/>
              <w:jc w:val="left"/>
              <w:rPr>
                <w:rFonts w:ascii="Times New Roman" w:eastAsia="Times New Roman" w:hAnsi="Times New Roman"/>
                <w:spacing w:val="-4"/>
                <w:sz w:val="17"/>
                <w:szCs w:val="17"/>
              </w:rPr>
            </w:pPr>
            <w:r w:rsidRPr="00381816">
              <w:rPr>
                <w:rFonts w:ascii="Times New Roman" w:eastAsia="Times New Roman" w:hAnsi="Times New Roman"/>
                <w:spacing w:val="-4"/>
                <w:sz w:val="17"/>
                <w:szCs w:val="17"/>
              </w:rPr>
              <w:t xml:space="preserve">Surrogate - new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Nangkita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288793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6086134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20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Rocky Gully Wetland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Reintroduction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pacing w:val="-4"/>
                <w:sz w:val="17"/>
                <w:szCs w:val="17"/>
              </w:rPr>
              <w:t>Murry Bridge, SA</w:t>
            </w:r>
            <w:r w:rsidRPr="00381816">
              <w:rPr>
                <w:rFonts w:ascii="Times New Roman" w:eastAsia="Times New Roman" w:hAnsi="Times New Roman"/>
                <w:sz w:val="17"/>
                <w:szCs w:val="17"/>
              </w:rPr>
              <w:t xml:space="preserve">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341758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6113305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199"/>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Softfoot </w:t>
            </w:r>
          </w:p>
        </w:tc>
        <w:tc>
          <w:tcPr>
            <w:tcW w:w="1246" w:type="dxa"/>
          </w:tcPr>
          <w:p w:rsidR="00381816" w:rsidRPr="00381816" w:rsidRDefault="00381816" w:rsidP="00381816">
            <w:pPr>
              <w:spacing w:before="20" w:after="20"/>
              <w:jc w:val="left"/>
              <w:rPr>
                <w:rFonts w:ascii="Times New Roman" w:eastAsia="Times New Roman" w:hAnsi="Times New Roman"/>
                <w:spacing w:val="-4"/>
                <w:sz w:val="17"/>
                <w:szCs w:val="17"/>
              </w:rPr>
            </w:pPr>
            <w:r w:rsidRPr="00381816">
              <w:rPr>
                <w:rFonts w:ascii="Times New Roman" w:eastAsia="Times New Roman" w:hAnsi="Times New Roman"/>
                <w:spacing w:val="-4"/>
                <w:sz w:val="17"/>
                <w:szCs w:val="17"/>
              </w:rPr>
              <w:t xml:space="preserve">Surrogate - new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pacing w:val="-4"/>
                <w:sz w:val="17"/>
                <w:szCs w:val="17"/>
              </w:rPr>
              <w:t>Mount Compass</w:t>
            </w:r>
            <w:r w:rsidRPr="00381816">
              <w:rPr>
                <w:rFonts w:ascii="Times New Roman" w:eastAsia="Times New Roman" w:hAnsi="Times New Roman"/>
                <w:sz w:val="17"/>
                <w:szCs w:val="17"/>
              </w:rPr>
              <w:t xml:space="preserve">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280612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6071811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9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St Francis School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Hatchery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Wynn Vale, SA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289546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6146505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200"/>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Thompson Dam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Surrogate - new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pacing w:val="-4"/>
                <w:sz w:val="17"/>
                <w:szCs w:val="17"/>
              </w:rPr>
              <w:t>Mount Compass</w:t>
            </w:r>
            <w:r w:rsidRPr="00381816">
              <w:rPr>
                <w:rFonts w:ascii="Times New Roman" w:eastAsia="Times New Roman" w:hAnsi="Times New Roman"/>
                <w:sz w:val="17"/>
                <w:szCs w:val="17"/>
              </w:rPr>
              <w:t xml:space="preserve">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278528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6072890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491D21">
        <w:trPr>
          <w:trHeight w:val="111"/>
        </w:trPr>
        <w:tc>
          <w:tcPr>
            <w:tcW w:w="1820"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Urrbrae Agricultural College </w:t>
            </w:r>
          </w:p>
        </w:tc>
        <w:tc>
          <w:tcPr>
            <w:tcW w:w="1246"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Hatchery </w:t>
            </w:r>
          </w:p>
        </w:tc>
        <w:tc>
          <w:tcPr>
            <w:tcW w:w="1329"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Urrbrae </w:t>
            </w:r>
          </w:p>
        </w:tc>
        <w:tc>
          <w:tcPr>
            <w:tcW w:w="567" w:type="dxa"/>
          </w:tcPr>
          <w:p w:rsidR="00381816" w:rsidRPr="00381816" w:rsidRDefault="00381816" w:rsidP="00381816">
            <w:pPr>
              <w:spacing w:before="20" w:after="20"/>
              <w:jc w:val="left"/>
              <w:rPr>
                <w:rFonts w:ascii="Times New Roman" w:eastAsia="Times New Roman" w:hAnsi="Times New Roman"/>
                <w:sz w:val="17"/>
                <w:szCs w:val="17"/>
              </w:rPr>
            </w:pPr>
          </w:p>
        </w:tc>
        <w:tc>
          <w:tcPr>
            <w:tcW w:w="610" w:type="dxa"/>
          </w:tcPr>
          <w:p w:rsidR="00381816" w:rsidRPr="00381816" w:rsidRDefault="00381816" w:rsidP="00381816">
            <w:pPr>
              <w:spacing w:before="20" w:after="20"/>
              <w:jc w:val="left"/>
              <w:rPr>
                <w:rFonts w:ascii="Times New Roman" w:eastAsia="Times New Roman" w:hAnsi="Times New Roman"/>
                <w:sz w:val="17"/>
                <w:szCs w:val="17"/>
              </w:rPr>
            </w:pPr>
          </w:p>
        </w:tc>
        <w:tc>
          <w:tcPr>
            <w:tcW w:w="665"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709" w:type="dxa"/>
          </w:tcPr>
          <w:p w:rsidR="00381816" w:rsidRPr="00381816" w:rsidRDefault="00381816" w:rsidP="00381816">
            <w:pPr>
              <w:spacing w:before="20" w:after="20"/>
              <w:jc w:val="left"/>
              <w:rPr>
                <w:rFonts w:ascii="Times New Roman" w:eastAsia="Times New Roman" w:hAnsi="Times New Roman"/>
                <w:sz w:val="17"/>
                <w:szCs w:val="17"/>
              </w:rPr>
            </w:pPr>
          </w:p>
        </w:tc>
        <w:tc>
          <w:tcPr>
            <w:tcW w:w="76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283079 </w:t>
            </w:r>
          </w:p>
        </w:tc>
        <w:tc>
          <w:tcPr>
            <w:tcW w:w="878" w:type="dxa"/>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6127901 </w:t>
            </w:r>
          </w:p>
        </w:tc>
        <w:tc>
          <w:tcPr>
            <w:tcW w:w="768" w:type="dxa"/>
            <w:gridSpan w:val="2"/>
          </w:tcPr>
          <w:p w:rsidR="00381816" w:rsidRPr="00381816" w:rsidRDefault="00381816" w:rsidP="00381816">
            <w:pPr>
              <w:spacing w:before="20" w:after="2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r w:rsidR="00381816" w:rsidRPr="00381816" w:rsidTr="00EE6D8F">
        <w:trPr>
          <w:trHeight w:hRule="exact" w:val="289"/>
        </w:trPr>
        <w:tc>
          <w:tcPr>
            <w:tcW w:w="1820" w:type="dxa"/>
          </w:tcPr>
          <w:p w:rsidR="00381816" w:rsidRPr="00381816" w:rsidRDefault="00381816" w:rsidP="00EE6D8F">
            <w:pPr>
              <w:spacing w:before="20" w:after="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Yundi Road Dam </w:t>
            </w:r>
          </w:p>
        </w:tc>
        <w:tc>
          <w:tcPr>
            <w:tcW w:w="1246" w:type="dxa"/>
          </w:tcPr>
          <w:p w:rsidR="00381816" w:rsidRPr="00381816" w:rsidRDefault="00381816" w:rsidP="00EE6D8F">
            <w:pPr>
              <w:spacing w:before="20" w:after="0"/>
              <w:jc w:val="left"/>
              <w:rPr>
                <w:rFonts w:ascii="Times New Roman" w:eastAsia="Times New Roman" w:hAnsi="Times New Roman"/>
                <w:spacing w:val="-4"/>
                <w:sz w:val="17"/>
                <w:szCs w:val="17"/>
              </w:rPr>
            </w:pPr>
            <w:r w:rsidRPr="00381816">
              <w:rPr>
                <w:rFonts w:ascii="Times New Roman" w:eastAsia="Times New Roman" w:hAnsi="Times New Roman"/>
                <w:spacing w:val="-4"/>
                <w:sz w:val="17"/>
                <w:szCs w:val="17"/>
              </w:rPr>
              <w:t xml:space="preserve">Surrogate - new </w:t>
            </w:r>
          </w:p>
        </w:tc>
        <w:tc>
          <w:tcPr>
            <w:tcW w:w="1329" w:type="dxa"/>
          </w:tcPr>
          <w:p w:rsidR="00381816" w:rsidRPr="00381816" w:rsidRDefault="00381816" w:rsidP="00EE6D8F">
            <w:pPr>
              <w:spacing w:before="20" w:after="0"/>
              <w:jc w:val="left"/>
              <w:rPr>
                <w:rFonts w:ascii="Times New Roman" w:eastAsia="Times New Roman" w:hAnsi="Times New Roman"/>
                <w:spacing w:val="-4"/>
                <w:sz w:val="17"/>
                <w:szCs w:val="17"/>
              </w:rPr>
            </w:pPr>
            <w:r w:rsidRPr="00381816">
              <w:rPr>
                <w:rFonts w:ascii="Times New Roman" w:eastAsia="Times New Roman" w:hAnsi="Times New Roman"/>
                <w:spacing w:val="-4"/>
                <w:sz w:val="17"/>
                <w:szCs w:val="17"/>
              </w:rPr>
              <w:t xml:space="preserve">Mount Compass </w:t>
            </w:r>
          </w:p>
        </w:tc>
        <w:tc>
          <w:tcPr>
            <w:tcW w:w="567" w:type="dxa"/>
          </w:tcPr>
          <w:p w:rsidR="00381816" w:rsidRPr="00381816" w:rsidRDefault="00381816" w:rsidP="00EE6D8F">
            <w:pPr>
              <w:spacing w:before="20" w:after="0"/>
              <w:jc w:val="left"/>
              <w:rPr>
                <w:rFonts w:ascii="Times New Roman" w:eastAsia="Times New Roman" w:hAnsi="Times New Roman"/>
                <w:sz w:val="17"/>
                <w:szCs w:val="17"/>
              </w:rPr>
            </w:pPr>
            <w:r w:rsidRPr="00381816">
              <w:rPr>
                <w:rFonts w:ascii="Times New Roman" w:eastAsia="Times New Roman" w:hAnsi="Times New Roman"/>
                <w:sz w:val="17"/>
                <w:szCs w:val="17"/>
              </w:rPr>
              <w:t>Y</w:t>
            </w:r>
          </w:p>
        </w:tc>
        <w:tc>
          <w:tcPr>
            <w:tcW w:w="610" w:type="dxa"/>
          </w:tcPr>
          <w:p w:rsidR="00381816" w:rsidRPr="00381816" w:rsidRDefault="00381816" w:rsidP="00EE6D8F">
            <w:pPr>
              <w:spacing w:before="20" w:after="0"/>
              <w:jc w:val="left"/>
              <w:rPr>
                <w:rFonts w:ascii="Times New Roman" w:eastAsia="Times New Roman" w:hAnsi="Times New Roman"/>
                <w:sz w:val="17"/>
                <w:szCs w:val="17"/>
              </w:rPr>
            </w:pPr>
          </w:p>
        </w:tc>
        <w:tc>
          <w:tcPr>
            <w:tcW w:w="665" w:type="dxa"/>
          </w:tcPr>
          <w:p w:rsidR="00381816" w:rsidRPr="00381816" w:rsidRDefault="00381816" w:rsidP="00EE6D8F">
            <w:pPr>
              <w:spacing w:before="20" w:after="0"/>
              <w:jc w:val="left"/>
              <w:rPr>
                <w:rFonts w:ascii="Times New Roman" w:eastAsia="Times New Roman" w:hAnsi="Times New Roman"/>
                <w:sz w:val="17"/>
                <w:szCs w:val="17"/>
              </w:rPr>
            </w:pPr>
          </w:p>
        </w:tc>
        <w:tc>
          <w:tcPr>
            <w:tcW w:w="709" w:type="dxa"/>
          </w:tcPr>
          <w:p w:rsidR="00381816" w:rsidRPr="00381816" w:rsidRDefault="00381816" w:rsidP="00EE6D8F">
            <w:pPr>
              <w:spacing w:before="20" w:after="0"/>
              <w:jc w:val="left"/>
              <w:rPr>
                <w:rFonts w:ascii="Times New Roman" w:eastAsia="Times New Roman" w:hAnsi="Times New Roman"/>
                <w:sz w:val="17"/>
                <w:szCs w:val="17"/>
              </w:rPr>
            </w:pPr>
          </w:p>
        </w:tc>
        <w:tc>
          <w:tcPr>
            <w:tcW w:w="768" w:type="dxa"/>
          </w:tcPr>
          <w:p w:rsidR="00381816" w:rsidRPr="00381816" w:rsidRDefault="00381816" w:rsidP="00EE6D8F">
            <w:pPr>
              <w:spacing w:before="20" w:after="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284528 </w:t>
            </w:r>
          </w:p>
        </w:tc>
        <w:tc>
          <w:tcPr>
            <w:tcW w:w="878" w:type="dxa"/>
          </w:tcPr>
          <w:p w:rsidR="00381816" w:rsidRPr="00381816" w:rsidRDefault="00381816" w:rsidP="00EE6D8F">
            <w:pPr>
              <w:spacing w:before="20" w:after="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6089528 </w:t>
            </w:r>
          </w:p>
        </w:tc>
        <w:tc>
          <w:tcPr>
            <w:tcW w:w="768" w:type="dxa"/>
            <w:gridSpan w:val="2"/>
          </w:tcPr>
          <w:p w:rsidR="00381816" w:rsidRPr="00381816" w:rsidRDefault="00381816" w:rsidP="00EE6D8F">
            <w:pPr>
              <w:spacing w:before="20" w:after="0"/>
              <w:jc w:val="left"/>
              <w:rPr>
                <w:rFonts w:ascii="Times New Roman" w:eastAsia="Times New Roman" w:hAnsi="Times New Roman"/>
                <w:sz w:val="17"/>
                <w:szCs w:val="17"/>
              </w:rPr>
            </w:pPr>
            <w:r w:rsidRPr="00381816">
              <w:rPr>
                <w:rFonts w:ascii="Times New Roman" w:eastAsia="Times New Roman" w:hAnsi="Times New Roman"/>
                <w:sz w:val="17"/>
                <w:szCs w:val="17"/>
              </w:rPr>
              <w:t xml:space="preserve">GDA94 </w:t>
            </w:r>
          </w:p>
        </w:tc>
      </w:tr>
    </w:tbl>
    <w:p w:rsidR="00381816" w:rsidRPr="00381816" w:rsidRDefault="00381816" w:rsidP="00EE6D8F">
      <w:pPr>
        <w:spacing w:before="80" w:after="60"/>
        <w:rPr>
          <w:rFonts w:ascii="Times New Roman" w:eastAsia="Times New Roman" w:hAnsi="Times New Roman"/>
          <w:bCs/>
          <w:sz w:val="17"/>
          <w:szCs w:val="17"/>
        </w:rPr>
      </w:pPr>
      <w:r w:rsidRPr="00381816">
        <w:rPr>
          <w:rFonts w:ascii="Times New Roman" w:eastAsia="Times New Roman" w:hAnsi="Times New Roman"/>
          <w:bCs/>
          <w:sz w:val="17"/>
          <w:szCs w:val="17"/>
        </w:rPr>
        <w:t xml:space="preserve">Pursuant to subsection 78(2) of the </w:t>
      </w:r>
      <w:r w:rsidRPr="00381816">
        <w:rPr>
          <w:rFonts w:ascii="Times New Roman" w:eastAsia="Times New Roman" w:hAnsi="Times New Roman"/>
          <w:bCs/>
          <w:i/>
          <w:iCs/>
          <w:sz w:val="17"/>
          <w:szCs w:val="17"/>
        </w:rPr>
        <w:t>Fisheries Management Act 2007</w:t>
      </w:r>
      <w:r w:rsidRPr="00381816">
        <w:rPr>
          <w:rFonts w:ascii="Times New Roman" w:eastAsia="Times New Roman" w:hAnsi="Times New Roman"/>
          <w:bCs/>
          <w:sz w:val="17"/>
          <w:szCs w:val="17"/>
        </w:rPr>
        <w:t>, the holder of this permit or their agent may release fish of the following species into the specified waters subject to the conditions below:</w:t>
      </w:r>
    </w:p>
    <w:p w:rsidR="00381816" w:rsidRPr="00381816" w:rsidRDefault="00381816" w:rsidP="00EE6D8F">
      <w:pPr>
        <w:numPr>
          <w:ilvl w:val="0"/>
          <w:numId w:val="81"/>
        </w:numPr>
        <w:spacing w:after="60"/>
        <w:rPr>
          <w:rFonts w:ascii="Times New Roman" w:eastAsia="Times New Roman" w:hAnsi="Times New Roman"/>
          <w:bCs/>
          <w:sz w:val="17"/>
          <w:szCs w:val="17"/>
        </w:rPr>
      </w:pPr>
      <w:r w:rsidRPr="00381816">
        <w:rPr>
          <w:rFonts w:ascii="Times New Roman" w:eastAsia="Times New Roman" w:hAnsi="Times New Roman"/>
          <w:bCs/>
          <w:sz w:val="17"/>
          <w:szCs w:val="17"/>
        </w:rPr>
        <w:t>Yarra Pygmy Perch (</w:t>
      </w:r>
      <w:r w:rsidRPr="00381816">
        <w:rPr>
          <w:rFonts w:ascii="Times New Roman" w:eastAsia="Times New Roman" w:hAnsi="Times New Roman"/>
          <w:bCs/>
          <w:i/>
          <w:sz w:val="17"/>
          <w:szCs w:val="17"/>
        </w:rPr>
        <w:t>Nannoperca obscura</w:t>
      </w:r>
      <w:r w:rsidRPr="00381816">
        <w:rPr>
          <w:rFonts w:ascii="Times New Roman" w:eastAsia="Times New Roman" w:hAnsi="Times New Roman"/>
          <w:bCs/>
          <w:sz w:val="17"/>
          <w:szCs w:val="17"/>
        </w:rPr>
        <w:t>)</w:t>
      </w:r>
    </w:p>
    <w:p w:rsidR="00381816" w:rsidRPr="00381816" w:rsidRDefault="00381816" w:rsidP="00EE6D8F">
      <w:pPr>
        <w:numPr>
          <w:ilvl w:val="0"/>
          <w:numId w:val="81"/>
        </w:numPr>
        <w:spacing w:after="60"/>
        <w:rPr>
          <w:rFonts w:ascii="Times New Roman" w:eastAsia="Times New Roman" w:hAnsi="Times New Roman"/>
          <w:bCs/>
          <w:sz w:val="17"/>
          <w:szCs w:val="17"/>
        </w:rPr>
      </w:pPr>
      <w:r w:rsidRPr="00381816">
        <w:rPr>
          <w:rFonts w:ascii="Times New Roman" w:eastAsia="Times New Roman" w:hAnsi="Times New Roman"/>
          <w:bCs/>
          <w:sz w:val="17"/>
          <w:szCs w:val="17"/>
        </w:rPr>
        <w:t>Southern Pygmy Perch (</w:t>
      </w:r>
      <w:r w:rsidRPr="00381816">
        <w:rPr>
          <w:rFonts w:ascii="Times New Roman" w:eastAsia="Times New Roman" w:hAnsi="Times New Roman"/>
          <w:bCs/>
          <w:i/>
          <w:sz w:val="17"/>
          <w:szCs w:val="17"/>
        </w:rPr>
        <w:t>Nannoperca australis</w:t>
      </w:r>
      <w:r w:rsidRPr="00381816">
        <w:rPr>
          <w:rFonts w:ascii="Times New Roman" w:eastAsia="Times New Roman" w:hAnsi="Times New Roman"/>
          <w:bCs/>
          <w:sz w:val="17"/>
          <w:szCs w:val="17"/>
        </w:rPr>
        <w:t>)</w:t>
      </w:r>
    </w:p>
    <w:p w:rsidR="00381816" w:rsidRPr="00381816" w:rsidRDefault="00381816" w:rsidP="00EE6D8F">
      <w:pPr>
        <w:numPr>
          <w:ilvl w:val="0"/>
          <w:numId w:val="81"/>
        </w:numPr>
        <w:spacing w:after="60"/>
        <w:rPr>
          <w:rFonts w:ascii="Times New Roman" w:eastAsia="Times New Roman" w:hAnsi="Times New Roman"/>
          <w:bCs/>
          <w:sz w:val="17"/>
          <w:szCs w:val="17"/>
        </w:rPr>
      </w:pPr>
      <w:r w:rsidRPr="00381816">
        <w:rPr>
          <w:rFonts w:ascii="Times New Roman" w:eastAsia="Times New Roman" w:hAnsi="Times New Roman"/>
          <w:bCs/>
          <w:sz w:val="17"/>
          <w:szCs w:val="17"/>
        </w:rPr>
        <w:t>Southern Purple-Spotted Gudgeon (</w:t>
      </w:r>
      <w:r w:rsidRPr="00381816">
        <w:rPr>
          <w:rFonts w:ascii="Times New Roman" w:eastAsia="Times New Roman" w:hAnsi="Times New Roman"/>
          <w:bCs/>
          <w:i/>
          <w:sz w:val="17"/>
          <w:szCs w:val="17"/>
        </w:rPr>
        <w:t>Mogurnda adspersa</w:t>
      </w:r>
      <w:r w:rsidRPr="00381816">
        <w:rPr>
          <w:rFonts w:ascii="Times New Roman" w:eastAsia="Times New Roman" w:hAnsi="Times New Roman"/>
          <w:bCs/>
          <w:sz w:val="17"/>
          <w:szCs w:val="17"/>
        </w:rPr>
        <w:t>)</w:t>
      </w:r>
    </w:p>
    <w:p w:rsidR="002320C1" w:rsidRPr="002320C1" w:rsidRDefault="00381816" w:rsidP="00EE6D8F">
      <w:pPr>
        <w:numPr>
          <w:ilvl w:val="0"/>
          <w:numId w:val="81"/>
        </w:numPr>
        <w:spacing w:after="60"/>
        <w:ind w:left="714" w:hanging="357"/>
        <w:rPr>
          <w:rFonts w:ascii="Times New Roman" w:eastAsia="Times New Roman" w:hAnsi="Times New Roman"/>
          <w:bCs/>
          <w:sz w:val="17"/>
          <w:szCs w:val="17"/>
        </w:rPr>
      </w:pPr>
      <w:r w:rsidRPr="00381816">
        <w:rPr>
          <w:rFonts w:ascii="Times New Roman" w:eastAsia="Times New Roman" w:hAnsi="Times New Roman"/>
          <w:bCs/>
          <w:sz w:val="17"/>
          <w:szCs w:val="17"/>
        </w:rPr>
        <w:t>Murray Hardyhead (</w:t>
      </w:r>
      <w:r w:rsidRPr="00381816">
        <w:rPr>
          <w:rFonts w:ascii="Times New Roman" w:eastAsia="Times New Roman" w:hAnsi="Times New Roman"/>
          <w:bCs/>
          <w:i/>
          <w:sz w:val="17"/>
          <w:szCs w:val="17"/>
        </w:rPr>
        <w:t>Craterocephalus fluviatilis</w:t>
      </w:r>
      <w:r w:rsidRPr="00381816">
        <w:rPr>
          <w:rFonts w:ascii="Times New Roman" w:eastAsia="Times New Roman" w:hAnsi="Times New Roman"/>
          <w:bCs/>
          <w:sz w:val="17"/>
          <w:szCs w:val="17"/>
        </w:rPr>
        <w:t>)</w:t>
      </w:r>
      <w:r w:rsidR="002320C1" w:rsidRPr="002320C1">
        <w:rPr>
          <w:rFonts w:ascii="Times New Roman" w:eastAsia="Times New Roman" w:hAnsi="Times New Roman"/>
          <w:b/>
          <w:sz w:val="17"/>
          <w:szCs w:val="17"/>
        </w:rPr>
        <w:br w:type="page"/>
      </w:r>
    </w:p>
    <w:p w:rsidR="00381816" w:rsidRPr="00381816" w:rsidRDefault="00381816" w:rsidP="00381816">
      <w:pPr>
        <w:rPr>
          <w:rFonts w:ascii="Times New Roman" w:eastAsia="Times New Roman" w:hAnsi="Times New Roman"/>
          <w:b/>
          <w:sz w:val="17"/>
          <w:szCs w:val="17"/>
        </w:rPr>
      </w:pPr>
      <w:r w:rsidRPr="00381816">
        <w:rPr>
          <w:rFonts w:ascii="Times New Roman" w:eastAsia="Times New Roman" w:hAnsi="Times New Roman"/>
          <w:b/>
          <w:sz w:val="17"/>
          <w:szCs w:val="17"/>
        </w:rPr>
        <w:lastRenderedPageBreak/>
        <w:t>Conditions</w:t>
      </w:r>
    </w:p>
    <w:p w:rsidR="00381816" w:rsidRPr="00381816" w:rsidRDefault="00381816" w:rsidP="00381816">
      <w:pPr>
        <w:numPr>
          <w:ilvl w:val="0"/>
          <w:numId w:val="79"/>
        </w:numPr>
        <w:rPr>
          <w:rFonts w:ascii="Times New Roman" w:eastAsia="Times New Roman" w:hAnsi="Times New Roman"/>
          <w:bCs/>
          <w:sz w:val="17"/>
          <w:szCs w:val="17"/>
        </w:rPr>
      </w:pPr>
      <w:r w:rsidRPr="00381816">
        <w:rPr>
          <w:rFonts w:ascii="Times New Roman" w:eastAsia="Times New Roman" w:hAnsi="Times New Roman"/>
          <w:bCs/>
          <w:sz w:val="17"/>
          <w:szCs w:val="17"/>
        </w:rPr>
        <w:t>This permit is valid from 17 December 2021 to 17 December 2022.</w:t>
      </w:r>
    </w:p>
    <w:p w:rsidR="00381816" w:rsidRPr="00381816" w:rsidRDefault="00381816" w:rsidP="00381816">
      <w:pPr>
        <w:numPr>
          <w:ilvl w:val="0"/>
          <w:numId w:val="79"/>
        </w:numPr>
        <w:rPr>
          <w:rFonts w:ascii="Times New Roman" w:eastAsia="Times New Roman" w:hAnsi="Times New Roman"/>
          <w:bCs/>
          <w:sz w:val="17"/>
          <w:szCs w:val="17"/>
        </w:rPr>
      </w:pPr>
      <w:r w:rsidRPr="00381816">
        <w:rPr>
          <w:rFonts w:ascii="Times New Roman" w:eastAsia="Times New Roman" w:hAnsi="Times New Roman"/>
          <w:bCs/>
          <w:sz w:val="17"/>
          <w:szCs w:val="17"/>
        </w:rPr>
        <w:t>The permit holder will be deemed responsible for the conduct of all persons conducting the permitted activities under this notice. Any person conducting activities under this permit must be provided with a copy of this notice, which they must have signed as an indication that they have read and understand the conditions under it.</w:t>
      </w:r>
    </w:p>
    <w:p w:rsidR="00381816" w:rsidRPr="00381816" w:rsidRDefault="00381816" w:rsidP="00381816">
      <w:pPr>
        <w:numPr>
          <w:ilvl w:val="0"/>
          <w:numId w:val="79"/>
        </w:numPr>
        <w:rPr>
          <w:rFonts w:ascii="Times New Roman" w:eastAsia="Times New Roman" w:hAnsi="Times New Roman"/>
          <w:bCs/>
          <w:sz w:val="17"/>
          <w:szCs w:val="17"/>
        </w:rPr>
      </w:pPr>
      <w:r w:rsidRPr="00381816">
        <w:rPr>
          <w:rFonts w:ascii="Times New Roman" w:eastAsia="Times New Roman" w:hAnsi="Times New Roman"/>
          <w:bCs/>
          <w:sz w:val="17"/>
          <w:szCs w:val="17"/>
        </w:rPr>
        <w:t xml:space="preserve">The permit holder or their agents may only release: </w:t>
      </w:r>
    </w:p>
    <w:p w:rsidR="00381816" w:rsidRPr="00381816" w:rsidRDefault="00381816" w:rsidP="00381816">
      <w:pPr>
        <w:numPr>
          <w:ilvl w:val="0"/>
          <w:numId w:val="80"/>
        </w:numPr>
        <w:spacing w:after="0"/>
        <w:rPr>
          <w:rFonts w:ascii="Times New Roman" w:eastAsia="Times New Roman" w:hAnsi="Times New Roman"/>
          <w:bCs/>
          <w:sz w:val="17"/>
          <w:szCs w:val="17"/>
        </w:rPr>
      </w:pPr>
      <w:r w:rsidRPr="00381816">
        <w:rPr>
          <w:rFonts w:ascii="Times New Roman" w:eastAsia="Times New Roman" w:hAnsi="Times New Roman"/>
          <w:bCs/>
          <w:sz w:val="17"/>
          <w:szCs w:val="17"/>
        </w:rPr>
        <w:t>A maximum of 10,000 Juvenile or adult Yarra Pygmy Perch (</w:t>
      </w:r>
      <w:r w:rsidRPr="00381816">
        <w:rPr>
          <w:rFonts w:ascii="Times New Roman" w:eastAsia="Times New Roman" w:hAnsi="Times New Roman"/>
          <w:bCs/>
          <w:i/>
          <w:sz w:val="17"/>
          <w:szCs w:val="17"/>
        </w:rPr>
        <w:t>Nannoperca obscura</w:t>
      </w:r>
      <w:r w:rsidRPr="00381816">
        <w:rPr>
          <w:rFonts w:ascii="Times New Roman" w:eastAsia="Times New Roman" w:hAnsi="Times New Roman"/>
          <w:bCs/>
          <w:sz w:val="17"/>
          <w:szCs w:val="17"/>
        </w:rPr>
        <w:t xml:space="preserve">) </w:t>
      </w:r>
    </w:p>
    <w:p w:rsidR="00381816" w:rsidRPr="00381816" w:rsidRDefault="00381816" w:rsidP="00381816">
      <w:pPr>
        <w:numPr>
          <w:ilvl w:val="0"/>
          <w:numId w:val="80"/>
        </w:numPr>
        <w:spacing w:after="0"/>
        <w:rPr>
          <w:rFonts w:ascii="Times New Roman" w:eastAsia="Times New Roman" w:hAnsi="Times New Roman"/>
          <w:bCs/>
          <w:sz w:val="17"/>
          <w:szCs w:val="17"/>
        </w:rPr>
      </w:pPr>
      <w:r w:rsidRPr="00381816">
        <w:rPr>
          <w:rFonts w:ascii="Times New Roman" w:eastAsia="Times New Roman" w:hAnsi="Times New Roman"/>
          <w:bCs/>
          <w:sz w:val="17"/>
          <w:szCs w:val="17"/>
        </w:rPr>
        <w:t>A maximum of 10,000 Southern Pygmy Perch (</w:t>
      </w:r>
      <w:r w:rsidRPr="00381816">
        <w:rPr>
          <w:rFonts w:ascii="Times New Roman" w:eastAsia="Times New Roman" w:hAnsi="Times New Roman"/>
          <w:bCs/>
          <w:i/>
          <w:sz w:val="17"/>
          <w:szCs w:val="17"/>
        </w:rPr>
        <w:t>Nannoperca australis</w:t>
      </w:r>
      <w:r w:rsidRPr="00381816">
        <w:rPr>
          <w:rFonts w:ascii="Times New Roman" w:eastAsia="Times New Roman" w:hAnsi="Times New Roman"/>
          <w:bCs/>
          <w:sz w:val="17"/>
          <w:szCs w:val="17"/>
        </w:rPr>
        <w:t>)</w:t>
      </w:r>
    </w:p>
    <w:p w:rsidR="00381816" w:rsidRPr="00381816" w:rsidRDefault="00381816" w:rsidP="00381816">
      <w:pPr>
        <w:numPr>
          <w:ilvl w:val="0"/>
          <w:numId w:val="80"/>
        </w:numPr>
        <w:spacing w:after="0"/>
        <w:rPr>
          <w:rFonts w:ascii="Times New Roman" w:eastAsia="Times New Roman" w:hAnsi="Times New Roman"/>
          <w:bCs/>
          <w:sz w:val="17"/>
          <w:szCs w:val="17"/>
        </w:rPr>
      </w:pPr>
      <w:r w:rsidRPr="00381816">
        <w:rPr>
          <w:rFonts w:ascii="Times New Roman" w:eastAsia="Times New Roman" w:hAnsi="Times New Roman"/>
          <w:bCs/>
          <w:sz w:val="17"/>
          <w:szCs w:val="17"/>
        </w:rPr>
        <w:t>A maximum of 20,000 Southern Purple-Spotted Gudgeon (</w:t>
      </w:r>
      <w:r w:rsidRPr="00381816">
        <w:rPr>
          <w:rFonts w:ascii="Times New Roman" w:eastAsia="Times New Roman" w:hAnsi="Times New Roman"/>
          <w:bCs/>
          <w:i/>
          <w:sz w:val="17"/>
          <w:szCs w:val="17"/>
        </w:rPr>
        <w:t>Mogurnda adspersa</w:t>
      </w:r>
      <w:r w:rsidRPr="00381816">
        <w:rPr>
          <w:rFonts w:ascii="Times New Roman" w:eastAsia="Times New Roman" w:hAnsi="Times New Roman"/>
          <w:bCs/>
          <w:sz w:val="17"/>
          <w:szCs w:val="17"/>
        </w:rPr>
        <w:t xml:space="preserve">) </w:t>
      </w:r>
    </w:p>
    <w:p w:rsidR="00381816" w:rsidRPr="00381816" w:rsidRDefault="00381816" w:rsidP="00381816">
      <w:pPr>
        <w:numPr>
          <w:ilvl w:val="0"/>
          <w:numId w:val="80"/>
        </w:numPr>
        <w:rPr>
          <w:rFonts w:ascii="Times New Roman" w:eastAsia="Times New Roman" w:hAnsi="Times New Roman"/>
          <w:bCs/>
          <w:sz w:val="17"/>
          <w:szCs w:val="17"/>
        </w:rPr>
      </w:pPr>
      <w:r w:rsidRPr="00381816">
        <w:rPr>
          <w:rFonts w:ascii="Times New Roman" w:eastAsia="Times New Roman" w:hAnsi="Times New Roman"/>
          <w:bCs/>
          <w:sz w:val="17"/>
          <w:szCs w:val="17"/>
        </w:rPr>
        <w:t xml:space="preserve">A maximum of 30,000 Murray Hardyhead </w:t>
      </w:r>
      <w:r w:rsidRPr="00381816">
        <w:rPr>
          <w:rFonts w:ascii="Times New Roman" w:eastAsia="Times New Roman" w:hAnsi="Times New Roman"/>
          <w:bCs/>
          <w:i/>
          <w:sz w:val="17"/>
          <w:szCs w:val="17"/>
        </w:rPr>
        <w:t>(Craterocephalus fluviatilis)</w:t>
      </w:r>
      <w:r w:rsidRPr="00381816">
        <w:rPr>
          <w:rFonts w:ascii="Times New Roman" w:eastAsia="Times New Roman" w:hAnsi="Times New Roman"/>
          <w:bCs/>
          <w:sz w:val="17"/>
          <w:szCs w:val="17"/>
        </w:rPr>
        <w:t xml:space="preserve"> </w:t>
      </w:r>
    </w:p>
    <w:p w:rsidR="00381816" w:rsidRPr="00381816" w:rsidRDefault="00381816" w:rsidP="00381816">
      <w:pPr>
        <w:numPr>
          <w:ilvl w:val="0"/>
          <w:numId w:val="79"/>
        </w:numPr>
        <w:rPr>
          <w:rFonts w:ascii="Times New Roman" w:eastAsia="Times New Roman" w:hAnsi="Times New Roman"/>
          <w:bCs/>
          <w:sz w:val="17"/>
          <w:szCs w:val="17"/>
        </w:rPr>
      </w:pPr>
      <w:r w:rsidRPr="00381816">
        <w:rPr>
          <w:rFonts w:ascii="Times New Roman" w:eastAsia="Times New Roman" w:hAnsi="Times New Roman"/>
          <w:bCs/>
          <w:sz w:val="17"/>
          <w:szCs w:val="17"/>
        </w:rPr>
        <w:t>Fish released pursuant to this permit may only be released within the specified waters listed above and a maximum combined total of 5000 fish may be released per location.</w:t>
      </w:r>
    </w:p>
    <w:p w:rsidR="00381816" w:rsidRPr="00381816" w:rsidRDefault="00381816" w:rsidP="00381816">
      <w:pPr>
        <w:numPr>
          <w:ilvl w:val="0"/>
          <w:numId w:val="79"/>
        </w:numPr>
        <w:rPr>
          <w:rFonts w:ascii="Times New Roman" w:eastAsia="Times New Roman" w:hAnsi="Times New Roman"/>
          <w:bCs/>
          <w:sz w:val="17"/>
          <w:szCs w:val="17"/>
        </w:rPr>
      </w:pPr>
      <w:r w:rsidRPr="00381816">
        <w:rPr>
          <w:rFonts w:ascii="Times New Roman" w:eastAsia="Times New Roman" w:hAnsi="Times New Roman"/>
          <w:sz w:val="17"/>
          <w:szCs w:val="17"/>
        </w:rPr>
        <w:t xml:space="preserve">The permit holder or their agents must hold all fish that are intended to be released in a separate quarantine tank (separate from their hatchery tanks and surrogate sites) for a minimum of 14 days prior to release. Quarantine of hatchery reared fish and dam </w:t>
      </w:r>
      <w:r w:rsidRPr="00381816">
        <w:rPr>
          <w:rFonts w:ascii="Times New Roman" w:eastAsia="Times New Roman" w:hAnsi="Times New Roman"/>
          <w:bCs/>
          <w:sz w:val="17"/>
          <w:szCs w:val="17"/>
        </w:rPr>
        <w:t>reared</w:t>
      </w:r>
      <w:r w:rsidRPr="00381816">
        <w:rPr>
          <w:rFonts w:ascii="Times New Roman" w:eastAsia="Times New Roman" w:hAnsi="Times New Roman"/>
          <w:sz w:val="17"/>
          <w:szCs w:val="17"/>
        </w:rPr>
        <w:t xml:space="preserve"> fish must be held separately to avoid cross contamination of any potential pathogens.</w:t>
      </w:r>
    </w:p>
    <w:p w:rsidR="00381816" w:rsidRPr="00381816" w:rsidRDefault="00381816" w:rsidP="00381816">
      <w:pPr>
        <w:numPr>
          <w:ilvl w:val="0"/>
          <w:numId w:val="79"/>
        </w:numPr>
        <w:rPr>
          <w:rFonts w:ascii="Times New Roman" w:eastAsia="Times New Roman" w:hAnsi="Times New Roman"/>
          <w:bCs/>
          <w:sz w:val="17"/>
          <w:szCs w:val="17"/>
        </w:rPr>
      </w:pPr>
      <w:r w:rsidRPr="00381816">
        <w:rPr>
          <w:rFonts w:ascii="Times New Roman" w:eastAsia="Times New Roman" w:hAnsi="Times New Roman"/>
          <w:bCs/>
          <w:sz w:val="17"/>
          <w:szCs w:val="17"/>
        </w:rPr>
        <w:t xml:space="preserve">All moribund and mortalities that occur during the quarantine period must be appropriately sampled and submitted to the South Australian State Vetlab (Gribbles pathology, Glenside, Adelaide) to rule out infectious and notifiable disease.  </w:t>
      </w:r>
    </w:p>
    <w:p w:rsidR="00381816" w:rsidRPr="00381816" w:rsidRDefault="00381816" w:rsidP="00381816">
      <w:pPr>
        <w:numPr>
          <w:ilvl w:val="0"/>
          <w:numId w:val="79"/>
        </w:numPr>
        <w:rPr>
          <w:rFonts w:ascii="Times New Roman" w:eastAsia="Times New Roman" w:hAnsi="Times New Roman"/>
          <w:sz w:val="17"/>
          <w:szCs w:val="17"/>
        </w:rPr>
      </w:pPr>
      <w:r w:rsidRPr="00381816">
        <w:rPr>
          <w:rFonts w:ascii="Times New Roman" w:eastAsia="Times New Roman" w:hAnsi="Times New Roman"/>
          <w:sz w:val="17"/>
          <w:szCs w:val="17"/>
        </w:rPr>
        <w:t xml:space="preserve">For each location the permit holder must provide a stock inspection certificate from a registered veterinarian or government stock inspector at least 48 hours prior to releasing fish pursuant to this notice to the following email address: </w:t>
      </w:r>
    </w:p>
    <w:p w:rsidR="00381816" w:rsidRPr="00381816" w:rsidRDefault="00BE58B6" w:rsidP="00381816">
      <w:pPr>
        <w:ind w:left="567" w:firstLine="73"/>
        <w:rPr>
          <w:rFonts w:ascii="Times New Roman" w:eastAsia="Times New Roman" w:hAnsi="Times New Roman"/>
          <w:sz w:val="17"/>
          <w:szCs w:val="17"/>
        </w:rPr>
      </w:pPr>
      <w:hyperlink r:id="rId56" w:history="1">
        <w:r w:rsidR="00381816" w:rsidRPr="00381816">
          <w:rPr>
            <w:rFonts w:ascii="Times New Roman" w:eastAsia="Times New Roman" w:hAnsi="Times New Roman"/>
            <w:color w:val="0000FF"/>
            <w:sz w:val="17"/>
            <w:szCs w:val="17"/>
            <w:u w:val="single"/>
          </w:rPr>
          <w:t>PIRSA.MinisterialExemptionsandPermits@sa.gov.au</w:t>
        </w:r>
      </w:hyperlink>
    </w:p>
    <w:p w:rsidR="00381816" w:rsidRPr="00381816" w:rsidRDefault="00381816" w:rsidP="00381816">
      <w:pPr>
        <w:ind w:left="567"/>
        <w:rPr>
          <w:rFonts w:ascii="Times New Roman" w:eastAsia="Times New Roman" w:hAnsi="Times New Roman"/>
          <w:sz w:val="17"/>
          <w:szCs w:val="17"/>
        </w:rPr>
      </w:pPr>
      <w:r w:rsidRPr="00381816">
        <w:rPr>
          <w:rFonts w:ascii="Times New Roman" w:eastAsia="Times New Roman" w:hAnsi="Times New Roman"/>
          <w:sz w:val="17"/>
          <w:szCs w:val="17"/>
        </w:rPr>
        <w:t xml:space="preserve">The certificate must include that stock show no clinical signs of disease and that all moribund and mortalities during quarantine were submitted to the State Vetlab and were negative for infectious and notifiable disease. This certificate must be approved by PIRSA’s Aquatic Animal Health Program prior to release of fish pursuant to this permit. </w:t>
      </w:r>
    </w:p>
    <w:p w:rsidR="00381816" w:rsidRPr="00381816" w:rsidRDefault="00381816" w:rsidP="00381816">
      <w:pPr>
        <w:numPr>
          <w:ilvl w:val="0"/>
          <w:numId w:val="79"/>
        </w:numPr>
        <w:rPr>
          <w:rFonts w:ascii="Times New Roman" w:eastAsia="Times New Roman" w:hAnsi="Times New Roman"/>
          <w:bCs/>
          <w:sz w:val="17"/>
          <w:szCs w:val="17"/>
        </w:rPr>
      </w:pPr>
      <w:r w:rsidRPr="00381816">
        <w:rPr>
          <w:rFonts w:ascii="Times New Roman" w:eastAsia="Times New Roman" w:hAnsi="Times New Roman"/>
          <w:bCs/>
          <w:sz w:val="17"/>
          <w:szCs w:val="17"/>
        </w:rPr>
        <w:t xml:space="preserve">The permit holder must provide a signed declaration </w:t>
      </w:r>
      <w:r w:rsidRPr="00381816">
        <w:rPr>
          <w:rFonts w:ascii="Times New Roman" w:eastAsia="Times New Roman" w:hAnsi="Times New Roman"/>
          <w:sz w:val="17"/>
          <w:szCs w:val="17"/>
        </w:rPr>
        <w:t>at least 48 hours prior to releasing fish pursuant to this notice</w:t>
      </w:r>
      <w:r w:rsidRPr="00381816">
        <w:rPr>
          <w:rFonts w:ascii="Times New Roman" w:eastAsia="Times New Roman" w:hAnsi="Times New Roman"/>
          <w:bCs/>
          <w:sz w:val="17"/>
          <w:szCs w:val="17"/>
        </w:rPr>
        <w:t xml:space="preserve"> stating that fish to be released have not previously been held with ornamental fish or fish translocated from interstate.</w:t>
      </w:r>
    </w:p>
    <w:p w:rsidR="00381816" w:rsidRPr="00381816" w:rsidRDefault="00381816" w:rsidP="00381816">
      <w:pPr>
        <w:numPr>
          <w:ilvl w:val="0"/>
          <w:numId w:val="79"/>
        </w:numPr>
        <w:rPr>
          <w:rFonts w:ascii="Times New Roman" w:eastAsia="Times New Roman" w:hAnsi="Times New Roman"/>
          <w:bCs/>
          <w:sz w:val="17"/>
          <w:szCs w:val="17"/>
        </w:rPr>
      </w:pPr>
      <w:r w:rsidRPr="00381816">
        <w:rPr>
          <w:rFonts w:ascii="Times New Roman" w:eastAsia="Times New Roman" w:hAnsi="Times New Roman"/>
          <w:bCs/>
          <w:sz w:val="17"/>
          <w:szCs w:val="17"/>
        </w:rPr>
        <w:t xml:space="preserve">Before conducting the permitted activity, the permit holder or a person acting as their agent must contact PIRSA Fishwatch on 1800 065 522 and answer a series of questions about the permitted activity. The permit holder or a person acting as their agent will need to have a copy of this permit at the time of making the call, and be able to provide information about the area and time of the permitted activity, the vehicle and/or boats involved, the number of agents undertaking the permitted activity and other related issues. </w:t>
      </w:r>
    </w:p>
    <w:p w:rsidR="00381816" w:rsidRPr="00381816" w:rsidRDefault="00381816" w:rsidP="00381816">
      <w:pPr>
        <w:numPr>
          <w:ilvl w:val="0"/>
          <w:numId w:val="79"/>
        </w:numPr>
        <w:rPr>
          <w:rFonts w:ascii="Times New Roman" w:eastAsia="Times New Roman" w:hAnsi="Times New Roman"/>
          <w:bCs/>
          <w:sz w:val="17"/>
          <w:szCs w:val="17"/>
        </w:rPr>
      </w:pPr>
      <w:r w:rsidRPr="00381816">
        <w:rPr>
          <w:rFonts w:ascii="Times New Roman" w:eastAsia="Times New Roman" w:hAnsi="Times New Roman"/>
          <w:bCs/>
          <w:sz w:val="17"/>
          <w:szCs w:val="17"/>
        </w:rPr>
        <w:t>The</w:t>
      </w:r>
      <w:r w:rsidRPr="00381816">
        <w:rPr>
          <w:rFonts w:ascii="Times New Roman" w:eastAsia="Times New Roman" w:hAnsi="Times New Roman"/>
          <w:sz w:val="17"/>
          <w:szCs w:val="17"/>
        </w:rPr>
        <w:t xml:space="preserve"> permit holder must provide a brief written report detailing the date, time and place of each release of fish, the species released and where the fish were originally sourced from and approximate numbers of each species. The report must be submitted to PIRSA, Fisheries and Aquaculture, (GPO Box 1625, ADELAIDE SA 5001 or </w:t>
      </w:r>
      <w:hyperlink r:id="rId57" w:history="1">
        <w:r w:rsidRPr="00381816">
          <w:rPr>
            <w:rFonts w:ascii="Times New Roman" w:eastAsia="Times New Roman" w:hAnsi="Times New Roman"/>
            <w:color w:val="0000FF"/>
            <w:sz w:val="17"/>
            <w:szCs w:val="17"/>
            <w:u w:val="single"/>
          </w:rPr>
          <w:t>PIRSA.MinisterialExemptionsandPermits@sa.gov.au</w:t>
        </w:r>
      </w:hyperlink>
      <w:r w:rsidRPr="00381816">
        <w:rPr>
          <w:rFonts w:ascii="Times New Roman" w:eastAsia="Times New Roman" w:hAnsi="Times New Roman"/>
          <w:sz w:val="17"/>
          <w:szCs w:val="17"/>
        </w:rPr>
        <w:t xml:space="preserve">) within 14 days of each fish release. </w:t>
      </w:r>
    </w:p>
    <w:p w:rsidR="00381816" w:rsidRPr="00381816" w:rsidRDefault="00381816" w:rsidP="00381816">
      <w:pPr>
        <w:numPr>
          <w:ilvl w:val="0"/>
          <w:numId w:val="79"/>
        </w:numPr>
        <w:rPr>
          <w:rFonts w:ascii="Times New Roman" w:eastAsia="Times New Roman" w:hAnsi="Times New Roman"/>
          <w:bCs/>
          <w:sz w:val="17"/>
          <w:szCs w:val="17"/>
        </w:rPr>
      </w:pPr>
      <w:r w:rsidRPr="00381816">
        <w:rPr>
          <w:rFonts w:ascii="Times New Roman" w:eastAsia="Times New Roman" w:hAnsi="Times New Roman"/>
          <w:sz w:val="17"/>
          <w:szCs w:val="17"/>
        </w:rPr>
        <w:t xml:space="preserve">While engaging in the permitted activity, the permit holder or their agents must be in possession of a copy of this permit. It must be </w:t>
      </w:r>
      <w:r w:rsidRPr="00381816">
        <w:rPr>
          <w:rFonts w:ascii="Times New Roman" w:eastAsia="Times New Roman" w:hAnsi="Times New Roman"/>
          <w:bCs/>
          <w:sz w:val="17"/>
          <w:szCs w:val="17"/>
        </w:rPr>
        <w:t>produced</w:t>
      </w:r>
      <w:r w:rsidRPr="00381816">
        <w:rPr>
          <w:rFonts w:ascii="Times New Roman" w:eastAsia="Times New Roman" w:hAnsi="Times New Roman"/>
          <w:sz w:val="17"/>
          <w:szCs w:val="17"/>
        </w:rPr>
        <w:t xml:space="preserve"> to a PIRSA Fisheries Officer if requested.</w:t>
      </w:r>
    </w:p>
    <w:p w:rsidR="00381816" w:rsidRPr="00381816" w:rsidRDefault="00381816" w:rsidP="00381816">
      <w:pPr>
        <w:numPr>
          <w:ilvl w:val="0"/>
          <w:numId w:val="79"/>
        </w:numPr>
        <w:rPr>
          <w:rFonts w:ascii="Times New Roman" w:eastAsia="Times New Roman" w:hAnsi="Times New Roman"/>
          <w:sz w:val="17"/>
          <w:szCs w:val="17"/>
        </w:rPr>
      </w:pPr>
      <w:r w:rsidRPr="00381816">
        <w:rPr>
          <w:rFonts w:ascii="Times New Roman" w:eastAsia="Times New Roman" w:hAnsi="Times New Roman"/>
          <w:sz w:val="17"/>
          <w:szCs w:val="17"/>
        </w:rPr>
        <w:t xml:space="preserve">The permit holder must not contravene or fail to comply with the </w:t>
      </w:r>
      <w:r w:rsidRPr="00381816">
        <w:rPr>
          <w:rFonts w:ascii="Times New Roman" w:eastAsia="Times New Roman" w:hAnsi="Times New Roman"/>
          <w:i/>
          <w:sz w:val="17"/>
          <w:szCs w:val="17"/>
        </w:rPr>
        <w:t>Fisheries Management Act 2007</w:t>
      </w:r>
      <w:r w:rsidRPr="00381816">
        <w:rPr>
          <w:rFonts w:ascii="Times New Roman" w:eastAsia="Times New Roman" w:hAnsi="Times New Roman"/>
          <w:sz w:val="17"/>
          <w:szCs w:val="17"/>
        </w:rPr>
        <w:t xml:space="preserve"> or any regulations made under that Act, except where specifically permitted by this notice.</w:t>
      </w:r>
    </w:p>
    <w:p w:rsidR="00381816" w:rsidRPr="00381816" w:rsidRDefault="00381816" w:rsidP="00381816">
      <w:pPr>
        <w:rPr>
          <w:rFonts w:ascii="Times New Roman" w:eastAsia="Times New Roman" w:hAnsi="Times New Roman"/>
          <w:sz w:val="17"/>
          <w:szCs w:val="17"/>
        </w:rPr>
      </w:pPr>
      <w:r w:rsidRPr="00381816">
        <w:rPr>
          <w:rFonts w:ascii="Times New Roman" w:eastAsia="Times New Roman" w:hAnsi="Times New Roman"/>
          <w:sz w:val="17"/>
          <w:szCs w:val="17"/>
        </w:rPr>
        <w:t xml:space="preserve">This permit does not purport to override the provisions or operation of any other Act including, but not limited to, the </w:t>
      </w:r>
      <w:r w:rsidRPr="00381816">
        <w:rPr>
          <w:rFonts w:ascii="Times New Roman" w:eastAsia="Times New Roman" w:hAnsi="Times New Roman"/>
          <w:i/>
          <w:sz w:val="17"/>
          <w:szCs w:val="17"/>
        </w:rPr>
        <w:t>River Murray Act 2003</w:t>
      </w:r>
      <w:r w:rsidRPr="00381816">
        <w:rPr>
          <w:rFonts w:ascii="Times New Roman" w:eastAsia="Times New Roman" w:hAnsi="Times New Roman"/>
          <w:sz w:val="17"/>
          <w:szCs w:val="17"/>
        </w:rPr>
        <w:t>. The exemption holder must comply with any relevant regulations, permits, requirements and directions from the Department for Environment and Water when undertaking activities within a specially protected area.</w:t>
      </w:r>
    </w:p>
    <w:p w:rsidR="00381816" w:rsidRPr="00381816" w:rsidRDefault="00381816" w:rsidP="00381816">
      <w:pPr>
        <w:rPr>
          <w:rFonts w:ascii="Times New Roman" w:eastAsia="Times New Roman" w:hAnsi="Times New Roman"/>
          <w:bCs/>
          <w:sz w:val="17"/>
          <w:szCs w:val="17"/>
        </w:rPr>
      </w:pPr>
      <w:r w:rsidRPr="00381816">
        <w:rPr>
          <w:rFonts w:ascii="Times New Roman" w:eastAsia="Times New Roman" w:hAnsi="Times New Roman"/>
          <w:bCs/>
          <w:sz w:val="17"/>
          <w:szCs w:val="17"/>
        </w:rPr>
        <w:t>Dated: 17 December 2021</w:t>
      </w:r>
    </w:p>
    <w:p w:rsidR="00381816" w:rsidRPr="00381816" w:rsidRDefault="00381816" w:rsidP="00381816">
      <w:pPr>
        <w:spacing w:after="0"/>
        <w:jc w:val="right"/>
        <w:rPr>
          <w:rFonts w:ascii="Times New Roman" w:eastAsia="Times New Roman" w:hAnsi="Times New Roman"/>
          <w:smallCaps/>
          <w:sz w:val="17"/>
          <w:szCs w:val="20"/>
        </w:rPr>
      </w:pPr>
      <w:r w:rsidRPr="00381816">
        <w:rPr>
          <w:rFonts w:ascii="Times New Roman" w:eastAsia="Times New Roman" w:hAnsi="Times New Roman"/>
          <w:smallCaps/>
          <w:sz w:val="17"/>
          <w:szCs w:val="20"/>
        </w:rPr>
        <w:t>Prof Gavin Begg</w:t>
      </w:r>
    </w:p>
    <w:p w:rsidR="00381816" w:rsidRPr="00381816" w:rsidRDefault="00381816" w:rsidP="00381816">
      <w:pPr>
        <w:spacing w:after="0" w:line="240" w:lineRule="auto"/>
        <w:jc w:val="right"/>
        <w:rPr>
          <w:rFonts w:ascii="Times New Roman" w:eastAsia="Times New Roman" w:hAnsi="Times New Roman"/>
          <w:sz w:val="17"/>
          <w:szCs w:val="17"/>
        </w:rPr>
      </w:pPr>
      <w:r w:rsidRPr="00381816">
        <w:rPr>
          <w:rFonts w:ascii="Times New Roman" w:eastAsia="Times New Roman" w:hAnsi="Times New Roman"/>
          <w:sz w:val="17"/>
          <w:szCs w:val="17"/>
        </w:rPr>
        <w:t>Executive Director</w:t>
      </w:r>
    </w:p>
    <w:p w:rsidR="00381816" w:rsidRPr="00381816" w:rsidRDefault="00381816" w:rsidP="00381816">
      <w:pPr>
        <w:spacing w:after="0" w:line="240" w:lineRule="auto"/>
        <w:jc w:val="right"/>
        <w:rPr>
          <w:rFonts w:ascii="Times New Roman" w:eastAsia="Times New Roman" w:hAnsi="Times New Roman"/>
          <w:sz w:val="17"/>
          <w:szCs w:val="17"/>
        </w:rPr>
      </w:pPr>
      <w:r w:rsidRPr="00381816">
        <w:rPr>
          <w:rFonts w:ascii="Times New Roman" w:eastAsia="Times New Roman" w:hAnsi="Times New Roman"/>
          <w:sz w:val="17"/>
          <w:szCs w:val="17"/>
        </w:rPr>
        <w:t>Fisheries and Aquaculture</w:t>
      </w:r>
    </w:p>
    <w:p w:rsidR="00381816" w:rsidRPr="00381816" w:rsidRDefault="00381816" w:rsidP="00381816">
      <w:pPr>
        <w:spacing w:after="0" w:line="240" w:lineRule="auto"/>
        <w:jc w:val="right"/>
        <w:rPr>
          <w:rFonts w:ascii="Times New Roman" w:eastAsia="Times New Roman" w:hAnsi="Times New Roman"/>
          <w:sz w:val="17"/>
          <w:szCs w:val="17"/>
        </w:rPr>
      </w:pPr>
      <w:r w:rsidRPr="00381816">
        <w:rPr>
          <w:rFonts w:ascii="Times New Roman" w:eastAsia="Times New Roman" w:hAnsi="Times New Roman"/>
          <w:sz w:val="17"/>
          <w:szCs w:val="17"/>
        </w:rPr>
        <w:t>Delegate of the Minister for Primary Industries and Regional Development</w:t>
      </w:r>
    </w:p>
    <w:p w:rsidR="00381816" w:rsidRPr="00381816" w:rsidRDefault="00381816" w:rsidP="00381816">
      <w:pPr>
        <w:pBdr>
          <w:top w:val="single" w:sz="4" w:space="1" w:color="auto"/>
        </w:pBdr>
        <w:spacing w:before="100" w:after="0" w:line="14" w:lineRule="exact"/>
        <w:jc w:val="center"/>
        <w:rPr>
          <w:rFonts w:ascii="Times New Roman" w:eastAsia="Times New Roman" w:hAnsi="Times New Roman"/>
          <w:sz w:val="17"/>
          <w:szCs w:val="17"/>
        </w:rPr>
      </w:pPr>
    </w:p>
    <w:p w:rsidR="00381816" w:rsidRDefault="00381816" w:rsidP="00E724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381816" w:rsidRPr="00381816" w:rsidRDefault="00381816" w:rsidP="00381816">
      <w:pPr>
        <w:jc w:val="center"/>
        <w:rPr>
          <w:rFonts w:ascii="Times New Roman" w:hAnsi="Times New Roman"/>
          <w:caps/>
          <w:sz w:val="17"/>
          <w:szCs w:val="17"/>
        </w:rPr>
      </w:pPr>
      <w:r w:rsidRPr="00381816">
        <w:rPr>
          <w:rFonts w:ascii="Times New Roman" w:hAnsi="Times New Roman"/>
          <w:caps/>
          <w:sz w:val="17"/>
          <w:szCs w:val="17"/>
        </w:rPr>
        <w:t>Fisheries Management Act 2007</w:t>
      </w:r>
    </w:p>
    <w:p w:rsidR="00381816" w:rsidRPr="00381816" w:rsidRDefault="00381816" w:rsidP="00381816">
      <w:pPr>
        <w:jc w:val="center"/>
        <w:rPr>
          <w:rFonts w:ascii="Times New Roman" w:hAnsi="Times New Roman"/>
          <w:smallCaps/>
          <w:sz w:val="17"/>
          <w:szCs w:val="17"/>
        </w:rPr>
      </w:pPr>
      <w:r w:rsidRPr="00381816">
        <w:rPr>
          <w:rFonts w:ascii="Times New Roman" w:hAnsi="Times New Roman"/>
          <w:smallCaps/>
          <w:sz w:val="17"/>
          <w:szCs w:val="17"/>
        </w:rPr>
        <w:t>Section 79</w:t>
      </w:r>
    </w:p>
    <w:p w:rsidR="00381816" w:rsidRPr="00381816" w:rsidRDefault="00381816" w:rsidP="00381816">
      <w:pPr>
        <w:jc w:val="center"/>
        <w:rPr>
          <w:rFonts w:ascii="Times New Roman" w:hAnsi="Times New Roman"/>
          <w:i/>
          <w:sz w:val="17"/>
          <w:szCs w:val="17"/>
        </w:rPr>
      </w:pPr>
      <w:r w:rsidRPr="00381816">
        <w:rPr>
          <w:rFonts w:ascii="Times New Roman" w:hAnsi="Times New Roman"/>
          <w:i/>
          <w:sz w:val="17"/>
          <w:szCs w:val="17"/>
        </w:rPr>
        <w:t>Temporary Fishing Closure at Glenelg and O’Sullivan Beach Oyster Reefs</w:t>
      </w:r>
    </w:p>
    <w:p w:rsidR="00381816" w:rsidRPr="00381816" w:rsidRDefault="00381816" w:rsidP="00381816">
      <w:pPr>
        <w:rPr>
          <w:rFonts w:ascii="Times New Roman" w:eastAsia="Times New Roman" w:hAnsi="Times New Roman"/>
          <w:sz w:val="17"/>
          <w:szCs w:val="17"/>
        </w:rPr>
      </w:pPr>
      <w:r w:rsidRPr="00381816">
        <w:rPr>
          <w:rFonts w:ascii="Times New Roman" w:eastAsia="Times New Roman" w:hAnsi="Times New Roman"/>
          <w:sz w:val="17"/>
          <w:szCs w:val="17"/>
        </w:rPr>
        <w:t xml:space="preserve">TAKE NOTICE that, pursuant to section 79 of the </w:t>
      </w:r>
      <w:r w:rsidRPr="00381816">
        <w:rPr>
          <w:rFonts w:ascii="Times New Roman" w:eastAsia="Times New Roman" w:hAnsi="Times New Roman"/>
          <w:i/>
          <w:sz w:val="17"/>
          <w:szCs w:val="17"/>
        </w:rPr>
        <w:t>Fisheries Management Act 2007</w:t>
      </w:r>
      <w:r w:rsidRPr="00381816">
        <w:rPr>
          <w:rFonts w:ascii="Times New Roman" w:eastAsia="Times New Roman" w:hAnsi="Times New Roman"/>
          <w:iCs/>
          <w:sz w:val="17"/>
          <w:szCs w:val="17"/>
        </w:rPr>
        <w:t xml:space="preserve"> and at the request of the Minister responsible for the </w:t>
      </w:r>
      <w:r w:rsidRPr="00381816">
        <w:rPr>
          <w:rFonts w:ascii="Times New Roman" w:eastAsia="Times New Roman" w:hAnsi="Times New Roman"/>
          <w:i/>
          <w:sz w:val="17"/>
          <w:szCs w:val="17"/>
        </w:rPr>
        <w:t>Marine Parks Act 2007</w:t>
      </w:r>
      <w:r w:rsidRPr="00381816">
        <w:rPr>
          <w:rFonts w:ascii="Times New Roman" w:eastAsia="Times New Roman" w:hAnsi="Times New Roman"/>
          <w:sz w:val="17"/>
          <w:szCs w:val="17"/>
        </w:rPr>
        <w:t>, it will be unlawful for any person to engage in the class of fishing activity specified in Schedule 1 in the area specified in Schedule 2 during the period specified in Schedule 3.</w:t>
      </w:r>
    </w:p>
    <w:p w:rsidR="00381816" w:rsidRPr="00381816" w:rsidRDefault="00381816" w:rsidP="00381816">
      <w:pPr>
        <w:jc w:val="center"/>
        <w:rPr>
          <w:rFonts w:ascii="Times New Roman" w:hAnsi="Times New Roman"/>
          <w:smallCaps/>
          <w:sz w:val="17"/>
          <w:szCs w:val="17"/>
        </w:rPr>
      </w:pPr>
      <w:r w:rsidRPr="00381816">
        <w:rPr>
          <w:rFonts w:ascii="Times New Roman" w:hAnsi="Times New Roman"/>
          <w:smallCaps/>
          <w:sz w:val="17"/>
          <w:szCs w:val="17"/>
        </w:rPr>
        <w:t>Schedule 1</w:t>
      </w:r>
    </w:p>
    <w:p w:rsidR="00381816" w:rsidRPr="00381816" w:rsidRDefault="00381816" w:rsidP="00381816">
      <w:pPr>
        <w:rPr>
          <w:rFonts w:ascii="Times New Roman" w:eastAsia="Times New Roman" w:hAnsi="Times New Roman"/>
          <w:sz w:val="17"/>
          <w:szCs w:val="17"/>
        </w:rPr>
      </w:pPr>
      <w:r w:rsidRPr="00381816">
        <w:rPr>
          <w:rFonts w:ascii="Times New Roman" w:eastAsia="Times New Roman" w:hAnsi="Times New Roman"/>
          <w:sz w:val="17"/>
          <w:szCs w:val="17"/>
        </w:rPr>
        <w:t>Engaging in a fishing activity including any act preparatory to the taking of any aquatic resources.</w:t>
      </w:r>
    </w:p>
    <w:p w:rsidR="00381816" w:rsidRPr="00381816" w:rsidRDefault="00381816" w:rsidP="00381816">
      <w:pPr>
        <w:jc w:val="center"/>
        <w:rPr>
          <w:rFonts w:ascii="Times New Roman" w:hAnsi="Times New Roman"/>
          <w:smallCaps/>
          <w:sz w:val="17"/>
          <w:szCs w:val="17"/>
        </w:rPr>
      </w:pPr>
      <w:r w:rsidRPr="00381816">
        <w:rPr>
          <w:rFonts w:ascii="Times New Roman" w:hAnsi="Times New Roman"/>
          <w:smallCaps/>
          <w:sz w:val="17"/>
          <w:szCs w:val="17"/>
        </w:rPr>
        <w:t>Schedule 2</w:t>
      </w:r>
    </w:p>
    <w:p w:rsidR="00381816" w:rsidRPr="00381816" w:rsidRDefault="00381816" w:rsidP="00381816">
      <w:pPr>
        <w:rPr>
          <w:rFonts w:ascii="Times New Roman" w:eastAsia="Times New Roman" w:hAnsi="Times New Roman"/>
          <w:sz w:val="17"/>
          <w:szCs w:val="17"/>
        </w:rPr>
      </w:pPr>
      <w:r w:rsidRPr="00381816">
        <w:rPr>
          <w:rFonts w:ascii="Times New Roman" w:eastAsia="Times New Roman" w:hAnsi="Times New Roman"/>
          <w:sz w:val="17"/>
          <w:szCs w:val="17"/>
        </w:rPr>
        <w:t>The waters of Gulf St Vincent near Glenelg contained within and bounded by a line inside the following navigation points:</w:t>
      </w:r>
    </w:p>
    <w:p w:rsidR="00381816" w:rsidRPr="00381816" w:rsidRDefault="00381816" w:rsidP="00381816">
      <w:pPr>
        <w:numPr>
          <w:ilvl w:val="0"/>
          <w:numId w:val="83"/>
        </w:numPr>
        <w:spacing w:after="0"/>
        <w:rPr>
          <w:rFonts w:ascii="Times New Roman" w:eastAsia="Times New Roman" w:hAnsi="Times New Roman"/>
          <w:sz w:val="17"/>
          <w:szCs w:val="17"/>
        </w:rPr>
      </w:pPr>
      <w:r w:rsidRPr="00381816">
        <w:rPr>
          <w:rFonts w:ascii="Times New Roman" w:eastAsia="Times New Roman" w:hAnsi="Times New Roman"/>
          <w:sz w:val="17"/>
          <w:szCs w:val="17"/>
        </w:rPr>
        <w:t xml:space="preserve">34˚58.313′ South, 138°29.787′ East </w:t>
      </w:r>
    </w:p>
    <w:p w:rsidR="00381816" w:rsidRPr="00381816" w:rsidRDefault="00381816" w:rsidP="00381816">
      <w:pPr>
        <w:numPr>
          <w:ilvl w:val="0"/>
          <w:numId w:val="83"/>
        </w:numPr>
        <w:spacing w:after="0"/>
        <w:rPr>
          <w:rFonts w:ascii="Times New Roman" w:eastAsia="Times New Roman" w:hAnsi="Times New Roman"/>
          <w:sz w:val="17"/>
          <w:szCs w:val="17"/>
        </w:rPr>
      </w:pPr>
      <w:r w:rsidRPr="00381816">
        <w:rPr>
          <w:rFonts w:ascii="Times New Roman" w:eastAsia="Times New Roman" w:hAnsi="Times New Roman"/>
          <w:sz w:val="17"/>
          <w:szCs w:val="17"/>
        </w:rPr>
        <w:t>34˚58.313′ South, 138°29.955′ East</w:t>
      </w:r>
    </w:p>
    <w:p w:rsidR="00381816" w:rsidRPr="00381816" w:rsidRDefault="00381816" w:rsidP="00381816">
      <w:pPr>
        <w:numPr>
          <w:ilvl w:val="0"/>
          <w:numId w:val="83"/>
        </w:numPr>
        <w:spacing w:after="0"/>
        <w:rPr>
          <w:rFonts w:ascii="Times New Roman" w:eastAsia="Times New Roman" w:hAnsi="Times New Roman"/>
          <w:sz w:val="17"/>
          <w:szCs w:val="17"/>
        </w:rPr>
      </w:pPr>
      <w:r w:rsidRPr="00381816">
        <w:rPr>
          <w:rFonts w:ascii="Times New Roman" w:eastAsia="Times New Roman" w:hAnsi="Times New Roman"/>
          <w:sz w:val="17"/>
          <w:szCs w:val="17"/>
        </w:rPr>
        <w:t>34˚58.421′ South, 138°29.787′ East</w:t>
      </w:r>
    </w:p>
    <w:p w:rsidR="00381816" w:rsidRPr="00381816" w:rsidRDefault="00381816" w:rsidP="00381816">
      <w:pPr>
        <w:numPr>
          <w:ilvl w:val="0"/>
          <w:numId w:val="83"/>
        </w:numPr>
        <w:rPr>
          <w:rFonts w:ascii="Times New Roman" w:eastAsia="Times New Roman" w:hAnsi="Times New Roman"/>
          <w:sz w:val="17"/>
          <w:szCs w:val="17"/>
        </w:rPr>
      </w:pPr>
      <w:r w:rsidRPr="00381816">
        <w:rPr>
          <w:rFonts w:ascii="Times New Roman" w:eastAsia="Times New Roman" w:hAnsi="Times New Roman"/>
          <w:sz w:val="17"/>
          <w:szCs w:val="17"/>
        </w:rPr>
        <w:t>34˚58.421′ South, 138°29.955′ East</w:t>
      </w:r>
    </w:p>
    <w:p w:rsidR="00381816" w:rsidRPr="00381816" w:rsidRDefault="00381816" w:rsidP="00381816">
      <w:pPr>
        <w:rPr>
          <w:rFonts w:ascii="Times New Roman" w:eastAsia="Times New Roman" w:hAnsi="Times New Roman"/>
          <w:sz w:val="17"/>
          <w:szCs w:val="17"/>
        </w:rPr>
      </w:pPr>
      <w:r w:rsidRPr="00381816">
        <w:rPr>
          <w:rFonts w:ascii="Times New Roman" w:eastAsia="Times New Roman" w:hAnsi="Times New Roman"/>
          <w:sz w:val="17"/>
          <w:szCs w:val="17"/>
        </w:rPr>
        <w:t>The waters of Gulf St Vincent near O’Sullivan Beach contained within and bounded by a line inside the following navigation points:</w:t>
      </w:r>
    </w:p>
    <w:p w:rsidR="00381816" w:rsidRPr="00381816" w:rsidRDefault="00381816" w:rsidP="00381816">
      <w:pPr>
        <w:numPr>
          <w:ilvl w:val="0"/>
          <w:numId w:val="83"/>
        </w:numPr>
        <w:spacing w:after="0"/>
        <w:rPr>
          <w:rFonts w:ascii="Times New Roman" w:eastAsia="Times New Roman" w:hAnsi="Times New Roman"/>
          <w:sz w:val="17"/>
          <w:szCs w:val="17"/>
        </w:rPr>
      </w:pPr>
      <w:r w:rsidRPr="00381816">
        <w:rPr>
          <w:rFonts w:ascii="Times New Roman" w:eastAsia="Times New Roman" w:hAnsi="Times New Roman"/>
          <w:sz w:val="17"/>
          <w:szCs w:val="17"/>
        </w:rPr>
        <w:t>35°7'42.93 South, 138°27'33.801 East</w:t>
      </w:r>
    </w:p>
    <w:p w:rsidR="00381816" w:rsidRPr="00381816" w:rsidRDefault="00381816" w:rsidP="00381816">
      <w:pPr>
        <w:numPr>
          <w:ilvl w:val="0"/>
          <w:numId w:val="83"/>
        </w:numPr>
        <w:spacing w:after="0"/>
        <w:rPr>
          <w:rFonts w:ascii="Times New Roman" w:eastAsia="Times New Roman" w:hAnsi="Times New Roman"/>
          <w:sz w:val="17"/>
          <w:szCs w:val="17"/>
        </w:rPr>
      </w:pPr>
      <w:r w:rsidRPr="00381816">
        <w:rPr>
          <w:rFonts w:ascii="Times New Roman" w:eastAsia="Times New Roman" w:hAnsi="Times New Roman"/>
          <w:sz w:val="17"/>
          <w:szCs w:val="17"/>
        </w:rPr>
        <w:t>35°7'42.93 South, 138°27'43.758 East</w:t>
      </w:r>
    </w:p>
    <w:p w:rsidR="00381816" w:rsidRPr="00381816" w:rsidRDefault="00381816" w:rsidP="00381816">
      <w:pPr>
        <w:numPr>
          <w:ilvl w:val="0"/>
          <w:numId w:val="83"/>
        </w:numPr>
        <w:spacing w:after="0"/>
        <w:rPr>
          <w:rFonts w:ascii="Times New Roman" w:eastAsia="Times New Roman" w:hAnsi="Times New Roman"/>
          <w:sz w:val="17"/>
          <w:szCs w:val="17"/>
        </w:rPr>
      </w:pPr>
      <w:r w:rsidRPr="00381816">
        <w:rPr>
          <w:rFonts w:ascii="Times New Roman" w:eastAsia="Times New Roman" w:hAnsi="Times New Roman"/>
          <w:sz w:val="17"/>
          <w:szCs w:val="17"/>
        </w:rPr>
        <w:t>35°7'49.394 South, 138°27'33.801 East</w:t>
      </w:r>
    </w:p>
    <w:p w:rsidR="007A17F1" w:rsidRPr="007A17F1" w:rsidRDefault="00381816" w:rsidP="007A17F1">
      <w:pPr>
        <w:numPr>
          <w:ilvl w:val="0"/>
          <w:numId w:val="83"/>
        </w:numPr>
        <w:spacing w:after="0"/>
        <w:rPr>
          <w:rFonts w:ascii="Times New Roman" w:eastAsia="Times New Roman" w:hAnsi="Times New Roman"/>
          <w:sz w:val="17"/>
          <w:szCs w:val="17"/>
        </w:rPr>
      </w:pPr>
      <w:r w:rsidRPr="00381816">
        <w:rPr>
          <w:rFonts w:ascii="Times New Roman" w:eastAsia="Times New Roman" w:hAnsi="Times New Roman"/>
          <w:sz w:val="17"/>
          <w:szCs w:val="17"/>
        </w:rPr>
        <w:t>35°7'49.394 South, 138°27'43.758 East</w:t>
      </w:r>
      <w:r w:rsidR="007A17F1" w:rsidRPr="007A17F1">
        <w:rPr>
          <w:rFonts w:ascii="Times New Roman" w:hAnsi="Times New Roman"/>
          <w:smallCaps/>
          <w:sz w:val="17"/>
          <w:szCs w:val="17"/>
        </w:rPr>
        <w:br w:type="page"/>
      </w:r>
    </w:p>
    <w:p w:rsidR="00381816" w:rsidRPr="00381816" w:rsidRDefault="00381816" w:rsidP="00381816">
      <w:pPr>
        <w:jc w:val="center"/>
        <w:rPr>
          <w:rFonts w:ascii="Times New Roman" w:hAnsi="Times New Roman"/>
          <w:smallCaps/>
          <w:sz w:val="17"/>
          <w:szCs w:val="17"/>
        </w:rPr>
      </w:pPr>
      <w:r w:rsidRPr="00381816">
        <w:rPr>
          <w:rFonts w:ascii="Times New Roman" w:hAnsi="Times New Roman"/>
          <w:smallCaps/>
          <w:sz w:val="17"/>
          <w:szCs w:val="17"/>
        </w:rPr>
        <w:lastRenderedPageBreak/>
        <w:t>Schedule 3</w:t>
      </w:r>
    </w:p>
    <w:p w:rsidR="00381816" w:rsidRPr="00381816" w:rsidRDefault="00381816" w:rsidP="00381816">
      <w:pPr>
        <w:rPr>
          <w:rFonts w:ascii="Times New Roman" w:eastAsia="Times New Roman" w:hAnsi="Times New Roman"/>
          <w:bCs/>
          <w:sz w:val="17"/>
          <w:szCs w:val="17"/>
        </w:rPr>
      </w:pPr>
      <w:r w:rsidRPr="00381816">
        <w:rPr>
          <w:rFonts w:ascii="Times New Roman" w:eastAsia="Times New Roman" w:hAnsi="Times New Roman"/>
          <w:sz w:val="17"/>
          <w:szCs w:val="17"/>
        </w:rPr>
        <w:t>From 00:01 hrs on 1 January 2022 until 23:59 hrs on 31 December 2022.</w:t>
      </w:r>
    </w:p>
    <w:p w:rsidR="00381816" w:rsidRPr="00381816" w:rsidRDefault="00381816" w:rsidP="00381816">
      <w:pPr>
        <w:rPr>
          <w:rFonts w:ascii="Times New Roman" w:eastAsia="Times New Roman" w:hAnsi="Times New Roman"/>
          <w:sz w:val="17"/>
          <w:szCs w:val="17"/>
        </w:rPr>
      </w:pPr>
      <w:r w:rsidRPr="00381816">
        <w:rPr>
          <w:rFonts w:ascii="Times New Roman" w:eastAsia="Times New Roman" w:hAnsi="Times New Roman"/>
          <w:sz w:val="17"/>
          <w:szCs w:val="17"/>
        </w:rPr>
        <w:t xml:space="preserve">For the purpose of this notice all lines are geodesics and coordinates are expressed in terms of the Geocentric Datum of Australia 2020 (GDA2020). GDA2020 has the same meaning as in the </w:t>
      </w:r>
      <w:r w:rsidRPr="00381816">
        <w:rPr>
          <w:rFonts w:ascii="Times New Roman" w:eastAsia="Times New Roman" w:hAnsi="Times New Roman"/>
          <w:i/>
          <w:iCs/>
          <w:sz w:val="17"/>
          <w:szCs w:val="17"/>
        </w:rPr>
        <w:t>National Measurement (Recognized-Value Standard of Measurement of Position) Determination 2017</w:t>
      </w:r>
      <w:r w:rsidRPr="00381816">
        <w:rPr>
          <w:rFonts w:ascii="Times New Roman" w:eastAsia="Times New Roman" w:hAnsi="Times New Roman"/>
          <w:sz w:val="17"/>
          <w:szCs w:val="17"/>
        </w:rPr>
        <w:t xml:space="preserve"> made under section 8A of the </w:t>
      </w:r>
      <w:r w:rsidRPr="00381816">
        <w:rPr>
          <w:rFonts w:ascii="Times New Roman" w:eastAsia="Times New Roman" w:hAnsi="Times New Roman"/>
          <w:i/>
          <w:iCs/>
          <w:sz w:val="17"/>
          <w:szCs w:val="17"/>
        </w:rPr>
        <w:t>National Measurement Act 1960</w:t>
      </w:r>
      <w:r w:rsidRPr="00381816">
        <w:rPr>
          <w:rFonts w:ascii="Times New Roman" w:eastAsia="Times New Roman" w:hAnsi="Times New Roman"/>
          <w:sz w:val="17"/>
          <w:szCs w:val="17"/>
        </w:rPr>
        <w:t xml:space="preserve"> of the Commonwealth. </w:t>
      </w:r>
    </w:p>
    <w:p w:rsidR="00381816" w:rsidRPr="00381816" w:rsidRDefault="00381816" w:rsidP="00381816">
      <w:pPr>
        <w:spacing w:after="0"/>
        <w:rPr>
          <w:rFonts w:ascii="Times New Roman" w:eastAsia="Times New Roman" w:hAnsi="Times New Roman"/>
          <w:sz w:val="17"/>
          <w:szCs w:val="17"/>
        </w:rPr>
      </w:pPr>
      <w:r w:rsidRPr="00381816">
        <w:rPr>
          <w:rFonts w:ascii="Times New Roman" w:eastAsia="Times New Roman" w:hAnsi="Times New Roman"/>
          <w:sz w:val="17"/>
          <w:szCs w:val="17"/>
        </w:rPr>
        <w:t>Dated: 20 December 2021</w:t>
      </w:r>
    </w:p>
    <w:p w:rsidR="00381816" w:rsidRPr="00381816" w:rsidRDefault="00381816" w:rsidP="00381816">
      <w:pPr>
        <w:spacing w:after="0"/>
        <w:jc w:val="right"/>
        <w:rPr>
          <w:rFonts w:ascii="Times New Roman" w:eastAsia="Times New Roman" w:hAnsi="Times New Roman"/>
          <w:smallCaps/>
          <w:sz w:val="17"/>
          <w:szCs w:val="20"/>
        </w:rPr>
      </w:pPr>
      <w:r w:rsidRPr="00381816">
        <w:rPr>
          <w:rFonts w:ascii="Times New Roman" w:eastAsia="Times New Roman" w:hAnsi="Times New Roman"/>
          <w:smallCaps/>
          <w:noProof/>
          <w:sz w:val="17"/>
          <w:szCs w:val="17"/>
          <w:lang w:eastAsia="en-AU"/>
        </w:rPr>
        <w:drawing>
          <wp:inline distT="0" distB="0" distL="0" distR="0" wp14:anchorId="2E434469" wp14:editId="65A42DE2">
            <wp:extent cx="1041400" cy="771525"/>
            <wp:effectExtent l="0" t="0" r="6350" b="9525"/>
            <wp:docPr id="9" name="Picture 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41400" cy="771525"/>
                    </a:xfrm>
                    <a:prstGeom prst="rect">
                      <a:avLst/>
                    </a:prstGeom>
                    <a:noFill/>
                    <a:ln>
                      <a:noFill/>
                    </a:ln>
                  </pic:spPr>
                </pic:pic>
              </a:graphicData>
            </a:graphic>
          </wp:inline>
        </w:drawing>
      </w:r>
      <w:r w:rsidRPr="00381816">
        <w:rPr>
          <w:rFonts w:ascii="Times New Roman" w:eastAsia="Times New Roman" w:hAnsi="Times New Roman"/>
          <w:smallCaps/>
          <w:sz w:val="17"/>
          <w:szCs w:val="20"/>
        </w:rPr>
        <w:t>Prof. Gavin Begg</w:t>
      </w:r>
    </w:p>
    <w:p w:rsidR="00381816" w:rsidRPr="00381816" w:rsidRDefault="00381816" w:rsidP="00381816">
      <w:pPr>
        <w:spacing w:after="0" w:line="240" w:lineRule="auto"/>
        <w:jc w:val="right"/>
        <w:rPr>
          <w:rFonts w:ascii="Times New Roman" w:eastAsia="Times New Roman" w:hAnsi="Times New Roman"/>
          <w:sz w:val="17"/>
          <w:szCs w:val="17"/>
        </w:rPr>
      </w:pPr>
      <w:r w:rsidRPr="00381816">
        <w:rPr>
          <w:rFonts w:ascii="Times New Roman" w:eastAsia="Times New Roman" w:hAnsi="Times New Roman"/>
          <w:sz w:val="17"/>
          <w:szCs w:val="17"/>
        </w:rPr>
        <w:t>Executive Director</w:t>
      </w:r>
    </w:p>
    <w:p w:rsidR="00381816" w:rsidRDefault="00381816" w:rsidP="006811DE">
      <w:pPr>
        <w:spacing w:after="0" w:line="240" w:lineRule="auto"/>
        <w:jc w:val="right"/>
        <w:rPr>
          <w:rFonts w:ascii="Times New Roman" w:eastAsia="Times New Roman" w:hAnsi="Times New Roman"/>
          <w:sz w:val="17"/>
          <w:szCs w:val="17"/>
        </w:rPr>
      </w:pPr>
      <w:r w:rsidRPr="00381816">
        <w:rPr>
          <w:rFonts w:ascii="Times New Roman" w:eastAsia="Times New Roman" w:hAnsi="Times New Roman"/>
          <w:sz w:val="17"/>
          <w:szCs w:val="17"/>
        </w:rPr>
        <w:t>Fisheries a</w:t>
      </w:r>
      <w:r>
        <w:rPr>
          <w:rFonts w:ascii="Times New Roman" w:eastAsia="Times New Roman" w:hAnsi="Times New Roman"/>
          <w:sz w:val="17"/>
          <w:szCs w:val="17"/>
        </w:rPr>
        <w:t>nd Aquaculture</w:t>
      </w:r>
    </w:p>
    <w:p w:rsidR="006811DE" w:rsidRDefault="006811DE" w:rsidP="006811DE">
      <w:pPr>
        <w:pBdr>
          <w:top w:val="single" w:sz="4" w:space="1" w:color="auto"/>
        </w:pBdr>
        <w:spacing w:before="100" w:after="0" w:line="14" w:lineRule="exact"/>
        <w:jc w:val="center"/>
        <w:rPr>
          <w:rFonts w:ascii="Times New Roman" w:eastAsia="Times New Roman" w:hAnsi="Times New Roman"/>
          <w:sz w:val="17"/>
          <w:szCs w:val="20"/>
        </w:rPr>
      </w:pPr>
    </w:p>
    <w:p w:rsidR="006811DE" w:rsidRDefault="006811DE" w:rsidP="006811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E724E4" w:rsidRPr="00BB3741" w:rsidRDefault="00E724E4" w:rsidP="00E724E4">
      <w:pPr>
        <w:jc w:val="center"/>
        <w:rPr>
          <w:rFonts w:ascii="Times New Roman" w:hAnsi="Times New Roman"/>
          <w:caps/>
          <w:sz w:val="17"/>
          <w:szCs w:val="17"/>
        </w:rPr>
      </w:pPr>
      <w:r w:rsidRPr="00BB3741">
        <w:rPr>
          <w:rFonts w:ascii="Times New Roman" w:hAnsi="Times New Roman"/>
          <w:caps/>
          <w:sz w:val="17"/>
          <w:szCs w:val="17"/>
        </w:rPr>
        <w:t>Fisheries Management Act 2007</w:t>
      </w:r>
    </w:p>
    <w:p w:rsidR="00E724E4" w:rsidRPr="00BB3741" w:rsidRDefault="00E724E4" w:rsidP="00E724E4">
      <w:pPr>
        <w:jc w:val="center"/>
        <w:rPr>
          <w:rFonts w:ascii="Times New Roman" w:eastAsia="Times New Roman" w:hAnsi="Times New Roman"/>
          <w:smallCaps/>
          <w:sz w:val="17"/>
          <w:szCs w:val="17"/>
        </w:rPr>
      </w:pPr>
      <w:r w:rsidRPr="00BB3741">
        <w:rPr>
          <w:rFonts w:ascii="Times New Roman" w:hAnsi="Times New Roman"/>
          <w:smallCaps/>
          <w:sz w:val="17"/>
          <w:szCs w:val="17"/>
        </w:rPr>
        <w:t>Section 115</w:t>
      </w:r>
    </w:p>
    <w:p w:rsidR="00E724E4" w:rsidRPr="00BB3741" w:rsidRDefault="00E724E4" w:rsidP="00E724E4">
      <w:pPr>
        <w:jc w:val="center"/>
        <w:rPr>
          <w:rFonts w:ascii="Times New Roman" w:hAnsi="Times New Roman"/>
          <w:i/>
          <w:sz w:val="17"/>
          <w:szCs w:val="17"/>
        </w:rPr>
      </w:pPr>
      <w:r w:rsidRPr="00BB3741">
        <w:rPr>
          <w:rFonts w:ascii="Times New Roman" w:hAnsi="Times New Roman"/>
          <w:i/>
          <w:sz w:val="17"/>
          <w:szCs w:val="17"/>
        </w:rPr>
        <w:t>Ministerial Exemption Number: ME9903109</w:t>
      </w:r>
      <w:r w:rsidRPr="00BB3741">
        <w:rPr>
          <w:rFonts w:ascii="Times New Roman" w:hAnsi="Times New Roman"/>
          <w:i/>
          <w:sz w:val="17"/>
          <w:szCs w:val="17"/>
        </w:rPr>
        <w:br/>
        <w:t>Variation—Wrasse Upper Size Limit</w:t>
      </w:r>
    </w:p>
    <w:p w:rsidR="00E724E4" w:rsidRPr="00BB3741" w:rsidRDefault="00E724E4" w:rsidP="00E724E4">
      <w:pPr>
        <w:spacing w:after="0"/>
        <w:rPr>
          <w:rFonts w:ascii="Times New Roman" w:eastAsia="Times New Roman" w:hAnsi="Times New Roman"/>
          <w:sz w:val="17"/>
          <w:szCs w:val="17"/>
        </w:rPr>
      </w:pPr>
      <w:r w:rsidRPr="00BB3741">
        <w:rPr>
          <w:rFonts w:ascii="Times New Roman" w:eastAsia="Times New Roman" w:hAnsi="Times New Roman"/>
          <w:sz w:val="17"/>
          <w:szCs w:val="17"/>
        </w:rPr>
        <w:t xml:space="preserve">TAKE NOTE that the Ministerial exemption notice number ME9903109 made under section 115 of the </w:t>
      </w:r>
      <w:r w:rsidRPr="00BB3741">
        <w:rPr>
          <w:rFonts w:ascii="Times New Roman" w:eastAsia="Times New Roman" w:hAnsi="Times New Roman"/>
          <w:i/>
          <w:iCs/>
          <w:sz w:val="17"/>
          <w:szCs w:val="17"/>
        </w:rPr>
        <w:t>Fisheries Management Act 2007</w:t>
      </w:r>
      <w:r w:rsidRPr="00BB3741">
        <w:rPr>
          <w:rFonts w:ascii="Times New Roman" w:eastAsia="Times New Roman" w:hAnsi="Times New Roman"/>
          <w:sz w:val="17"/>
          <w:szCs w:val="17"/>
        </w:rPr>
        <w:t xml:space="preserve">, dated 13 April 2021, and published in the </w:t>
      </w:r>
      <w:r w:rsidRPr="00BB3741">
        <w:rPr>
          <w:rFonts w:ascii="Times New Roman" w:eastAsia="Times New Roman" w:hAnsi="Times New Roman"/>
          <w:i/>
          <w:iCs/>
          <w:sz w:val="17"/>
          <w:szCs w:val="17"/>
        </w:rPr>
        <w:t xml:space="preserve">South Australian Gazette </w:t>
      </w:r>
      <w:r w:rsidRPr="00BB3741">
        <w:rPr>
          <w:rFonts w:ascii="Times New Roman" w:eastAsia="Times New Roman" w:hAnsi="Times New Roman"/>
          <w:sz w:val="17"/>
          <w:szCs w:val="17"/>
        </w:rPr>
        <w:t>dated 15 April 2021, on page 1183, being the second notice on that page, referring to the taking of Wrasse species (other than Western Blue Groper) greater than 35cm, is her</w:t>
      </w:r>
      <w:r w:rsidR="008A640A">
        <w:rPr>
          <w:rFonts w:ascii="Times New Roman" w:eastAsia="Times New Roman" w:hAnsi="Times New Roman"/>
          <w:sz w:val="17"/>
          <w:szCs w:val="17"/>
        </w:rPr>
        <w:t>e</w:t>
      </w:r>
      <w:r w:rsidRPr="00BB3741">
        <w:rPr>
          <w:rFonts w:ascii="Times New Roman" w:eastAsia="Times New Roman" w:hAnsi="Times New Roman"/>
          <w:sz w:val="17"/>
          <w:szCs w:val="17"/>
        </w:rPr>
        <w:t xml:space="preserve">by varied such that the holder of a Charter Boat Fishery licence is included in the list of exempt licence holders in the opening paragraph, and Schedule 2 paragraph 2 is deleted, and the following inserted: </w:t>
      </w:r>
    </w:p>
    <w:p w:rsidR="00E724E4" w:rsidRPr="00BB3741" w:rsidRDefault="00E724E4" w:rsidP="00E724E4">
      <w:pPr>
        <w:jc w:val="center"/>
        <w:rPr>
          <w:rFonts w:ascii="Times New Roman" w:hAnsi="Times New Roman"/>
          <w:smallCaps/>
          <w:sz w:val="17"/>
          <w:szCs w:val="17"/>
        </w:rPr>
      </w:pPr>
      <w:r w:rsidRPr="00BB3741">
        <w:rPr>
          <w:rFonts w:ascii="Times New Roman" w:hAnsi="Times New Roman"/>
          <w:smallCaps/>
          <w:sz w:val="17"/>
          <w:szCs w:val="17"/>
        </w:rPr>
        <w:t>Schedule 2</w:t>
      </w:r>
    </w:p>
    <w:p w:rsidR="00E724E4" w:rsidRPr="00BB3741" w:rsidRDefault="00E724E4" w:rsidP="00E724E4">
      <w:pPr>
        <w:numPr>
          <w:ilvl w:val="0"/>
          <w:numId w:val="71"/>
        </w:numPr>
        <w:ind w:left="426"/>
        <w:rPr>
          <w:rFonts w:ascii="Times New Roman" w:eastAsia="Times New Roman" w:hAnsi="Times New Roman"/>
          <w:sz w:val="17"/>
          <w:szCs w:val="17"/>
        </w:rPr>
      </w:pPr>
      <w:r w:rsidRPr="00BB3741">
        <w:rPr>
          <w:rFonts w:ascii="Times New Roman" w:eastAsia="Times New Roman" w:hAnsi="Times New Roman"/>
          <w:sz w:val="17"/>
          <w:szCs w:val="17"/>
        </w:rPr>
        <w:t>The exemption holder must record all Wrasse taken within the terms of this notice in the South Australian Commercial Marine Scalefish Fishery Daily Catch and Effort Logbook or Charter Boat Fishery Daily Catch and Effort Logbook provided by the Department of Primary Industries and Regions and submit the returns to the Department on day 15 of every month.</w:t>
      </w:r>
    </w:p>
    <w:p w:rsidR="00E724E4" w:rsidRPr="00BB3741" w:rsidRDefault="00E724E4" w:rsidP="00E724E4">
      <w:pPr>
        <w:spacing w:after="0"/>
        <w:rPr>
          <w:rFonts w:ascii="Times New Roman" w:eastAsia="Times New Roman" w:hAnsi="Times New Roman"/>
          <w:sz w:val="17"/>
          <w:szCs w:val="17"/>
        </w:rPr>
      </w:pPr>
      <w:r w:rsidRPr="00BB3741">
        <w:rPr>
          <w:rFonts w:ascii="Times New Roman" w:eastAsia="Times New Roman" w:hAnsi="Times New Roman"/>
          <w:sz w:val="17"/>
          <w:szCs w:val="17"/>
        </w:rPr>
        <w:t>Dated: 14 December 2021</w:t>
      </w:r>
    </w:p>
    <w:p w:rsidR="00E724E4" w:rsidRPr="00BB3741" w:rsidRDefault="00E724E4" w:rsidP="00E724E4">
      <w:pPr>
        <w:spacing w:after="0"/>
        <w:jc w:val="right"/>
        <w:rPr>
          <w:rFonts w:ascii="Times New Roman" w:eastAsia="Times New Roman" w:hAnsi="Times New Roman"/>
          <w:smallCaps/>
          <w:sz w:val="17"/>
          <w:szCs w:val="20"/>
          <w:lang w:val="en-GB"/>
        </w:rPr>
      </w:pPr>
      <w:r w:rsidRPr="00BB3741">
        <w:rPr>
          <w:rFonts w:ascii="Times New Roman" w:eastAsia="Times New Roman" w:hAnsi="Times New Roman"/>
          <w:smallCaps/>
          <w:sz w:val="17"/>
          <w:szCs w:val="20"/>
          <w:lang w:val="en-GB"/>
        </w:rPr>
        <w:t>Prof Gavin Begg</w:t>
      </w:r>
    </w:p>
    <w:p w:rsidR="00E724E4" w:rsidRPr="00BB3741" w:rsidRDefault="00E724E4" w:rsidP="00E724E4">
      <w:pPr>
        <w:spacing w:after="0" w:line="240" w:lineRule="auto"/>
        <w:jc w:val="right"/>
        <w:rPr>
          <w:rFonts w:ascii="Times New Roman" w:eastAsia="Times New Roman" w:hAnsi="Times New Roman"/>
          <w:sz w:val="17"/>
          <w:szCs w:val="17"/>
        </w:rPr>
      </w:pPr>
      <w:r w:rsidRPr="00BB3741">
        <w:rPr>
          <w:rFonts w:ascii="Times New Roman" w:eastAsia="Times New Roman" w:hAnsi="Times New Roman"/>
          <w:sz w:val="17"/>
          <w:szCs w:val="17"/>
        </w:rPr>
        <w:t>Executive Director</w:t>
      </w:r>
    </w:p>
    <w:p w:rsidR="00E724E4" w:rsidRPr="00BB3741" w:rsidRDefault="00E724E4" w:rsidP="00E724E4">
      <w:pPr>
        <w:spacing w:after="0" w:line="240" w:lineRule="auto"/>
        <w:jc w:val="right"/>
        <w:rPr>
          <w:rFonts w:ascii="Times New Roman" w:eastAsia="Times New Roman" w:hAnsi="Times New Roman"/>
          <w:sz w:val="17"/>
          <w:szCs w:val="17"/>
        </w:rPr>
      </w:pPr>
      <w:r w:rsidRPr="00BB3741">
        <w:rPr>
          <w:rFonts w:ascii="Times New Roman" w:eastAsia="Times New Roman" w:hAnsi="Times New Roman"/>
          <w:sz w:val="17"/>
          <w:szCs w:val="17"/>
        </w:rPr>
        <w:t>Fisheries and Aquaculture</w:t>
      </w:r>
    </w:p>
    <w:p w:rsidR="00E724E4" w:rsidRPr="00BB3741" w:rsidRDefault="00E724E4" w:rsidP="00E724E4">
      <w:pPr>
        <w:spacing w:after="0" w:line="240" w:lineRule="auto"/>
        <w:jc w:val="right"/>
        <w:rPr>
          <w:rFonts w:ascii="Times New Roman" w:eastAsia="Times New Roman" w:hAnsi="Times New Roman"/>
          <w:sz w:val="17"/>
          <w:szCs w:val="17"/>
        </w:rPr>
      </w:pPr>
      <w:r w:rsidRPr="00BB3741">
        <w:rPr>
          <w:rFonts w:ascii="Times New Roman" w:eastAsia="Times New Roman" w:hAnsi="Times New Roman"/>
          <w:sz w:val="17"/>
          <w:szCs w:val="17"/>
        </w:rPr>
        <w:t>Delegate of the Minister for Primary Industries and Regional Development</w:t>
      </w:r>
    </w:p>
    <w:p w:rsidR="00E724E4" w:rsidRPr="00BB3741" w:rsidRDefault="00E724E4" w:rsidP="00E724E4">
      <w:pPr>
        <w:pBdr>
          <w:top w:val="single" w:sz="4" w:space="1" w:color="auto"/>
        </w:pBdr>
        <w:spacing w:before="100" w:after="0" w:line="14" w:lineRule="exact"/>
        <w:jc w:val="center"/>
        <w:rPr>
          <w:rFonts w:ascii="Times New Roman" w:eastAsia="Times New Roman" w:hAnsi="Times New Roman"/>
          <w:sz w:val="17"/>
          <w:szCs w:val="17"/>
        </w:rPr>
      </w:pPr>
    </w:p>
    <w:p w:rsidR="00E724E4" w:rsidRDefault="00E724E4" w:rsidP="006811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6811DE" w:rsidRPr="00381816" w:rsidRDefault="006811DE" w:rsidP="006811DE">
      <w:pPr>
        <w:jc w:val="center"/>
        <w:rPr>
          <w:rFonts w:ascii="Times New Roman" w:hAnsi="Times New Roman"/>
          <w:caps/>
          <w:sz w:val="17"/>
          <w:szCs w:val="17"/>
          <w:lang w:val="en-GB"/>
        </w:rPr>
      </w:pPr>
      <w:r w:rsidRPr="00381816">
        <w:rPr>
          <w:rFonts w:ascii="Times New Roman" w:hAnsi="Times New Roman"/>
          <w:caps/>
          <w:sz w:val="17"/>
          <w:szCs w:val="17"/>
          <w:lang w:val="en-GB"/>
        </w:rPr>
        <w:t>Fisheries Management Act 2007</w:t>
      </w:r>
    </w:p>
    <w:p w:rsidR="006811DE" w:rsidRPr="00381816" w:rsidRDefault="006811DE" w:rsidP="006811DE">
      <w:pPr>
        <w:jc w:val="center"/>
        <w:rPr>
          <w:rFonts w:ascii="Times New Roman" w:eastAsia="Times New Roman" w:hAnsi="Times New Roman"/>
          <w:smallCaps/>
          <w:sz w:val="17"/>
          <w:szCs w:val="17"/>
          <w:lang w:val="en-GB"/>
        </w:rPr>
      </w:pPr>
      <w:r w:rsidRPr="00381816">
        <w:rPr>
          <w:rFonts w:ascii="Times New Roman" w:hAnsi="Times New Roman"/>
          <w:smallCaps/>
          <w:sz w:val="17"/>
          <w:szCs w:val="17"/>
          <w:lang w:val="en-GB"/>
        </w:rPr>
        <w:t>Section 115</w:t>
      </w:r>
    </w:p>
    <w:p w:rsidR="006811DE" w:rsidRPr="00381816" w:rsidRDefault="006811DE" w:rsidP="006811DE">
      <w:pPr>
        <w:jc w:val="center"/>
        <w:rPr>
          <w:rFonts w:ascii="Times New Roman" w:hAnsi="Times New Roman"/>
          <w:i/>
          <w:sz w:val="17"/>
          <w:szCs w:val="17"/>
          <w:lang w:val="en-GB"/>
        </w:rPr>
      </w:pPr>
      <w:r w:rsidRPr="00381816">
        <w:rPr>
          <w:rFonts w:ascii="Times New Roman" w:hAnsi="Times New Roman"/>
          <w:i/>
          <w:sz w:val="17"/>
          <w:szCs w:val="17"/>
          <w:lang w:val="en-GB"/>
        </w:rPr>
        <w:t>Ministerial Exemption</w:t>
      </w:r>
      <w:r w:rsidRPr="00381816">
        <w:rPr>
          <w:rFonts w:ascii="Times New Roman" w:eastAsia="Times New Roman" w:hAnsi="Times New Roman"/>
          <w:i/>
          <w:sz w:val="17"/>
          <w:szCs w:val="17"/>
          <w:lang w:val="en-GB"/>
        </w:rPr>
        <w:t>: ME9903166</w:t>
      </w:r>
    </w:p>
    <w:p w:rsidR="006811DE" w:rsidRPr="00381816" w:rsidRDefault="006811DE" w:rsidP="006811DE">
      <w:pPr>
        <w:spacing w:after="0"/>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 xml:space="preserve">TAKE NOTICE that pursuant to section 115 of the </w:t>
      </w:r>
      <w:r w:rsidRPr="00381816">
        <w:rPr>
          <w:rFonts w:ascii="Times New Roman" w:eastAsia="Times New Roman" w:hAnsi="Times New Roman"/>
          <w:i/>
          <w:sz w:val="17"/>
          <w:szCs w:val="17"/>
          <w:lang w:val="en-GB"/>
        </w:rPr>
        <w:t>Fisheries Management Act 2007</w:t>
      </w:r>
      <w:r w:rsidRPr="00381816">
        <w:rPr>
          <w:rFonts w:ascii="Times New Roman" w:eastAsia="Times New Roman" w:hAnsi="Times New Roman"/>
          <w:sz w:val="17"/>
          <w:szCs w:val="17"/>
          <w:lang w:val="en-GB"/>
        </w:rPr>
        <w:t xml:space="preserve">, Kate Mason of the Murraylands and Landscape Board, 110A Mannum Road, MURRAY BRIDGE  SA  5253 (the ‘exemption holder’) and her nominated agents, are exempt from section 70 and 71(1) and 71 (2) of the </w:t>
      </w:r>
      <w:r w:rsidRPr="00381816">
        <w:rPr>
          <w:rFonts w:ascii="Times New Roman" w:eastAsia="Times New Roman" w:hAnsi="Times New Roman"/>
          <w:i/>
          <w:sz w:val="17"/>
          <w:szCs w:val="17"/>
          <w:lang w:val="en-GB"/>
        </w:rPr>
        <w:t>Fisheries Management Act 2007</w:t>
      </w:r>
      <w:r w:rsidRPr="00381816">
        <w:rPr>
          <w:rFonts w:ascii="Times New Roman" w:eastAsia="Times New Roman" w:hAnsi="Times New Roman"/>
          <w:sz w:val="17"/>
          <w:szCs w:val="17"/>
          <w:lang w:val="en-GB"/>
        </w:rPr>
        <w:t xml:space="preserve"> and regulation 5 and clauses 40 and 44 of schedule 6 of the </w:t>
      </w:r>
      <w:r w:rsidRPr="00381816">
        <w:rPr>
          <w:rFonts w:ascii="Times New Roman" w:eastAsia="Times New Roman" w:hAnsi="Times New Roman"/>
          <w:i/>
          <w:iCs/>
          <w:sz w:val="17"/>
          <w:szCs w:val="17"/>
          <w:lang w:val="en-GB"/>
        </w:rPr>
        <w:t>Fisheries Management (General) Regulations 2017</w:t>
      </w:r>
      <w:r w:rsidRPr="00381816">
        <w:rPr>
          <w:rFonts w:ascii="Times New Roman" w:eastAsia="Times New Roman" w:hAnsi="Times New Roman"/>
          <w:sz w:val="17"/>
          <w:szCs w:val="17"/>
          <w:lang w:val="en-GB"/>
        </w:rPr>
        <w:t xml:space="preserve"> but only insofar as the exemption holder or her nominated agents may engage in the monitoring and collection of fish populations in the SA River Murray wetlands from the waters described in schedule 1, using the gear specified in schedule 2 (the 'exempted activity'), subject to the conditions set out in schedule 3, from 17 December 2021 until 17 December 2022, unless varied or revoked earlier.</w:t>
      </w:r>
    </w:p>
    <w:p w:rsidR="006811DE" w:rsidRPr="00381816" w:rsidRDefault="006811DE" w:rsidP="006811DE">
      <w:pPr>
        <w:jc w:val="center"/>
        <w:rPr>
          <w:rFonts w:ascii="Times New Roman" w:hAnsi="Times New Roman"/>
          <w:smallCaps/>
          <w:sz w:val="17"/>
          <w:szCs w:val="17"/>
          <w:lang w:val="en-GB"/>
        </w:rPr>
      </w:pPr>
      <w:r w:rsidRPr="00381816">
        <w:rPr>
          <w:rFonts w:ascii="Times New Roman" w:hAnsi="Times New Roman"/>
          <w:smallCaps/>
          <w:sz w:val="17"/>
          <w:szCs w:val="17"/>
          <w:lang w:val="en-GB"/>
        </w:rPr>
        <w:t>Schedule 1</w:t>
      </w:r>
    </w:p>
    <w:p w:rsidR="006811DE" w:rsidRPr="00381816" w:rsidRDefault="006811DE" w:rsidP="006811DE">
      <w:pPr>
        <w:spacing w:after="0"/>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 xml:space="preserve">Wetlands within the SA Murray-Darling Basin between the South Australian border and Goolwa; and the fringing wetlands of Lakes Alexandrina and Albert. </w:t>
      </w:r>
    </w:p>
    <w:p w:rsidR="006811DE" w:rsidRPr="00381816" w:rsidRDefault="006811DE" w:rsidP="006811DE">
      <w:pPr>
        <w:spacing w:after="0"/>
        <w:jc w:val="center"/>
        <w:rPr>
          <w:rFonts w:ascii="Times New Roman" w:hAnsi="Times New Roman"/>
          <w:smallCaps/>
          <w:sz w:val="17"/>
          <w:szCs w:val="17"/>
          <w:lang w:val="en-GB"/>
        </w:rPr>
      </w:pPr>
      <w:r w:rsidRPr="00381816">
        <w:rPr>
          <w:rFonts w:ascii="Times New Roman" w:hAnsi="Times New Roman"/>
          <w:smallCaps/>
          <w:sz w:val="17"/>
          <w:szCs w:val="17"/>
          <w:lang w:val="en-GB"/>
        </w:rPr>
        <w:t>Schedule 2</w:t>
      </w:r>
    </w:p>
    <w:p w:rsidR="006811DE" w:rsidRPr="00381816" w:rsidRDefault="006811DE" w:rsidP="006811DE">
      <w:pPr>
        <w:numPr>
          <w:ilvl w:val="0"/>
          <w:numId w:val="75"/>
        </w:numPr>
        <w:spacing w:after="0"/>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18 x fyke nets (6mm mesh, 7m wing)</w:t>
      </w:r>
    </w:p>
    <w:p w:rsidR="006811DE" w:rsidRPr="00381816" w:rsidRDefault="006811DE" w:rsidP="006811DE">
      <w:pPr>
        <w:numPr>
          <w:ilvl w:val="0"/>
          <w:numId w:val="75"/>
        </w:numPr>
        <w:spacing w:after="0"/>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18 x fyke nets (4mm mesh, 7m and/or 4m wing)</w:t>
      </w:r>
    </w:p>
    <w:p w:rsidR="006811DE" w:rsidRPr="00381816" w:rsidRDefault="006811DE" w:rsidP="006811DE">
      <w:pPr>
        <w:numPr>
          <w:ilvl w:val="0"/>
          <w:numId w:val="75"/>
        </w:numPr>
        <w:spacing w:after="0"/>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6 x double wing fyke nets (4mm mesh, 5m wings)</w:t>
      </w:r>
    </w:p>
    <w:p w:rsidR="006811DE" w:rsidRPr="00381816" w:rsidRDefault="006811DE" w:rsidP="006811DE">
      <w:pPr>
        <w:numPr>
          <w:ilvl w:val="0"/>
          <w:numId w:val="75"/>
        </w:numPr>
        <w:spacing w:after="0"/>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1 x seine net (5m length, 4mm mesh)</w:t>
      </w:r>
    </w:p>
    <w:p w:rsidR="006811DE" w:rsidRPr="00381816" w:rsidRDefault="006811DE" w:rsidP="006811DE">
      <w:pPr>
        <w:numPr>
          <w:ilvl w:val="0"/>
          <w:numId w:val="75"/>
        </w:numPr>
        <w:spacing w:after="0"/>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1 x dip net</w:t>
      </w:r>
    </w:p>
    <w:p w:rsidR="006811DE" w:rsidRPr="00381816" w:rsidRDefault="006811DE" w:rsidP="006811DE">
      <w:pPr>
        <w:numPr>
          <w:ilvl w:val="0"/>
          <w:numId w:val="75"/>
        </w:numPr>
        <w:spacing w:after="0"/>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10 x Shrimp traps</w:t>
      </w:r>
    </w:p>
    <w:p w:rsidR="006811DE" w:rsidRPr="00381816" w:rsidRDefault="006811DE" w:rsidP="006811DE">
      <w:pPr>
        <w:jc w:val="center"/>
        <w:rPr>
          <w:rFonts w:ascii="Times New Roman" w:hAnsi="Times New Roman"/>
          <w:smallCaps/>
          <w:sz w:val="17"/>
          <w:szCs w:val="17"/>
          <w:lang w:val="en-GB"/>
        </w:rPr>
      </w:pPr>
      <w:r w:rsidRPr="00381816">
        <w:rPr>
          <w:rFonts w:ascii="Times New Roman" w:hAnsi="Times New Roman"/>
          <w:smallCaps/>
          <w:sz w:val="17"/>
          <w:szCs w:val="17"/>
          <w:lang w:val="en-GB"/>
        </w:rPr>
        <w:t>Schedule 3</w:t>
      </w:r>
    </w:p>
    <w:p w:rsidR="006811DE" w:rsidRPr="00381816" w:rsidRDefault="006811DE" w:rsidP="006811DE">
      <w:pPr>
        <w:numPr>
          <w:ilvl w:val="0"/>
          <w:numId w:val="74"/>
        </w:numPr>
        <w:tabs>
          <w:tab w:val="clear" w:pos="360"/>
        </w:tabs>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rsidR="006811DE" w:rsidRPr="00381816" w:rsidRDefault="006811DE" w:rsidP="006811DE">
      <w:pPr>
        <w:numPr>
          <w:ilvl w:val="0"/>
          <w:numId w:val="74"/>
        </w:numPr>
        <w:tabs>
          <w:tab w:val="clear" w:pos="360"/>
        </w:tabs>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Any specimens collected or retained by the exemption holder must be for scientific and research purposes only and must not be sold.</w:t>
      </w:r>
    </w:p>
    <w:p w:rsidR="006811DE" w:rsidRPr="00381816" w:rsidRDefault="006811DE" w:rsidP="006811DE">
      <w:pPr>
        <w:numPr>
          <w:ilvl w:val="0"/>
          <w:numId w:val="74"/>
        </w:numPr>
        <w:tabs>
          <w:tab w:val="clear" w:pos="360"/>
        </w:tabs>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 xml:space="preserve">All native fish taken pursuant to the exempted activity other than Murray Hardyhead must be returned to the water in the locations where they were captured. </w:t>
      </w:r>
    </w:p>
    <w:p w:rsidR="006811DE" w:rsidRPr="00381816" w:rsidRDefault="006811DE" w:rsidP="006811DE">
      <w:pPr>
        <w:numPr>
          <w:ilvl w:val="0"/>
          <w:numId w:val="74"/>
        </w:numPr>
        <w:tabs>
          <w:tab w:val="clear" w:pos="360"/>
        </w:tabs>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All non-native species of fish caught during the exempted activity must be destroyed and disposed of appropriately.</w:t>
      </w:r>
    </w:p>
    <w:p w:rsidR="006811DE" w:rsidRPr="00381816" w:rsidRDefault="006811DE" w:rsidP="006811DE">
      <w:pPr>
        <w:numPr>
          <w:ilvl w:val="0"/>
          <w:numId w:val="74"/>
        </w:numPr>
        <w:tabs>
          <w:tab w:val="clear" w:pos="360"/>
        </w:tabs>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The following persons are listed as agents of this exemption ME9903166:</w:t>
      </w:r>
    </w:p>
    <w:p w:rsidR="006811DE" w:rsidRPr="00381816" w:rsidRDefault="006811DE" w:rsidP="006811DE">
      <w:pPr>
        <w:numPr>
          <w:ilvl w:val="0"/>
          <w:numId w:val="77"/>
        </w:numPr>
        <w:spacing w:after="0"/>
        <w:ind w:left="851"/>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 xml:space="preserve">Sam Hardy – </w:t>
      </w:r>
      <w:bookmarkStart w:id="68" w:name="_Hlk83728004"/>
      <w:r w:rsidRPr="00381816">
        <w:rPr>
          <w:rFonts w:ascii="Times New Roman" w:eastAsia="Times New Roman" w:hAnsi="Times New Roman"/>
          <w:sz w:val="17"/>
          <w:szCs w:val="17"/>
          <w:lang w:val="en-GB"/>
        </w:rPr>
        <w:t>Mannum Road, Murray Bridge SA</w:t>
      </w:r>
      <w:bookmarkEnd w:id="68"/>
    </w:p>
    <w:p w:rsidR="006811DE" w:rsidRPr="00381816" w:rsidRDefault="006811DE" w:rsidP="006811DE">
      <w:pPr>
        <w:numPr>
          <w:ilvl w:val="0"/>
          <w:numId w:val="77"/>
        </w:numPr>
        <w:spacing w:after="0"/>
        <w:ind w:left="851"/>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Courtney Monk – Vaughn Terrace, Berri SA</w:t>
      </w:r>
    </w:p>
    <w:p w:rsidR="006811DE" w:rsidRPr="00381816" w:rsidRDefault="006811DE" w:rsidP="006811DE">
      <w:pPr>
        <w:numPr>
          <w:ilvl w:val="0"/>
          <w:numId w:val="77"/>
        </w:numPr>
        <w:spacing w:after="0"/>
        <w:ind w:left="851"/>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Stephanie Robinson – Vaughn Terrace, Berri SA</w:t>
      </w:r>
    </w:p>
    <w:p w:rsidR="006811DE" w:rsidRPr="00381816" w:rsidRDefault="006811DE" w:rsidP="006811DE">
      <w:pPr>
        <w:numPr>
          <w:ilvl w:val="0"/>
          <w:numId w:val="77"/>
        </w:numPr>
        <w:spacing w:after="0"/>
        <w:ind w:left="851"/>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Annie Kriesl – Vaugn Terrace, Berri SA</w:t>
      </w:r>
    </w:p>
    <w:p w:rsidR="006811DE" w:rsidRPr="00381816" w:rsidRDefault="006811DE" w:rsidP="006811DE">
      <w:pPr>
        <w:numPr>
          <w:ilvl w:val="0"/>
          <w:numId w:val="77"/>
        </w:numPr>
        <w:spacing w:after="0"/>
        <w:ind w:left="851"/>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Tiffany Nay - Mannum Road, Murray Bridge SA</w:t>
      </w:r>
    </w:p>
    <w:p w:rsidR="006811DE" w:rsidRPr="00381816" w:rsidRDefault="006811DE" w:rsidP="006811DE">
      <w:pPr>
        <w:numPr>
          <w:ilvl w:val="0"/>
          <w:numId w:val="77"/>
        </w:numPr>
        <w:spacing w:after="0"/>
        <w:ind w:left="851"/>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Connor Gervais - Mannum Road, Murray Bridge SA</w:t>
      </w:r>
    </w:p>
    <w:p w:rsidR="006811DE" w:rsidRPr="00381816" w:rsidRDefault="006811DE" w:rsidP="006811DE">
      <w:pPr>
        <w:numPr>
          <w:ilvl w:val="0"/>
          <w:numId w:val="77"/>
        </w:numPr>
        <w:ind w:left="851"/>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Alex Gangur - Mannum Road, Murray Bridge SA</w:t>
      </w:r>
    </w:p>
    <w:p w:rsidR="007A17F1" w:rsidRPr="008A5507" w:rsidRDefault="006811DE" w:rsidP="008A5507">
      <w:pPr>
        <w:numPr>
          <w:ilvl w:val="0"/>
          <w:numId w:val="74"/>
        </w:numPr>
        <w:tabs>
          <w:tab w:val="clear" w:pos="360"/>
        </w:tabs>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The exemption holder must notify PIRSA Fishwatch on 1800 065 522 at least 2 hours prior to conducting the exempted activity and answer a series of questions about the exempted activity. The exemption holder will need to have a copy of the exemption notice at the time of making the call and be able to provide information about the area and time of the exempted activity, the vehicles and boats involved, the number of agents undertaking the exempted activit</w:t>
      </w:r>
      <w:r w:rsidR="007A17F1">
        <w:rPr>
          <w:rFonts w:ascii="Times New Roman" w:eastAsia="Times New Roman" w:hAnsi="Times New Roman"/>
          <w:sz w:val="17"/>
          <w:szCs w:val="17"/>
          <w:lang w:val="en-GB"/>
        </w:rPr>
        <w:t>y and other related questions.</w:t>
      </w:r>
      <w:r w:rsidR="007A17F1" w:rsidRPr="008A5507">
        <w:rPr>
          <w:rFonts w:ascii="Times New Roman" w:eastAsia="Times New Roman" w:hAnsi="Times New Roman"/>
          <w:spacing w:val="-2"/>
          <w:sz w:val="17"/>
          <w:szCs w:val="17"/>
          <w:lang w:val="en-GB"/>
        </w:rPr>
        <w:br w:type="page"/>
      </w:r>
    </w:p>
    <w:p w:rsidR="006811DE" w:rsidRPr="00381816" w:rsidRDefault="006811DE" w:rsidP="006811DE">
      <w:pPr>
        <w:numPr>
          <w:ilvl w:val="0"/>
          <w:numId w:val="74"/>
        </w:numPr>
        <w:tabs>
          <w:tab w:val="clear" w:pos="360"/>
        </w:tabs>
        <w:rPr>
          <w:rFonts w:ascii="Times New Roman" w:eastAsia="Times New Roman" w:hAnsi="Times New Roman"/>
          <w:spacing w:val="-2"/>
          <w:sz w:val="17"/>
          <w:szCs w:val="17"/>
          <w:lang w:val="en-GB"/>
        </w:rPr>
      </w:pPr>
      <w:r w:rsidRPr="00381816">
        <w:rPr>
          <w:rFonts w:ascii="Times New Roman" w:eastAsia="Times New Roman" w:hAnsi="Times New Roman"/>
          <w:spacing w:val="-2"/>
          <w:sz w:val="17"/>
          <w:szCs w:val="17"/>
          <w:lang w:val="en-GB"/>
        </w:rPr>
        <w:lastRenderedPageBreak/>
        <w:t>The exemption holder must provide a written report detailing the outcomes of the collection of organisms pursuant to this notice to PIRSA, Fisheries &amp; Aquaculture, (</w:t>
      </w:r>
      <w:hyperlink r:id="rId59" w:history="1">
        <w:r w:rsidRPr="00381816">
          <w:rPr>
            <w:rFonts w:ascii="Times New Roman" w:eastAsia="Times New Roman" w:hAnsi="Times New Roman"/>
            <w:color w:val="0000FF"/>
            <w:spacing w:val="-2"/>
            <w:sz w:val="17"/>
            <w:szCs w:val="17"/>
            <w:u w:val="single"/>
            <w:lang w:val="en-GB"/>
          </w:rPr>
          <w:t>PIRSA.Ministerialexemptionsandpermits@sa.gov.au</w:t>
        </w:r>
      </w:hyperlink>
      <w:r w:rsidRPr="00381816">
        <w:rPr>
          <w:rFonts w:ascii="Times New Roman" w:eastAsia="Times New Roman" w:hAnsi="Times New Roman"/>
          <w:spacing w:val="-2"/>
          <w:sz w:val="17"/>
          <w:szCs w:val="17"/>
          <w:lang w:val="en-GB"/>
        </w:rPr>
        <w:t>) upon completion, giving the following details:</w:t>
      </w:r>
    </w:p>
    <w:p w:rsidR="006811DE" w:rsidRPr="00381816" w:rsidRDefault="006811DE" w:rsidP="006811DE">
      <w:pPr>
        <w:numPr>
          <w:ilvl w:val="0"/>
          <w:numId w:val="76"/>
        </w:numPr>
        <w:spacing w:after="0"/>
        <w:ind w:left="851"/>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the date, soak time and location of collection;</w:t>
      </w:r>
    </w:p>
    <w:p w:rsidR="006811DE" w:rsidRPr="00381816" w:rsidRDefault="006811DE" w:rsidP="006811DE">
      <w:pPr>
        <w:numPr>
          <w:ilvl w:val="0"/>
          <w:numId w:val="76"/>
        </w:numPr>
        <w:spacing w:after="0"/>
        <w:ind w:left="851"/>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the number of nets or traps used;</w:t>
      </w:r>
    </w:p>
    <w:p w:rsidR="006811DE" w:rsidRPr="00381816" w:rsidRDefault="006811DE" w:rsidP="006811DE">
      <w:pPr>
        <w:numPr>
          <w:ilvl w:val="0"/>
          <w:numId w:val="76"/>
        </w:numPr>
        <w:spacing w:after="0"/>
        <w:ind w:left="851"/>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the description of all species collected;</w:t>
      </w:r>
    </w:p>
    <w:p w:rsidR="006811DE" w:rsidRPr="00381816" w:rsidRDefault="006811DE" w:rsidP="006811DE">
      <w:pPr>
        <w:numPr>
          <w:ilvl w:val="0"/>
          <w:numId w:val="76"/>
        </w:numPr>
        <w:spacing w:after="0"/>
        <w:ind w:left="851"/>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the number of each species collected; and</w:t>
      </w:r>
    </w:p>
    <w:p w:rsidR="006811DE" w:rsidRPr="00381816" w:rsidRDefault="006811DE" w:rsidP="006811DE">
      <w:pPr>
        <w:numPr>
          <w:ilvl w:val="0"/>
          <w:numId w:val="76"/>
        </w:numPr>
        <w:ind w:left="851"/>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any other relevant information.</w:t>
      </w:r>
    </w:p>
    <w:p w:rsidR="006811DE" w:rsidRPr="00381816" w:rsidRDefault="006811DE" w:rsidP="006811DE">
      <w:pPr>
        <w:numPr>
          <w:ilvl w:val="0"/>
          <w:numId w:val="74"/>
        </w:numPr>
        <w:tabs>
          <w:tab w:val="clear" w:pos="360"/>
        </w:tabs>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While engaging in the exempted activity, the exemption holder must be in possession of a copy of this notice. Such notice must be produced to a Fisheries Officer if requested.</w:t>
      </w:r>
    </w:p>
    <w:p w:rsidR="006811DE" w:rsidRPr="00381816" w:rsidRDefault="006811DE" w:rsidP="006811DE">
      <w:pPr>
        <w:numPr>
          <w:ilvl w:val="0"/>
          <w:numId w:val="74"/>
        </w:numPr>
        <w:tabs>
          <w:tab w:val="clear" w:pos="360"/>
        </w:tabs>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 xml:space="preserve">The exemption holder must not contravene or fail to comply with the </w:t>
      </w:r>
      <w:r w:rsidRPr="00381816">
        <w:rPr>
          <w:rFonts w:ascii="Times New Roman" w:eastAsia="Times New Roman" w:hAnsi="Times New Roman"/>
          <w:i/>
          <w:sz w:val="17"/>
          <w:szCs w:val="17"/>
          <w:lang w:val="en-GB"/>
        </w:rPr>
        <w:t>Fisheries Management Act 2007</w:t>
      </w:r>
      <w:r w:rsidRPr="00381816">
        <w:rPr>
          <w:rFonts w:ascii="Times New Roman" w:eastAsia="Times New Roman" w:hAnsi="Times New Roman"/>
          <w:sz w:val="17"/>
          <w:szCs w:val="17"/>
          <w:lang w:val="en-GB"/>
        </w:rPr>
        <w:t xml:space="preserve"> or any regulations made under that Act, except where specifically exempted by this notice.</w:t>
      </w:r>
    </w:p>
    <w:p w:rsidR="006811DE" w:rsidRPr="00381816" w:rsidRDefault="006811DE" w:rsidP="006811DE">
      <w:pPr>
        <w:rPr>
          <w:rFonts w:ascii="Times New Roman" w:eastAsia="Times New Roman" w:hAnsi="Times New Roman"/>
          <w:spacing w:val="-2"/>
          <w:sz w:val="17"/>
          <w:szCs w:val="17"/>
          <w:lang w:val="en-GB"/>
        </w:rPr>
      </w:pPr>
      <w:r w:rsidRPr="00381816">
        <w:rPr>
          <w:rFonts w:ascii="Times New Roman" w:eastAsia="Times New Roman" w:hAnsi="Times New Roman"/>
          <w:spacing w:val="-2"/>
          <w:sz w:val="17"/>
          <w:szCs w:val="17"/>
          <w:lang w:val="en-GB"/>
        </w:rPr>
        <w:t xml:space="preserve">This notice does not purport to override the provisions or operation of any other Act including but not limited to the </w:t>
      </w:r>
      <w:r w:rsidRPr="00381816">
        <w:rPr>
          <w:rFonts w:ascii="Times New Roman" w:eastAsia="Times New Roman" w:hAnsi="Times New Roman"/>
          <w:i/>
          <w:spacing w:val="-2"/>
          <w:sz w:val="17"/>
          <w:szCs w:val="17"/>
          <w:lang w:val="en-GB"/>
        </w:rPr>
        <w:t>River Murray Act 2003</w:t>
      </w:r>
      <w:r w:rsidRPr="00381816">
        <w:rPr>
          <w:rFonts w:ascii="Times New Roman" w:eastAsia="Times New Roman" w:hAnsi="Times New Roman"/>
          <w:spacing w:val="-2"/>
          <w:sz w:val="17"/>
          <w:szCs w:val="17"/>
          <w:lang w:val="en-GB"/>
        </w:rPr>
        <w:t>.</w:t>
      </w:r>
    </w:p>
    <w:p w:rsidR="006811DE" w:rsidRPr="00381816" w:rsidRDefault="006811DE" w:rsidP="006811DE">
      <w:pPr>
        <w:spacing w:after="0"/>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Dated: 17 December 2021</w:t>
      </w:r>
    </w:p>
    <w:p w:rsidR="006811DE" w:rsidRPr="00381816" w:rsidRDefault="006811DE" w:rsidP="006811DE">
      <w:pPr>
        <w:spacing w:after="0"/>
        <w:jc w:val="right"/>
        <w:rPr>
          <w:rFonts w:ascii="Times New Roman" w:eastAsia="Times New Roman" w:hAnsi="Times New Roman"/>
          <w:smallCaps/>
          <w:sz w:val="17"/>
          <w:szCs w:val="20"/>
          <w:lang w:val="en-GB"/>
        </w:rPr>
      </w:pPr>
      <w:r w:rsidRPr="00381816">
        <w:rPr>
          <w:rFonts w:ascii="Times New Roman" w:eastAsia="Times New Roman" w:hAnsi="Times New Roman"/>
          <w:smallCaps/>
          <w:sz w:val="17"/>
          <w:szCs w:val="20"/>
          <w:lang w:val="en-GB"/>
        </w:rPr>
        <w:t>Prof Gavin Begg</w:t>
      </w:r>
    </w:p>
    <w:p w:rsidR="006811DE" w:rsidRPr="00381816" w:rsidRDefault="006811DE" w:rsidP="006811DE">
      <w:pPr>
        <w:spacing w:after="0" w:line="240" w:lineRule="auto"/>
        <w:jc w:val="right"/>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Executive Director, Fisheries and Aquaculture</w:t>
      </w:r>
    </w:p>
    <w:p w:rsidR="006811DE" w:rsidRPr="00381816" w:rsidRDefault="006811DE" w:rsidP="006811DE">
      <w:pPr>
        <w:spacing w:after="0" w:line="240" w:lineRule="auto"/>
        <w:jc w:val="right"/>
        <w:rPr>
          <w:rFonts w:ascii="Times New Roman" w:eastAsia="Times New Roman" w:hAnsi="Times New Roman"/>
          <w:sz w:val="17"/>
          <w:szCs w:val="17"/>
          <w:lang w:val="en-GB"/>
        </w:rPr>
      </w:pPr>
      <w:r w:rsidRPr="00381816">
        <w:rPr>
          <w:rFonts w:ascii="Times New Roman" w:eastAsia="Times New Roman" w:hAnsi="Times New Roman"/>
          <w:sz w:val="17"/>
          <w:szCs w:val="17"/>
          <w:lang w:val="en-GB"/>
        </w:rPr>
        <w:t>Delegate of the Minister for Primary Industries and Regional Development</w:t>
      </w:r>
    </w:p>
    <w:p w:rsidR="006811DE" w:rsidRPr="00381816" w:rsidRDefault="006811DE" w:rsidP="006811DE">
      <w:pPr>
        <w:pBdr>
          <w:top w:val="single" w:sz="4" w:space="1" w:color="auto"/>
        </w:pBdr>
        <w:spacing w:before="100" w:after="0" w:line="14" w:lineRule="exact"/>
        <w:jc w:val="center"/>
        <w:rPr>
          <w:rFonts w:ascii="Times New Roman" w:eastAsia="Times New Roman" w:hAnsi="Times New Roman"/>
          <w:sz w:val="17"/>
          <w:szCs w:val="17"/>
          <w:lang w:val="en-GB"/>
        </w:rPr>
      </w:pPr>
    </w:p>
    <w:p w:rsidR="006811DE" w:rsidRDefault="006811DE" w:rsidP="006811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E724E4" w:rsidRPr="00BB3741" w:rsidRDefault="00E724E4" w:rsidP="00E724E4">
      <w:pPr>
        <w:jc w:val="center"/>
        <w:rPr>
          <w:rFonts w:ascii="Times New Roman" w:hAnsi="Times New Roman"/>
          <w:caps/>
          <w:sz w:val="17"/>
          <w:szCs w:val="17"/>
          <w:lang w:val="en-GB"/>
        </w:rPr>
      </w:pPr>
      <w:r w:rsidRPr="00BB3741">
        <w:rPr>
          <w:rFonts w:ascii="Times New Roman" w:hAnsi="Times New Roman"/>
          <w:caps/>
          <w:sz w:val="17"/>
          <w:szCs w:val="17"/>
          <w:lang w:val="en-GB"/>
        </w:rPr>
        <w:t>Fisheries Management Act 2007</w:t>
      </w:r>
    </w:p>
    <w:p w:rsidR="00E724E4" w:rsidRPr="00BB3741" w:rsidRDefault="00E724E4" w:rsidP="00E724E4">
      <w:pPr>
        <w:jc w:val="center"/>
        <w:rPr>
          <w:rFonts w:ascii="Times New Roman" w:eastAsia="Times New Roman" w:hAnsi="Times New Roman"/>
          <w:smallCaps/>
          <w:sz w:val="17"/>
          <w:szCs w:val="17"/>
          <w:lang w:val="en-GB"/>
        </w:rPr>
      </w:pPr>
      <w:r w:rsidRPr="00BB3741">
        <w:rPr>
          <w:rFonts w:ascii="Times New Roman" w:hAnsi="Times New Roman"/>
          <w:smallCaps/>
          <w:sz w:val="17"/>
          <w:szCs w:val="17"/>
          <w:lang w:val="en-GB"/>
        </w:rPr>
        <w:t>Section 115</w:t>
      </w:r>
    </w:p>
    <w:p w:rsidR="00E724E4" w:rsidRPr="00BB3741" w:rsidRDefault="00E724E4" w:rsidP="00E724E4">
      <w:pPr>
        <w:jc w:val="center"/>
        <w:rPr>
          <w:rFonts w:ascii="Times New Roman" w:hAnsi="Times New Roman"/>
          <w:i/>
          <w:sz w:val="17"/>
          <w:szCs w:val="17"/>
          <w:lang w:val="en-GB"/>
        </w:rPr>
      </w:pPr>
      <w:r w:rsidRPr="00BB3741">
        <w:rPr>
          <w:rFonts w:ascii="Times New Roman" w:hAnsi="Times New Roman"/>
          <w:i/>
          <w:sz w:val="17"/>
          <w:szCs w:val="17"/>
          <w:lang w:val="en-GB"/>
        </w:rPr>
        <w:t>Exemption Number ME9903200</w:t>
      </w:r>
    </w:p>
    <w:p w:rsidR="00E724E4" w:rsidRPr="00BB3741" w:rsidRDefault="00E724E4" w:rsidP="00E724E4">
      <w:pPr>
        <w:rPr>
          <w:rFonts w:ascii="Times New Roman" w:eastAsia="Times New Roman" w:hAnsi="Times New Roman"/>
          <w:b/>
          <w:sz w:val="17"/>
          <w:szCs w:val="17"/>
          <w:lang w:val="en-GB"/>
        </w:rPr>
      </w:pPr>
      <w:r w:rsidRPr="00BB3741">
        <w:rPr>
          <w:rFonts w:ascii="Times New Roman" w:eastAsia="Times New Roman" w:hAnsi="Times New Roman"/>
          <w:sz w:val="17"/>
          <w:szCs w:val="17"/>
          <w:lang w:val="en-GB"/>
        </w:rPr>
        <w:t xml:space="preserve">TAKE NOTICE that pursuant to section 115 of the </w:t>
      </w:r>
      <w:r w:rsidRPr="00BB3741">
        <w:rPr>
          <w:rFonts w:ascii="Times New Roman" w:eastAsia="Times New Roman" w:hAnsi="Times New Roman"/>
          <w:i/>
          <w:sz w:val="17"/>
          <w:szCs w:val="17"/>
          <w:lang w:val="en-GB"/>
        </w:rPr>
        <w:t>Fisheries Management Act 2007</w:t>
      </w:r>
      <w:r w:rsidRPr="00BB3741">
        <w:rPr>
          <w:rFonts w:ascii="Times New Roman" w:eastAsia="Times New Roman" w:hAnsi="Times New Roman"/>
          <w:sz w:val="17"/>
          <w:szCs w:val="17"/>
          <w:lang w:val="en-GB"/>
        </w:rPr>
        <w:t xml:space="preserve">, the holder of a licence issued under the </w:t>
      </w:r>
      <w:r w:rsidRPr="00BB3741">
        <w:rPr>
          <w:rFonts w:ascii="Times New Roman" w:eastAsia="Times New Roman" w:hAnsi="Times New Roman"/>
          <w:i/>
          <w:sz w:val="17"/>
          <w:szCs w:val="17"/>
          <w:lang w:val="en-GB"/>
        </w:rPr>
        <w:t>Fisheries Management (Charter Boat Fishery) Regulations 2016</w:t>
      </w:r>
      <w:r w:rsidRPr="00BB3741">
        <w:rPr>
          <w:rFonts w:ascii="Times New Roman" w:eastAsia="Times New Roman" w:hAnsi="Times New Roman"/>
          <w:sz w:val="17"/>
          <w:szCs w:val="17"/>
          <w:lang w:val="en-GB"/>
        </w:rPr>
        <w:t xml:space="preserve"> or their registered masters or any person </w:t>
      </w:r>
      <w:r w:rsidR="008A640A" w:rsidRPr="00BB3741">
        <w:rPr>
          <w:rFonts w:ascii="Times New Roman" w:eastAsia="Times New Roman" w:hAnsi="Times New Roman"/>
          <w:sz w:val="17"/>
          <w:szCs w:val="17"/>
          <w:lang w:val="en-GB"/>
        </w:rPr>
        <w:t>on board</w:t>
      </w:r>
      <w:r w:rsidRPr="00BB3741">
        <w:rPr>
          <w:rFonts w:ascii="Times New Roman" w:eastAsia="Times New Roman" w:hAnsi="Times New Roman"/>
          <w:sz w:val="17"/>
          <w:szCs w:val="17"/>
          <w:lang w:val="en-GB"/>
        </w:rPr>
        <w:t xml:space="preserve"> a boat registered under such a licence who has entered into a Charter Boat Fishing Agreement with the Licence Holder (the ‘exemption holders’) are exempt from the provisions contained in the declaration made under section 79 of the </w:t>
      </w:r>
      <w:r w:rsidRPr="00BB3741">
        <w:rPr>
          <w:rFonts w:ascii="Times New Roman" w:eastAsia="Times New Roman" w:hAnsi="Times New Roman"/>
          <w:i/>
          <w:sz w:val="17"/>
          <w:szCs w:val="17"/>
          <w:lang w:val="en-GB"/>
        </w:rPr>
        <w:t xml:space="preserve">Fisheries Management Act </w:t>
      </w:r>
      <w:r w:rsidRPr="00BB3741">
        <w:rPr>
          <w:rFonts w:ascii="Times New Roman" w:eastAsia="Times New Roman" w:hAnsi="Times New Roman"/>
          <w:sz w:val="17"/>
          <w:szCs w:val="17"/>
          <w:lang w:val="en-GB"/>
        </w:rPr>
        <w:t>2007 and published as the first notice on page 249 of the Supplementary Gazette of the South Australian Government Gazette dated 2 February 2021</w:t>
      </w:r>
      <w:r w:rsidRPr="00BB3741">
        <w:rPr>
          <w:rFonts w:ascii="Times New Roman" w:eastAsia="Times New Roman" w:hAnsi="Times New Roman"/>
          <w:i/>
          <w:sz w:val="17"/>
          <w:szCs w:val="17"/>
          <w:lang w:val="en-GB"/>
        </w:rPr>
        <w:t>,</w:t>
      </w:r>
      <w:r w:rsidRPr="00BB3741">
        <w:rPr>
          <w:rFonts w:ascii="Times New Roman" w:eastAsia="Times New Roman" w:hAnsi="Times New Roman"/>
          <w:sz w:val="17"/>
          <w:szCs w:val="17"/>
          <w:lang w:val="en-GB"/>
        </w:rPr>
        <w:t xml:space="preserve"> but only insofar as the exemption holders may possess Snapper (</w:t>
      </w:r>
      <w:r w:rsidRPr="00BB3741">
        <w:rPr>
          <w:rFonts w:ascii="Times New Roman" w:eastAsia="Times New Roman" w:hAnsi="Times New Roman"/>
          <w:i/>
          <w:sz w:val="17"/>
          <w:szCs w:val="17"/>
          <w:lang w:val="en-GB"/>
        </w:rPr>
        <w:t>Chrysophrys auratus</w:t>
      </w:r>
      <w:r w:rsidRPr="00BB3741">
        <w:rPr>
          <w:rFonts w:ascii="Times New Roman" w:eastAsia="Times New Roman" w:hAnsi="Times New Roman"/>
          <w:sz w:val="17"/>
          <w:szCs w:val="17"/>
          <w:lang w:val="en-GB"/>
        </w:rPr>
        <w:t xml:space="preserve">) taken from waters of the South East that each have a Department issued Charter Boat Fishery Tag secured through the mouth and gill, whilst transiting the Snapper Closure Area (the 'exempted activity'), subject to the conditions set out in Schedule 1 during the period specified in Schedule 2 unless varied or revoked earlier. </w:t>
      </w:r>
    </w:p>
    <w:p w:rsidR="00E724E4" w:rsidRPr="00BB3741" w:rsidRDefault="00E724E4" w:rsidP="00E724E4">
      <w:pPr>
        <w:jc w:val="center"/>
        <w:rPr>
          <w:rFonts w:ascii="Times New Roman" w:hAnsi="Times New Roman"/>
          <w:smallCaps/>
          <w:sz w:val="17"/>
          <w:szCs w:val="17"/>
          <w:lang w:val="en-GB"/>
        </w:rPr>
      </w:pPr>
      <w:r w:rsidRPr="00BB3741">
        <w:rPr>
          <w:rFonts w:ascii="Times New Roman" w:hAnsi="Times New Roman"/>
          <w:smallCaps/>
          <w:sz w:val="17"/>
          <w:szCs w:val="17"/>
          <w:lang w:val="en-GB"/>
        </w:rPr>
        <w:t>Schedule 1</w:t>
      </w:r>
    </w:p>
    <w:p w:rsidR="00E724E4" w:rsidRPr="00BB3741" w:rsidRDefault="00E724E4" w:rsidP="00E724E4">
      <w:pPr>
        <w:numPr>
          <w:ilvl w:val="0"/>
          <w:numId w:val="72"/>
        </w:numPr>
        <w:rPr>
          <w:rFonts w:ascii="Times New Roman" w:eastAsia="Times New Roman" w:hAnsi="Times New Roman"/>
          <w:sz w:val="17"/>
          <w:szCs w:val="17"/>
        </w:rPr>
      </w:pPr>
      <w:r w:rsidRPr="00BB3741">
        <w:rPr>
          <w:rFonts w:ascii="Times New Roman" w:eastAsia="Times New Roman" w:hAnsi="Times New Roman"/>
          <w:sz w:val="17"/>
          <w:szCs w:val="17"/>
          <w:lang w:val="en-GB"/>
        </w:rPr>
        <w:t xml:space="preserve">At least one hour prior to travelling through any part of </w:t>
      </w:r>
      <w:r w:rsidRPr="00BB3741">
        <w:rPr>
          <w:rFonts w:ascii="Times New Roman" w:eastAsia="Times New Roman" w:hAnsi="Times New Roman"/>
          <w:sz w:val="17"/>
          <w:szCs w:val="17"/>
        </w:rPr>
        <w:t>the waters of the Snapper Closure Area</w:t>
      </w:r>
      <w:r w:rsidRPr="00BB3741">
        <w:rPr>
          <w:rFonts w:ascii="Times New Roman" w:eastAsia="Times New Roman" w:hAnsi="Times New Roman"/>
          <w:sz w:val="17"/>
          <w:szCs w:val="17"/>
          <w:lang w:val="en-GB"/>
        </w:rPr>
        <w:t xml:space="preserve"> described in this notice, the licence holder or registered master must, if in possession or control of Snapper on the Charter Boat, </w:t>
      </w:r>
      <w:r w:rsidRPr="00BB3741">
        <w:rPr>
          <w:rFonts w:ascii="Times New Roman" w:eastAsia="Times New Roman" w:hAnsi="Times New Roman"/>
          <w:sz w:val="17"/>
          <w:szCs w:val="17"/>
        </w:rPr>
        <w:t>make a prior report to PIRSA Fishwatch (1800 065 522) and must provide the Department the following information:</w:t>
      </w:r>
    </w:p>
    <w:p w:rsidR="00E724E4" w:rsidRPr="00BB3741" w:rsidRDefault="00E724E4" w:rsidP="00E724E4">
      <w:pPr>
        <w:numPr>
          <w:ilvl w:val="0"/>
          <w:numId w:val="73"/>
        </w:numPr>
        <w:spacing w:after="0"/>
        <w:rPr>
          <w:rFonts w:ascii="Times New Roman" w:eastAsia="Times New Roman" w:hAnsi="Times New Roman"/>
          <w:sz w:val="17"/>
          <w:szCs w:val="17"/>
        </w:rPr>
      </w:pPr>
      <w:r w:rsidRPr="00BB3741">
        <w:rPr>
          <w:rFonts w:ascii="Times New Roman" w:eastAsia="Times New Roman" w:hAnsi="Times New Roman"/>
          <w:sz w:val="17"/>
          <w:szCs w:val="17"/>
        </w:rPr>
        <w:t>The name of the caller;</w:t>
      </w:r>
    </w:p>
    <w:p w:rsidR="00E724E4" w:rsidRPr="00BB3741" w:rsidRDefault="00E724E4" w:rsidP="00E724E4">
      <w:pPr>
        <w:numPr>
          <w:ilvl w:val="0"/>
          <w:numId w:val="73"/>
        </w:numPr>
        <w:spacing w:after="0"/>
        <w:rPr>
          <w:rFonts w:ascii="Times New Roman" w:eastAsia="Times New Roman" w:hAnsi="Times New Roman"/>
          <w:sz w:val="17"/>
          <w:szCs w:val="17"/>
        </w:rPr>
      </w:pPr>
      <w:r w:rsidRPr="00BB3741">
        <w:rPr>
          <w:rFonts w:ascii="Times New Roman" w:eastAsia="Times New Roman" w:hAnsi="Times New Roman"/>
          <w:sz w:val="17"/>
          <w:szCs w:val="17"/>
        </w:rPr>
        <w:t>Contact phone number of the caller;</w:t>
      </w:r>
    </w:p>
    <w:p w:rsidR="00E724E4" w:rsidRPr="00BB3741" w:rsidRDefault="00E724E4" w:rsidP="00E724E4">
      <w:pPr>
        <w:numPr>
          <w:ilvl w:val="0"/>
          <w:numId w:val="73"/>
        </w:numPr>
        <w:spacing w:after="0"/>
        <w:rPr>
          <w:rFonts w:ascii="Times New Roman" w:eastAsia="Times New Roman" w:hAnsi="Times New Roman"/>
          <w:sz w:val="17"/>
          <w:szCs w:val="17"/>
        </w:rPr>
      </w:pPr>
      <w:r w:rsidRPr="00BB3741">
        <w:rPr>
          <w:rFonts w:ascii="Times New Roman" w:eastAsia="Times New Roman" w:hAnsi="Times New Roman"/>
          <w:sz w:val="17"/>
          <w:szCs w:val="17"/>
        </w:rPr>
        <w:t xml:space="preserve">The licence number; </w:t>
      </w:r>
    </w:p>
    <w:p w:rsidR="00E724E4" w:rsidRPr="00BB3741" w:rsidRDefault="00E724E4" w:rsidP="00E724E4">
      <w:pPr>
        <w:numPr>
          <w:ilvl w:val="0"/>
          <w:numId w:val="73"/>
        </w:numPr>
        <w:spacing w:after="0"/>
        <w:rPr>
          <w:rFonts w:ascii="Times New Roman" w:eastAsia="Times New Roman" w:hAnsi="Times New Roman"/>
          <w:sz w:val="17"/>
          <w:szCs w:val="17"/>
        </w:rPr>
      </w:pPr>
      <w:r w:rsidRPr="00BB3741">
        <w:rPr>
          <w:rFonts w:ascii="Times New Roman" w:eastAsia="Times New Roman" w:hAnsi="Times New Roman"/>
          <w:sz w:val="17"/>
          <w:szCs w:val="17"/>
        </w:rPr>
        <w:t>Number of passengers on board;</w:t>
      </w:r>
    </w:p>
    <w:p w:rsidR="00E724E4" w:rsidRPr="00BB3741" w:rsidRDefault="00E724E4" w:rsidP="00E724E4">
      <w:pPr>
        <w:numPr>
          <w:ilvl w:val="0"/>
          <w:numId w:val="73"/>
        </w:numPr>
        <w:spacing w:after="0"/>
        <w:rPr>
          <w:rFonts w:ascii="Times New Roman" w:eastAsia="Times New Roman" w:hAnsi="Times New Roman"/>
          <w:sz w:val="17"/>
          <w:szCs w:val="17"/>
        </w:rPr>
      </w:pPr>
      <w:r w:rsidRPr="00BB3741">
        <w:rPr>
          <w:rFonts w:ascii="Times New Roman" w:eastAsia="Times New Roman" w:hAnsi="Times New Roman"/>
          <w:sz w:val="17"/>
          <w:szCs w:val="17"/>
        </w:rPr>
        <w:t>Number of Snapper on board; and</w:t>
      </w:r>
    </w:p>
    <w:p w:rsidR="00E724E4" w:rsidRPr="00BB3741" w:rsidRDefault="00E724E4" w:rsidP="00E724E4">
      <w:pPr>
        <w:numPr>
          <w:ilvl w:val="0"/>
          <w:numId w:val="73"/>
        </w:numPr>
        <w:spacing w:after="0"/>
        <w:rPr>
          <w:rFonts w:ascii="Times New Roman" w:eastAsia="Times New Roman" w:hAnsi="Times New Roman"/>
          <w:sz w:val="17"/>
          <w:szCs w:val="17"/>
        </w:rPr>
      </w:pPr>
      <w:r w:rsidRPr="00BB3741">
        <w:rPr>
          <w:rFonts w:ascii="Times New Roman" w:eastAsia="Times New Roman" w:hAnsi="Times New Roman"/>
          <w:sz w:val="17"/>
          <w:szCs w:val="17"/>
        </w:rPr>
        <w:t>The approximate time the boat will enter the Snapper Closure Area.</w:t>
      </w:r>
    </w:p>
    <w:p w:rsidR="00E724E4" w:rsidRPr="00BB3741" w:rsidRDefault="00E724E4" w:rsidP="00E724E4">
      <w:pPr>
        <w:numPr>
          <w:ilvl w:val="0"/>
          <w:numId w:val="73"/>
        </w:numPr>
        <w:spacing w:after="0"/>
        <w:rPr>
          <w:rFonts w:ascii="Times New Roman" w:eastAsia="Times New Roman" w:hAnsi="Times New Roman"/>
          <w:sz w:val="17"/>
          <w:szCs w:val="17"/>
        </w:rPr>
      </w:pPr>
      <w:r w:rsidRPr="00BB3741">
        <w:rPr>
          <w:rFonts w:ascii="Times New Roman" w:eastAsia="Times New Roman" w:hAnsi="Times New Roman"/>
          <w:sz w:val="17"/>
          <w:szCs w:val="17"/>
        </w:rPr>
        <w:t>The approximate time the boat will exit the Snapper Closure Area or arrive at the point of landing or disembarkation.</w:t>
      </w:r>
    </w:p>
    <w:p w:rsidR="00E724E4" w:rsidRPr="00BB3741" w:rsidRDefault="00E724E4" w:rsidP="00E724E4">
      <w:pPr>
        <w:numPr>
          <w:ilvl w:val="0"/>
          <w:numId w:val="73"/>
        </w:numPr>
        <w:rPr>
          <w:rFonts w:ascii="Times New Roman" w:eastAsia="Times New Roman" w:hAnsi="Times New Roman"/>
          <w:sz w:val="17"/>
          <w:szCs w:val="17"/>
        </w:rPr>
      </w:pPr>
      <w:r w:rsidRPr="00BB3741">
        <w:rPr>
          <w:rFonts w:ascii="Times New Roman" w:eastAsia="Times New Roman" w:hAnsi="Times New Roman"/>
          <w:sz w:val="17"/>
          <w:szCs w:val="17"/>
        </w:rPr>
        <w:t>The tag numbers of the Department issued Charter Boat Fishery Snapper tags securely fastened to the Snapper on board the boat.</w:t>
      </w:r>
    </w:p>
    <w:p w:rsidR="00E724E4" w:rsidRPr="00BB3741" w:rsidRDefault="00E724E4" w:rsidP="00E724E4">
      <w:pPr>
        <w:numPr>
          <w:ilvl w:val="0"/>
          <w:numId w:val="72"/>
        </w:numPr>
        <w:rPr>
          <w:rFonts w:ascii="Times New Roman" w:eastAsia="Times New Roman" w:hAnsi="Times New Roman"/>
          <w:sz w:val="17"/>
          <w:szCs w:val="17"/>
          <w:lang w:val="en-GB"/>
        </w:rPr>
      </w:pPr>
      <w:r w:rsidRPr="00BB3741">
        <w:rPr>
          <w:rFonts w:ascii="Times New Roman" w:eastAsia="Times New Roman" w:hAnsi="Times New Roman"/>
          <w:sz w:val="17"/>
          <w:szCs w:val="17"/>
          <w:lang w:val="en-GB"/>
        </w:rPr>
        <w:t xml:space="preserve">Each individual Snapper on board the Charter Boat must have a Charter Snapper tag issued by the Department secured through the mouth and gill in such a manner that the tag cannot be removed without being broken before entering the Snapper Closure Area. </w:t>
      </w:r>
    </w:p>
    <w:p w:rsidR="00E724E4" w:rsidRPr="00BB3741" w:rsidRDefault="00E724E4" w:rsidP="00E724E4">
      <w:pPr>
        <w:numPr>
          <w:ilvl w:val="0"/>
          <w:numId w:val="72"/>
        </w:numPr>
        <w:rPr>
          <w:rFonts w:ascii="Times New Roman" w:eastAsia="Times New Roman" w:hAnsi="Times New Roman"/>
          <w:sz w:val="17"/>
          <w:szCs w:val="17"/>
          <w:lang w:val="en-GB"/>
        </w:rPr>
      </w:pPr>
      <w:r w:rsidRPr="00BB3741">
        <w:rPr>
          <w:rFonts w:ascii="Times New Roman" w:eastAsia="Times New Roman" w:hAnsi="Times New Roman"/>
          <w:sz w:val="17"/>
          <w:szCs w:val="17"/>
          <w:lang w:val="en-GB"/>
        </w:rPr>
        <w:t xml:space="preserve">Any Snapper taken and tagged during the charter, must remain on the vessel whilst transiting the Snapper Closure Area until the point of landing. </w:t>
      </w:r>
    </w:p>
    <w:p w:rsidR="00E724E4" w:rsidRPr="00BB3741" w:rsidRDefault="00E724E4" w:rsidP="00E724E4">
      <w:pPr>
        <w:numPr>
          <w:ilvl w:val="0"/>
          <w:numId w:val="72"/>
        </w:numPr>
        <w:rPr>
          <w:rFonts w:ascii="Times New Roman" w:eastAsia="Times New Roman" w:hAnsi="Times New Roman"/>
          <w:sz w:val="17"/>
          <w:szCs w:val="17"/>
          <w:lang w:val="en-GB"/>
        </w:rPr>
      </w:pPr>
      <w:r w:rsidRPr="00BB3741">
        <w:rPr>
          <w:rFonts w:ascii="Times New Roman" w:eastAsia="Times New Roman" w:hAnsi="Times New Roman"/>
          <w:sz w:val="17"/>
          <w:szCs w:val="17"/>
          <w:lang w:val="en-GB"/>
        </w:rPr>
        <w:t>The licence holder or registered master (exemption holder) must not delete or alter track logs recorded on electronic devices (e.g. Chart plotter, Global Positioning System) on board the charter boat for a period of 7 days after creating the track log if the boat has transited the Snapper Clo</w:t>
      </w:r>
      <w:r w:rsidR="00DC07CC">
        <w:rPr>
          <w:rFonts w:ascii="Times New Roman" w:eastAsia="Times New Roman" w:hAnsi="Times New Roman"/>
          <w:sz w:val="17"/>
          <w:szCs w:val="17"/>
          <w:lang w:val="en-GB"/>
        </w:rPr>
        <w:t xml:space="preserve">sure Area with Snapper </w:t>
      </w:r>
      <w:r w:rsidR="008A640A">
        <w:rPr>
          <w:rFonts w:ascii="Times New Roman" w:eastAsia="Times New Roman" w:hAnsi="Times New Roman"/>
          <w:sz w:val="17"/>
          <w:szCs w:val="17"/>
          <w:lang w:val="en-GB"/>
        </w:rPr>
        <w:t>on board</w:t>
      </w:r>
      <w:r w:rsidR="00DC07CC">
        <w:rPr>
          <w:rFonts w:ascii="Times New Roman" w:eastAsia="Times New Roman" w:hAnsi="Times New Roman"/>
          <w:sz w:val="17"/>
          <w:szCs w:val="17"/>
          <w:lang w:val="en-GB"/>
        </w:rPr>
        <w:t>.</w:t>
      </w:r>
    </w:p>
    <w:p w:rsidR="00E724E4" w:rsidRPr="00BB3741" w:rsidRDefault="00E724E4" w:rsidP="00E724E4">
      <w:pPr>
        <w:numPr>
          <w:ilvl w:val="0"/>
          <w:numId w:val="72"/>
        </w:numPr>
        <w:rPr>
          <w:rFonts w:ascii="Times New Roman" w:eastAsia="Times New Roman" w:hAnsi="Times New Roman"/>
          <w:sz w:val="17"/>
          <w:szCs w:val="17"/>
          <w:lang w:val="en-GB"/>
        </w:rPr>
      </w:pPr>
      <w:r w:rsidRPr="00BB3741">
        <w:rPr>
          <w:rFonts w:ascii="Times New Roman" w:eastAsia="Times New Roman" w:hAnsi="Times New Roman"/>
          <w:sz w:val="17"/>
          <w:szCs w:val="17"/>
          <w:lang w:val="en-GB"/>
        </w:rPr>
        <w:t>While engaging in the exempted activity, the licence holder or registered master must be in possession of a copy of this notice. This notice must be produced to a Fisheries Officer if requested.</w:t>
      </w:r>
    </w:p>
    <w:p w:rsidR="00E724E4" w:rsidRPr="00BB3741" w:rsidRDefault="00E724E4" w:rsidP="00E724E4">
      <w:pPr>
        <w:numPr>
          <w:ilvl w:val="0"/>
          <w:numId w:val="72"/>
        </w:numPr>
        <w:rPr>
          <w:rFonts w:ascii="Times New Roman" w:eastAsia="Times New Roman" w:hAnsi="Times New Roman"/>
          <w:sz w:val="17"/>
          <w:szCs w:val="17"/>
          <w:u w:val="single"/>
          <w:lang w:val="en-GB"/>
        </w:rPr>
      </w:pPr>
      <w:r w:rsidRPr="00BB3741">
        <w:rPr>
          <w:rFonts w:ascii="Times New Roman" w:eastAsia="Times New Roman" w:hAnsi="Times New Roman"/>
          <w:sz w:val="17"/>
          <w:szCs w:val="17"/>
          <w:lang w:val="en-GB"/>
        </w:rPr>
        <w:t xml:space="preserve">The exemption holders must not contravene or fail to comply with the </w:t>
      </w:r>
      <w:r w:rsidRPr="00BB3741">
        <w:rPr>
          <w:rFonts w:ascii="Times New Roman" w:eastAsia="Times New Roman" w:hAnsi="Times New Roman"/>
          <w:i/>
          <w:sz w:val="17"/>
          <w:szCs w:val="17"/>
          <w:lang w:val="en-GB"/>
        </w:rPr>
        <w:t>Fisheries Management Act 2007,</w:t>
      </w:r>
      <w:r w:rsidRPr="00BB3741">
        <w:rPr>
          <w:rFonts w:ascii="Times New Roman" w:eastAsia="Times New Roman" w:hAnsi="Times New Roman"/>
          <w:sz w:val="17"/>
          <w:szCs w:val="17"/>
          <w:lang w:val="en-GB"/>
        </w:rPr>
        <w:t xml:space="preserve"> or any regulations made under that Act, except where specifically exempted by this notice.</w:t>
      </w:r>
      <w:r w:rsidRPr="00BB3741">
        <w:rPr>
          <w:rFonts w:ascii="Times New Roman" w:eastAsia="Times New Roman" w:hAnsi="Times New Roman"/>
          <w:sz w:val="17"/>
          <w:szCs w:val="17"/>
          <w:u w:val="single"/>
          <w:lang w:val="en-GB"/>
        </w:rPr>
        <w:t xml:space="preserve"> </w:t>
      </w:r>
    </w:p>
    <w:p w:rsidR="00E724E4" w:rsidRPr="00BB3741" w:rsidRDefault="00E724E4" w:rsidP="00E724E4">
      <w:pPr>
        <w:jc w:val="center"/>
        <w:rPr>
          <w:rFonts w:ascii="Times New Roman" w:hAnsi="Times New Roman"/>
          <w:smallCaps/>
          <w:sz w:val="17"/>
          <w:szCs w:val="17"/>
          <w:lang w:val="en-GB"/>
        </w:rPr>
      </w:pPr>
      <w:r w:rsidRPr="00BB3741">
        <w:rPr>
          <w:rFonts w:ascii="Times New Roman" w:hAnsi="Times New Roman"/>
          <w:smallCaps/>
          <w:sz w:val="17"/>
          <w:szCs w:val="17"/>
          <w:lang w:val="en-GB"/>
        </w:rPr>
        <w:t>Schedule 2</w:t>
      </w:r>
    </w:p>
    <w:p w:rsidR="00E724E4" w:rsidRPr="00BB3741" w:rsidRDefault="00E724E4" w:rsidP="00E724E4">
      <w:pPr>
        <w:rPr>
          <w:rFonts w:ascii="Times New Roman" w:eastAsia="Times New Roman" w:hAnsi="Times New Roman"/>
          <w:sz w:val="17"/>
          <w:szCs w:val="17"/>
          <w:lang w:val="en-GB"/>
        </w:rPr>
      </w:pPr>
      <w:r w:rsidRPr="00BB3741">
        <w:rPr>
          <w:rFonts w:ascii="Times New Roman" w:eastAsia="Times New Roman" w:hAnsi="Times New Roman"/>
          <w:sz w:val="17"/>
          <w:szCs w:val="17"/>
          <w:lang w:val="en-GB"/>
        </w:rPr>
        <w:t>From 0001 hours on 15 December 2021 until 2359 hours on 31 January 2022.</w:t>
      </w:r>
    </w:p>
    <w:p w:rsidR="00E724E4" w:rsidRPr="00BB3741" w:rsidRDefault="00E724E4" w:rsidP="00E724E4">
      <w:pPr>
        <w:rPr>
          <w:rFonts w:ascii="Times New Roman" w:eastAsia="Times New Roman" w:hAnsi="Times New Roman"/>
          <w:sz w:val="17"/>
          <w:szCs w:val="17"/>
          <w:lang w:val="en-GB"/>
        </w:rPr>
      </w:pPr>
      <w:r w:rsidRPr="00BB3741">
        <w:rPr>
          <w:rFonts w:ascii="Times New Roman" w:eastAsia="Times New Roman" w:hAnsi="Times New Roman"/>
          <w:sz w:val="17"/>
          <w:szCs w:val="17"/>
          <w:lang w:val="en-GB"/>
        </w:rPr>
        <w:t>For the purpose of this Notice:</w:t>
      </w:r>
    </w:p>
    <w:p w:rsidR="00E724E4" w:rsidRPr="00BB3741" w:rsidRDefault="00E724E4" w:rsidP="00E724E4">
      <w:pPr>
        <w:rPr>
          <w:rFonts w:ascii="Times New Roman" w:eastAsia="Times New Roman" w:hAnsi="Times New Roman"/>
          <w:sz w:val="17"/>
          <w:szCs w:val="17"/>
        </w:rPr>
      </w:pPr>
      <w:r w:rsidRPr="00BB3741">
        <w:rPr>
          <w:rFonts w:ascii="Times New Roman" w:eastAsia="Times New Roman" w:hAnsi="Times New Roman"/>
          <w:b/>
          <w:sz w:val="17"/>
          <w:szCs w:val="17"/>
        </w:rPr>
        <w:t>Department</w:t>
      </w:r>
      <w:r w:rsidRPr="00BB3741">
        <w:rPr>
          <w:rFonts w:ascii="Times New Roman" w:eastAsia="Times New Roman" w:hAnsi="Times New Roman"/>
          <w:sz w:val="17"/>
          <w:szCs w:val="17"/>
        </w:rPr>
        <w:t xml:space="preserve"> — means the Department of Primary Industries and Regions (PIRSA)</w:t>
      </w:r>
    </w:p>
    <w:p w:rsidR="00E724E4" w:rsidRPr="00BB3741" w:rsidRDefault="00E724E4" w:rsidP="00E724E4">
      <w:pPr>
        <w:rPr>
          <w:rFonts w:ascii="Times New Roman" w:eastAsia="Times New Roman" w:hAnsi="Times New Roman"/>
          <w:b/>
          <w:sz w:val="17"/>
          <w:szCs w:val="17"/>
        </w:rPr>
      </w:pPr>
      <w:r w:rsidRPr="00BB3741">
        <w:rPr>
          <w:rFonts w:ascii="Times New Roman" w:eastAsia="Times New Roman" w:hAnsi="Times New Roman"/>
          <w:b/>
          <w:sz w:val="17"/>
          <w:szCs w:val="17"/>
        </w:rPr>
        <w:t>Snapper Closure Area</w:t>
      </w:r>
    </w:p>
    <w:p w:rsidR="00E724E4" w:rsidRPr="00BB3741" w:rsidRDefault="00E724E4" w:rsidP="00E724E4">
      <w:pPr>
        <w:rPr>
          <w:rFonts w:ascii="Times New Roman" w:eastAsia="Times New Roman" w:hAnsi="Times New Roman"/>
          <w:sz w:val="17"/>
          <w:szCs w:val="17"/>
        </w:rPr>
      </w:pPr>
      <w:r w:rsidRPr="00BB3741">
        <w:rPr>
          <w:rFonts w:ascii="Times New Roman" w:eastAsia="Times New Roman" w:hAnsi="Times New Roman"/>
          <w:sz w:val="17"/>
          <w:szCs w:val="17"/>
        </w:rPr>
        <w:t xml:space="preserve">The Snapper Closure Area comprises the State waters of the West Coast, Spencer Gulf and Gulf of St Vincent which are contained within and bounded by a line commencing at a location on mean high water springs closest to 31°41′12.94″ (31°41.216′) South, 129°00′04.90″ (129°00.082′) East, then beginning north-easterly following the line of mean high water springs to a location closest to 35°38′33.82″ (35°38.564′) South, 138°31′20.77″ (138°31.346′) East (Newland Head), then south westerly to a location on mean high water springs closest to 35°50′29.19″ (35°50.486′) South, 138°08′05.64″ (138°08.094′) East (Cape Willoughby), then beginning north-westerly following the line of mean high water springs to the location closest to </w:t>
      </w:r>
      <w:r w:rsidRPr="00BB3741">
        <w:rPr>
          <w:rFonts w:ascii="Times New Roman" w:eastAsia="Times New Roman" w:hAnsi="Times New Roman"/>
          <w:sz w:val="17"/>
          <w:szCs w:val="17"/>
          <w:lang w:val="en-GB"/>
        </w:rPr>
        <w:t xml:space="preserve"> </w:t>
      </w:r>
      <w:r w:rsidRPr="00BB3741">
        <w:rPr>
          <w:rFonts w:ascii="Times New Roman" w:eastAsia="Times New Roman" w:hAnsi="Times New Roman"/>
          <w:sz w:val="17"/>
          <w:szCs w:val="17"/>
        </w:rPr>
        <w:t>35°53'11.307" (35°53.188') South, 136°32'3.880" (136°32.065') East (Vennachar Point), then continuing south along the meridian of longitude 136°32′36″ (136°32.600′) East to the southern limit of the waters of the State, then beginning south-westerly along the said boundary to the intersection with the western border of the State of South Australia 31°41′15.24″ (31°41.254′) South, 129°00′04.54″ (129°00.076′) East, then north-easterly along the said border to the point of commencement.</w:t>
      </w:r>
    </w:p>
    <w:p w:rsidR="008A5507" w:rsidRDefault="008A5507">
      <w:pPr>
        <w:spacing w:after="0" w:line="240" w:lineRule="auto"/>
        <w:jc w:val="left"/>
        <w:rPr>
          <w:rFonts w:ascii="Times New Roman" w:eastAsia="Times New Roman" w:hAnsi="Times New Roman"/>
          <w:b/>
          <w:sz w:val="17"/>
          <w:szCs w:val="17"/>
          <w:lang w:val="en-GB"/>
        </w:rPr>
      </w:pPr>
      <w:r>
        <w:rPr>
          <w:rFonts w:ascii="Times New Roman" w:eastAsia="Times New Roman" w:hAnsi="Times New Roman"/>
          <w:b/>
          <w:sz w:val="17"/>
          <w:szCs w:val="17"/>
          <w:lang w:val="en-GB"/>
        </w:rPr>
        <w:br w:type="page"/>
      </w:r>
    </w:p>
    <w:p w:rsidR="00E724E4" w:rsidRPr="00BB3741" w:rsidRDefault="00E724E4" w:rsidP="00E724E4">
      <w:pPr>
        <w:rPr>
          <w:rFonts w:ascii="Times New Roman" w:eastAsia="Times New Roman" w:hAnsi="Times New Roman"/>
          <w:sz w:val="17"/>
          <w:szCs w:val="17"/>
          <w:lang w:val="en-GB"/>
        </w:rPr>
      </w:pPr>
      <w:r w:rsidRPr="00BB3741">
        <w:rPr>
          <w:rFonts w:ascii="Times New Roman" w:eastAsia="Times New Roman" w:hAnsi="Times New Roman"/>
          <w:b/>
          <w:sz w:val="17"/>
          <w:szCs w:val="17"/>
          <w:lang w:val="en-GB"/>
        </w:rPr>
        <w:lastRenderedPageBreak/>
        <w:t>Waters of the South East</w:t>
      </w:r>
      <w:r w:rsidRPr="00BB3741">
        <w:rPr>
          <w:rFonts w:ascii="Times New Roman" w:eastAsia="Times New Roman" w:hAnsi="Times New Roman"/>
          <w:sz w:val="17"/>
          <w:szCs w:val="17"/>
          <w:lang w:val="en-GB"/>
        </w:rPr>
        <w:t xml:space="preserve"> – means the South East Fishing Zone being the waters adjacent the south east coast of South Australia contained within and bounded by a line commencing at Mean High Water Springs closest to 35°38'26.13" South, 138°07'28.73" East (southern Fleurieu Peninsula), then beginning south-easterly following the line of Mean High Water Springs to the location closest to 38°03'39.05" South, 141°00'00.02" East (South Australian-Victorian border), but excluding the Murray Mouth, then southerly to 38°59'59.95" South, 141°00'00.02" East, then westerly to 38°59'59.95" South, 140°00'00.02" East, then northerly to 37°59'59.95" South, 140°00'00.02" East, then westerly to 37°59'59.95" South, 136°00'00.03" East, then northerly to 35°59'59.95" South, 136°00'00.03" East, then easterly to 35°59'59.95" South, 136°41'04.52" East (south-western Kangaroo Island), then beginning south-easterly following the line of Mean High Water Springs to the location closest to 35°48'07.14" South, 138°07'28.73" East (Cape St Albans, Kangaroo Island), then northerly to the point of commencement.</w:t>
      </w:r>
    </w:p>
    <w:p w:rsidR="00E724E4" w:rsidRPr="00BB3741" w:rsidRDefault="00E724E4" w:rsidP="00E724E4">
      <w:pPr>
        <w:rPr>
          <w:rFonts w:ascii="Times New Roman" w:eastAsia="Times New Roman" w:hAnsi="Times New Roman"/>
          <w:sz w:val="17"/>
          <w:szCs w:val="17"/>
          <w:lang w:val="en-GB"/>
        </w:rPr>
      </w:pPr>
      <w:r w:rsidRPr="00BB3741">
        <w:rPr>
          <w:rFonts w:ascii="Times New Roman" w:eastAsia="Times New Roman" w:hAnsi="Times New Roman"/>
          <w:sz w:val="17"/>
          <w:szCs w:val="17"/>
          <w:lang w:val="en-GB"/>
        </w:rPr>
        <w:t>The spatial descriptions are geodesics based on the Geocentric Datum of Australia 2020 (</w:t>
      </w:r>
      <w:r w:rsidRPr="00BB3741">
        <w:rPr>
          <w:rFonts w:ascii="Times New Roman" w:eastAsia="Times New Roman" w:hAnsi="Times New Roman"/>
          <w:i/>
          <w:sz w:val="17"/>
          <w:szCs w:val="17"/>
          <w:lang w:val="en-GB"/>
        </w:rPr>
        <w:t>GDA2020</w:t>
      </w:r>
      <w:r w:rsidRPr="00BB3741">
        <w:rPr>
          <w:rFonts w:ascii="Times New Roman" w:eastAsia="Times New Roman" w:hAnsi="Times New Roman"/>
          <w:sz w:val="17"/>
          <w:szCs w:val="17"/>
          <w:lang w:val="en-GB"/>
        </w:rPr>
        <w:t>).</w:t>
      </w:r>
    </w:p>
    <w:p w:rsidR="00E724E4" w:rsidRPr="00BB3741" w:rsidRDefault="00E724E4" w:rsidP="00E724E4">
      <w:pPr>
        <w:rPr>
          <w:rFonts w:ascii="Times New Roman" w:eastAsia="Times New Roman" w:hAnsi="Times New Roman"/>
          <w:sz w:val="17"/>
          <w:szCs w:val="17"/>
          <w:lang w:val="en-GB"/>
        </w:rPr>
      </w:pPr>
      <w:r w:rsidRPr="00BB3741">
        <w:rPr>
          <w:rFonts w:ascii="Times New Roman" w:eastAsia="Times New Roman" w:hAnsi="Times New Roman"/>
          <w:sz w:val="17"/>
          <w:szCs w:val="17"/>
          <w:lang w:val="en-GB"/>
        </w:rPr>
        <w:t xml:space="preserve">This notice does not purport to override the provisions or operation of any other Act including, but not limited to, the </w:t>
      </w:r>
      <w:r w:rsidRPr="00BB3741">
        <w:rPr>
          <w:rFonts w:ascii="Times New Roman" w:eastAsia="Times New Roman" w:hAnsi="Times New Roman"/>
          <w:i/>
          <w:sz w:val="17"/>
          <w:szCs w:val="17"/>
          <w:lang w:val="en-GB"/>
        </w:rPr>
        <w:t>Marine Parks Act 2007</w:t>
      </w:r>
      <w:r w:rsidRPr="00BB3741">
        <w:rPr>
          <w:rFonts w:ascii="Times New Roman" w:eastAsia="Times New Roman" w:hAnsi="Times New Roman"/>
          <w:sz w:val="17"/>
          <w:szCs w:val="17"/>
          <w:lang w:val="en-GB"/>
        </w:rPr>
        <w:t>. The exemption holder and agents must comply with any relevant regulations, permits, requirements and directions from the Department for Environment and Water when undertaking activities within a marine park.</w:t>
      </w:r>
    </w:p>
    <w:p w:rsidR="00E724E4" w:rsidRPr="00BB3741" w:rsidRDefault="00E724E4" w:rsidP="00E724E4">
      <w:pPr>
        <w:spacing w:after="0"/>
        <w:rPr>
          <w:rFonts w:ascii="Times New Roman" w:eastAsia="Times New Roman" w:hAnsi="Times New Roman"/>
          <w:sz w:val="17"/>
          <w:szCs w:val="17"/>
        </w:rPr>
      </w:pPr>
      <w:r w:rsidRPr="00BB3741">
        <w:rPr>
          <w:rFonts w:ascii="Times New Roman" w:eastAsia="Times New Roman" w:hAnsi="Times New Roman"/>
          <w:sz w:val="17"/>
          <w:szCs w:val="17"/>
          <w:lang w:val="en-GB"/>
        </w:rPr>
        <w:t>Dated: 14 December 2021</w:t>
      </w:r>
    </w:p>
    <w:p w:rsidR="00E724E4" w:rsidRPr="00BB3741" w:rsidRDefault="00E724E4" w:rsidP="00E724E4">
      <w:pPr>
        <w:spacing w:after="0"/>
        <w:jc w:val="right"/>
        <w:rPr>
          <w:rFonts w:ascii="Times New Roman" w:eastAsia="Times New Roman" w:hAnsi="Times New Roman"/>
          <w:smallCaps/>
          <w:sz w:val="17"/>
          <w:szCs w:val="20"/>
          <w:lang w:val="en-GB"/>
        </w:rPr>
      </w:pPr>
      <w:r w:rsidRPr="00BB3741">
        <w:rPr>
          <w:rFonts w:ascii="Times New Roman" w:eastAsia="Times New Roman" w:hAnsi="Times New Roman"/>
          <w:smallCaps/>
          <w:sz w:val="17"/>
          <w:szCs w:val="20"/>
          <w:lang w:val="en-GB"/>
        </w:rPr>
        <w:t>Prof Gavin Begg</w:t>
      </w:r>
    </w:p>
    <w:p w:rsidR="00E724E4" w:rsidRPr="00BB3741" w:rsidRDefault="00E724E4" w:rsidP="00E724E4">
      <w:pPr>
        <w:spacing w:after="0" w:line="240" w:lineRule="auto"/>
        <w:jc w:val="right"/>
        <w:rPr>
          <w:rFonts w:ascii="Times New Roman" w:eastAsia="Times New Roman" w:hAnsi="Times New Roman"/>
          <w:sz w:val="17"/>
          <w:szCs w:val="17"/>
          <w:lang w:val="en-GB"/>
        </w:rPr>
      </w:pPr>
      <w:r w:rsidRPr="00BB3741">
        <w:rPr>
          <w:rFonts w:ascii="Times New Roman" w:eastAsia="Times New Roman" w:hAnsi="Times New Roman"/>
          <w:sz w:val="17"/>
          <w:szCs w:val="17"/>
          <w:lang w:val="en-GB"/>
        </w:rPr>
        <w:t>Executive Director</w:t>
      </w:r>
    </w:p>
    <w:p w:rsidR="00E724E4" w:rsidRPr="00BB3741" w:rsidRDefault="00E724E4" w:rsidP="00E724E4">
      <w:pPr>
        <w:spacing w:after="0" w:line="240" w:lineRule="auto"/>
        <w:jc w:val="right"/>
        <w:rPr>
          <w:rFonts w:ascii="Times New Roman" w:eastAsia="Times New Roman" w:hAnsi="Times New Roman"/>
          <w:sz w:val="17"/>
          <w:szCs w:val="17"/>
          <w:lang w:val="en-GB"/>
        </w:rPr>
      </w:pPr>
      <w:r w:rsidRPr="00BB3741">
        <w:rPr>
          <w:rFonts w:ascii="Times New Roman" w:eastAsia="Times New Roman" w:hAnsi="Times New Roman"/>
          <w:sz w:val="17"/>
          <w:szCs w:val="17"/>
          <w:lang w:val="en-GB"/>
        </w:rPr>
        <w:t>Fisheries and Aquaculture</w:t>
      </w:r>
    </w:p>
    <w:p w:rsidR="00E724E4" w:rsidRDefault="00E724E4" w:rsidP="00B80497">
      <w:pPr>
        <w:spacing w:after="0" w:line="240" w:lineRule="auto"/>
        <w:jc w:val="right"/>
        <w:rPr>
          <w:rFonts w:ascii="Times New Roman" w:eastAsia="Times New Roman" w:hAnsi="Times New Roman"/>
          <w:sz w:val="17"/>
          <w:szCs w:val="17"/>
          <w:lang w:val="en-GB"/>
        </w:rPr>
      </w:pPr>
      <w:r w:rsidRPr="00BB3741">
        <w:rPr>
          <w:rFonts w:ascii="Times New Roman" w:eastAsia="Times New Roman" w:hAnsi="Times New Roman"/>
          <w:sz w:val="17"/>
          <w:szCs w:val="17"/>
          <w:lang w:val="en-GB"/>
        </w:rPr>
        <w:t>Delegate of the Minister for Primary Industries and Regional Development</w:t>
      </w:r>
    </w:p>
    <w:p w:rsidR="00B80497" w:rsidRDefault="00B80497" w:rsidP="00B80497">
      <w:pPr>
        <w:pBdr>
          <w:bottom w:val="single" w:sz="4" w:space="1" w:color="auto"/>
        </w:pBdr>
        <w:spacing w:after="0" w:line="52" w:lineRule="exact"/>
        <w:jc w:val="center"/>
        <w:rPr>
          <w:rFonts w:ascii="Times New Roman" w:eastAsia="Times New Roman" w:hAnsi="Times New Roman"/>
          <w:sz w:val="17"/>
          <w:szCs w:val="20"/>
        </w:rPr>
      </w:pPr>
    </w:p>
    <w:p w:rsidR="00B80497" w:rsidRDefault="00B80497" w:rsidP="00B80497">
      <w:pPr>
        <w:pBdr>
          <w:top w:val="single" w:sz="4" w:space="1" w:color="auto"/>
        </w:pBdr>
        <w:spacing w:before="34" w:after="0" w:line="14" w:lineRule="exact"/>
        <w:jc w:val="center"/>
        <w:rPr>
          <w:rFonts w:ascii="Times New Roman" w:eastAsia="Times New Roman" w:hAnsi="Times New Roman"/>
          <w:sz w:val="17"/>
          <w:szCs w:val="20"/>
        </w:rPr>
      </w:pPr>
    </w:p>
    <w:p w:rsidR="00B80497" w:rsidRPr="00404DF3" w:rsidRDefault="00B80497" w:rsidP="00404D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A45952" w:rsidRPr="00404DF3" w:rsidRDefault="00A45952" w:rsidP="00EA25B1">
      <w:pPr>
        <w:pStyle w:val="Heading2"/>
        <w:rPr>
          <w:lang w:eastAsia="en-AU"/>
        </w:rPr>
      </w:pPr>
      <w:bookmarkStart w:id="69" w:name="_Toc91161263"/>
      <w:r w:rsidRPr="00404DF3">
        <w:rPr>
          <w:lang w:eastAsia="en-AU"/>
        </w:rPr>
        <w:t>Gambling Administration Act 2019</w:t>
      </w:r>
      <w:bookmarkEnd w:id="69"/>
    </w:p>
    <w:p w:rsidR="00A45952" w:rsidRPr="00404DF3" w:rsidRDefault="00A45952" w:rsidP="00404DF3">
      <w:pPr>
        <w:spacing w:after="120" w:line="240" w:lineRule="auto"/>
        <w:jc w:val="left"/>
        <w:rPr>
          <w:rFonts w:ascii="Times New Roman" w:eastAsia="Times New Roman" w:hAnsi="Times New Roman"/>
          <w:sz w:val="20"/>
          <w:szCs w:val="20"/>
          <w:lang w:eastAsia="en-AU"/>
        </w:rPr>
      </w:pPr>
      <w:r w:rsidRPr="00404DF3">
        <w:rPr>
          <w:rFonts w:ascii="Times New Roman" w:eastAsia="Times New Roman" w:hAnsi="Times New Roman"/>
          <w:sz w:val="20"/>
          <w:szCs w:val="20"/>
          <w:lang w:eastAsia="en-AU"/>
        </w:rPr>
        <w:t>South Australia</w:t>
      </w:r>
    </w:p>
    <w:p w:rsidR="00A45952" w:rsidRPr="00404DF3" w:rsidRDefault="00A45952" w:rsidP="00404DF3">
      <w:pPr>
        <w:spacing w:after="240" w:line="240" w:lineRule="auto"/>
        <w:jc w:val="left"/>
        <w:rPr>
          <w:rFonts w:ascii="Times New Roman" w:eastAsia="Times New Roman" w:hAnsi="Times New Roman"/>
          <w:b/>
          <w:sz w:val="24"/>
          <w:szCs w:val="24"/>
          <w:lang w:eastAsia="en-AU"/>
        </w:rPr>
      </w:pPr>
      <w:r w:rsidRPr="00404DF3">
        <w:rPr>
          <w:rFonts w:ascii="Times New Roman" w:eastAsia="Times New Roman" w:hAnsi="Times New Roman"/>
          <w:b/>
          <w:sz w:val="24"/>
          <w:szCs w:val="24"/>
          <w:lang w:eastAsia="en-AU"/>
        </w:rPr>
        <w:t>Authorised Betting Operations Gambling Code of Practice Prescription Notice 2021</w:t>
      </w:r>
    </w:p>
    <w:p w:rsidR="00A45952" w:rsidRPr="00404DF3" w:rsidRDefault="00A45952" w:rsidP="00404DF3">
      <w:pPr>
        <w:spacing w:after="120" w:line="240" w:lineRule="auto"/>
        <w:jc w:val="left"/>
        <w:rPr>
          <w:rFonts w:ascii="Times New Roman" w:eastAsia="Times New Roman" w:hAnsi="Times New Roman"/>
          <w:i/>
          <w:sz w:val="17"/>
          <w:szCs w:val="17"/>
          <w:lang w:eastAsia="en-AU"/>
        </w:rPr>
      </w:pPr>
      <w:r w:rsidRPr="00404DF3">
        <w:rPr>
          <w:rFonts w:ascii="Times New Roman" w:eastAsia="Times New Roman" w:hAnsi="Times New Roman"/>
          <w:sz w:val="17"/>
          <w:szCs w:val="17"/>
          <w:lang w:eastAsia="en-AU"/>
        </w:rPr>
        <w:t xml:space="preserve">under section 15 of the </w:t>
      </w:r>
      <w:r w:rsidRPr="00404DF3">
        <w:rPr>
          <w:rFonts w:ascii="Times New Roman" w:eastAsia="Times New Roman" w:hAnsi="Times New Roman"/>
          <w:i/>
          <w:sz w:val="17"/>
          <w:szCs w:val="17"/>
          <w:lang w:eastAsia="en-AU"/>
        </w:rPr>
        <w:t>Gambling Administration Act 2019</w:t>
      </w:r>
    </w:p>
    <w:p w:rsidR="00A45952" w:rsidRPr="00404DF3" w:rsidRDefault="00A45952" w:rsidP="00A32552">
      <w:pPr>
        <w:tabs>
          <w:tab w:val="left" w:pos="540"/>
        </w:tabs>
        <w:spacing w:after="120" w:line="240" w:lineRule="auto"/>
        <w:jc w:val="left"/>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1—Short title</w:t>
      </w:r>
    </w:p>
    <w:p w:rsidR="00A45952" w:rsidRPr="00404DF3" w:rsidRDefault="00A45952" w:rsidP="00A32552">
      <w:pPr>
        <w:tabs>
          <w:tab w:val="left" w:pos="540"/>
          <w:tab w:val="left" w:pos="900"/>
        </w:tabs>
        <w:spacing w:after="120" w:line="240" w:lineRule="auto"/>
        <w:ind w:left="539"/>
        <w:jc w:val="left"/>
        <w:rPr>
          <w:rFonts w:ascii="Times New Roman" w:eastAsia="Times New Roman" w:hAnsi="Times New Roman"/>
          <w:i/>
          <w:sz w:val="17"/>
          <w:szCs w:val="17"/>
          <w:lang w:eastAsia="en-AU"/>
        </w:rPr>
      </w:pPr>
      <w:r w:rsidRPr="00404DF3">
        <w:rPr>
          <w:rFonts w:ascii="Times New Roman" w:eastAsia="Times New Roman" w:hAnsi="Times New Roman"/>
          <w:sz w:val="17"/>
          <w:szCs w:val="17"/>
          <w:lang w:eastAsia="en-AU"/>
        </w:rPr>
        <w:t xml:space="preserve">This notice may be cited as the </w:t>
      </w:r>
      <w:r w:rsidRPr="00404DF3">
        <w:rPr>
          <w:rFonts w:ascii="Times New Roman" w:eastAsia="Times New Roman" w:hAnsi="Times New Roman"/>
          <w:i/>
          <w:sz w:val="17"/>
          <w:szCs w:val="17"/>
          <w:lang w:eastAsia="en-AU"/>
        </w:rPr>
        <w:t>Authorised Betting Operations Gambling Code of Practice Prescription Notice 2021.</w:t>
      </w:r>
    </w:p>
    <w:p w:rsidR="00A45952" w:rsidRPr="00404DF3" w:rsidRDefault="00A45952" w:rsidP="00A32552">
      <w:pPr>
        <w:tabs>
          <w:tab w:val="left" w:pos="540"/>
        </w:tabs>
        <w:spacing w:after="120" w:line="240" w:lineRule="auto"/>
        <w:jc w:val="left"/>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2—Commencement</w:t>
      </w:r>
    </w:p>
    <w:p w:rsidR="00A45952" w:rsidRPr="00404DF3" w:rsidRDefault="00A45952" w:rsidP="00A32552">
      <w:pPr>
        <w:tabs>
          <w:tab w:val="left" w:pos="540"/>
          <w:tab w:val="left" w:pos="900"/>
        </w:tabs>
        <w:spacing w:after="120" w:line="240" w:lineRule="auto"/>
        <w:ind w:left="539"/>
        <w:jc w:val="left"/>
        <w:rPr>
          <w:rFonts w:ascii="Times New Roman" w:eastAsia="Times New Roman" w:hAnsi="Times New Roman"/>
          <w:sz w:val="17"/>
          <w:szCs w:val="17"/>
          <w:lang w:eastAsia="en-AU"/>
        </w:rPr>
      </w:pPr>
      <w:r w:rsidRPr="00404DF3">
        <w:rPr>
          <w:rFonts w:ascii="Times New Roman" w:eastAsia="Times New Roman" w:hAnsi="Times New Roman"/>
          <w:sz w:val="17"/>
          <w:szCs w:val="17"/>
          <w:lang w:eastAsia="en-AU"/>
        </w:rPr>
        <w:t>This notice comes into operation on 23 December 2021.</w:t>
      </w:r>
    </w:p>
    <w:p w:rsidR="00A45952" w:rsidRPr="00404DF3" w:rsidRDefault="00A45952" w:rsidP="00A32552">
      <w:pPr>
        <w:tabs>
          <w:tab w:val="left" w:pos="540"/>
        </w:tabs>
        <w:spacing w:after="120" w:line="240" w:lineRule="auto"/>
        <w:jc w:val="left"/>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3—Revocation of existing codes of practice</w:t>
      </w:r>
    </w:p>
    <w:p w:rsidR="00A45952" w:rsidRPr="00404DF3" w:rsidRDefault="00A45952" w:rsidP="00A32552">
      <w:pPr>
        <w:tabs>
          <w:tab w:val="left" w:pos="540"/>
        </w:tabs>
        <w:spacing w:after="120" w:line="240" w:lineRule="auto"/>
        <w:ind w:left="539"/>
        <w:jc w:val="left"/>
        <w:rPr>
          <w:rFonts w:ascii="Times New Roman" w:eastAsia="Times New Roman" w:hAnsi="Times New Roman"/>
          <w:sz w:val="17"/>
          <w:szCs w:val="17"/>
          <w:lang w:eastAsia="en-AU"/>
        </w:rPr>
      </w:pPr>
      <w:r w:rsidRPr="00404DF3">
        <w:rPr>
          <w:rFonts w:ascii="Times New Roman" w:eastAsia="Times New Roman" w:hAnsi="Times New Roman"/>
          <w:sz w:val="17"/>
          <w:szCs w:val="17"/>
          <w:lang w:eastAsia="en-AU"/>
        </w:rPr>
        <w:t xml:space="preserve">In accordance with section 15(6) of the </w:t>
      </w:r>
      <w:r w:rsidRPr="00404DF3">
        <w:rPr>
          <w:rFonts w:ascii="Times New Roman" w:eastAsia="Times New Roman" w:hAnsi="Times New Roman"/>
          <w:i/>
          <w:iCs/>
          <w:sz w:val="17"/>
          <w:szCs w:val="17"/>
          <w:lang w:eastAsia="en-AU"/>
        </w:rPr>
        <w:t>Gambling Administration Act 2019</w:t>
      </w:r>
      <w:r w:rsidRPr="00404DF3">
        <w:rPr>
          <w:rFonts w:ascii="Times New Roman" w:eastAsia="Times New Roman" w:hAnsi="Times New Roman"/>
          <w:sz w:val="17"/>
          <w:szCs w:val="17"/>
          <w:lang w:eastAsia="en-AU"/>
        </w:rPr>
        <w:t xml:space="preserve">, the provisions of an advertising code of practice or a responsible gambling code of practice made and in force under the </w:t>
      </w:r>
      <w:r w:rsidRPr="00404DF3">
        <w:rPr>
          <w:rFonts w:ascii="Times New Roman" w:eastAsia="Times New Roman" w:hAnsi="Times New Roman"/>
          <w:i/>
          <w:iCs/>
          <w:sz w:val="17"/>
          <w:szCs w:val="17"/>
          <w:lang w:eastAsia="en-AU"/>
        </w:rPr>
        <w:t xml:space="preserve">Authorised Betting Operations Act 2000 </w:t>
      </w:r>
      <w:r w:rsidRPr="00404DF3">
        <w:rPr>
          <w:rFonts w:ascii="Times New Roman" w:eastAsia="Times New Roman" w:hAnsi="Times New Roman"/>
          <w:sz w:val="17"/>
          <w:szCs w:val="17"/>
          <w:lang w:eastAsia="en-AU"/>
        </w:rPr>
        <w:t xml:space="preserve">are, insofar as they apply to an authorised betting operator under the </w:t>
      </w:r>
      <w:r w:rsidRPr="00404DF3">
        <w:rPr>
          <w:rFonts w:ascii="Times New Roman" w:eastAsia="Times New Roman" w:hAnsi="Times New Roman"/>
          <w:i/>
          <w:iCs/>
          <w:sz w:val="17"/>
          <w:szCs w:val="17"/>
          <w:lang w:eastAsia="en-AU"/>
        </w:rPr>
        <w:t>Authorised Betting Operations Act 2000</w:t>
      </w:r>
      <w:r w:rsidRPr="00404DF3">
        <w:rPr>
          <w:rFonts w:ascii="Times New Roman" w:eastAsia="Times New Roman" w:hAnsi="Times New Roman"/>
          <w:sz w:val="17"/>
          <w:szCs w:val="17"/>
          <w:lang w:eastAsia="en-AU"/>
        </w:rPr>
        <w:t>, revoked.</w:t>
      </w:r>
    </w:p>
    <w:p w:rsidR="00A45952" w:rsidRPr="00404DF3" w:rsidRDefault="00A45952" w:rsidP="00A32552">
      <w:pPr>
        <w:tabs>
          <w:tab w:val="left" w:pos="540"/>
        </w:tabs>
        <w:spacing w:after="120" w:line="240" w:lineRule="auto"/>
        <w:jc w:val="left"/>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4—Code of practice</w:t>
      </w:r>
    </w:p>
    <w:p w:rsidR="00A45952" w:rsidRPr="00404DF3" w:rsidRDefault="00A45952" w:rsidP="00A32552">
      <w:pPr>
        <w:tabs>
          <w:tab w:val="left" w:pos="540"/>
        </w:tabs>
        <w:spacing w:after="120" w:line="240" w:lineRule="auto"/>
        <w:ind w:left="539"/>
        <w:jc w:val="left"/>
        <w:rPr>
          <w:rFonts w:ascii="Times New Roman" w:eastAsia="Times New Roman" w:hAnsi="Times New Roman"/>
          <w:sz w:val="17"/>
          <w:szCs w:val="17"/>
          <w:lang w:eastAsia="en-AU"/>
        </w:rPr>
      </w:pPr>
      <w:r w:rsidRPr="00404DF3">
        <w:rPr>
          <w:rFonts w:ascii="Times New Roman" w:eastAsia="Times New Roman" w:hAnsi="Times New Roman"/>
          <w:sz w:val="17"/>
          <w:szCs w:val="17"/>
          <w:lang w:eastAsia="en-AU"/>
        </w:rPr>
        <w:t xml:space="preserve">The Authorised Betting Operations Gambling Code of Practice as set out in this notice is prescribed under section 15 of the </w:t>
      </w:r>
      <w:r w:rsidRPr="00404DF3">
        <w:rPr>
          <w:rFonts w:ascii="Times New Roman" w:eastAsia="Times New Roman" w:hAnsi="Times New Roman"/>
          <w:i/>
          <w:iCs/>
          <w:sz w:val="17"/>
          <w:szCs w:val="17"/>
          <w:lang w:eastAsia="en-AU"/>
        </w:rPr>
        <w:t>Gambling Administration Act 2019</w:t>
      </w:r>
      <w:r w:rsidRPr="00404DF3">
        <w:rPr>
          <w:rFonts w:ascii="Times New Roman" w:eastAsia="Times New Roman" w:hAnsi="Times New Roman"/>
          <w:sz w:val="17"/>
          <w:szCs w:val="17"/>
          <w:lang w:eastAsia="en-AU"/>
        </w:rPr>
        <w:t xml:space="preserve">, for the purposes of the </w:t>
      </w:r>
      <w:r w:rsidRPr="00404DF3">
        <w:rPr>
          <w:rFonts w:ascii="Times New Roman" w:eastAsia="Times New Roman" w:hAnsi="Times New Roman"/>
          <w:i/>
          <w:iCs/>
          <w:sz w:val="17"/>
          <w:szCs w:val="17"/>
          <w:lang w:eastAsia="en-AU"/>
        </w:rPr>
        <w:t>Authorised Betting Operations Act 2000</w:t>
      </w:r>
      <w:r w:rsidRPr="00404DF3">
        <w:rPr>
          <w:rFonts w:ascii="Times New Roman" w:eastAsia="Times New Roman" w:hAnsi="Times New Roman"/>
          <w:sz w:val="17"/>
          <w:szCs w:val="17"/>
          <w:lang w:eastAsia="en-AU"/>
        </w:rPr>
        <w:t>.</w:t>
      </w:r>
    </w:p>
    <w:p w:rsidR="00A45952" w:rsidRPr="00404DF3" w:rsidRDefault="00A45952" w:rsidP="00A32552">
      <w:pPr>
        <w:tabs>
          <w:tab w:val="left" w:pos="540"/>
        </w:tabs>
        <w:spacing w:after="120" w:line="240" w:lineRule="auto"/>
        <w:ind w:left="539"/>
        <w:jc w:val="left"/>
        <w:rPr>
          <w:rFonts w:ascii="Times New Roman" w:eastAsia="Times New Roman" w:hAnsi="Times New Roman"/>
          <w:spacing w:val="-1"/>
          <w:sz w:val="17"/>
          <w:szCs w:val="17"/>
          <w:lang w:eastAsia="en-AU"/>
        </w:rPr>
      </w:pPr>
      <w:r w:rsidRPr="00404DF3">
        <w:rPr>
          <w:rFonts w:ascii="Times New Roman" w:eastAsia="Times New Roman" w:hAnsi="Times New Roman"/>
          <w:spacing w:val="-1"/>
          <w:sz w:val="17"/>
          <w:szCs w:val="17"/>
          <w:lang w:eastAsia="en-AU"/>
        </w:rPr>
        <w:t xml:space="preserve">In accordance with ss 48, 49, 60A, 60B, 62B and 62C of the </w:t>
      </w:r>
      <w:r w:rsidRPr="00404DF3">
        <w:rPr>
          <w:rFonts w:ascii="Times New Roman" w:eastAsia="Times New Roman" w:hAnsi="Times New Roman"/>
          <w:i/>
          <w:iCs/>
          <w:spacing w:val="-1"/>
          <w:sz w:val="17"/>
          <w:szCs w:val="17"/>
          <w:lang w:eastAsia="en-AU"/>
        </w:rPr>
        <w:t>Authorised Betting Operations Act 2000</w:t>
      </w:r>
      <w:r w:rsidRPr="00404DF3">
        <w:rPr>
          <w:rFonts w:ascii="Times New Roman" w:eastAsia="Times New Roman" w:hAnsi="Times New Roman"/>
          <w:spacing w:val="-1"/>
          <w:sz w:val="17"/>
          <w:szCs w:val="17"/>
          <w:lang w:eastAsia="en-AU"/>
        </w:rPr>
        <w:t xml:space="preserve">, an authorised betting operator must ensure, in the performance of its functions, that it conforms with the provisions of the applicable responsible gambling codes of practice or the applicable advertising codes of practice prescribed under the </w:t>
      </w:r>
      <w:r w:rsidRPr="00404DF3">
        <w:rPr>
          <w:rFonts w:ascii="Times New Roman" w:eastAsia="Times New Roman" w:hAnsi="Times New Roman"/>
          <w:i/>
          <w:iCs/>
          <w:spacing w:val="-1"/>
          <w:sz w:val="17"/>
          <w:szCs w:val="17"/>
          <w:lang w:eastAsia="en-AU"/>
        </w:rPr>
        <w:t>Gambling Administration Act 2019</w:t>
      </w:r>
      <w:r w:rsidRPr="00404DF3">
        <w:rPr>
          <w:rFonts w:ascii="Times New Roman" w:eastAsia="Times New Roman" w:hAnsi="Times New Roman"/>
          <w:spacing w:val="-1"/>
          <w:sz w:val="17"/>
          <w:szCs w:val="17"/>
          <w:lang w:eastAsia="en-AU"/>
        </w:rPr>
        <w:t>.</w:t>
      </w:r>
    </w:p>
    <w:p w:rsidR="00A45952" w:rsidRPr="00404DF3" w:rsidRDefault="00A45952" w:rsidP="00A32552">
      <w:pPr>
        <w:tabs>
          <w:tab w:val="left" w:pos="540"/>
          <w:tab w:val="left" w:pos="900"/>
          <w:tab w:val="left" w:pos="1080"/>
        </w:tabs>
        <w:spacing w:after="120" w:line="240" w:lineRule="auto"/>
        <w:ind w:left="1080" w:hanging="1080"/>
        <w:jc w:val="left"/>
        <w:rPr>
          <w:rFonts w:ascii="Times New Roman" w:eastAsia="Times New Roman" w:hAnsi="Times New Roman"/>
          <w:sz w:val="24"/>
          <w:szCs w:val="24"/>
          <w:lang w:eastAsia="en-AU"/>
        </w:rPr>
      </w:pPr>
      <w:r w:rsidRPr="00404DF3">
        <w:rPr>
          <w:rFonts w:ascii="Times New Roman" w:eastAsia="Times New Roman" w:hAnsi="Times New Roman"/>
          <w:b/>
          <w:sz w:val="24"/>
          <w:szCs w:val="24"/>
          <w:lang w:eastAsia="en-AU"/>
        </w:rPr>
        <w:t xml:space="preserve">Authorised Betting Operations Gambling Code of Practice </w:t>
      </w:r>
    </w:p>
    <w:p w:rsidR="00A45952" w:rsidRPr="00404DF3" w:rsidRDefault="00A45952" w:rsidP="00A32552">
      <w:pPr>
        <w:spacing w:after="120" w:line="240" w:lineRule="auto"/>
        <w:jc w:val="left"/>
        <w:rPr>
          <w:rFonts w:ascii="Times New Roman" w:eastAsia="Times New Roman" w:hAnsi="Times New Roman"/>
          <w:sz w:val="17"/>
          <w:szCs w:val="17"/>
          <w:lang w:eastAsia="en-AU"/>
        </w:rPr>
      </w:pPr>
    </w:p>
    <w:p w:rsidR="00A45952" w:rsidRPr="00404DF3" w:rsidRDefault="00A45952" w:rsidP="00A32552">
      <w:pPr>
        <w:spacing w:after="120" w:line="240" w:lineRule="auto"/>
        <w:jc w:val="left"/>
        <w:rPr>
          <w:rFonts w:ascii="Times New Roman" w:eastAsia="Times New Roman" w:hAnsi="Times New Roman"/>
          <w:b/>
          <w:sz w:val="20"/>
          <w:szCs w:val="20"/>
          <w:lang w:eastAsia="en-AU"/>
        </w:rPr>
      </w:pPr>
      <w:r w:rsidRPr="00404DF3">
        <w:rPr>
          <w:rFonts w:ascii="Times New Roman" w:eastAsia="Times New Roman" w:hAnsi="Times New Roman"/>
          <w:b/>
          <w:sz w:val="20"/>
          <w:szCs w:val="20"/>
          <w:lang w:eastAsia="en-AU"/>
        </w:rPr>
        <w:t>Part 1—Preliminary</w:t>
      </w:r>
    </w:p>
    <w:p w:rsidR="00A45952" w:rsidRPr="00404DF3" w:rsidRDefault="00A45952" w:rsidP="00A32552">
      <w:pPr>
        <w:spacing w:after="120" w:line="240" w:lineRule="auto"/>
        <w:jc w:val="left"/>
        <w:rPr>
          <w:rFonts w:ascii="Times New Roman" w:eastAsia="Times New Roman" w:hAnsi="Times New Roman"/>
          <w:sz w:val="17"/>
          <w:szCs w:val="17"/>
          <w:lang w:eastAsia="en-AU"/>
        </w:rPr>
      </w:pP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Scope</w:t>
      </w:r>
    </w:p>
    <w:p w:rsidR="00A45952" w:rsidRPr="00404DF3" w:rsidRDefault="00A45952" w:rsidP="00A32552">
      <w:pPr>
        <w:tabs>
          <w:tab w:val="left" w:pos="426"/>
          <w:tab w:val="left" w:pos="900"/>
        </w:tabs>
        <w:spacing w:after="120" w:line="240" w:lineRule="auto"/>
        <w:ind w:left="426"/>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This code of practice is prescribed under section 15 of the </w:t>
      </w:r>
      <w:r w:rsidRPr="00404DF3">
        <w:rPr>
          <w:rFonts w:ascii="Times New Roman" w:eastAsia="Times New Roman" w:hAnsi="Times New Roman"/>
          <w:i/>
          <w:iCs/>
          <w:sz w:val="17"/>
          <w:szCs w:val="17"/>
          <w:lang w:eastAsia="en-AU" w:bidi="en-US"/>
        </w:rPr>
        <w:t xml:space="preserve">Gambling Administration Act 2019, </w:t>
      </w:r>
      <w:r w:rsidRPr="00404DF3">
        <w:rPr>
          <w:rFonts w:ascii="Times New Roman" w:eastAsia="Times New Roman" w:hAnsi="Times New Roman"/>
          <w:sz w:val="17"/>
          <w:szCs w:val="17"/>
          <w:lang w:eastAsia="en-AU" w:bidi="en-US"/>
        </w:rPr>
        <w:t xml:space="preserve">for the purposes of the </w:t>
      </w:r>
      <w:r w:rsidRPr="00404DF3">
        <w:rPr>
          <w:rFonts w:ascii="Times New Roman" w:eastAsia="Times New Roman" w:hAnsi="Times New Roman"/>
          <w:i/>
          <w:sz w:val="17"/>
          <w:szCs w:val="17"/>
          <w:lang w:eastAsia="en-AU" w:bidi="en-US"/>
        </w:rPr>
        <w:t>Authorised Betting Operations Act 2000</w:t>
      </w:r>
      <w:r w:rsidRPr="00404DF3">
        <w:rPr>
          <w:rFonts w:ascii="Times New Roman" w:eastAsia="Times New Roman" w:hAnsi="Times New Roman"/>
          <w:sz w:val="17"/>
          <w:szCs w:val="17"/>
          <w:lang w:eastAsia="en-AU" w:bidi="en-US"/>
        </w:rPr>
        <w:t xml:space="preserve">, and is inclusive of the advertising code of practice </w:t>
      </w:r>
      <w:r w:rsidRPr="00404DF3">
        <w:rPr>
          <w:rFonts w:ascii="Times New Roman" w:eastAsia="Times New Roman" w:hAnsi="Times New Roman"/>
          <w:i/>
          <w:sz w:val="17"/>
          <w:szCs w:val="17"/>
          <w:lang w:eastAsia="en-AU" w:bidi="en-US"/>
        </w:rPr>
        <w:t>(Part 2)</w:t>
      </w:r>
      <w:r w:rsidRPr="00404DF3">
        <w:rPr>
          <w:rFonts w:ascii="Times New Roman" w:eastAsia="Times New Roman" w:hAnsi="Times New Roman"/>
          <w:sz w:val="17"/>
          <w:szCs w:val="17"/>
          <w:lang w:eastAsia="en-AU" w:bidi="en-US"/>
        </w:rPr>
        <w:t xml:space="preserve"> and the responsible gambling code of practice </w:t>
      </w:r>
      <w:r w:rsidRPr="00404DF3">
        <w:rPr>
          <w:rFonts w:ascii="Times New Roman" w:eastAsia="Times New Roman" w:hAnsi="Times New Roman"/>
          <w:i/>
          <w:sz w:val="17"/>
          <w:szCs w:val="17"/>
          <w:lang w:eastAsia="en-AU" w:bidi="en-US"/>
        </w:rPr>
        <w:t>(Part 3)</w:t>
      </w:r>
      <w:r w:rsidRPr="00404DF3">
        <w:rPr>
          <w:rFonts w:ascii="Times New Roman" w:eastAsia="Times New Roman" w:hAnsi="Times New Roman"/>
          <w:sz w:val="17"/>
          <w:szCs w:val="17"/>
          <w:lang w:eastAsia="en-AU" w:bidi="en-US"/>
        </w:rPr>
        <w:t>.</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Commencement</w:t>
      </w:r>
    </w:p>
    <w:p w:rsidR="00A45952" w:rsidRPr="00404DF3" w:rsidRDefault="00A45952" w:rsidP="00A32552">
      <w:pPr>
        <w:tabs>
          <w:tab w:val="left" w:pos="426"/>
          <w:tab w:val="left" w:pos="900"/>
        </w:tabs>
        <w:spacing w:after="120" w:line="240" w:lineRule="auto"/>
        <w:ind w:left="426"/>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This code of practice comes into operation on 23 December 2021.</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Purpose of the code</w:t>
      </w:r>
    </w:p>
    <w:p w:rsidR="00A45952" w:rsidRPr="00404DF3" w:rsidRDefault="00A45952" w:rsidP="00A32552">
      <w:pPr>
        <w:numPr>
          <w:ilvl w:val="0"/>
          <w:numId w:val="90"/>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The purpose of this code of practice is to promote the objects of the </w:t>
      </w:r>
      <w:r w:rsidRPr="00404DF3">
        <w:rPr>
          <w:rFonts w:ascii="Times New Roman" w:eastAsia="Times New Roman" w:hAnsi="Times New Roman"/>
          <w:i/>
          <w:iCs/>
          <w:sz w:val="17"/>
          <w:szCs w:val="17"/>
          <w:lang w:eastAsia="en-AU" w:bidi="en-US"/>
        </w:rPr>
        <w:t xml:space="preserve">Gambling Administration Act 2019 </w:t>
      </w:r>
      <w:r w:rsidRPr="00404DF3">
        <w:rPr>
          <w:rFonts w:ascii="Times New Roman" w:eastAsia="Times New Roman" w:hAnsi="Times New Roman"/>
          <w:sz w:val="17"/>
          <w:szCs w:val="17"/>
          <w:lang w:eastAsia="en-AU" w:bidi="en-US"/>
        </w:rPr>
        <w:t>and, in particular—</w:t>
      </w:r>
    </w:p>
    <w:p w:rsidR="00A45952" w:rsidRPr="00404DF3" w:rsidRDefault="00A45952" w:rsidP="00A32552">
      <w:pPr>
        <w:numPr>
          <w:ilvl w:val="0"/>
          <w:numId w:val="91"/>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to reduce the prevalence and severity of harm associated with the misuse and abuse of gambling activities; and</w:t>
      </w:r>
    </w:p>
    <w:p w:rsidR="00A45952" w:rsidRPr="00404DF3" w:rsidRDefault="00A45952" w:rsidP="00A32552">
      <w:pPr>
        <w:numPr>
          <w:ilvl w:val="0"/>
          <w:numId w:val="91"/>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to foster responsible conduct in relation to gambling and in particular, to ensure that gambling is conducted responsibly, fairly and honestly, with regard to minimising the harm associated with gambling; and</w:t>
      </w:r>
    </w:p>
    <w:p w:rsidR="00A45952" w:rsidRPr="00404DF3" w:rsidRDefault="00A45952" w:rsidP="00A32552">
      <w:pPr>
        <w:numPr>
          <w:ilvl w:val="0"/>
          <w:numId w:val="91"/>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lastRenderedPageBreak/>
        <w:t>to facilitate the balanced development and maintenance, in the public interest, of an economically viable and socially responsible gambling industry in the State recognising the positive and negative impacts of gambling on communities; and</w:t>
      </w:r>
    </w:p>
    <w:p w:rsidR="00A45952" w:rsidRPr="00404DF3" w:rsidRDefault="00A45952" w:rsidP="00A32552">
      <w:pPr>
        <w:numPr>
          <w:ilvl w:val="0"/>
          <w:numId w:val="91"/>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to ensure that gambling is conducted honestly and free from interference, criminal influence and exploitation; and</w:t>
      </w:r>
    </w:p>
    <w:p w:rsidR="00A45952" w:rsidRPr="00404DF3" w:rsidRDefault="00A45952" w:rsidP="00A32552">
      <w:pPr>
        <w:numPr>
          <w:ilvl w:val="0"/>
          <w:numId w:val="91"/>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to ensure, as far as practicable, that the conduct of gambling is consistent with the expectations and aspirations of the public.</w:t>
      </w:r>
    </w:p>
    <w:p w:rsidR="00A45952" w:rsidRPr="00404DF3" w:rsidRDefault="00A45952" w:rsidP="00A32552">
      <w:pPr>
        <w:numPr>
          <w:ilvl w:val="0"/>
          <w:numId w:val="90"/>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For the purposes of clause 3(1)(a) harm associated with the misuse and abuse of gambling activities includes— </w:t>
      </w:r>
    </w:p>
    <w:p w:rsidR="00A45952" w:rsidRPr="00404DF3" w:rsidRDefault="00A45952" w:rsidP="00A32552">
      <w:pPr>
        <w:numPr>
          <w:ilvl w:val="0"/>
          <w:numId w:val="92"/>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risk of harm to children, vulnerable people and communities (whether to a community as a whole or a group within a community); and</w:t>
      </w:r>
    </w:p>
    <w:p w:rsidR="00A45952" w:rsidRPr="00404DF3" w:rsidRDefault="00A45952" w:rsidP="00A32552">
      <w:pPr>
        <w:numPr>
          <w:ilvl w:val="0"/>
          <w:numId w:val="91"/>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adverse economic, social and cultural effects on communities (whether on a community as a whole or a group within a community); and</w:t>
      </w:r>
    </w:p>
    <w:p w:rsidR="00A45952" w:rsidRPr="00404DF3" w:rsidRDefault="00A45952" w:rsidP="00A32552">
      <w:pPr>
        <w:numPr>
          <w:ilvl w:val="0"/>
          <w:numId w:val="91"/>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adverse effects on a person’s health or welfare; and</w:t>
      </w:r>
    </w:p>
    <w:p w:rsidR="00A45952" w:rsidRPr="00404DF3" w:rsidRDefault="00A45952" w:rsidP="00A32552">
      <w:pPr>
        <w:numPr>
          <w:ilvl w:val="0"/>
          <w:numId w:val="91"/>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adverse effects on a person’s family, friends and work colleagues.</w:t>
      </w:r>
    </w:p>
    <w:p w:rsidR="00A45952" w:rsidRPr="00404DF3" w:rsidRDefault="00A45952" w:rsidP="00A32552">
      <w:pPr>
        <w:numPr>
          <w:ilvl w:val="0"/>
          <w:numId w:val="90"/>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intention of this code of practice is to commit gambling providers to—</w:t>
      </w:r>
    </w:p>
    <w:p w:rsidR="00A45952" w:rsidRPr="00404DF3" w:rsidRDefault="00A45952" w:rsidP="00A32552">
      <w:pPr>
        <w:numPr>
          <w:ilvl w:val="0"/>
          <w:numId w:val="93"/>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ensure that gambling practices are consistent with the community’s expectations that gambling businesses will be conducted in a responsible manner so as to minimise the harm caused by gambling;</w:t>
      </w:r>
    </w:p>
    <w:p w:rsidR="00A45952" w:rsidRPr="00404DF3" w:rsidRDefault="00A45952" w:rsidP="00A32552">
      <w:pPr>
        <w:numPr>
          <w:ilvl w:val="0"/>
          <w:numId w:val="92"/>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ensure that gambling advertising is consistent with the community’s expectations that gambling businesses will be conducted in a responsible manner so as to minimise the harm caused by gambling and is socially responsible;</w:t>
      </w:r>
    </w:p>
    <w:p w:rsidR="00A45952" w:rsidRPr="00404DF3" w:rsidRDefault="00A45952" w:rsidP="00A32552">
      <w:pPr>
        <w:numPr>
          <w:ilvl w:val="0"/>
          <w:numId w:val="92"/>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consider and implement measures to minimise harm associated with gambling activities;</w:t>
      </w:r>
    </w:p>
    <w:p w:rsidR="00A45952" w:rsidRPr="00404DF3" w:rsidRDefault="00A45952" w:rsidP="00A32552">
      <w:pPr>
        <w:numPr>
          <w:ilvl w:val="0"/>
          <w:numId w:val="92"/>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maintain standards of operational practice that, as a matter of course, address harm minimisation; </w:t>
      </w:r>
    </w:p>
    <w:p w:rsidR="00A45952" w:rsidRPr="00404DF3" w:rsidRDefault="00A45952" w:rsidP="00A32552">
      <w:pPr>
        <w:numPr>
          <w:ilvl w:val="0"/>
          <w:numId w:val="92"/>
        </w:numPr>
        <w:tabs>
          <w:tab w:val="left" w:pos="284"/>
          <w:tab w:val="left" w:pos="709"/>
        </w:tabs>
        <w:spacing w:after="120" w:line="240" w:lineRule="auto"/>
        <w:ind w:left="1208" w:hanging="357"/>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not undertake operational practices involving unacceptable risk of harm.</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Interpretation</w:t>
      </w:r>
    </w:p>
    <w:p w:rsidR="00A45952" w:rsidRPr="00404DF3" w:rsidRDefault="00A45952" w:rsidP="00A32552">
      <w:pPr>
        <w:numPr>
          <w:ilvl w:val="0"/>
          <w:numId w:val="94"/>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Unless the contrary intention appears, expressions defined in the </w:t>
      </w:r>
      <w:r w:rsidRPr="00404DF3">
        <w:rPr>
          <w:rFonts w:ascii="Times New Roman" w:eastAsia="Times New Roman" w:hAnsi="Times New Roman"/>
          <w:i/>
          <w:iCs/>
          <w:sz w:val="17"/>
          <w:szCs w:val="17"/>
          <w:lang w:eastAsia="en-AU" w:bidi="en-US"/>
        </w:rPr>
        <w:t>Gambling Administration Act 2019</w:t>
      </w:r>
      <w:r w:rsidRPr="00404DF3">
        <w:rPr>
          <w:rFonts w:ascii="Times New Roman" w:eastAsia="Times New Roman" w:hAnsi="Times New Roman"/>
          <w:sz w:val="17"/>
          <w:szCs w:val="17"/>
          <w:lang w:eastAsia="en-AU" w:bidi="en-US"/>
        </w:rPr>
        <w:t xml:space="preserve"> and </w:t>
      </w:r>
      <w:r w:rsidRPr="00404DF3">
        <w:rPr>
          <w:rFonts w:ascii="Times New Roman" w:eastAsia="Times New Roman" w:hAnsi="Times New Roman"/>
          <w:i/>
          <w:iCs/>
          <w:sz w:val="17"/>
          <w:szCs w:val="17"/>
          <w:lang w:eastAsia="en-AU" w:bidi="en-US"/>
        </w:rPr>
        <w:t>Authorised Betting Operations Act,</w:t>
      </w:r>
      <w:r w:rsidRPr="00404DF3">
        <w:rPr>
          <w:rFonts w:ascii="Times New Roman" w:eastAsia="Times New Roman" w:hAnsi="Times New Roman"/>
          <w:sz w:val="17"/>
          <w:szCs w:val="17"/>
          <w:lang w:eastAsia="en-AU" w:bidi="en-US"/>
        </w:rPr>
        <w:t xml:space="preserve"> have the same meanings in this code of practice. </w:t>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t>account holder</w:t>
      </w:r>
      <w:r w:rsidRPr="00404DF3">
        <w:rPr>
          <w:rFonts w:ascii="Times New Roman" w:eastAsia="Times New Roman" w:hAnsi="Times New Roman"/>
          <w:sz w:val="17"/>
          <w:szCs w:val="17"/>
          <w:lang w:eastAsia="en-AU" w:bidi="en-US"/>
        </w:rPr>
        <w:t xml:space="preserve"> means a person for whom a gambling provider has established a gambling account. </w:t>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t>condensed warning message</w:t>
      </w:r>
      <w:r w:rsidRPr="00404DF3">
        <w:rPr>
          <w:rFonts w:ascii="Times New Roman" w:eastAsia="Times New Roman" w:hAnsi="Times New Roman"/>
          <w:sz w:val="17"/>
          <w:szCs w:val="17"/>
          <w:lang w:eastAsia="en-AU" w:bidi="en-US"/>
        </w:rPr>
        <w:t xml:space="preserve"> means the following message – “</w:t>
      </w:r>
      <w:r w:rsidRPr="00404DF3">
        <w:rPr>
          <w:rFonts w:ascii="Times New Roman" w:eastAsia="Times New Roman" w:hAnsi="Times New Roman"/>
          <w:i/>
          <w:iCs/>
          <w:sz w:val="17"/>
          <w:szCs w:val="17"/>
          <w:lang w:eastAsia="en-AU" w:bidi="en-US"/>
        </w:rPr>
        <w:t>Gamble responsibly</w:t>
      </w:r>
      <w:r w:rsidRPr="00404DF3">
        <w:rPr>
          <w:rFonts w:ascii="Times New Roman" w:eastAsia="Times New Roman" w:hAnsi="Times New Roman"/>
          <w:sz w:val="17"/>
          <w:szCs w:val="17"/>
          <w:lang w:eastAsia="en-AU" w:bidi="en-US"/>
        </w:rPr>
        <w:t>”</w:t>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t>dedicated sports channel</w:t>
      </w:r>
      <w:r w:rsidRPr="00404DF3">
        <w:rPr>
          <w:rFonts w:ascii="Times New Roman" w:eastAsia="Times New Roman" w:hAnsi="Times New Roman"/>
          <w:sz w:val="17"/>
          <w:szCs w:val="17"/>
          <w:lang w:eastAsia="en-AU" w:bidi="en-US"/>
        </w:rPr>
        <w:t xml:space="preserve"> means a radio broadcasting service or a television broadcasting service principally operated for the purpose of broadcasting sporting events, or sporting related content.</w:t>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t>direct marketing</w:t>
      </w:r>
      <w:r w:rsidRPr="00404DF3">
        <w:rPr>
          <w:rFonts w:ascii="Times New Roman" w:eastAsia="Times New Roman" w:hAnsi="Times New Roman"/>
          <w:sz w:val="17"/>
          <w:szCs w:val="17"/>
          <w:lang w:eastAsia="en-AU" w:bidi="en-US"/>
        </w:rPr>
        <w:t xml:space="preserve"> includes any advertising, promotion or offer made by, or on behalf of, an interactive wagering service provider directly to a person by means of telephone, email, SMS, text message, post, electronic transmission, data cast or other direct means, including to a telephone, internet or other electronic means that can be used by an account holder to make a bet (but does not include those parts of a telephone, internet or other electronic means that can only be accessed by an existing account holder).</w:t>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t>gambling advertising</w:t>
      </w:r>
      <w:r w:rsidRPr="00404DF3">
        <w:rPr>
          <w:rFonts w:ascii="Times New Roman" w:eastAsia="Times New Roman" w:hAnsi="Times New Roman"/>
          <w:sz w:val="17"/>
          <w:szCs w:val="17"/>
          <w:lang w:eastAsia="en-AU" w:bidi="en-US"/>
        </w:rPr>
        <w:t xml:space="preserve"> means any advertising by a gambling provider of a particular gambling product, products or gambling activity (including to open a gambling account), whether in print or electronic form,  including media (internet and all electronic and social media), radio, television, print media, signs and billboards, and any advertising on radio or television in the nature of a plug or endorsement, celebrity commentary, or program content which is in exchange for payment, or some other form of valuable consideration.</w:t>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t>gambling provider</w:t>
      </w:r>
      <w:r w:rsidRPr="00404DF3">
        <w:rPr>
          <w:rFonts w:ascii="Times New Roman" w:eastAsia="Times New Roman" w:hAnsi="Times New Roman"/>
          <w:sz w:val="17"/>
          <w:szCs w:val="17"/>
          <w:lang w:eastAsia="en-AU" w:bidi="en-US"/>
        </w:rPr>
        <w:t xml:space="preserve"> for the purpose of this code means an authorised interstate betting operator, a licensed bookmaker, a licensed racing club and the holder of the major betting operations licence (SA TAB).</w:t>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t>gambling area</w:t>
      </w:r>
      <w:r w:rsidRPr="00404DF3">
        <w:rPr>
          <w:rFonts w:ascii="Times New Roman" w:eastAsia="Times New Roman" w:hAnsi="Times New Roman"/>
          <w:sz w:val="17"/>
          <w:szCs w:val="17"/>
          <w:lang w:eastAsia="en-AU" w:bidi="en-US"/>
        </w:rPr>
        <w:t xml:space="preserve"> means the immediate environs of the point of sale for a totalisator product or fixed odds betting product, and a bookmaker’s stand or a betting ring.</w:t>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t>inducement</w:t>
      </w:r>
      <w:r w:rsidRPr="00404DF3">
        <w:rPr>
          <w:rFonts w:ascii="Times New Roman" w:eastAsia="Times New Roman" w:hAnsi="Times New Roman"/>
          <w:sz w:val="17"/>
          <w:szCs w:val="17"/>
          <w:lang w:eastAsia="en-AU" w:bidi="en-US"/>
        </w:rPr>
        <w:t xml:space="preserve"> means any credit, voucher, bonus bet or reward (however described), offered as an inducement to encourage a person to participate, or to participate frequently, in any gambling activity (including as an inducement to open a gambling account, or as an inducement to not close a gambling account).</w:t>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t>interactive wagering service</w:t>
      </w:r>
      <w:r w:rsidRPr="00404DF3">
        <w:rPr>
          <w:rFonts w:ascii="Times New Roman" w:eastAsia="Times New Roman" w:hAnsi="Times New Roman"/>
          <w:sz w:val="17"/>
          <w:szCs w:val="17"/>
          <w:lang w:eastAsia="en-AU" w:bidi="en-US"/>
        </w:rPr>
        <w:t xml:space="preserve"> means the services provided to an account holder by an interactive wagering service provider.</w:t>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t>interactive wagering service provider</w:t>
      </w:r>
      <w:r w:rsidRPr="00404DF3">
        <w:rPr>
          <w:rFonts w:ascii="Times New Roman" w:eastAsia="Times New Roman" w:hAnsi="Times New Roman"/>
          <w:sz w:val="17"/>
          <w:szCs w:val="17"/>
          <w:lang w:eastAsia="en-AU" w:bidi="en-US"/>
        </w:rPr>
        <w:t xml:space="preserve"> is an authorised interstate betting operator, a licensed (interactive) bookmaker and the holder of the major betting operations licence (SA TAB).  </w:t>
      </w:r>
    </w:p>
    <w:p w:rsidR="008A5507" w:rsidRPr="00404DF3" w:rsidRDefault="008A5507" w:rsidP="00A32552">
      <w:pPr>
        <w:spacing w:after="120" w:line="240" w:lineRule="auto"/>
        <w:jc w:val="left"/>
        <w:rPr>
          <w:rFonts w:ascii="Times New Roman" w:eastAsia="Times New Roman" w:hAnsi="Times New Roman"/>
          <w:b/>
          <w:bCs/>
          <w:i/>
          <w:iCs/>
          <w:sz w:val="17"/>
          <w:szCs w:val="17"/>
          <w:lang w:eastAsia="en-AU" w:bidi="en-US"/>
        </w:rPr>
      </w:pPr>
      <w:r w:rsidRPr="00404DF3">
        <w:rPr>
          <w:rFonts w:ascii="Times New Roman" w:eastAsia="Times New Roman" w:hAnsi="Times New Roman"/>
          <w:b/>
          <w:bCs/>
          <w:i/>
          <w:iCs/>
          <w:sz w:val="17"/>
          <w:szCs w:val="17"/>
          <w:lang w:eastAsia="en-AU" w:bidi="en-US"/>
        </w:rPr>
        <w:br w:type="page"/>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lastRenderedPageBreak/>
        <w:t>licensed (interactive) bookmaker</w:t>
      </w:r>
      <w:r w:rsidRPr="00404DF3">
        <w:rPr>
          <w:rFonts w:ascii="Times New Roman" w:eastAsia="Times New Roman" w:hAnsi="Times New Roman"/>
          <w:sz w:val="17"/>
          <w:szCs w:val="17"/>
          <w:lang w:eastAsia="en-AU" w:bidi="en-US"/>
        </w:rPr>
        <w:t xml:space="preserve"> is a licensed bookmaker under the </w:t>
      </w:r>
      <w:r w:rsidRPr="00404DF3">
        <w:rPr>
          <w:rFonts w:ascii="Times New Roman" w:eastAsia="Times New Roman" w:hAnsi="Times New Roman"/>
          <w:i/>
          <w:iCs/>
          <w:sz w:val="17"/>
          <w:szCs w:val="17"/>
          <w:lang w:eastAsia="en-AU" w:bidi="en-US"/>
        </w:rPr>
        <w:t>Authorised Betting Operations Act 2000</w:t>
      </w:r>
      <w:r w:rsidRPr="00404DF3">
        <w:rPr>
          <w:rFonts w:ascii="Times New Roman" w:eastAsia="Times New Roman" w:hAnsi="Times New Roman"/>
          <w:sz w:val="17"/>
          <w:szCs w:val="17"/>
          <w:lang w:eastAsia="en-AU" w:bidi="en-US"/>
        </w:rPr>
        <w:t>, authorised to accept bets made by telephone, internet or other electronic means.</w:t>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t>permitted external sign</w:t>
      </w:r>
      <w:r w:rsidRPr="00404DF3">
        <w:rPr>
          <w:rFonts w:ascii="Times New Roman" w:eastAsia="Times New Roman" w:hAnsi="Times New Roman"/>
          <w:sz w:val="17"/>
          <w:szCs w:val="17"/>
          <w:lang w:eastAsia="en-AU" w:bidi="en-US"/>
        </w:rPr>
        <w:t xml:space="preserve"> means a sign affixed to the outside of a building containing a gambling area or affixed to the outside of a permanent structure within the immediate environs of a building containing a gambling area, which is under the control of the gambling provider, or that gambling provider’s agent, that—</w:t>
      </w:r>
    </w:p>
    <w:p w:rsidR="00A45952" w:rsidRPr="00404DF3" w:rsidRDefault="00A45952" w:rsidP="00A32552">
      <w:pPr>
        <w:numPr>
          <w:ilvl w:val="0"/>
          <w:numId w:val="137"/>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displays the gambling provider’s logo or name; or </w:t>
      </w:r>
    </w:p>
    <w:p w:rsidR="00A45952" w:rsidRPr="00404DF3" w:rsidRDefault="00A45952" w:rsidP="00A32552">
      <w:pPr>
        <w:numPr>
          <w:ilvl w:val="0"/>
          <w:numId w:val="137"/>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indicates the availability of a gambling activity inside the building.</w:t>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t>private webpage</w:t>
      </w:r>
      <w:r w:rsidRPr="00404DF3">
        <w:rPr>
          <w:rFonts w:ascii="Times New Roman" w:eastAsia="Times New Roman" w:hAnsi="Times New Roman"/>
          <w:sz w:val="17"/>
          <w:szCs w:val="17"/>
          <w:lang w:eastAsia="en-AU" w:bidi="en-US"/>
        </w:rPr>
        <w:t xml:space="preserve"> means a page which a person may gain access only after entering a password, identification number or other form of authentication to verify the person’s identity, issued by or registered with a gambling provider.</w:t>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t>spotters’ fees</w:t>
      </w:r>
      <w:r w:rsidRPr="00404DF3">
        <w:rPr>
          <w:rFonts w:ascii="Times New Roman" w:eastAsia="Times New Roman" w:hAnsi="Times New Roman"/>
          <w:sz w:val="17"/>
          <w:szCs w:val="17"/>
          <w:lang w:eastAsia="en-AU" w:bidi="en-US"/>
        </w:rPr>
        <w:t xml:space="preserve"> are amounts paid or payable by commission or otherwise to third parties for attracting or retaining the account holder’s business (including the establishment or extension of a credit facility).  This includes amounts paid or payable to gambling provider’s employees whose remuneration includes a component variable by reference to the account holder’s activity. If a spotter’s fee is required to be disclosed at a time when the actual amount is not ascertainable, a good faith estimate, identified as such, is required.</w:t>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t>unsubscribe</w:t>
      </w:r>
      <w:r w:rsidRPr="00404DF3">
        <w:rPr>
          <w:rFonts w:ascii="Times New Roman" w:eastAsia="Times New Roman" w:hAnsi="Times New Roman"/>
          <w:sz w:val="17"/>
          <w:szCs w:val="17"/>
          <w:lang w:eastAsia="en-AU" w:bidi="en-US"/>
        </w:rPr>
        <w:t xml:space="preserve"> means to withdraw consent to receiving direct marketing from, or on behalf of, an interactive wagering service provider.</w:t>
      </w:r>
    </w:p>
    <w:p w:rsidR="00A45952" w:rsidRPr="00404DF3" w:rsidRDefault="00A45952" w:rsidP="00A32552">
      <w:pPr>
        <w:spacing w:after="120" w:line="240" w:lineRule="auto"/>
        <w:ind w:left="851"/>
        <w:rPr>
          <w:rFonts w:ascii="Times New Roman" w:eastAsia="Times New Roman" w:hAnsi="Times New Roman"/>
          <w:sz w:val="17"/>
          <w:szCs w:val="17"/>
          <w:lang w:eastAsia="en-AU" w:bidi="en-US"/>
        </w:rPr>
      </w:pPr>
      <w:r w:rsidRPr="00404DF3">
        <w:rPr>
          <w:rFonts w:ascii="Times New Roman" w:eastAsia="Times New Roman" w:hAnsi="Times New Roman"/>
          <w:b/>
          <w:bCs/>
          <w:i/>
          <w:iCs/>
          <w:sz w:val="17"/>
          <w:szCs w:val="17"/>
          <w:lang w:eastAsia="en-AU" w:bidi="en-US"/>
        </w:rPr>
        <w:t>virtual gambling area</w:t>
      </w:r>
      <w:r w:rsidRPr="00404DF3">
        <w:rPr>
          <w:rFonts w:ascii="Times New Roman" w:eastAsia="Times New Roman" w:hAnsi="Times New Roman"/>
          <w:sz w:val="17"/>
          <w:szCs w:val="17"/>
          <w:lang w:eastAsia="en-AU" w:bidi="en-US"/>
        </w:rPr>
        <w:t xml:space="preserve"> means a webpage, application or a display on an internet-enabled device, which provides for a person to gamble with a gambling provider.</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Mandatory nature of the code</w:t>
      </w:r>
    </w:p>
    <w:p w:rsidR="00A45952" w:rsidRPr="00404DF3" w:rsidRDefault="00A45952" w:rsidP="00A32552">
      <w:pPr>
        <w:numPr>
          <w:ilvl w:val="0"/>
          <w:numId w:val="95"/>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Under section 15 of the </w:t>
      </w:r>
      <w:r w:rsidRPr="00404DF3">
        <w:rPr>
          <w:rFonts w:ascii="Times New Roman" w:eastAsia="Times New Roman" w:hAnsi="Times New Roman"/>
          <w:i/>
          <w:iCs/>
          <w:sz w:val="17"/>
          <w:szCs w:val="17"/>
          <w:lang w:eastAsia="en-AU" w:bidi="en-US"/>
        </w:rPr>
        <w:t>Gambling Administration Act 2019</w:t>
      </w:r>
      <w:r w:rsidRPr="00404DF3">
        <w:rPr>
          <w:rFonts w:ascii="Times New Roman" w:eastAsia="Times New Roman" w:hAnsi="Times New Roman"/>
          <w:sz w:val="17"/>
          <w:szCs w:val="17"/>
          <w:lang w:eastAsia="en-AU" w:bidi="en-US"/>
        </w:rPr>
        <w:t xml:space="preserve">, the Liquor and Gambling Commissioner (the Commissioner) may prescribe advertising codes of practice and responsible gambling codes of practice.  </w:t>
      </w:r>
    </w:p>
    <w:p w:rsidR="00A45952" w:rsidRPr="00404DF3" w:rsidRDefault="00A45952" w:rsidP="00A32552">
      <w:pPr>
        <w:numPr>
          <w:ilvl w:val="0"/>
          <w:numId w:val="95"/>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gambling provider must not contravene or fail to comply with a provision of a code of practice.</w:t>
      </w:r>
    </w:p>
    <w:p w:rsidR="00A45952" w:rsidRPr="00404DF3" w:rsidRDefault="00A45952" w:rsidP="00A32552">
      <w:pPr>
        <w:numPr>
          <w:ilvl w:val="0"/>
          <w:numId w:val="95"/>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For the purposes of section 16 of the </w:t>
      </w:r>
      <w:r w:rsidRPr="00404DF3">
        <w:rPr>
          <w:rFonts w:ascii="Times New Roman" w:eastAsia="Times New Roman" w:hAnsi="Times New Roman"/>
          <w:i/>
          <w:iCs/>
          <w:sz w:val="17"/>
          <w:szCs w:val="17"/>
          <w:lang w:eastAsia="en-AU" w:bidi="en-US"/>
        </w:rPr>
        <w:t>Gambling Administration Act 2019</w:t>
      </w:r>
      <w:r w:rsidRPr="00404DF3">
        <w:rPr>
          <w:rFonts w:ascii="Times New Roman" w:eastAsia="Times New Roman" w:hAnsi="Times New Roman"/>
          <w:sz w:val="17"/>
          <w:szCs w:val="17"/>
          <w:lang w:eastAsia="en-AU" w:bidi="en-US"/>
        </w:rPr>
        <w:t>—</w:t>
      </w:r>
    </w:p>
    <w:p w:rsidR="00A45952" w:rsidRPr="00404DF3" w:rsidRDefault="00A45952" w:rsidP="00A32552">
      <w:pPr>
        <w:numPr>
          <w:ilvl w:val="0"/>
          <w:numId w:val="96"/>
        </w:numPr>
        <w:tabs>
          <w:tab w:val="left" w:pos="284"/>
          <w:tab w:val="left" w:pos="709"/>
        </w:tabs>
        <w:spacing w:after="120" w:line="240" w:lineRule="auto"/>
        <w:ind w:left="1208" w:hanging="357"/>
        <w:jc w:val="left"/>
        <w:rPr>
          <w:rFonts w:ascii="Times New Roman" w:eastAsia="Times New Roman" w:hAnsi="Times New Roman"/>
          <w:spacing w:val="-4"/>
          <w:sz w:val="17"/>
          <w:szCs w:val="17"/>
          <w:lang w:eastAsia="en-AU" w:bidi="en-US"/>
        </w:rPr>
      </w:pPr>
      <w:r w:rsidRPr="00404DF3">
        <w:rPr>
          <w:rFonts w:ascii="Times New Roman" w:eastAsia="Times New Roman" w:hAnsi="Times New Roman"/>
          <w:spacing w:val="-4"/>
          <w:sz w:val="17"/>
          <w:szCs w:val="17"/>
          <w:lang w:eastAsia="en-AU" w:bidi="en-US"/>
        </w:rPr>
        <w:t>if the letter “A”, “B”, “C” or “D” appears in column B of the table in Schedule 2 next to the listing of a provision, contravention or failure to comply with the provision is declared to be an offence in the category corresponding to that letter;</w:t>
      </w:r>
    </w:p>
    <w:p w:rsidR="00A45952" w:rsidRPr="00404DF3" w:rsidRDefault="00A45952" w:rsidP="00A32552">
      <w:pPr>
        <w:numPr>
          <w:ilvl w:val="0"/>
          <w:numId w:val="96"/>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if the letter “A”, “B”, “C” or “D” appears in column C of the table in Schedule 2 next to the listing of a provision, the offence of contravention or failure to comply with the provision is declared to be an expiable offence in the category corresponding to that letter. </w:t>
      </w:r>
      <w:bookmarkStart w:id="70" w:name="_Hlk69201491"/>
      <w:r w:rsidRPr="00404DF3">
        <w:rPr>
          <w:rFonts w:ascii="Times New Roman" w:eastAsia="Times New Roman" w:hAnsi="Times New Roman"/>
          <w:sz w:val="17"/>
          <w:szCs w:val="17"/>
          <w:lang w:eastAsia="en-AU" w:bidi="en-US"/>
        </w:rPr>
        <w:t xml:space="preserve"> </w:t>
      </w:r>
      <w:bookmarkEnd w:id="70"/>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 xml:space="preserve">Application of this code of practice under section 15 of the </w:t>
      </w:r>
      <w:r w:rsidRPr="00404DF3">
        <w:rPr>
          <w:rFonts w:ascii="Times New Roman" w:eastAsia="Times New Roman" w:hAnsi="Times New Roman"/>
          <w:b/>
          <w:i/>
          <w:iCs/>
          <w:sz w:val="17"/>
          <w:szCs w:val="17"/>
          <w:lang w:eastAsia="en-AU"/>
        </w:rPr>
        <w:t>Gambling Administration Act 2019</w:t>
      </w:r>
    </w:p>
    <w:p w:rsidR="00A45952" w:rsidRPr="00404DF3" w:rsidRDefault="00A45952" w:rsidP="00A32552">
      <w:pPr>
        <w:numPr>
          <w:ilvl w:val="0"/>
          <w:numId w:val="97"/>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Part 2 of this code of practice operates as the prescribed advertising code of practice for the purposes of section 15(1)(a) of the </w:t>
      </w:r>
      <w:r w:rsidRPr="00404DF3">
        <w:rPr>
          <w:rFonts w:ascii="Times New Roman" w:eastAsia="Times New Roman" w:hAnsi="Times New Roman"/>
          <w:i/>
          <w:iCs/>
          <w:sz w:val="17"/>
          <w:szCs w:val="17"/>
          <w:lang w:eastAsia="en-AU" w:bidi="en-US"/>
        </w:rPr>
        <w:t>Gambling Administration Act 2019</w:t>
      </w:r>
      <w:r w:rsidRPr="00404DF3">
        <w:rPr>
          <w:rFonts w:ascii="Times New Roman" w:eastAsia="Times New Roman" w:hAnsi="Times New Roman"/>
          <w:sz w:val="17"/>
          <w:szCs w:val="17"/>
          <w:lang w:eastAsia="en-AU" w:bidi="en-US"/>
        </w:rPr>
        <w:t>.</w:t>
      </w:r>
    </w:p>
    <w:p w:rsidR="00A45952" w:rsidRPr="00404DF3" w:rsidRDefault="00A45952" w:rsidP="00A32552">
      <w:pPr>
        <w:numPr>
          <w:ilvl w:val="0"/>
          <w:numId w:val="97"/>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Part 3 of this code of practice operates as the prescribed responsible gambling code of practice for the purposes of section 15(1)(b) of the </w:t>
      </w:r>
      <w:r w:rsidRPr="00404DF3">
        <w:rPr>
          <w:rFonts w:ascii="Times New Roman" w:eastAsia="Times New Roman" w:hAnsi="Times New Roman"/>
          <w:i/>
          <w:iCs/>
          <w:sz w:val="17"/>
          <w:szCs w:val="17"/>
          <w:lang w:eastAsia="en-AU" w:bidi="en-US"/>
        </w:rPr>
        <w:t>Gambling Administration Act 2019</w:t>
      </w:r>
      <w:r w:rsidRPr="00404DF3">
        <w:rPr>
          <w:rFonts w:ascii="Times New Roman" w:eastAsia="Times New Roman" w:hAnsi="Times New Roman"/>
          <w:sz w:val="17"/>
          <w:szCs w:val="17"/>
          <w:lang w:eastAsia="en-AU" w:bidi="en-US"/>
        </w:rPr>
        <w:t>.</w:t>
      </w:r>
    </w:p>
    <w:p w:rsidR="00A45952" w:rsidRPr="00404DF3" w:rsidRDefault="00A45952" w:rsidP="00A32552">
      <w:pPr>
        <w:numPr>
          <w:ilvl w:val="0"/>
          <w:numId w:val="97"/>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Commissioner may vary or revoke a code of practice or a provision of a code of practice by notice in the Government Gazette.</w:t>
      </w:r>
    </w:p>
    <w:p w:rsidR="00A45952" w:rsidRPr="00404DF3" w:rsidRDefault="00A45952" w:rsidP="00A32552">
      <w:pPr>
        <w:numPr>
          <w:ilvl w:val="0"/>
          <w:numId w:val="97"/>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Commissioner may, at any time, undertake a review of the codes of practice.</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Liability for act or default of agent</w:t>
      </w:r>
    </w:p>
    <w:p w:rsidR="00A45952" w:rsidRPr="00404DF3" w:rsidRDefault="00A45952" w:rsidP="00A32552">
      <w:pPr>
        <w:tabs>
          <w:tab w:val="left" w:pos="284"/>
          <w:tab w:val="left" w:pos="900"/>
        </w:tabs>
        <w:spacing w:after="120" w:line="240" w:lineRule="auto"/>
        <w:ind w:left="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For the purposes of this code, an act or default of an agent of the gambling provider will be taken to be an act or default of the gambling provider unless the Commissioner is satisfied that the agent acted outside the scope of the agent’s actual, usual and ostensible authority, or in a manner inconsistent with obligations imposed by the gambling provider on the agent.</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Role of peak bodies</w:t>
      </w:r>
    </w:p>
    <w:p w:rsidR="00A45952" w:rsidRPr="00404DF3" w:rsidRDefault="00A45952" w:rsidP="00A32552">
      <w:pPr>
        <w:tabs>
          <w:tab w:val="left" w:pos="284"/>
          <w:tab w:val="left" w:pos="900"/>
        </w:tabs>
        <w:spacing w:after="120" w:line="240" w:lineRule="auto"/>
        <w:ind w:left="426"/>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may satisfy a code of practice obligation through the actions of a peak body, except in relation to the gambling provider’s obligations in respect to training.</w:t>
      </w:r>
    </w:p>
    <w:p w:rsidR="00A45952" w:rsidRPr="00404DF3" w:rsidRDefault="00A45952" w:rsidP="00A32552">
      <w:pPr>
        <w:tabs>
          <w:tab w:val="left" w:pos="284"/>
          <w:tab w:val="left" w:pos="900"/>
        </w:tabs>
        <w:spacing w:after="120" w:line="240" w:lineRule="auto"/>
        <w:ind w:left="426"/>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peak body is a genuine association formed to protect or promote the interests of a section of the gambling industry.</w:t>
      </w:r>
    </w:p>
    <w:p w:rsidR="00A45952" w:rsidRPr="00404DF3" w:rsidRDefault="00A45952" w:rsidP="00A32552">
      <w:pPr>
        <w:tabs>
          <w:tab w:val="left" w:pos="284"/>
          <w:tab w:val="left" w:pos="900"/>
        </w:tabs>
        <w:spacing w:after="120" w:line="240" w:lineRule="auto"/>
        <w:ind w:left="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Peak body includes, in relation to a person who is an agent of a gambling provider, the principal in the agency relationship, and in relation to a licensed racing club receiving totalisator services from SA TAB, SA TAB.</w:t>
      </w:r>
    </w:p>
    <w:p w:rsidR="008A5507" w:rsidRPr="00404DF3" w:rsidRDefault="008A5507" w:rsidP="00A32552">
      <w:pPr>
        <w:spacing w:after="120" w:line="240" w:lineRule="auto"/>
        <w:jc w:val="left"/>
        <w:rPr>
          <w:rFonts w:ascii="Times New Roman" w:eastAsia="Times New Roman" w:hAnsi="Times New Roman"/>
          <w:b/>
          <w:sz w:val="20"/>
          <w:szCs w:val="20"/>
          <w:lang w:eastAsia="en-AU"/>
        </w:rPr>
      </w:pPr>
      <w:r w:rsidRPr="00404DF3">
        <w:rPr>
          <w:rFonts w:ascii="Times New Roman" w:eastAsia="Times New Roman" w:hAnsi="Times New Roman"/>
          <w:b/>
          <w:sz w:val="20"/>
          <w:szCs w:val="20"/>
          <w:lang w:eastAsia="en-AU"/>
        </w:rPr>
        <w:br w:type="page"/>
      </w:r>
    </w:p>
    <w:p w:rsidR="00A45952" w:rsidRPr="00404DF3" w:rsidRDefault="00A45952" w:rsidP="00A32552">
      <w:pPr>
        <w:spacing w:after="120" w:line="240" w:lineRule="auto"/>
        <w:jc w:val="left"/>
        <w:rPr>
          <w:rFonts w:ascii="Times New Roman" w:eastAsia="Times New Roman" w:hAnsi="Times New Roman"/>
          <w:b/>
          <w:sz w:val="20"/>
          <w:szCs w:val="20"/>
          <w:lang w:eastAsia="en-AU"/>
        </w:rPr>
      </w:pPr>
      <w:r w:rsidRPr="00404DF3">
        <w:rPr>
          <w:rFonts w:ascii="Times New Roman" w:eastAsia="Times New Roman" w:hAnsi="Times New Roman"/>
          <w:b/>
          <w:sz w:val="20"/>
          <w:szCs w:val="20"/>
          <w:lang w:eastAsia="en-AU"/>
        </w:rPr>
        <w:lastRenderedPageBreak/>
        <w:t>Part 2—Required advertising practices</w:t>
      </w:r>
    </w:p>
    <w:p w:rsidR="00A45952" w:rsidRPr="00404DF3" w:rsidRDefault="00A45952" w:rsidP="00A32552">
      <w:p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 xml:space="preserve">The gambling provider is to ensure that gambling advertising is conducted in a responsible manner that takes into account the potential adverse impact it may have on the community, particularly minors, people experiencing gambling-related harm or at risk of developing negative consequences associated with their gambling. </w:t>
      </w:r>
    </w:p>
    <w:p w:rsidR="00A45952" w:rsidRPr="00404DF3" w:rsidRDefault="00A45952" w:rsidP="00A32552">
      <w:p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Gambling advertising must be compliant with applicable State and Federal laws and any relevant industry codes of practice.</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Responsible gambling advertising</w:t>
      </w:r>
    </w:p>
    <w:p w:rsidR="00A45952" w:rsidRPr="00404DF3" w:rsidRDefault="00A45952" w:rsidP="00A32552">
      <w:pPr>
        <w:numPr>
          <w:ilvl w:val="0"/>
          <w:numId w:val="98"/>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 ensure that gambling advertising—</w:t>
      </w:r>
    </w:p>
    <w:p w:rsidR="00A45952" w:rsidRPr="00CD14F0" w:rsidRDefault="00A45952" w:rsidP="00CD14F0">
      <w:pPr>
        <w:pStyle w:val="Codea"/>
        <w:numPr>
          <w:ilvl w:val="0"/>
          <w:numId w:val="477"/>
        </w:numPr>
        <w:rPr>
          <w:lang w:eastAsia="en-AU"/>
        </w:rPr>
      </w:pPr>
      <w:r w:rsidRPr="00CD14F0">
        <w:rPr>
          <w:lang w:eastAsia="en-AU"/>
        </w:rPr>
        <w:t>does not encourage a breach of law;</w:t>
      </w:r>
    </w:p>
    <w:p w:rsidR="00A45952" w:rsidRPr="00404DF3" w:rsidRDefault="00A45952" w:rsidP="00A32552">
      <w:pPr>
        <w:numPr>
          <w:ilvl w:val="0"/>
          <w:numId w:val="87"/>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does not depict children gambling;</w:t>
      </w:r>
    </w:p>
    <w:p w:rsidR="00A45952" w:rsidRPr="00404DF3" w:rsidRDefault="00A45952" w:rsidP="00A32552">
      <w:pPr>
        <w:numPr>
          <w:ilvl w:val="0"/>
          <w:numId w:val="87"/>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is not false, misleading or deceptive; </w:t>
      </w:r>
    </w:p>
    <w:p w:rsidR="00A45952" w:rsidRPr="00404DF3" w:rsidRDefault="00A45952" w:rsidP="00A32552">
      <w:pPr>
        <w:numPr>
          <w:ilvl w:val="0"/>
          <w:numId w:val="87"/>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does not suggest that winning will be a definite outcome of participating in gambling activities;</w:t>
      </w:r>
    </w:p>
    <w:p w:rsidR="00A45952" w:rsidRPr="00404DF3" w:rsidRDefault="00A45952" w:rsidP="00A32552">
      <w:pPr>
        <w:numPr>
          <w:ilvl w:val="0"/>
          <w:numId w:val="87"/>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does not suggest that participation in gambling activities is likely to improve a person’s financial prospects; </w:t>
      </w:r>
    </w:p>
    <w:p w:rsidR="00A45952" w:rsidRPr="00404DF3" w:rsidRDefault="00A45952" w:rsidP="00A32552">
      <w:pPr>
        <w:numPr>
          <w:ilvl w:val="0"/>
          <w:numId w:val="87"/>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does not promote the consumption of alcohol while engaging in gambling activities; </w:t>
      </w:r>
    </w:p>
    <w:p w:rsidR="00A45952" w:rsidRPr="00404DF3" w:rsidRDefault="00A45952" w:rsidP="00A32552">
      <w:pPr>
        <w:numPr>
          <w:ilvl w:val="0"/>
          <w:numId w:val="87"/>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must be published in accordance with decency, dignity and good taste;</w:t>
      </w:r>
    </w:p>
    <w:p w:rsidR="00A45952" w:rsidRPr="00404DF3" w:rsidRDefault="00A45952" w:rsidP="00A32552">
      <w:pPr>
        <w:numPr>
          <w:ilvl w:val="0"/>
          <w:numId w:val="87"/>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does not offer any credit, voucher or reward as an inducement to participate, or to participate frequently in any gambling activity (including as an inducement to open a gambling account, or as an inducement to not close a gambling account); </w:t>
      </w:r>
    </w:p>
    <w:p w:rsidR="00A45952" w:rsidRPr="00404DF3" w:rsidRDefault="00A45952" w:rsidP="00A32552">
      <w:pPr>
        <w:numPr>
          <w:ilvl w:val="0"/>
          <w:numId w:val="87"/>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that includes any inducement offered with a disclaimer that the offer is not available to South Australian residents, is to the greatest extent practicable not published or communicated in SA;</w:t>
      </w:r>
    </w:p>
    <w:p w:rsidR="00A45952" w:rsidRPr="00404DF3" w:rsidRDefault="00A45952" w:rsidP="00A32552">
      <w:pPr>
        <w:numPr>
          <w:ilvl w:val="0"/>
          <w:numId w:val="87"/>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does not make claims related to winning or the prizes that can be won that are not based on fact, are unable to be proven or that are exaggerated;</w:t>
      </w:r>
    </w:p>
    <w:p w:rsidR="00A45952" w:rsidRPr="00404DF3" w:rsidRDefault="00A45952" w:rsidP="00A32552">
      <w:pPr>
        <w:numPr>
          <w:ilvl w:val="0"/>
          <w:numId w:val="87"/>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does not suggest that a player’s skill can influence the outcome of gambling activity in relation to gambling where a player’s skill cannot influence the outcome of the gambling activity;</w:t>
      </w:r>
    </w:p>
    <w:p w:rsidR="00A45952" w:rsidRPr="00404DF3" w:rsidRDefault="00A45952" w:rsidP="00A32552">
      <w:pPr>
        <w:numPr>
          <w:ilvl w:val="0"/>
          <w:numId w:val="87"/>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does not exaggerate the extent to which skill can influence the outcome of gambling activity in relation to gambling where the outcome does not involve an element of lottery;</w:t>
      </w:r>
    </w:p>
    <w:p w:rsidR="00A45952" w:rsidRPr="00404DF3" w:rsidRDefault="00A45952" w:rsidP="00A32552">
      <w:pPr>
        <w:numPr>
          <w:ilvl w:val="0"/>
          <w:numId w:val="87"/>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does not include images of cash, or images suggestive of increased account balances;</w:t>
      </w:r>
    </w:p>
    <w:p w:rsidR="00A45952" w:rsidRPr="00404DF3" w:rsidRDefault="00A45952" w:rsidP="00A32552">
      <w:pPr>
        <w:numPr>
          <w:ilvl w:val="0"/>
          <w:numId w:val="87"/>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does not include the expressions “Win” or “$”, unless these expressions specifically relate to a prize that has been determined or is payable, or to an estimate of a prize which can be won.</w:t>
      </w:r>
    </w:p>
    <w:p w:rsidR="00A45952" w:rsidRPr="00404DF3" w:rsidRDefault="00A45952" w:rsidP="00A32552">
      <w:pPr>
        <w:numPr>
          <w:ilvl w:val="0"/>
          <w:numId w:val="98"/>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For the purposes of this clause, the gambling provider will not be regarded as advertising when— </w:t>
      </w:r>
    </w:p>
    <w:p w:rsidR="00A45952" w:rsidRPr="00404DF3" w:rsidRDefault="00A45952" w:rsidP="00A32552">
      <w:pPr>
        <w:numPr>
          <w:ilvl w:val="0"/>
          <w:numId w:val="138"/>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sends communication direct to an account holder, and the account holder has provided their express consent to receiving advertising material;</w:t>
      </w:r>
    </w:p>
    <w:p w:rsidR="00A45952" w:rsidRPr="00404DF3" w:rsidRDefault="00A45952" w:rsidP="00A32552">
      <w:pPr>
        <w:numPr>
          <w:ilvl w:val="0"/>
          <w:numId w:val="87"/>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draws attention on a private webpage, to its gambling products or gambling activities;</w:t>
      </w:r>
    </w:p>
    <w:p w:rsidR="00A45952" w:rsidRPr="00404DF3" w:rsidRDefault="00A45952" w:rsidP="00A32552">
      <w:pPr>
        <w:numPr>
          <w:ilvl w:val="0"/>
          <w:numId w:val="87"/>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draws attention, in printed point of sale material, to its gambling products or gambling activities;</w:t>
      </w:r>
    </w:p>
    <w:p w:rsidR="00A45952" w:rsidRPr="00404DF3" w:rsidRDefault="00A45952" w:rsidP="00A32552">
      <w:pPr>
        <w:numPr>
          <w:ilvl w:val="0"/>
          <w:numId w:val="98"/>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 keep a copy (in print or electronic form) of any gambling advertising, including advertising of acceptable trade promotion lotteries, available for inspection for a period of 12 months following the conclusion of the advertising campaign.</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Prize promotions and advertising</w:t>
      </w:r>
    </w:p>
    <w:p w:rsidR="00A45952" w:rsidRPr="00404DF3" w:rsidRDefault="00A45952" w:rsidP="00A32552">
      <w:pPr>
        <w:numPr>
          <w:ilvl w:val="0"/>
          <w:numId w:val="99"/>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Gambling advertising that refers to, or relies on prizes which are available to be won, or the frequency the prize may be won (whether or not the prize is a prize of money)—</w:t>
      </w:r>
    </w:p>
    <w:p w:rsidR="00A45952" w:rsidRPr="00404DF3" w:rsidRDefault="00A45952" w:rsidP="00A32552">
      <w:pPr>
        <w:numPr>
          <w:ilvl w:val="0"/>
          <w:numId w:val="88"/>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must include sufficient information for a reasonable person to understand the overall return to player or odds of winning; and</w:t>
      </w:r>
    </w:p>
    <w:p w:rsidR="00A45952" w:rsidRPr="00404DF3" w:rsidRDefault="00A45952" w:rsidP="00A32552">
      <w:pPr>
        <w:numPr>
          <w:ilvl w:val="0"/>
          <w:numId w:val="88"/>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if intended to encourage a person to gamble during a particular period, include sufficient information for a reasonable person to appreciate how likely it is that the prize will be won by someone during that period.</w:t>
      </w:r>
    </w:p>
    <w:p w:rsidR="00A45952" w:rsidRPr="00404DF3" w:rsidRDefault="00A45952" w:rsidP="00A32552">
      <w:pPr>
        <w:numPr>
          <w:ilvl w:val="0"/>
          <w:numId w:val="99"/>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If, in seeking to comply with this clause, the gambling provider—</w:t>
      </w:r>
    </w:p>
    <w:p w:rsidR="00A45952" w:rsidRPr="00404DF3" w:rsidRDefault="00A45952" w:rsidP="00A32552">
      <w:pPr>
        <w:numPr>
          <w:ilvl w:val="0"/>
          <w:numId w:val="89"/>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calculates the theoretical number, value and frequency of prizes to be won;</w:t>
      </w:r>
    </w:p>
    <w:p w:rsidR="00A45952" w:rsidRPr="00404DF3" w:rsidRDefault="00A45952" w:rsidP="00A32552">
      <w:pPr>
        <w:numPr>
          <w:ilvl w:val="0"/>
          <w:numId w:val="89"/>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in the advertising suggests an outcome no less favourable to the gambling provider than that theoretical outcome; and</w:t>
      </w:r>
    </w:p>
    <w:p w:rsidR="00A45952" w:rsidRPr="00404DF3" w:rsidRDefault="00A45952" w:rsidP="00A32552">
      <w:pPr>
        <w:numPr>
          <w:ilvl w:val="0"/>
          <w:numId w:val="89"/>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obtains an actual outcome more favourable than that which was advertised, </w:t>
      </w:r>
    </w:p>
    <w:p w:rsidR="00A45952" w:rsidRPr="00404DF3" w:rsidRDefault="00A45952" w:rsidP="00A32552">
      <w:pPr>
        <w:tabs>
          <w:tab w:val="left" w:pos="284"/>
          <w:tab w:val="left" w:pos="709"/>
        </w:tabs>
        <w:spacing w:after="120" w:line="240" w:lineRule="auto"/>
        <w:ind w:left="851"/>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will still be regarded as complying with this clause.</w:t>
      </w:r>
    </w:p>
    <w:p w:rsidR="00A45952" w:rsidRPr="00404DF3" w:rsidRDefault="00A45952" w:rsidP="00A32552">
      <w:pPr>
        <w:numPr>
          <w:ilvl w:val="0"/>
          <w:numId w:val="99"/>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lastRenderedPageBreak/>
        <w:t>Sub-clause (1)(a) does not apply to advertising of a trade promotion lottery offered in conjunction with the purchase of a gambling product if the odds or chance of winning the lottery are affected by the number of entrants, or dependent on similar factors beyond the control of the gambling provider.</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Permissible advertising of loyalty programs, trade promotion lotteries and complimentary gambling products</w:t>
      </w:r>
    </w:p>
    <w:p w:rsidR="00A45952" w:rsidRPr="00404DF3" w:rsidRDefault="00A45952" w:rsidP="00A32552">
      <w:pPr>
        <w:numPr>
          <w:ilvl w:val="0"/>
          <w:numId w:val="100"/>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Despite clause 9(1)(h), a gambling provider may advertise an inducement for participation in an acceptable loyalty program by drawing attention to the name of the loyalty program, its availability to customers and the benefits to members of the program, as long as the customer is directed to the program’s full terms, conditions and benefits that are published on a public website, or on signs in or near a gaming area, or in a document available in or near a gaming area.</w:t>
      </w:r>
    </w:p>
    <w:p w:rsidR="00A45952" w:rsidRPr="00404DF3" w:rsidRDefault="00A45952" w:rsidP="00A32552">
      <w:pPr>
        <w:numPr>
          <w:ilvl w:val="0"/>
          <w:numId w:val="100"/>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Despite clause 9(1)(h), a gambling provider may advertise an inducement in the form of participation in an acceptable trade promotion lottery (</w:t>
      </w:r>
      <w:r w:rsidRPr="00404DF3">
        <w:rPr>
          <w:rFonts w:ascii="Times New Roman" w:eastAsia="Times New Roman" w:hAnsi="Times New Roman"/>
          <w:i/>
          <w:iCs/>
          <w:sz w:val="17"/>
          <w:szCs w:val="17"/>
          <w:lang w:eastAsia="en-AU" w:bidi="en-US"/>
        </w:rPr>
        <w:t xml:space="preserve">see clause </w:t>
      </w:r>
      <w:r w:rsidRPr="00404DF3">
        <w:rPr>
          <w:rFonts w:ascii="Times New Roman" w:eastAsia="Times New Roman" w:hAnsi="Times New Roman"/>
          <w:sz w:val="17"/>
          <w:szCs w:val="17"/>
          <w:lang w:eastAsia="en-AU" w:bidi="en-US"/>
        </w:rPr>
        <w:t>25), or of the offering of a complimentary gambling product.</w:t>
      </w:r>
    </w:p>
    <w:p w:rsidR="00A45952" w:rsidRPr="00404DF3" w:rsidRDefault="00A45952" w:rsidP="00A32552">
      <w:pPr>
        <w:numPr>
          <w:ilvl w:val="0"/>
          <w:numId w:val="100"/>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For the purpose of sub-clause (2) above, a gambling provider may only advertise an inducement as a complimentary gambling product in the form of a bonus bet, if—</w:t>
      </w:r>
    </w:p>
    <w:p w:rsidR="00A45952" w:rsidRPr="00404DF3" w:rsidRDefault="00A45952" w:rsidP="00A32552">
      <w:pPr>
        <w:numPr>
          <w:ilvl w:val="0"/>
          <w:numId w:val="139"/>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inducement advertised is only available for a bet placed on a racing event and not a bet placed on any other sport or fixture; and</w:t>
      </w:r>
    </w:p>
    <w:p w:rsidR="00A45952" w:rsidRPr="00404DF3" w:rsidRDefault="00A45952" w:rsidP="00A32552">
      <w:pPr>
        <w:numPr>
          <w:ilvl w:val="0"/>
          <w:numId w:val="139"/>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advertisement has been published or communicated on a platform which provides predominantly thoroughbred horse, harness or greyhound racing (that is, dedicated racing television channels, websites, written publications or radio stations and within the boundaries of racetracks; and</w:t>
      </w:r>
    </w:p>
    <w:p w:rsidR="00A45952" w:rsidRPr="00404DF3" w:rsidRDefault="00A45952" w:rsidP="00A32552">
      <w:pPr>
        <w:numPr>
          <w:ilvl w:val="0"/>
          <w:numId w:val="139"/>
        </w:numPr>
        <w:tabs>
          <w:tab w:val="left" w:pos="284"/>
          <w:tab w:val="left" w:pos="709"/>
        </w:tabs>
        <w:spacing w:after="120" w:line="240" w:lineRule="auto"/>
        <w:ind w:left="1208" w:hanging="357"/>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advertisement has been published or communicated on the part of the platform that exclusively contains racing-related content.</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Mandatory warning messages</w:t>
      </w:r>
    </w:p>
    <w:p w:rsidR="00A45952" w:rsidRPr="00404DF3" w:rsidRDefault="00A45952" w:rsidP="00A32552">
      <w:pPr>
        <w:numPr>
          <w:ilvl w:val="0"/>
          <w:numId w:val="101"/>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Expanded warning messages, as set out in Schedule 1 for the stated periods, must be included in gambling advertising, unless the inclusion of the expanded warning message in that particular advertising would be unreasonable or impracticable.</w:t>
      </w:r>
    </w:p>
    <w:p w:rsidR="00A45952" w:rsidRPr="00404DF3" w:rsidRDefault="00A45952" w:rsidP="00A32552">
      <w:pPr>
        <w:numPr>
          <w:ilvl w:val="0"/>
          <w:numId w:val="101"/>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If gambling advertising does not include an expanded warning message, the gambling advertising must include the condensed warning message. </w:t>
      </w:r>
    </w:p>
    <w:p w:rsidR="00A45952" w:rsidRPr="00404DF3" w:rsidRDefault="00A45952" w:rsidP="00A32552">
      <w:pPr>
        <w:numPr>
          <w:ilvl w:val="0"/>
          <w:numId w:val="101"/>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When a mandatory warning message is included in gambling advertising, the manner of its inclusion must be consistent with the message being a warning message.</w:t>
      </w:r>
    </w:p>
    <w:p w:rsidR="00A45952" w:rsidRPr="00404DF3" w:rsidRDefault="00A45952" w:rsidP="00A32552">
      <w:pPr>
        <w:numPr>
          <w:ilvl w:val="0"/>
          <w:numId w:val="101"/>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Gambling advertising which is a text message, tweet, email or social media posting of less than 160 characters must be concluded with the condensed warning message.  If the text message is more than 160 characters it must be concluded with the condensed warning message and the national gambling helpline number 1800 858 858.</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Advertising on Radio and Television</w:t>
      </w:r>
    </w:p>
    <w:p w:rsidR="00A45952" w:rsidRPr="00404DF3" w:rsidRDefault="00A45952" w:rsidP="00A32552">
      <w:pPr>
        <w:numPr>
          <w:ilvl w:val="0"/>
          <w:numId w:val="102"/>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Gambling advertising must not be placed on radio between 6.00am and 8.30am, Monday to Friday (both days inclusive).  This clause does not apply to gambling advertising on a dedicated sports channel.</w:t>
      </w:r>
    </w:p>
    <w:p w:rsidR="00A45952" w:rsidRPr="00404DF3" w:rsidRDefault="00A45952" w:rsidP="00A32552">
      <w:pPr>
        <w:numPr>
          <w:ilvl w:val="0"/>
          <w:numId w:val="102"/>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Gambling advertising must not be placed on television between 4.00pm and 7.30pm, Monday to Friday (both days inclusive).  This clause does not apply to gambling advertising on a dedicated sports channel.</w:t>
      </w:r>
    </w:p>
    <w:p w:rsidR="00A45952" w:rsidRPr="00404DF3" w:rsidRDefault="00A45952" w:rsidP="00A32552">
      <w:pPr>
        <w:numPr>
          <w:ilvl w:val="0"/>
          <w:numId w:val="102"/>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Despite clause 12, gambling advertising on radio may be accompanied by the condensed warning message and in the case of a plug or commentary, must end with the condensed warning message and the national gambling helpline number 1800 858 858.</w:t>
      </w:r>
    </w:p>
    <w:p w:rsidR="00A45952" w:rsidRPr="00404DF3" w:rsidRDefault="00A45952" w:rsidP="00A32552">
      <w:pPr>
        <w:numPr>
          <w:ilvl w:val="0"/>
          <w:numId w:val="102"/>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Despite clause 12, gambling advertising on television that is longer than 15 seconds, must be accompanied by the expanded warning message and in the case of a plug or commentary, must end with the condensed warning message and the national gambling helpline number 1800 858 858. </w:t>
      </w:r>
    </w:p>
    <w:p w:rsidR="00A45952" w:rsidRPr="00404DF3" w:rsidRDefault="00A45952" w:rsidP="00A32552">
      <w:pPr>
        <w:numPr>
          <w:ilvl w:val="0"/>
          <w:numId w:val="102"/>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A mandatory warning message announced on radio or television must be spoken in a neutral tone, at a speed that is clear and easily understood and otherwise presented in a way which reflects the importance of a warning message. </w:t>
      </w:r>
    </w:p>
    <w:p w:rsidR="00A45952" w:rsidRPr="00404DF3" w:rsidRDefault="00A45952" w:rsidP="00A32552">
      <w:pPr>
        <w:numPr>
          <w:ilvl w:val="0"/>
          <w:numId w:val="102"/>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 ensure, through instructions about their obligations under this code, that a mandatory warning message is appropriately respected for gambling advertising in live announcements and when mentioned by announcers before or after the broadcast of its gambling advertising.</w:t>
      </w:r>
    </w:p>
    <w:p w:rsidR="00A45952" w:rsidRPr="00404DF3" w:rsidRDefault="00A45952" w:rsidP="00A32552">
      <w:pPr>
        <w:numPr>
          <w:ilvl w:val="0"/>
          <w:numId w:val="102"/>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In the case of the presence of the gambling provider’s logo on a screen, other than as part of a commercial which includes a mandatory warning message, the logo must include the condensed warning message adjacent to the logo occupying no less space than that occupied by the logo.  This does not include logos on participants’ uniforms (</w:t>
      </w:r>
      <w:r w:rsidRPr="00404DF3">
        <w:rPr>
          <w:rFonts w:ascii="Times New Roman" w:eastAsia="Times New Roman" w:hAnsi="Times New Roman"/>
          <w:i/>
          <w:iCs/>
          <w:sz w:val="17"/>
          <w:szCs w:val="17"/>
          <w:lang w:eastAsia="en-AU" w:bidi="en-US"/>
        </w:rPr>
        <w:t>see clause 14(7), (8) and (9)</w:t>
      </w:r>
      <w:r w:rsidRPr="00404DF3">
        <w:rPr>
          <w:rFonts w:ascii="Times New Roman" w:eastAsia="Times New Roman" w:hAnsi="Times New Roman"/>
          <w:sz w:val="17"/>
          <w:szCs w:val="17"/>
          <w:lang w:eastAsia="en-AU" w:bidi="en-US"/>
        </w:rPr>
        <w:t xml:space="preserve">). </w:t>
      </w:r>
    </w:p>
    <w:p w:rsidR="00A45952" w:rsidRPr="00404DF3" w:rsidRDefault="00A45952" w:rsidP="00A32552">
      <w:pPr>
        <w:numPr>
          <w:ilvl w:val="0"/>
          <w:numId w:val="102"/>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mandatory warning message appearing in gambling advertising on television must occupy at least 25% of the screen area for at least 1/6</w:t>
      </w:r>
      <w:r w:rsidRPr="00404DF3">
        <w:rPr>
          <w:rFonts w:ascii="Times New Roman" w:eastAsia="Times New Roman" w:hAnsi="Times New Roman"/>
          <w:sz w:val="17"/>
          <w:szCs w:val="17"/>
          <w:vertAlign w:val="superscript"/>
          <w:lang w:eastAsia="en-AU" w:bidi="en-US"/>
        </w:rPr>
        <w:t>th</w:t>
      </w:r>
      <w:r w:rsidRPr="00404DF3">
        <w:rPr>
          <w:rFonts w:ascii="Times New Roman" w:eastAsia="Times New Roman" w:hAnsi="Times New Roman"/>
          <w:sz w:val="17"/>
          <w:szCs w:val="17"/>
          <w:lang w:eastAsia="en-AU" w:bidi="en-US"/>
        </w:rPr>
        <w:t xml:space="preserve"> of the length of the advertisement, or occupy the whole screen area for at least 1/10</w:t>
      </w:r>
      <w:r w:rsidRPr="00404DF3">
        <w:rPr>
          <w:rFonts w:ascii="Times New Roman" w:eastAsia="Times New Roman" w:hAnsi="Times New Roman"/>
          <w:sz w:val="17"/>
          <w:szCs w:val="17"/>
          <w:vertAlign w:val="superscript"/>
          <w:lang w:eastAsia="en-AU" w:bidi="en-US"/>
        </w:rPr>
        <w:t>th</w:t>
      </w:r>
      <w:r w:rsidRPr="00404DF3">
        <w:rPr>
          <w:rFonts w:ascii="Times New Roman" w:eastAsia="Times New Roman" w:hAnsi="Times New Roman"/>
          <w:sz w:val="17"/>
          <w:szCs w:val="17"/>
          <w:lang w:eastAsia="en-AU" w:bidi="en-US"/>
        </w:rPr>
        <w:t xml:space="preserve"> of the length of the advertisement.</w:t>
      </w:r>
    </w:p>
    <w:p w:rsidR="00A45952" w:rsidRPr="00404DF3" w:rsidRDefault="00A45952" w:rsidP="00A32552">
      <w:pPr>
        <w:numPr>
          <w:ilvl w:val="0"/>
          <w:numId w:val="102"/>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mandatory warning message must be spoken at the same time as it appears on a television screen.</w:t>
      </w:r>
    </w:p>
    <w:p w:rsidR="00A45952" w:rsidRPr="00404DF3" w:rsidRDefault="00A45952" w:rsidP="00A32552">
      <w:pPr>
        <w:numPr>
          <w:ilvl w:val="0"/>
          <w:numId w:val="102"/>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Clauses 13(6), (7) and (8) do not apply where gambling advertising appears on television only because the broadcast image is of a public event at which the advertising has been placed.</w:t>
      </w:r>
    </w:p>
    <w:p w:rsidR="00F85BE2" w:rsidRPr="00404DF3" w:rsidRDefault="00F85BE2" w:rsidP="00A32552">
      <w:pPr>
        <w:spacing w:after="120" w:line="240" w:lineRule="auto"/>
        <w:jc w:val="left"/>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br w:type="page"/>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lastRenderedPageBreak/>
        <w:t xml:space="preserve">Additional requirements for print media, outdoor and other forms of advertising </w:t>
      </w:r>
    </w:p>
    <w:p w:rsidR="00A45952" w:rsidRPr="00404DF3" w:rsidRDefault="00A45952" w:rsidP="00A32552">
      <w:pPr>
        <w:numPr>
          <w:ilvl w:val="0"/>
          <w:numId w:val="103"/>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If the condensed warning message is used in advertising to which this clause applies, it must be accompanied by the national gambling helpline number 1800 858 858.</w:t>
      </w:r>
    </w:p>
    <w:p w:rsidR="00A45952" w:rsidRPr="00404DF3" w:rsidRDefault="00A45952" w:rsidP="00A32552">
      <w:pPr>
        <w:numPr>
          <w:ilvl w:val="0"/>
          <w:numId w:val="103"/>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In printed gambling advertising, the mandatory warning message must be presented in a font and colour with sufficient contrast as to make it distinct, and must occupy at least 10% of the space occupied by the advertising. </w:t>
      </w:r>
    </w:p>
    <w:p w:rsidR="00A45952" w:rsidRPr="00404DF3" w:rsidRDefault="00A45952" w:rsidP="00A32552">
      <w:pPr>
        <w:numPr>
          <w:ilvl w:val="0"/>
          <w:numId w:val="103"/>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In outdoor gambling advertising (other than a permitted external sign) the mandatory warning message must be presented in a font and colour with sufficient contrast as to make it distinct, and must occupy at least 10% of the space occupied by the advertising.</w:t>
      </w:r>
    </w:p>
    <w:p w:rsidR="00A45952" w:rsidRPr="00404DF3" w:rsidRDefault="00A45952" w:rsidP="00A32552">
      <w:pPr>
        <w:numPr>
          <w:ilvl w:val="0"/>
          <w:numId w:val="103"/>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Gambling advertising in the form of a permitted external sign need not be accompanied by a mandatory warning message.  </w:t>
      </w:r>
    </w:p>
    <w:p w:rsidR="00A45952" w:rsidRPr="00404DF3" w:rsidRDefault="00A45952" w:rsidP="00A32552">
      <w:pPr>
        <w:numPr>
          <w:ilvl w:val="0"/>
          <w:numId w:val="103"/>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An outdoor or indoor display or sign at a venue for any sort of event which is broadcast on television; or for an event on which betting takes place, the mandatory warning message must be presented in a font and colour with sufficient contrast as to make it distinct, and must occupy at least 10% of the space occupied by the advertising.</w:t>
      </w:r>
    </w:p>
    <w:p w:rsidR="00A45952" w:rsidRPr="00404DF3" w:rsidRDefault="00A45952" w:rsidP="00A32552">
      <w:pPr>
        <w:numPr>
          <w:ilvl w:val="0"/>
          <w:numId w:val="103"/>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If the gambling advertising referred to in sub-clause (5) is presented by means of a display which is constantly moving, scrolling or changing, or is capable of immediate or scheduled systematic changes, the mandatory warning message must be presented in a font and colour with sufficient contrast as to make it distinct and must occupy at least 25% of the space occupied by the advertising.</w:t>
      </w:r>
    </w:p>
    <w:p w:rsidR="00A45952" w:rsidRPr="00404DF3" w:rsidRDefault="00A45952" w:rsidP="00A32552">
      <w:pPr>
        <w:numPr>
          <w:ilvl w:val="0"/>
          <w:numId w:val="103"/>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Gambling advertising which is the placement of a logo on the apparel of a participant (including an official) in an event which is broadcast on television in South Australia, or at an event at which gambling takes place, must be accompanied by the placement of the condensed warning message adjacent to the logo, occupying no less than half the space occupied by the logo.</w:t>
      </w:r>
    </w:p>
    <w:p w:rsidR="00A45952" w:rsidRPr="00404DF3" w:rsidRDefault="00A45952" w:rsidP="00A32552">
      <w:pPr>
        <w:numPr>
          <w:ilvl w:val="0"/>
          <w:numId w:val="103"/>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Gambling advertising in the form of a small logo (occupying no more than 5400mm² with no linear dimension longer than 180mm) need not be accompanied by a mandatory warning message.</w:t>
      </w:r>
    </w:p>
    <w:p w:rsidR="00A45952" w:rsidRPr="00404DF3" w:rsidRDefault="00A45952" w:rsidP="00A32552">
      <w:pPr>
        <w:numPr>
          <w:ilvl w:val="0"/>
          <w:numId w:val="103"/>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Gambling providers must ensure that participants do not wear its logo on occasions when they are engaging solely or mainly with minors.</w:t>
      </w:r>
    </w:p>
    <w:p w:rsidR="00A45952" w:rsidRPr="00404DF3" w:rsidRDefault="00A45952" w:rsidP="00A32552">
      <w:pPr>
        <w:numPr>
          <w:ilvl w:val="0"/>
          <w:numId w:val="103"/>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Gambling advertising which is no more than the inclusion in—</w:t>
      </w:r>
    </w:p>
    <w:p w:rsidR="00A45952" w:rsidRPr="00404DF3" w:rsidRDefault="00A45952" w:rsidP="00A32552">
      <w:pPr>
        <w:numPr>
          <w:ilvl w:val="0"/>
          <w:numId w:val="104"/>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the title of an event or the name of a team participating in an event; or </w:t>
      </w:r>
    </w:p>
    <w:p w:rsidR="00A45952" w:rsidRPr="00404DF3" w:rsidRDefault="00A45952" w:rsidP="00A32552">
      <w:pPr>
        <w:numPr>
          <w:ilvl w:val="0"/>
          <w:numId w:val="104"/>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name of a place of a sponsor’s name or brand,</w:t>
      </w:r>
    </w:p>
    <w:p w:rsidR="00A45952" w:rsidRPr="00404DF3" w:rsidRDefault="00A45952" w:rsidP="00A32552">
      <w:pPr>
        <w:tabs>
          <w:tab w:val="left" w:pos="284"/>
        </w:tabs>
        <w:spacing w:after="120" w:line="240" w:lineRule="auto"/>
        <w:ind w:left="851"/>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need not be accompanied by a mandatory warning message.  This does not apply to gambling advertising in relation to participant uniforms, as set out in sub-clauses (7) and (8). </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Live odds</w:t>
      </w:r>
    </w:p>
    <w:p w:rsidR="00A45952" w:rsidRPr="00404DF3" w:rsidRDefault="00A45952" w:rsidP="00A32552">
      <w:pPr>
        <w:numPr>
          <w:ilvl w:val="0"/>
          <w:numId w:val="141"/>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Gambling advertising placed on radio or television which encourages betting on a form of gambling that—</w:t>
      </w:r>
    </w:p>
    <w:p w:rsidR="00A45952" w:rsidRPr="00404DF3" w:rsidRDefault="00A45952" w:rsidP="00A32552">
      <w:pPr>
        <w:numPr>
          <w:ilvl w:val="0"/>
          <w:numId w:val="142"/>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quotes a price; or</w:t>
      </w:r>
    </w:p>
    <w:p w:rsidR="00A45952" w:rsidRPr="00404DF3" w:rsidRDefault="00A45952" w:rsidP="00A32552">
      <w:pPr>
        <w:numPr>
          <w:ilvl w:val="0"/>
          <w:numId w:val="142"/>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draws attention to the time period in which the form of gambling is available; or</w:t>
      </w:r>
    </w:p>
    <w:p w:rsidR="00A45952" w:rsidRPr="00404DF3" w:rsidRDefault="00A45952" w:rsidP="00A32552">
      <w:pPr>
        <w:numPr>
          <w:ilvl w:val="0"/>
          <w:numId w:val="142"/>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draws attention in any way to the availability of the form of gambling; or</w:t>
      </w:r>
    </w:p>
    <w:p w:rsidR="00A45952" w:rsidRPr="00404DF3" w:rsidRDefault="00A45952" w:rsidP="00A32552">
      <w:pPr>
        <w:numPr>
          <w:ilvl w:val="0"/>
          <w:numId w:val="142"/>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otherwise encourages the betting;</w:t>
      </w:r>
    </w:p>
    <w:p w:rsidR="00A45952" w:rsidRPr="00404DF3" w:rsidRDefault="00A45952" w:rsidP="00A32552">
      <w:pPr>
        <w:tabs>
          <w:tab w:val="left" w:pos="284"/>
          <w:tab w:val="left" w:pos="709"/>
        </w:tabs>
        <w:spacing w:after="120" w:line="240" w:lineRule="auto"/>
        <w:ind w:left="851"/>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must comply with the following communications and media industry codes of practice as registered by the Australian Communications and Media Authority (ACMA) from time to time;</w:t>
      </w:r>
    </w:p>
    <w:p w:rsidR="00A45952" w:rsidRPr="00404DF3" w:rsidRDefault="00A45952" w:rsidP="00A32552">
      <w:pPr>
        <w:numPr>
          <w:ilvl w:val="0"/>
          <w:numId w:val="140"/>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Subscription Broadcast Television Codes of Practice;</w:t>
      </w:r>
    </w:p>
    <w:p w:rsidR="00A45952" w:rsidRPr="00404DF3" w:rsidRDefault="00A45952" w:rsidP="00A32552">
      <w:pPr>
        <w:numPr>
          <w:ilvl w:val="0"/>
          <w:numId w:val="140"/>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Subscription Narrowcast Television Codes of Practice;</w:t>
      </w:r>
    </w:p>
    <w:p w:rsidR="00A45952" w:rsidRPr="00404DF3" w:rsidRDefault="00A45952" w:rsidP="00A32552">
      <w:pPr>
        <w:numPr>
          <w:ilvl w:val="0"/>
          <w:numId w:val="140"/>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Subscription Narrowcast Radio Codes of Practice;</w:t>
      </w:r>
    </w:p>
    <w:p w:rsidR="00A45952" w:rsidRPr="00404DF3" w:rsidRDefault="00A45952" w:rsidP="00A32552">
      <w:pPr>
        <w:numPr>
          <w:ilvl w:val="0"/>
          <w:numId w:val="140"/>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Commercial Radio Code of Practice;</w:t>
      </w:r>
    </w:p>
    <w:p w:rsidR="00A45952" w:rsidRPr="00404DF3" w:rsidRDefault="00A45952" w:rsidP="00A32552">
      <w:pPr>
        <w:numPr>
          <w:ilvl w:val="0"/>
          <w:numId w:val="140"/>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SBS Codes of Practice;</w:t>
      </w:r>
    </w:p>
    <w:p w:rsidR="00A45952" w:rsidRPr="00404DF3" w:rsidRDefault="00A45952" w:rsidP="00A32552">
      <w:pPr>
        <w:numPr>
          <w:ilvl w:val="0"/>
          <w:numId w:val="140"/>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Free TV Commercial Television Industry Code of Practice;</w:t>
      </w:r>
    </w:p>
    <w:p w:rsidR="00A45952" w:rsidRPr="00404DF3" w:rsidRDefault="00A45952" w:rsidP="00A32552">
      <w:pPr>
        <w:numPr>
          <w:ilvl w:val="0"/>
          <w:numId w:val="140"/>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Subscription broadcast television codes of practice.</w:t>
      </w:r>
    </w:p>
    <w:p w:rsidR="00A45952" w:rsidRPr="00404DF3" w:rsidRDefault="00A45952" w:rsidP="00A32552">
      <w:pPr>
        <w:numPr>
          <w:ilvl w:val="0"/>
          <w:numId w:val="141"/>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Gambling advertising placed on an online platform which encourages betting on a form of gambling that –</w:t>
      </w:r>
    </w:p>
    <w:p w:rsidR="00A45952" w:rsidRPr="00404DF3" w:rsidRDefault="00A45952" w:rsidP="00A32552">
      <w:pPr>
        <w:numPr>
          <w:ilvl w:val="0"/>
          <w:numId w:val="143"/>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quotes a price; or</w:t>
      </w:r>
    </w:p>
    <w:p w:rsidR="00A45952" w:rsidRPr="00404DF3" w:rsidRDefault="00A45952" w:rsidP="00A32552">
      <w:pPr>
        <w:numPr>
          <w:ilvl w:val="0"/>
          <w:numId w:val="143"/>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draws attention to the time period in which the form of gambling is available; or</w:t>
      </w:r>
    </w:p>
    <w:p w:rsidR="00A45952" w:rsidRPr="00404DF3" w:rsidRDefault="00A45952" w:rsidP="00A32552">
      <w:pPr>
        <w:numPr>
          <w:ilvl w:val="0"/>
          <w:numId w:val="143"/>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draws attention in any way to the availability of the form of gambling; or</w:t>
      </w:r>
    </w:p>
    <w:p w:rsidR="00A45952" w:rsidRPr="00404DF3" w:rsidRDefault="00A45952" w:rsidP="00A32552">
      <w:pPr>
        <w:numPr>
          <w:ilvl w:val="0"/>
          <w:numId w:val="143"/>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otherwise encourages the betting;</w:t>
      </w:r>
    </w:p>
    <w:p w:rsidR="00A45952" w:rsidRPr="00404DF3" w:rsidRDefault="00A45952" w:rsidP="00A32552">
      <w:pPr>
        <w:tabs>
          <w:tab w:val="left" w:pos="284"/>
          <w:tab w:val="left" w:pos="709"/>
        </w:tabs>
        <w:spacing w:after="120" w:line="240" w:lineRule="auto"/>
        <w:ind w:left="851"/>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lastRenderedPageBreak/>
        <w:t xml:space="preserve">must comply with the </w:t>
      </w:r>
      <w:r w:rsidRPr="00404DF3">
        <w:rPr>
          <w:rFonts w:ascii="Times New Roman" w:eastAsia="Times New Roman" w:hAnsi="Times New Roman"/>
          <w:i/>
          <w:iCs/>
          <w:sz w:val="17"/>
          <w:szCs w:val="17"/>
          <w:lang w:eastAsia="en-AU" w:bidi="en-US"/>
        </w:rPr>
        <w:t>Broadcasting Services (Online Content Service Provider Rules) 2018</w:t>
      </w:r>
      <w:r w:rsidRPr="00404DF3">
        <w:rPr>
          <w:rFonts w:ascii="Times New Roman" w:eastAsia="Times New Roman" w:hAnsi="Times New Roman"/>
          <w:sz w:val="17"/>
          <w:szCs w:val="17"/>
          <w:lang w:eastAsia="en-AU" w:bidi="en-US"/>
        </w:rPr>
        <w:t xml:space="preserve"> (Commonwealth).</w:t>
      </w:r>
    </w:p>
    <w:p w:rsidR="00A45952" w:rsidRPr="00404DF3" w:rsidRDefault="00A45952" w:rsidP="00A32552">
      <w:pPr>
        <w:spacing w:after="120" w:line="240" w:lineRule="auto"/>
        <w:jc w:val="left"/>
        <w:rPr>
          <w:rFonts w:ascii="Times New Roman" w:eastAsia="Times New Roman" w:hAnsi="Times New Roman"/>
          <w:b/>
          <w:sz w:val="20"/>
          <w:szCs w:val="20"/>
          <w:lang w:eastAsia="en-AU"/>
        </w:rPr>
      </w:pPr>
      <w:r w:rsidRPr="00404DF3">
        <w:rPr>
          <w:rFonts w:ascii="Times New Roman" w:eastAsia="Times New Roman" w:hAnsi="Times New Roman"/>
          <w:b/>
          <w:sz w:val="20"/>
          <w:szCs w:val="20"/>
          <w:lang w:eastAsia="en-AU"/>
        </w:rPr>
        <w:t>Part 3—Responsible gambling practices</w:t>
      </w:r>
    </w:p>
    <w:p w:rsidR="00A45952" w:rsidRPr="00404DF3" w:rsidRDefault="00A45952" w:rsidP="00A32552">
      <w:p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 ensure that their general gambling practices are consistent with community expectations that gambling operations will be conducted responsibly and in a manner that minimises the harm caused by gambling, and is socially responsible.</w:t>
      </w:r>
    </w:p>
    <w:p w:rsidR="00A45952" w:rsidRPr="00404DF3" w:rsidRDefault="00A45952" w:rsidP="00A32552">
      <w:pPr>
        <w:spacing w:after="120" w:line="240" w:lineRule="auto"/>
        <w:jc w:val="left"/>
        <w:rPr>
          <w:rFonts w:ascii="Times New Roman" w:eastAsia="Times New Roman" w:hAnsi="Times New Roman"/>
          <w:b/>
          <w:sz w:val="17"/>
          <w:szCs w:val="17"/>
          <w:lang w:eastAsia="en-AU"/>
        </w:rPr>
      </w:pPr>
      <w:r w:rsidRPr="00404DF3">
        <w:rPr>
          <w:rFonts w:ascii="Times New Roman" w:eastAsia="Times New Roman" w:hAnsi="Times New Roman"/>
          <w:sz w:val="17"/>
          <w:szCs w:val="17"/>
          <w:lang w:eastAsia="en-AU" w:bidi="en-US"/>
        </w:rPr>
        <w:t xml:space="preserve">The gambling provider must conduct their business in accordance with all applicable State and Federal laws and legal requirements, and co-operate with regulatory bodies and government agencies in all matters, including compliance with legal obligations. </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Responsible gambling operations</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 for all gambling areas, virtual gambling areas, gambling telephone lines and internet sites, through which it provides its gambling products, ensure the existence of a document or documents (whether hard copy or otherwise) detailing—</w:t>
      </w:r>
    </w:p>
    <w:p w:rsidR="00A45952" w:rsidRPr="00404DF3" w:rsidRDefault="00A45952" w:rsidP="00A32552">
      <w:pPr>
        <w:numPr>
          <w:ilvl w:val="0"/>
          <w:numId w:val="107"/>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manner in which staff training and measures for interventions with problems gamblers are implemented;</w:t>
      </w:r>
    </w:p>
    <w:p w:rsidR="00A45952" w:rsidRPr="00404DF3" w:rsidRDefault="00A45952" w:rsidP="00A32552">
      <w:pPr>
        <w:numPr>
          <w:ilvl w:val="0"/>
          <w:numId w:val="107"/>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the roles of staff (by job title) in the implementation of this code.  </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document required by sub-clause (1) may be incorporated with any other operational document maintained by the gambling provider, but must be made known to and readily available to staff and staff must be trained and ensure compliance with the documents.</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 develop and implement effective policies and procedures that enable staff to—</w:t>
      </w:r>
    </w:p>
    <w:p w:rsidR="00A45952" w:rsidRPr="00404DF3" w:rsidRDefault="00A45952" w:rsidP="00A32552">
      <w:pPr>
        <w:numPr>
          <w:ilvl w:val="0"/>
          <w:numId w:val="108"/>
        </w:numPr>
        <w:spacing w:after="120" w:line="240" w:lineRule="auto"/>
        <w:ind w:left="1208" w:hanging="357"/>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identify people displaying signs of gambling harm by, but not limited to, reviewing player accounts for risky patterns of play (e.g. increase in frequency of betting, increase in bet size), reviewing pre-commitment arrangements (including requests to increase limits), and reviewing customer communication (written and verbal) that may indicate the person may be experiencing harm; and</w:t>
      </w:r>
    </w:p>
    <w:p w:rsidR="00A45952" w:rsidRPr="00404DF3" w:rsidRDefault="00A45952" w:rsidP="00A32552">
      <w:pPr>
        <w:numPr>
          <w:ilvl w:val="0"/>
          <w:numId w:val="108"/>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respond to people displaying signs of gambling harm by engaging in a conversation about their gambling behaviour, offering pre-commitment and barring options, and referring them to a gambling help service; and</w:t>
      </w:r>
    </w:p>
    <w:p w:rsidR="00A45952" w:rsidRPr="00404DF3" w:rsidRDefault="00A45952" w:rsidP="00A32552">
      <w:pPr>
        <w:numPr>
          <w:ilvl w:val="0"/>
          <w:numId w:val="108"/>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ensure staff are trained in and carry out their functions in accordance with such policies and procedures.</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 establish a reporting process for the identification of suspected problem gamblers by staff and the recording of their details.</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 ensure they have a system in place to identify and monitor problem gambling indicators, and review the record of suspected problem gamblers at least weekly, including the details of the review and any steps taken to intervene.  Data captured by this system may only be used for the purpose of harm minimisation and no other purpose.</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record of suspected problem gamblers must include sufficient detailed information to enable staff in gambling areas to identify the patron, and must be readily available to staff at any time and the Commissioner upon request.</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If any loyalty program data or account data indicate that a person may be at risk of harm from gambling, a gambling provider must  limit the person’s gambling activities (e.g. by suspending the account) until the customer is able to verify that they are able to sustain an increased level of gambling;</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If a person requests voluntary exclusion, the gambling provider must bar the person forthwith in accordance with Part 6 of the </w:t>
      </w:r>
      <w:r w:rsidRPr="00404DF3">
        <w:rPr>
          <w:rFonts w:ascii="Times New Roman" w:eastAsia="Times New Roman" w:hAnsi="Times New Roman"/>
          <w:i/>
          <w:iCs/>
          <w:sz w:val="17"/>
          <w:szCs w:val="17"/>
          <w:lang w:eastAsia="en-AU" w:bidi="en-US"/>
        </w:rPr>
        <w:t>Gambling Administration Act 2019</w:t>
      </w:r>
      <w:r w:rsidRPr="00404DF3">
        <w:rPr>
          <w:rFonts w:ascii="Times New Roman" w:eastAsia="Times New Roman" w:hAnsi="Times New Roman"/>
          <w:sz w:val="17"/>
          <w:szCs w:val="17"/>
          <w:lang w:eastAsia="en-AU" w:bidi="en-US"/>
        </w:rPr>
        <w:t>.</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If a person requests third party involuntary barring of a gambler, the gambling provider must promptly make a considered decision.</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 document and implement procedures to ensure that enquiries about barring (regardless of who initiates them) and approaches for the making of barring orders, are responded to in a manner that is informative, timely and culturally appropriate, with the aim of dealing with an in-venue approach while the person is in the venue and dealing with telephone enquiries in one call where possible, using an interpretation service if required.</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may make flexible informal arrangements with patrons, only if the arrangements limit, manage or control a gamblers access to gambling and the gambling provider reasonably expects that informal arrangements would be beneficial for the gambler.  This clause does not apply if a person requests a voluntary exclusion.</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 note the details of any informal arrangements, including details of any agreed pre-commitment arrangements, and make them available to the Commissioner upon request.</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All staff involved in selling the gambling provider’s gambling products, or otherwise dealing with customers must log into the barring register each time when on duty, or be provided with a current printed consolidated barring list from the barring register to review any new or updated barring information.</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 ensure that at least one employee has “Administrator” access for the purpose of updating and registering information into the barring register within the prescribed timeframe.</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 ensure that any loyalty program database, account holders database or any like list identifies a person who is excluded (whether by formal barring order or otherwise) and ensures that person is not sent any marketing communications.</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lastRenderedPageBreak/>
        <w:t>The gambling provider must take reasonable steps to ensure that staff with a potential or actual gambling problem (involving any sort of gambling) are identified and referred for counselling, support or therapy.</w:t>
      </w:r>
    </w:p>
    <w:p w:rsidR="00A45952" w:rsidRPr="00404DF3" w:rsidRDefault="00A45952" w:rsidP="00A32552">
      <w:pPr>
        <w:numPr>
          <w:ilvl w:val="0"/>
          <w:numId w:val="106"/>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The gambling provider (other than an interactive wagering service provider) must ensure that there is adequate natural or artificial lighting in gambling areas to enable clocks and signs to be easily read and the faces of people within the gambling area to be easily identified. </w:t>
      </w:r>
    </w:p>
    <w:p w:rsidR="00A45952" w:rsidRPr="00404DF3" w:rsidRDefault="00A45952" w:rsidP="00A32552">
      <w:pPr>
        <w:numPr>
          <w:ilvl w:val="0"/>
          <w:numId w:val="106"/>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(other than an interactive wagering service provider) must not permit a second-hand dealer or pawnbroker to conduct business in gambling areas.</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Customer information and signage in gambling areas</w:t>
      </w:r>
    </w:p>
    <w:p w:rsidR="00A45952" w:rsidRPr="00404DF3" w:rsidRDefault="00A45952" w:rsidP="00A32552">
      <w:pPr>
        <w:numPr>
          <w:ilvl w:val="0"/>
          <w:numId w:val="10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w:t>
      </w:r>
    </w:p>
    <w:p w:rsidR="00A45952" w:rsidRPr="00404DF3" w:rsidRDefault="00A45952" w:rsidP="00A32552">
      <w:pPr>
        <w:numPr>
          <w:ilvl w:val="0"/>
          <w:numId w:val="110"/>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ensure the prominent display of the condensed warning message and the national gambling helpline number</w:t>
      </w:r>
      <w:r w:rsidRPr="00404DF3">
        <w:rPr>
          <w:rFonts w:ascii="Times New Roman" w:eastAsia="Times New Roman" w:hAnsi="Times New Roman"/>
          <w:sz w:val="17"/>
          <w:szCs w:val="17"/>
          <w:lang w:eastAsia="en-AU" w:bidi="en-US"/>
        </w:rPr>
        <w:br/>
        <w:t>1800 858 858 on or near each point of sale of its gambling product and on any electronic display in a gambling area which is used for displaying venue generated messages in the nature of internal advertising;</w:t>
      </w:r>
    </w:p>
    <w:p w:rsidR="00A45952" w:rsidRPr="00404DF3" w:rsidRDefault="00A45952" w:rsidP="00A32552">
      <w:pPr>
        <w:numPr>
          <w:ilvl w:val="0"/>
          <w:numId w:val="110"/>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in each gambling area display prominently a message indicating that gambling operations are governed by a code of practice and ensure that a copy of this code is made available on request;</w:t>
      </w:r>
    </w:p>
    <w:p w:rsidR="00A45952" w:rsidRPr="00404DF3" w:rsidRDefault="00A45952" w:rsidP="00A32552">
      <w:pPr>
        <w:numPr>
          <w:ilvl w:val="0"/>
          <w:numId w:val="110"/>
        </w:numPr>
        <w:tabs>
          <w:tab w:val="left" w:pos="284"/>
          <w:tab w:val="left" w:pos="709"/>
        </w:tabs>
        <w:spacing w:after="120" w:line="240" w:lineRule="auto"/>
        <w:jc w:val="left"/>
        <w:rPr>
          <w:rFonts w:ascii="Times New Roman" w:eastAsia="Times New Roman" w:hAnsi="Times New Roman"/>
          <w:spacing w:val="-2"/>
          <w:sz w:val="17"/>
          <w:szCs w:val="17"/>
          <w:lang w:eastAsia="en-AU" w:bidi="en-US"/>
        </w:rPr>
      </w:pPr>
      <w:r w:rsidRPr="00404DF3">
        <w:rPr>
          <w:rFonts w:ascii="Times New Roman" w:eastAsia="Times New Roman" w:hAnsi="Times New Roman"/>
          <w:spacing w:val="-2"/>
          <w:sz w:val="17"/>
          <w:szCs w:val="17"/>
          <w:lang w:eastAsia="en-AU" w:bidi="en-US"/>
        </w:rPr>
        <w:t>ensure that a quantity of helpline cards are available on or near each ATM and other places throughout gambling areas; and</w:t>
      </w:r>
    </w:p>
    <w:p w:rsidR="00A45952" w:rsidRPr="00404DF3" w:rsidRDefault="00A45952" w:rsidP="00A32552">
      <w:pPr>
        <w:numPr>
          <w:ilvl w:val="0"/>
          <w:numId w:val="110"/>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ensure that the time of day is prominently displayed and visible throughout gambling areas.</w:t>
      </w:r>
    </w:p>
    <w:p w:rsidR="00A45952" w:rsidRPr="00404DF3" w:rsidRDefault="00A45952" w:rsidP="00A32552">
      <w:pPr>
        <w:numPr>
          <w:ilvl w:val="0"/>
          <w:numId w:val="10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w:t>
      </w:r>
    </w:p>
    <w:p w:rsidR="00A45952" w:rsidRPr="00404DF3" w:rsidRDefault="00A45952" w:rsidP="00A32552">
      <w:pPr>
        <w:numPr>
          <w:ilvl w:val="0"/>
          <w:numId w:val="111"/>
        </w:numPr>
        <w:tabs>
          <w:tab w:val="left" w:pos="284"/>
          <w:tab w:val="left" w:pos="709"/>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prominently display and renew responsible gambling materials (including a poster and pamphlet) in gambling areas in a form which includes the expanded warning message, or if it is not reasonable or practicable to include the expanded warning message, the condensed warning message; and</w:t>
      </w:r>
    </w:p>
    <w:p w:rsidR="00A45952" w:rsidRPr="00404DF3" w:rsidRDefault="00A45952" w:rsidP="00A32552">
      <w:pPr>
        <w:numPr>
          <w:ilvl w:val="0"/>
          <w:numId w:val="111"/>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make available its responsible gambling poster written in English, Arabic, Chinese, Greek, Italian, Vietnamese and any other relevant language. </w:t>
      </w:r>
    </w:p>
    <w:p w:rsidR="00A45952" w:rsidRPr="00404DF3" w:rsidRDefault="00A45952" w:rsidP="00A32552">
      <w:pPr>
        <w:numPr>
          <w:ilvl w:val="0"/>
          <w:numId w:val="10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If a gaming machine or casino licensee is also the agent of SA TAB and has placed additional responsible gambling signage and a multi-lingual sign in areas which are gambling areas for the purposes of SA TAB, SA TAB is deemed to have complied with the requirements of sub-clauses (1) and (2).</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Self-service terminals</w:t>
      </w:r>
    </w:p>
    <w:p w:rsidR="00A45952" w:rsidRPr="00404DF3" w:rsidRDefault="00A45952" w:rsidP="00A32552">
      <w:pPr>
        <w:numPr>
          <w:ilvl w:val="0"/>
          <w:numId w:val="144"/>
        </w:numPr>
        <w:tabs>
          <w:tab w:val="left" w:pos="284"/>
        </w:tabs>
        <w:spacing w:after="120" w:line="240" w:lineRule="auto"/>
        <w:ind w:left="851" w:hanging="425"/>
        <w:jc w:val="left"/>
        <w:rPr>
          <w:rFonts w:ascii="Times New Roman" w:eastAsia="Times New Roman" w:hAnsi="Times New Roman"/>
          <w:sz w:val="17"/>
          <w:szCs w:val="17"/>
          <w:lang w:eastAsia="en-AU" w:bidi="en-US"/>
        </w:rPr>
      </w:pPr>
      <w:bookmarkStart w:id="71" w:name="_Hlk71713663"/>
      <w:r w:rsidRPr="00404DF3">
        <w:rPr>
          <w:rFonts w:ascii="Times New Roman" w:eastAsia="Times New Roman" w:hAnsi="Times New Roman"/>
          <w:sz w:val="17"/>
          <w:szCs w:val="17"/>
          <w:lang w:eastAsia="en-AU" w:bidi="en-US"/>
        </w:rPr>
        <w:t>If a gambling provider installs, in a place in which it is otherwise authorised to provide its gambling product, a device which allows customers to purchase the gambling product and process winnings without the assistance of an operator, the gambling provider must ensure that—</w:t>
      </w:r>
    </w:p>
    <w:p w:rsidR="00A45952" w:rsidRPr="00404DF3" w:rsidRDefault="00A45952" w:rsidP="00A32552">
      <w:pPr>
        <w:numPr>
          <w:ilvl w:val="0"/>
          <w:numId w:val="112"/>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subject to sub-paragraph (b), the device is configured to allow the gambling product to be purchased using a customer’s gambling account; and</w:t>
      </w:r>
    </w:p>
    <w:p w:rsidR="00A45952" w:rsidRPr="00404DF3" w:rsidRDefault="00A45952" w:rsidP="00A32552">
      <w:pPr>
        <w:numPr>
          <w:ilvl w:val="0"/>
          <w:numId w:val="112"/>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if the device is configured to allow the gambling product to be purchased other than by using a gambling account, enhanced responsible gambling measures approved by the Commissioner in respect of the device (or class of device) are being implemented; and</w:t>
      </w:r>
    </w:p>
    <w:p w:rsidR="00A45952" w:rsidRPr="00404DF3" w:rsidRDefault="00A45952" w:rsidP="00A32552">
      <w:pPr>
        <w:numPr>
          <w:ilvl w:val="0"/>
          <w:numId w:val="112"/>
        </w:numPr>
        <w:tabs>
          <w:tab w:val="left" w:pos="284"/>
        </w:tabs>
        <w:spacing w:after="120" w:line="240" w:lineRule="auto"/>
        <w:ind w:left="1208" w:hanging="357"/>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if the device is able to be operated by the insertion of cash—</w:t>
      </w:r>
    </w:p>
    <w:p w:rsidR="00A45952" w:rsidRPr="00404DF3" w:rsidRDefault="00A45952" w:rsidP="00A32552">
      <w:pPr>
        <w:numPr>
          <w:ilvl w:val="1"/>
          <w:numId w:val="113"/>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device must have a maximum cash deposit limit of $100; and</w:t>
      </w:r>
    </w:p>
    <w:p w:rsidR="00A45952" w:rsidRPr="00404DF3" w:rsidRDefault="00A45952" w:rsidP="00A32552">
      <w:pPr>
        <w:numPr>
          <w:ilvl w:val="1"/>
          <w:numId w:val="113"/>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device must have pause functionality if the gambling provider’s staff suspect the customer may be under the age of 18 years old, may be barred, is demonstrating difficulty controlling their gambling or is intoxicated; and</w:t>
      </w:r>
    </w:p>
    <w:p w:rsidR="00A45952" w:rsidRPr="00404DF3" w:rsidRDefault="00A45952" w:rsidP="00A32552">
      <w:pPr>
        <w:numPr>
          <w:ilvl w:val="1"/>
          <w:numId w:val="113"/>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device must display the relevant expanded warning message on the screen at no more than 10 minute intervals; and</w:t>
      </w:r>
    </w:p>
    <w:p w:rsidR="00A45952" w:rsidRPr="00404DF3" w:rsidRDefault="00A45952" w:rsidP="00A32552">
      <w:pPr>
        <w:numPr>
          <w:ilvl w:val="1"/>
          <w:numId w:val="113"/>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device must display the relevant expanded warning message alternating with the condensed warning message and the national helpline number 1800 858 858, at the bottom of the screen at all times, at no more than 10 minute intervals; and</w:t>
      </w:r>
    </w:p>
    <w:p w:rsidR="00A45952" w:rsidRPr="00404DF3" w:rsidRDefault="00A45952" w:rsidP="00A32552">
      <w:pPr>
        <w:numPr>
          <w:ilvl w:val="1"/>
          <w:numId w:val="113"/>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when the device’s screen has been idle for a period of time, the length of which is approved by the Commissioner, a message must be displayed including:</w:t>
      </w:r>
    </w:p>
    <w:p w:rsidR="00A45952" w:rsidRPr="00404DF3" w:rsidRDefault="00A45952" w:rsidP="00A32552">
      <w:pPr>
        <w:numPr>
          <w:ilvl w:val="0"/>
          <w:numId w:val="114"/>
        </w:numPr>
        <w:tabs>
          <w:tab w:val="left" w:pos="284"/>
        </w:tabs>
        <w:spacing w:after="120" w:line="240" w:lineRule="auto"/>
        <w:ind w:left="2268" w:hanging="283"/>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statement that the device is restricted to people aged 18 or more (18+ only)</w:t>
      </w:r>
    </w:p>
    <w:p w:rsidR="00A45952" w:rsidRPr="00404DF3" w:rsidRDefault="00A45952" w:rsidP="00A32552">
      <w:pPr>
        <w:numPr>
          <w:ilvl w:val="0"/>
          <w:numId w:val="114"/>
        </w:numPr>
        <w:tabs>
          <w:tab w:val="left" w:pos="284"/>
        </w:tabs>
        <w:spacing w:after="120" w:line="240" w:lineRule="auto"/>
        <w:ind w:left="2268" w:hanging="283"/>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statement that the device is regulated by state law and codes of practice and that it is subject to inspection by an agency of the State, along with advice as to a telephone number to call to register a complaint; and</w:t>
      </w:r>
    </w:p>
    <w:p w:rsidR="00A45952" w:rsidRPr="00404DF3" w:rsidRDefault="00A45952" w:rsidP="00A32552">
      <w:pPr>
        <w:numPr>
          <w:ilvl w:val="0"/>
          <w:numId w:val="112"/>
        </w:numPr>
        <w:tabs>
          <w:tab w:val="left" w:pos="284"/>
        </w:tabs>
        <w:spacing w:after="120" w:line="240" w:lineRule="auto"/>
        <w:ind w:left="1208" w:hanging="357"/>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device must have the functionality to send high volume alerts, at levels approved by the Commissioner, to the gambling provider’s staff, for the purpose of monitoring patrons who may be demonstrating behaviours indicative of having problems controlling their gambling; and</w:t>
      </w:r>
    </w:p>
    <w:p w:rsidR="00A45952" w:rsidRPr="00404DF3" w:rsidRDefault="00A45952" w:rsidP="00A32552">
      <w:pPr>
        <w:numPr>
          <w:ilvl w:val="0"/>
          <w:numId w:val="112"/>
        </w:numPr>
        <w:tabs>
          <w:tab w:val="left" w:pos="284"/>
        </w:tabs>
        <w:spacing w:after="120" w:line="240" w:lineRule="auto"/>
        <w:ind w:left="1208" w:hanging="357"/>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device must be installed in line of sight of the gambling provider’s staff; and</w:t>
      </w:r>
    </w:p>
    <w:p w:rsidR="00882DBF" w:rsidRPr="00A32552" w:rsidRDefault="00A45952" w:rsidP="00A32552">
      <w:pPr>
        <w:numPr>
          <w:ilvl w:val="0"/>
          <w:numId w:val="112"/>
        </w:numPr>
        <w:tabs>
          <w:tab w:val="left" w:pos="284"/>
        </w:tabs>
        <w:spacing w:after="120" w:line="240" w:lineRule="auto"/>
        <w:ind w:left="1208" w:hanging="357"/>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lastRenderedPageBreak/>
        <w:t>there must be electronic surveillance of the device with recordings to be kept for a period of time approved by the Commissioner.</w:t>
      </w:r>
      <w:r w:rsidR="00882DBF" w:rsidRPr="00A32552">
        <w:rPr>
          <w:rFonts w:ascii="Times New Roman" w:eastAsia="Times New Roman" w:hAnsi="Times New Roman"/>
          <w:b/>
          <w:sz w:val="17"/>
          <w:szCs w:val="17"/>
          <w:lang w:eastAsia="en-AU"/>
        </w:rPr>
        <w:br w:type="page"/>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lastRenderedPageBreak/>
        <w:t xml:space="preserve">Customer information and help information </w:t>
      </w:r>
    </w:p>
    <w:bookmarkEnd w:id="71"/>
    <w:p w:rsidR="00A45952" w:rsidRPr="00404DF3" w:rsidRDefault="00A45952" w:rsidP="00A32552">
      <w:pPr>
        <w:numPr>
          <w:ilvl w:val="0"/>
          <w:numId w:val="115"/>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A gambling provider must take all reasonable steps to ensure that a patron who demonstrates difficulty in controlling their personal expenditure on gambling products has their attention drawn to the name and telephone number of a widely available gambling help service.</w:t>
      </w:r>
    </w:p>
    <w:p w:rsidR="00A45952" w:rsidRPr="00404DF3" w:rsidRDefault="00A45952" w:rsidP="00A32552">
      <w:pPr>
        <w:numPr>
          <w:ilvl w:val="0"/>
          <w:numId w:val="115"/>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gambling provider must—</w:t>
      </w:r>
    </w:p>
    <w:p w:rsidR="00A45952" w:rsidRPr="00404DF3" w:rsidRDefault="00A45952" w:rsidP="00A32552">
      <w:pPr>
        <w:numPr>
          <w:ilvl w:val="0"/>
          <w:numId w:val="116"/>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identify a gambling rehabilitation agency that their patrons and families can readily access (including the location of the agency and a direct number to a contact person at the agency);</w:t>
      </w:r>
    </w:p>
    <w:p w:rsidR="00A45952" w:rsidRPr="00404DF3" w:rsidRDefault="00A45952" w:rsidP="00A32552">
      <w:pPr>
        <w:numPr>
          <w:ilvl w:val="0"/>
          <w:numId w:val="116"/>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ensure that staff are sufficiently informed about the identity and location of the gambling rehabilitation agency so as to be able to direct patrons to the agency; and</w:t>
      </w:r>
    </w:p>
    <w:p w:rsidR="00A45952" w:rsidRPr="00404DF3" w:rsidRDefault="00A45952" w:rsidP="00A32552">
      <w:pPr>
        <w:numPr>
          <w:ilvl w:val="0"/>
          <w:numId w:val="116"/>
        </w:numPr>
        <w:spacing w:after="120" w:line="240" w:lineRule="auto"/>
        <w:ind w:left="1208" w:hanging="357"/>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ensure that management level contact is established and maintained with the gambling rehabilitation agency about problem gambling matters.</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Account holder information and signage for virtual gambling areas</w:t>
      </w:r>
    </w:p>
    <w:p w:rsidR="00A45952" w:rsidRPr="00404DF3" w:rsidRDefault="00A45952" w:rsidP="00A32552">
      <w:pPr>
        <w:numPr>
          <w:ilvl w:val="0"/>
          <w:numId w:val="117"/>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gambling provider must in each virtual gambling area—</w:t>
      </w:r>
    </w:p>
    <w:p w:rsidR="00A45952" w:rsidRPr="00404DF3" w:rsidRDefault="00A45952" w:rsidP="00A32552">
      <w:pPr>
        <w:numPr>
          <w:ilvl w:val="0"/>
          <w:numId w:val="118"/>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display prominently a message indicating that its gambling operations are governed by a code of practice; and</w:t>
      </w:r>
    </w:p>
    <w:p w:rsidR="00A45952" w:rsidRPr="00404DF3" w:rsidRDefault="00A45952" w:rsidP="00A32552">
      <w:pPr>
        <w:numPr>
          <w:ilvl w:val="0"/>
          <w:numId w:val="118"/>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ensure that a copy of this code is available from the webpage or screen that constitutes the virtual gambling area.</w:t>
      </w:r>
    </w:p>
    <w:p w:rsidR="00A45952" w:rsidRPr="00404DF3" w:rsidRDefault="00A45952" w:rsidP="00A32552">
      <w:pPr>
        <w:numPr>
          <w:ilvl w:val="0"/>
          <w:numId w:val="117"/>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A gambling provider must provide prominent access to its responsible gambling materials on each website which includes a virtual gambling area.</w:t>
      </w:r>
    </w:p>
    <w:p w:rsidR="00A45952" w:rsidRPr="00404DF3" w:rsidRDefault="00A45952" w:rsidP="00A32552">
      <w:pPr>
        <w:numPr>
          <w:ilvl w:val="0"/>
          <w:numId w:val="117"/>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A gambling provider must ensure the prominent display of the condensed warning message at every point of sale in its virtual gambling areas.</w:t>
      </w:r>
    </w:p>
    <w:p w:rsidR="00A45952" w:rsidRPr="00404DF3" w:rsidRDefault="00A45952" w:rsidP="00A32552">
      <w:pPr>
        <w:numPr>
          <w:ilvl w:val="0"/>
          <w:numId w:val="117"/>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A gambling provider must—</w:t>
      </w:r>
    </w:p>
    <w:p w:rsidR="00A45952" w:rsidRPr="00404DF3" w:rsidRDefault="00A45952" w:rsidP="00A32552">
      <w:pPr>
        <w:numPr>
          <w:ilvl w:val="0"/>
          <w:numId w:val="119"/>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at the time of establishing a gambling account indicate that its gambling operations are governed by a code of practice and provide its responsible gambling materials (including a printed or electronic pamphlet) to the account holder; and</w:t>
      </w:r>
    </w:p>
    <w:p w:rsidR="00A45952" w:rsidRPr="00404DF3" w:rsidRDefault="00A45952" w:rsidP="00A32552">
      <w:pPr>
        <w:numPr>
          <w:ilvl w:val="0"/>
          <w:numId w:val="119"/>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when providing a statement for a gambling account, include a mandatory warning message as part of the statement.</w:t>
      </w:r>
    </w:p>
    <w:p w:rsidR="00A45952" w:rsidRPr="00404DF3" w:rsidRDefault="00A45952" w:rsidP="00A32552">
      <w:pPr>
        <w:numPr>
          <w:ilvl w:val="0"/>
          <w:numId w:val="117"/>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For the purposes of sub-clauses (2) and (4), a gambling provider must—</w:t>
      </w:r>
    </w:p>
    <w:p w:rsidR="00A45952" w:rsidRPr="00404DF3" w:rsidRDefault="00A45952" w:rsidP="00A32552">
      <w:pPr>
        <w:numPr>
          <w:ilvl w:val="0"/>
          <w:numId w:val="120"/>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publish its responsible gambling materials in a form which includes the contents of a helpline card and the expanded warning message;</w:t>
      </w:r>
    </w:p>
    <w:p w:rsidR="00A45952" w:rsidRPr="00404DF3" w:rsidRDefault="00A45952" w:rsidP="00A32552">
      <w:pPr>
        <w:numPr>
          <w:ilvl w:val="0"/>
          <w:numId w:val="120"/>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make available a short form of its responsible gambling materials written in English, Arabic, Chinese, Greek, Italian, Vietnamese and any other language which the gambling provider considers appropriate.</w:t>
      </w:r>
    </w:p>
    <w:p w:rsidR="00A45952" w:rsidRPr="00404DF3" w:rsidRDefault="00A45952" w:rsidP="00A32552">
      <w:pPr>
        <w:numPr>
          <w:ilvl w:val="0"/>
          <w:numId w:val="117"/>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A gambling provider must take all reasonable steps to ensure that an account holder who demonstrates difficulty in controlling their personal expenditure on gambling products has their attention drawn to the name and telephone number of a widely available gambling help service.</w:t>
      </w:r>
    </w:p>
    <w:p w:rsidR="00A45952" w:rsidRPr="00404DF3" w:rsidRDefault="00A45952" w:rsidP="00A32552">
      <w:pPr>
        <w:numPr>
          <w:ilvl w:val="0"/>
          <w:numId w:val="117"/>
        </w:numPr>
        <w:spacing w:after="120" w:line="240" w:lineRule="auto"/>
        <w:ind w:left="850"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A gambling provider must reinforce its responsible gambling policy in account holder newsletters and other communications.</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Alcohol and Gambling</w:t>
      </w:r>
    </w:p>
    <w:p w:rsidR="00A45952" w:rsidRPr="00404DF3" w:rsidRDefault="00A45952" w:rsidP="00A32552">
      <w:pPr>
        <w:numPr>
          <w:ilvl w:val="0"/>
          <w:numId w:val="121"/>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In gambling areas, gambling providers must take all practicable steps—</w:t>
      </w:r>
    </w:p>
    <w:p w:rsidR="00A45952" w:rsidRPr="00404DF3" w:rsidRDefault="00A45952" w:rsidP="00A32552">
      <w:pPr>
        <w:numPr>
          <w:ilvl w:val="0"/>
          <w:numId w:val="122"/>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to prevent a person from being allowed to gamble if their speech, balance, coordination or behaviour is noticeably affected and it is reasonable to believe that the affected speech, balance, coordination or behaviour is the result of the consumption of liquor or some other substance;</w:t>
      </w:r>
    </w:p>
    <w:p w:rsidR="00A45952" w:rsidRPr="00404DF3" w:rsidRDefault="00A45952" w:rsidP="00A32552">
      <w:pPr>
        <w:numPr>
          <w:ilvl w:val="0"/>
          <w:numId w:val="122"/>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to prevent a person entering or remaining in a gambling area if their speech, balance, coordination or behaviour is noticeably affected and it is reasonable to believe that the affected speech, balance, coordination or behaviour is the result of the consumption of liquor or some other substance;</w:t>
      </w:r>
    </w:p>
    <w:p w:rsidR="00A45952" w:rsidRPr="00404DF3" w:rsidRDefault="00A45952" w:rsidP="00A32552">
      <w:pPr>
        <w:numPr>
          <w:ilvl w:val="0"/>
          <w:numId w:val="122"/>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to ensure that liquor is not supplied to reward, promote or encourage continued gambling.</w:t>
      </w:r>
    </w:p>
    <w:p w:rsidR="00A45952" w:rsidRPr="00404DF3" w:rsidRDefault="00A45952" w:rsidP="00A32552">
      <w:pPr>
        <w:numPr>
          <w:ilvl w:val="0"/>
          <w:numId w:val="121"/>
        </w:numPr>
        <w:spacing w:after="120" w:line="240" w:lineRule="auto"/>
        <w:ind w:left="850"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A gambling provider which is operating a gambling telephone line, the gambling provider must take all practicable steps to prevent a person from being allowed to gamble if the person’s speech, coordination or behaviour is noticeably impaired and it is reasonable to believe that the impairment is the result of the consumption of liquor or some other substance.</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 xml:space="preserve">Inducements </w:t>
      </w:r>
    </w:p>
    <w:p w:rsidR="00A45952" w:rsidRPr="00404DF3" w:rsidRDefault="00A45952" w:rsidP="00A32552">
      <w:pPr>
        <w:numPr>
          <w:ilvl w:val="0"/>
          <w:numId w:val="123"/>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gambling provider must not offer or provide any inducement directed at encouraging a person to gamble.</w:t>
      </w:r>
    </w:p>
    <w:p w:rsidR="00A45952" w:rsidRPr="00404DF3" w:rsidRDefault="00A45952" w:rsidP="00A32552">
      <w:pPr>
        <w:numPr>
          <w:ilvl w:val="0"/>
          <w:numId w:val="123"/>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Sub-clause (1) does not apply to—</w:t>
      </w:r>
    </w:p>
    <w:p w:rsidR="00A45952" w:rsidRPr="00404DF3" w:rsidRDefault="00A45952" w:rsidP="00A32552">
      <w:pPr>
        <w:numPr>
          <w:ilvl w:val="0"/>
          <w:numId w:val="124"/>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offering or provision of participation in an acceptable loyalty program (</w:t>
      </w:r>
      <w:r w:rsidRPr="00404DF3">
        <w:rPr>
          <w:rFonts w:ascii="Times New Roman" w:eastAsia="Times New Roman" w:hAnsi="Times New Roman"/>
          <w:bCs/>
          <w:i/>
          <w:sz w:val="17"/>
          <w:szCs w:val="17"/>
          <w:lang w:eastAsia="en-AU" w:bidi="en-US"/>
        </w:rPr>
        <w:t>see clause 23</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24"/>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offering or provision of participation in an acceptable trade promotion lottery (</w:t>
      </w:r>
      <w:r w:rsidRPr="00404DF3">
        <w:rPr>
          <w:rFonts w:ascii="Times New Roman" w:eastAsia="Times New Roman" w:hAnsi="Times New Roman"/>
          <w:bCs/>
          <w:i/>
          <w:sz w:val="17"/>
          <w:szCs w:val="17"/>
          <w:lang w:eastAsia="en-AU" w:bidi="en-US"/>
        </w:rPr>
        <w:t>see clause 25</w:t>
      </w:r>
      <w:r w:rsidRPr="00404DF3">
        <w:rPr>
          <w:rFonts w:ascii="Times New Roman" w:eastAsia="Times New Roman" w:hAnsi="Times New Roman"/>
          <w:bCs/>
          <w:sz w:val="17"/>
          <w:szCs w:val="17"/>
          <w:lang w:eastAsia="en-AU" w:bidi="en-US"/>
        </w:rPr>
        <w:t>), by drawing attention to the prizes;</w:t>
      </w:r>
    </w:p>
    <w:p w:rsidR="00A45952" w:rsidRPr="00404DF3" w:rsidRDefault="00A45952" w:rsidP="00A32552">
      <w:pPr>
        <w:numPr>
          <w:ilvl w:val="0"/>
          <w:numId w:val="124"/>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lastRenderedPageBreak/>
        <w:t>the offering or provision of a complimentary gambling product, and in respect of an interactive wagering service provider, only if winnings from a bet made with a complimentary gambling product can be withdrawn by an account holder without being subject to a requirement that the account holder continue to bet with those winnings;</w:t>
      </w:r>
    </w:p>
    <w:p w:rsidR="00A45952" w:rsidRPr="00404DF3" w:rsidRDefault="00A45952" w:rsidP="00A32552">
      <w:pPr>
        <w:numPr>
          <w:ilvl w:val="0"/>
          <w:numId w:val="124"/>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 xml:space="preserve">the offering or provision of an inducement on platforms which contain exclusively thoroughbred horse, harness or greyhound racing content;   </w:t>
      </w:r>
    </w:p>
    <w:p w:rsidR="00A45952" w:rsidRPr="00404DF3" w:rsidRDefault="00A45952" w:rsidP="00A32552">
      <w:pPr>
        <w:numPr>
          <w:ilvl w:val="0"/>
          <w:numId w:val="124"/>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offering or provision in a gambling area of complimentary non-alcoholic beverages and refreshments of nominal value; or</w:t>
      </w:r>
    </w:p>
    <w:p w:rsidR="00A45952" w:rsidRPr="00404DF3" w:rsidRDefault="00A45952" w:rsidP="00A32552">
      <w:pPr>
        <w:numPr>
          <w:ilvl w:val="0"/>
          <w:numId w:val="124"/>
        </w:numPr>
        <w:spacing w:after="120" w:line="240" w:lineRule="auto"/>
        <w:ind w:left="1208" w:hanging="357"/>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offering or provision of an inducement in respect of a pre-commitment trial approved by the Commissioner, subject to the terms of the approval.</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 xml:space="preserve">Acceptable loyalty programs </w:t>
      </w:r>
    </w:p>
    <w:p w:rsidR="00A45952" w:rsidRPr="00404DF3" w:rsidRDefault="00A45952" w:rsidP="00A32552">
      <w:pPr>
        <w:numPr>
          <w:ilvl w:val="0"/>
          <w:numId w:val="125"/>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A loyalty program is an acceptable loyalty program if it is a structured program which—</w:t>
      </w:r>
    </w:p>
    <w:p w:rsidR="00A45952" w:rsidRPr="00404DF3" w:rsidRDefault="00A45952" w:rsidP="00A32552">
      <w:pPr>
        <w:numPr>
          <w:ilvl w:val="0"/>
          <w:numId w:val="126"/>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is conducted in accordance with published terms and conditions;</w:t>
      </w:r>
    </w:p>
    <w:p w:rsidR="00A45952" w:rsidRPr="00404DF3" w:rsidRDefault="00A45952" w:rsidP="00A32552">
      <w:pPr>
        <w:numPr>
          <w:ilvl w:val="0"/>
          <w:numId w:val="126"/>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is advertised in a manner consistent with the advertising requirements for the gambling providers gambling products;</w:t>
      </w:r>
    </w:p>
    <w:p w:rsidR="00A45952" w:rsidRPr="00404DF3" w:rsidRDefault="00A45952" w:rsidP="00A32552">
      <w:pPr>
        <w:numPr>
          <w:ilvl w:val="0"/>
          <w:numId w:val="126"/>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offers rewards proportionate to gambling activity (including non-monetary privileges attached to tiers in a stepped rewards system);</w:t>
      </w:r>
    </w:p>
    <w:p w:rsidR="00A45952" w:rsidRPr="00404DF3" w:rsidRDefault="00A45952" w:rsidP="00A32552">
      <w:pPr>
        <w:numPr>
          <w:ilvl w:val="0"/>
          <w:numId w:val="126"/>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 xml:space="preserve">offers regular activity statements; </w:t>
      </w:r>
    </w:p>
    <w:p w:rsidR="00A45952" w:rsidRPr="00404DF3" w:rsidRDefault="00A45952" w:rsidP="00A32552">
      <w:pPr>
        <w:numPr>
          <w:ilvl w:val="0"/>
          <w:numId w:val="126"/>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includes a facility for predictive monitoring of the patterns of gamblers’ gambling activity, with the purpose of intervening in cases where there is a risk of problem gambling, which provides in respect of each person participating in the loyalty program—</w:t>
      </w:r>
    </w:p>
    <w:p w:rsidR="00A45952" w:rsidRPr="00404DF3" w:rsidRDefault="00A45952" w:rsidP="00A32552">
      <w:pPr>
        <w:numPr>
          <w:ilvl w:val="0"/>
          <w:numId w:val="127"/>
        </w:numPr>
        <w:tabs>
          <w:tab w:val="left" w:pos="284"/>
        </w:tabs>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sz w:val="17"/>
          <w:szCs w:val="17"/>
          <w:lang w:eastAsia="en-AU" w:bidi="en-US"/>
        </w:rPr>
        <w:t>the</w:t>
      </w:r>
      <w:r w:rsidRPr="00404DF3">
        <w:rPr>
          <w:rFonts w:ascii="Times New Roman" w:eastAsia="Times New Roman" w:hAnsi="Times New Roman"/>
          <w:bCs/>
          <w:sz w:val="17"/>
          <w:szCs w:val="17"/>
          <w:lang w:eastAsia="en-AU" w:bidi="en-US"/>
        </w:rPr>
        <w:t xml:space="preserve"> identification of changes of significance between the most recent month (whether or not a calendar month) and past months of the amount of money spent;</w:t>
      </w:r>
    </w:p>
    <w:p w:rsidR="00A45952" w:rsidRPr="00404DF3" w:rsidRDefault="00A45952" w:rsidP="00A32552">
      <w:pPr>
        <w:numPr>
          <w:ilvl w:val="0"/>
          <w:numId w:val="127"/>
        </w:numPr>
        <w:tabs>
          <w:tab w:val="left" w:pos="284"/>
        </w:tabs>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amount of time spent; and</w:t>
      </w:r>
    </w:p>
    <w:p w:rsidR="00A45952" w:rsidRPr="00404DF3" w:rsidRDefault="00A45952" w:rsidP="00A32552">
      <w:pPr>
        <w:numPr>
          <w:ilvl w:val="0"/>
          <w:numId w:val="127"/>
        </w:numPr>
        <w:tabs>
          <w:tab w:val="left" w:pos="284"/>
        </w:tabs>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intensity of the person’s activity, with parameters which are able to be adjusted to produce a manageable number of cases for consideration of intervention;</w:t>
      </w:r>
    </w:p>
    <w:p w:rsidR="00A45952" w:rsidRPr="00404DF3" w:rsidRDefault="00A45952" w:rsidP="00A32552">
      <w:pPr>
        <w:numPr>
          <w:ilvl w:val="0"/>
          <w:numId w:val="126"/>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offers “high value patron” status only to those who meet the amounts set out in clause 24(1), and on periodic review, maintain numerical and narrative test of high value play and</w:t>
      </w:r>
    </w:p>
    <w:p w:rsidR="00A45952" w:rsidRPr="00404DF3" w:rsidRDefault="00A45952" w:rsidP="00A32552">
      <w:pPr>
        <w:numPr>
          <w:ilvl w:val="0"/>
          <w:numId w:val="126"/>
        </w:numPr>
        <w:spacing w:after="120" w:line="240" w:lineRule="auto"/>
        <w:ind w:left="1208" w:hanging="357"/>
        <w:jc w:val="left"/>
        <w:rPr>
          <w:rFonts w:ascii="Times New Roman" w:eastAsia="Times New Roman" w:hAnsi="Times New Roman"/>
          <w:b/>
          <w:sz w:val="17"/>
          <w:szCs w:val="17"/>
          <w:lang w:eastAsia="en-AU" w:bidi="en-US"/>
        </w:rPr>
      </w:pPr>
      <w:r w:rsidRPr="00404DF3">
        <w:rPr>
          <w:rFonts w:ascii="Times New Roman" w:eastAsia="Times New Roman" w:hAnsi="Times New Roman"/>
          <w:bCs/>
          <w:sz w:val="17"/>
          <w:szCs w:val="17"/>
          <w:lang w:eastAsia="en-AU" w:bidi="en-US"/>
        </w:rPr>
        <w:t>it has been approved by the Commissioner in terms of its rules, conditions, promotions, predictive monitoring processes and the manner in which it is to be advertised and promoted.</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 xml:space="preserve">High value patrons </w:t>
      </w:r>
    </w:p>
    <w:p w:rsidR="00A45952" w:rsidRPr="00404DF3" w:rsidRDefault="00A45952" w:rsidP="00A32552">
      <w:pPr>
        <w:numPr>
          <w:ilvl w:val="0"/>
          <w:numId w:val="145"/>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In addition to clause 23(f) a gambling provider may offer “high value patron” status to a gambling customer whose expected annual gambling activity will exceed $20,000 net expenditure over a year, or $200,000 gross turnover over a year when assessed on the most recent three months of activity, or by another method approved by the Commissioner and predictive monitoring measures are in place in relation to these customers.</w:t>
      </w:r>
    </w:p>
    <w:p w:rsidR="00A45952" w:rsidRPr="00404DF3" w:rsidRDefault="00A45952" w:rsidP="00A32552">
      <w:pPr>
        <w:numPr>
          <w:ilvl w:val="0"/>
          <w:numId w:val="145"/>
        </w:numPr>
        <w:spacing w:after="120" w:line="240" w:lineRule="auto"/>
        <w:ind w:left="850" w:hanging="425"/>
        <w:jc w:val="left"/>
        <w:rPr>
          <w:rFonts w:ascii="Times New Roman" w:eastAsia="Times New Roman" w:hAnsi="Times New Roman"/>
          <w:b/>
          <w:sz w:val="17"/>
          <w:szCs w:val="17"/>
          <w:lang w:eastAsia="en-AU" w:bidi="en-US"/>
        </w:rPr>
      </w:pPr>
      <w:r w:rsidRPr="00404DF3">
        <w:rPr>
          <w:rFonts w:ascii="Times New Roman" w:eastAsia="Times New Roman" w:hAnsi="Times New Roman"/>
          <w:bCs/>
          <w:sz w:val="17"/>
          <w:szCs w:val="17"/>
          <w:lang w:eastAsia="en-AU" w:bidi="en-US"/>
        </w:rPr>
        <w:t>The gambling provider must be satisfied that a person to which this clause applies has the means or resources to sustain the expected level of gambling activity indefinitely.</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 xml:space="preserve">Acceptable trade promotion lotteries </w:t>
      </w:r>
    </w:p>
    <w:p w:rsidR="00A45952" w:rsidRPr="00404DF3" w:rsidRDefault="00A45952" w:rsidP="00A32552">
      <w:pPr>
        <w:numPr>
          <w:ilvl w:val="0"/>
          <w:numId w:val="128"/>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A lottery is an acceptable trade promotion lottery if—</w:t>
      </w:r>
    </w:p>
    <w:p w:rsidR="00A45952" w:rsidRPr="00404DF3" w:rsidRDefault="00A45952" w:rsidP="00A32552">
      <w:pPr>
        <w:numPr>
          <w:ilvl w:val="0"/>
          <w:numId w:val="129"/>
        </w:numPr>
        <w:spacing w:after="120" w:line="240" w:lineRule="auto"/>
        <w:ind w:left="1208" w:hanging="357"/>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 xml:space="preserve">being a trade promotion lottery within the meaning of the Lotteries Regulations 2021, it is a licensed lottery or a permitted lottery under the </w:t>
      </w:r>
      <w:r w:rsidRPr="00404DF3">
        <w:rPr>
          <w:rFonts w:ascii="Times New Roman" w:eastAsia="Times New Roman" w:hAnsi="Times New Roman"/>
          <w:bCs/>
          <w:i/>
          <w:iCs/>
          <w:sz w:val="17"/>
          <w:szCs w:val="17"/>
          <w:lang w:eastAsia="en-AU" w:bidi="en-US"/>
        </w:rPr>
        <w:t>Lotteries Act 2019;</w:t>
      </w:r>
    </w:p>
    <w:p w:rsidR="00A45952" w:rsidRPr="00404DF3" w:rsidRDefault="00A45952" w:rsidP="00A32552">
      <w:pPr>
        <w:numPr>
          <w:ilvl w:val="0"/>
          <w:numId w:val="129"/>
        </w:numPr>
        <w:spacing w:after="120" w:line="240" w:lineRule="auto"/>
        <w:ind w:left="1208" w:hanging="357"/>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 xml:space="preserve">its dominant purpose is to reward or retain existing patrons, rather than attracting new patronage or encouraging patrons to gamble more than they would otherwise; </w:t>
      </w:r>
    </w:p>
    <w:p w:rsidR="00A45952" w:rsidRPr="00404DF3" w:rsidRDefault="00A45952" w:rsidP="00A32552">
      <w:pPr>
        <w:numPr>
          <w:ilvl w:val="0"/>
          <w:numId w:val="129"/>
        </w:numPr>
        <w:spacing w:after="120" w:line="240" w:lineRule="auto"/>
        <w:ind w:left="1208" w:hanging="357"/>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advertising is limited to promotion to account holders, on a private webpage on the gambling provider’s own website, by direct communication to customers that have expressly agreed to receiving advertising, within gambling areas and, on platforms which provide predominantly thoroughbred horse, harness or greyhound racing content and the advertisement has been published or communicated on the part of the platform that exclusively contains racing-related content (see clause 11).</w:t>
      </w:r>
    </w:p>
    <w:p w:rsidR="00A45952" w:rsidRPr="00404DF3" w:rsidRDefault="00A45952" w:rsidP="00A32552">
      <w:pPr>
        <w:numPr>
          <w:ilvl w:val="0"/>
          <w:numId w:val="129"/>
        </w:numPr>
        <w:spacing w:after="120" w:line="240" w:lineRule="auto"/>
        <w:ind w:left="1208" w:hanging="357"/>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advertising of the promotion draws attention to the prize(s) of the promotion, rather than the gambling product itself;</w:t>
      </w:r>
    </w:p>
    <w:p w:rsidR="00A45952" w:rsidRPr="00404DF3" w:rsidRDefault="00A45952" w:rsidP="00A32552">
      <w:pPr>
        <w:numPr>
          <w:ilvl w:val="0"/>
          <w:numId w:val="129"/>
        </w:numPr>
        <w:spacing w:after="120" w:line="240" w:lineRule="auto"/>
        <w:ind w:left="1208" w:hanging="357"/>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promotion does not encourage people to gamble for a minimum period or for a minimum amount to qualify for a reward or benefit; and</w:t>
      </w:r>
    </w:p>
    <w:p w:rsidR="00A45952" w:rsidRPr="00404DF3" w:rsidRDefault="00A45952" w:rsidP="00A32552">
      <w:pPr>
        <w:numPr>
          <w:ilvl w:val="0"/>
          <w:numId w:val="129"/>
        </w:numPr>
        <w:spacing w:after="120" w:line="240" w:lineRule="auto"/>
        <w:ind w:left="1208" w:hanging="357"/>
        <w:jc w:val="left"/>
        <w:rPr>
          <w:rFonts w:ascii="Times New Roman" w:eastAsia="Times New Roman" w:hAnsi="Times New Roman"/>
          <w:b/>
          <w:sz w:val="17"/>
          <w:szCs w:val="17"/>
          <w:lang w:eastAsia="en-AU"/>
        </w:rPr>
      </w:pPr>
      <w:r w:rsidRPr="00404DF3">
        <w:rPr>
          <w:rFonts w:ascii="Times New Roman" w:eastAsia="Times New Roman" w:hAnsi="Times New Roman"/>
          <w:bCs/>
          <w:sz w:val="17"/>
          <w:szCs w:val="17"/>
          <w:lang w:eastAsia="en-AU" w:bidi="en-US"/>
        </w:rPr>
        <w:t>in respect of an authorised lottery referred to in (a) above, it has been approved by the Commissioner in terms of its rules, conditions and the manner in which it will be advertised.</w:t>
      </w:r>
    </w:p>
    <w:p w:rsidR="00591DC1" w:rsidRPr="00404DF3" w:rsidRDefault="00591DC1" w:rsidP="00A32552">
      <w:pPr>
        <w:spacing w:after="120" w:line="240" w:lineRule="auto"/>
        <w:jc w:val="left"/>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br w:type="page"/>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lastRenderedPageBreak/>
        <w:t>Gambling accounts</w:t>
      </w:r>
    </w:p>
    <w:p w:rsidR="00A45952" w:rsidRPr="00404DF3" w:rsidRDefault="00A45952" w:rsidP="00A32552">
      <w:pPr>
        <w:spacing w:after="120" w:line="240" w:lineRule="auto"/>
        <w:ind w:left="426"/>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Where this clause, and any following clauses, makes reference to account holders being able to place a bet with interactive wagering service providers or gambling providers providing gambling services by telephone, internet or other electronic means, this is a reference to a means of communicating at a distance by the use of electronic devices.</w:t>
      </w:r>
    </w:p>
    <w:p w:rsidR="00A45952" w:rsidRPr="00404DF3" w:rsidRDefault="00A45952" w:rsidP="00A32552">
      <w:pPr>
        <w:numPr>
          <w:ilvl w:val="0"/>
          <w:numId w:val="146"/>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A gambling provider must not provide gambling services to a person in South Australia by telephone, internet or other electronic means unless the gambling provider has established a gambling account for the person.</w:t>
      </w:r>
    </w:p>
    <w:p w:rsidR="00A45952" w:rsidRPr="00404DF3" w:rsidRDefault="00A45952" w:rsidP="00A32552">
      <w:pPr>
        <w:numPr>
          <w:ilvl w:val="0"/>
          <w:numId w:val="146"/>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If a gambling provider has established a gambling account for a person—</w:t>
      </w:r>
    </w:p>
    <w:p w:rsidR="00A45952" w:rsidRPr="00404DF3" w:rsidRDefault="00A45952" w:rsidP="00A32552">
      <w:pPr>
        <w:numPr>
          <w:ilvl w:val="0"/>
          <w:numId w:val="130"/>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subject to clause 27—</w:t>
      </w:r>
    </w:p>
    <w:p w:rsidR="00A45952" w:rsidRPr="00404DF3" w:rsidRDefault="00A45952" w:rsidP="00A32552">
      <w:pPr>
        <w:numPr>
          <w:ilvl w:val="0"/>
          <w:numId w:val="131"/>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account may only be credited with funds deposited by the person, or at the person’s direction from a third party (not being a person in a close associate relationship with the gambling provider); and</w:t>
      </w:r>
    </w:p>
    <w:p w:rsidR="00A45952" w:rsidRPr="00404DF3" w:rsidRDefault="00A45952" w:rsidP="00A32552">
      <w:pPr>
        <w:numPr>
          <w:ilvl w:val="0"/>
          <w:numId w:val="131"/>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account must not be allowed to have a negative balance;</w:t>
      </w:r>
    </w:p>
    <w:p w:rsidR="00A45952" w:rsidRPr="00404DF3" w:rsidRDefault="00A45952" w:rsidP="00A32552">
      <w:pPr>
        <w:numPr>
          <w:ilvl w:val="0"/>
          <w:numId w:val="130"/>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terms and conditions governing the account must not operate—</w:t>
      </w:r>
    </w:p>
    <w:p w:rsidR="00A45952" w:rsidRPr="00404DF3" w:rsidRDefault="00A45952" w:rsidP="00A32552">
      <w:pPr>
        <w:numPr>
          <w:ilvl w:val="0"/>
          <w:numId w:val="132"/>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to impose a waiting period on withdrawals from the account;</w:t>
      </w:r>
    </w:p>
    <w:p w:rsidR="00A45952" w:rsidRPr="00404DF3" w:rsidRDefault="00A45952" w:rsidP="00A32552">
      <w:pPr>
        <w:numPr>
          <w:ilvl w:val="0"/>
          <w:numId w:val="132"/>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to allow funds pending withdrawal to be used for gambling; or</w:t>
      </w:r>
    </w:p>
    <w:p w:rsidR="00A45952" w:rsidRPr="00404DF3" w:rsidRDefault="00A45952" w:rsidP="00A32552">
      <w:pPr>
        <w:numPr>
          <w:ilvl w:val="0"/>
          <w:numId w:val="132"/>
        </w:numPr>
        <w:tabs>
          <w:tab w:val="left" w:pos="284"/>
        </w:tabs>
        <w:spacing w:after="120" w:line="240" w:lineRule="auto"/>
        <w:jc w:val="left"/>
        <w:rPr>
          <w:rFonts w:ascii="Times New Roman" w:eastAsia="Times New Roman" w:hAnsi="Times New Roman"/>
          <w:spacing w:val="-2"/>
          <w:sz w:val="17"/>
          <w:szCs w:val="17"/>
          <w:lang w:eastAsia="en-AU" w:bidi="en-US"/>
        </w:rPr>
      </w:pPr>
      <w:r w:rsidRPr="00404DF3">
        <w:rPr>
          <w:rFonts w:ascii="Times New Roman" w:eastAsia="Times New Roman" w:hAnsi="Times New Roman"/>
          <w:spacing w:val="-2"/>
          <w:sz w:val="17"/>
          <w:szCs w:val="17"/>
          <w:lang w:eastAsia="en-AU" w:bidi="en-US"/>
        </w:rPr>
        <w:t>to require a particular level of gambling, or a particular use of funds in the account, as a condition of withdrawal; and</w:t>
      </w:r>
    </w:p>
    <w:p w:rsidR="00A45952" w:rsidRPr="00404DF3" w:rsidRDefault="00A45952" w:rsidP="00A32552">
      <w:pPr>
        <w:numPr>
          <w:ilvl w:val="0"/>
          <w:numId w:val="130"/>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gambling provider must ensure that its business systems—</w:t>
      </w:r>
    </w:p>
    <w:p w:rsidR="00A45952" w:rsidRPr="00404DF3" w:rsidRDefault="00A45952" w:rsidP="00A32552">
      <w:pPr>
        <w:numPr>
          <w:ilvl w:val="0"/>
          <w:numId w:val="133"/>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facilitate withdrawals from the account as soon as practicable; and</w:t>
      </w:r>
    </w:p>
    <w:p w:rsidR="00A45952" w:rsidRPr="00404DF3" w:rsidRDefault="00A45952" w:rsidP="00A32552">
      <w:pPr>
        <w:numPr>
          <w:ilvl w:val="0"/>
          <w:numId w:val="133"/>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do not allow funds pending withdrawal to be applied to any purpose other than the withdrawal; and</w:t>
      </w:r>
    </w:p>
    <w:p w:rsidR="00A45952" w:rsidRPr="00404DF3" w:rsidRDefault="00A45952" w:rsidP="00A32552">
      <w:pPr>
        <w:numPr>
          <w:ilvl w:val="0"/>
          <w:numId w:val="133"/>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do not allow the establishment or extension of a credit facility while there are funds pending withdrawal.</w:t>
      </w:r>
    </w:p>
    <w:p w:rsidR="00A45952" w:rsidRPr="00404DF3" w:rsidRDefault="00A45952" w:rsidP="00A32552">
      <w:pPr>
        <w:numPr>
          <w:ilvl w:val="0"/>
          <w:numId w:val="146"/>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Sub-clause (2) does not operate—</w:t>
      </w:r>
    </w:p>
    <w:p w:rsidR="00A45952" w:rsidRPr="00404DF3" w:rsidRDefault="00A45952" w:rsidP="00A32552">
      <w:pPr>
        <w:numPr>
          <w:ilvl w:val="0"/>
          <w:numId w:val="134"/>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to preclude the following routine transactions on a gambling account—</w:t>
      </w:r>
    </w:p>
    <w:p w:rsidR="00A45952" w:rsidRPr="00404DF3" w:rsidRDefault="00A45952" w:rsidP="00A32552">
      <w:pPr>
        <w:numPr>
          <w:ilvl w:val="0"/>
          <w:numId w:val="135"/>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crediting of winnings or prizes, the making of refunds, the re-settling of bets on the outcome of a protest or like transaction;</w:t>
      </w:r>
    </w:p>
    <w:p w:rsidR="00A45952" w:rsidRPr="00404DF3" w:rsidRDefault="00A45952" w:rsidP="00A32552">
      <w:pPr>
        <w:numPr>
          <w:ilvl w:val="0"/>
          <w:numId w:val="135"/>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redemption of rewards as part of the operation of an acceptable loyalty program;</w:t>
      </w:r>
    </w:p>
    <w:p w:rsidR="00A45952" w:rsidRPr="00404DF3" w:rsidRDefault="00A45952" w:rsidP="00A32552">
      <w:pPr>
        <w:numPr>
          <w:ilvl w:val="0"/>
          <w:numId w:val="135"/>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redemption of prizes won in an acceptable trade promotion lottery; and</w:t>
      </w:r>
    </w:p>
    <w:p w:rsidR="00A45952" w:rsidRPr="00404DF3" w:rsidRDefault="00A45952" w:rsidP="00A32552">
      <w:pPr>
        <w:numPr>
          <w:ilvl w:val="0"/>
          <w:numId w:val="135"/>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the making of </w:t>
      </w:r>
      <w:r w:rsidRPr="00404DF3">
        <w:rPr>
          <w:rFonts w:ascii="Times New Roman" w:eastAsia="Times New Roman" w:hAnsi="Times New Roman"/>
          <w:i/>
          <w:iCs/>
          <w:sz w:val="17"/>
          <w:szCs w:val="17"/>
          <w:lang w:eastAsia="en-AU" w:bidi="en-US"/>
        </w:rPr>
        <w:t>ex gratia</w:t>
      </w:r>
      <w:r w:rsidRPr="00404DF3">
        <w:rPr>
          <w:rFonts w:ascii="Times New Roman" w:eastAsia="Times New Roman" w:hAnsi="Times New Roman"/>
          <w:sz w:val="17"/>
          <w:szCs w:val="17"/>
          <w:lang w:eastAsia="en-AU" w:bidi="en-US"/>
        </w:rPr>
        <w:t xml:space="preserve"> payments resolving complaints or disputes;</w:t>
      </w:r>
    </w:p>
    <w:p w:rsidR="00A45952" w:rsidRPr="00404DF3" w:rsidRDefault="00A45952" w:rsidP="00A32552">
      <w:pPr>
        <w:numPr>
          <w:ilvl w:val="0"/>
          <w:numId w:val="134"/>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to preclude a gambling provider from implementing—</w:t>
      </w:r>
    </w:p>
    <w:p w:rsidR="00A45952" w:rsidRPr="00404DF3" w:rsidRDefault="00A45952" w:rsidP="00A32552">
      <w:pPr>
        <w:numPr>
          <w:ilvl w:val="0"/>
          <w:numId w:val="136"/>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procedures reasonably necessary to ensure compliance with laws relating to the handling of money or the reporting of financial transactions;</w:t>
      </w:r>
    </w:p>
    <w:p w:rsidR="00A45952" w:rsidRPr="00404DF3" w:rsidRDefault="00A45952" w:rsidP="00A32552">
      <w:pPr>
        <w:numPr>
          <w:ilvl w:val="0"/>
          <w:numId w:val="136"/>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procedures required by or under the licence or other authority authorising the gambling provider to conduct its gambling business;</w:t>
      </w:r>
    </w:p>
    <w:p w:rsidR="00A45952" w:rsidRPr="00404DF3" w:rsidRDefault="00A45952" w:rsidP="00A32552">
      <w:pPr>
        <w:numPr>
          <w:ilvl w:val="0"/>
          <w:numId w:val="136"/>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procedures for the holding of a major prize pending identification of those entitled to claim the prize; or</w:t>
      </w:r>
    </w:p>
    <w:p w:rsidR="00A45952" w:rsidRPr="00404DF3" w:rsidRDefault="00A45952" w:rsidP="00A32552">
      <w:pPr>
        <w:numPr>
          <w:ilvl w:val="0"/>
          <w:numId w:val="134"/>
        </w:numPr>
        <w:spacing w:after="120" w:line="240" w:lineRule="auto"/>
        <w:ind w:left="1208" w:hanging="357"/>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to preclude a gambling account having a negative balance as the result of the reversal of an individual transaction.</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rPr>
      </w:pPr>
      <w:r w:rsidRPr="00404DF3">
        <w:rPr>
          <w:rFonts w:ascii="Times New Roman" w:eastAsia="Times New Roman" w:hAnsi="Times New Roman"/>
          <w:b/>
          <w:sz w:val="17"/>
          <w:szCs w:val="17"/>
          <w:lang w:eastAsia="en-AU"/>
        </w:rPr>
        <w:t xml:space="preserve">Credit gambling  </w:t>
      </w:r>
    </w:p>
    <w:p w:rsidR="00A45952" w:rsidRPr="00404DF3" w:rsidRDefault="00A45952" w:rsidP="00A32552">
      <w:pPr>
        <w:numPr>
          <w:ilvl w:val="0"/>
          <w:numId w:val="147"/>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Subject to any regulatory provision prohibiting or regulating the extension of credit for gambling, a gambling provider may only establish or extend a credit facility for an account holder if—</w:t>
      </w:r>
    </w:p>
    <w:p w:rsidR="00A45952" w:rsidRPr="00404DF3" w:rsidRDefault="00A45952" w:rsidP="00A32552">
      <w:pPr>
        <w:numPr>
          <w:ilvl w:val="0"/>
          <w:numId w:val="148"/>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account holder has requested the establishment or the extension in writing;</w:t>
      </w:r>
    </w:p>
    <w:p w:rsidR="00A45952" w:rsidRPr="00404DF3" w:rsidRDefault="00A45952" w:rsidP="00A32552">
      <w:pPr>
        <w:numPr>
          <w:ilvl w:val="0"/>
          <w:numId w:val="148"/>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gambling provider has disclosed all spotters’ fees relating to the establishment or extension; and</w:t>
      </w:r>
    </w:p>
    <w:p w:rsidR="00A45952" w:rsidRPr="00404DF3" w:rsidRDefault="00A45952" w:rsidP="00A32552">
      <w:pPr>
        <w:numPr>
          <w:ilvl w:val="0"/>
          <w:numId w:val="148"/>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an acceptable due </w:t>
      </w:r>
      <w:r w:rsidRPr="00404DF3">
        <w:rPr>
          <w:rFonts w:ascii="Times New Roman" w:eastAsia="Times New Roman" w:hAnsi="Times New Roman"/>
          <w:bCs/>
          <w:sz w:val="17"/>
          <w:szCs w:val="17"/>
          <w:lang w:eastAsia="en-AU" w:bidi="en-US"/>
        </w:rPr>
        <w:t>diligence</w:t>
      </w:r>
      <w:r w:rsidRPr="00404DF3">
        <w:rPr>
          <w:rFonts w:ascii="Times New Roman" w:eastAsia="Times New Roman" w:hAnsi="Times New Roman"/>
          <w:sz w:val="17"/>
          <w:szCs w:val="17"/>
          <w:lang w:eastAsia="en-AU" w:bidi="en-US"/>
        </w:rPr>
        <w:t xml:space="preserve"> process, including ‘know your customer’ requirements has been completed.</w:t>
      </w:r>
    </w:p>
    <w:p w:rsidR="00A45952" w:rsidRPr="00404DF3" w:rsidRDefault="00A45952" w:rsidP="00A32552">
      <w:pPr>
        <w:numPr>
          <w:ilvl w:val="0"/>
          <w:numId w:val="147"/>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If a credit facility has been established for an account holder—</w:t>
      </w:r>
    </w:p>
    <w:p w:rsidR="00A45952" w:rsidRPr="00404DF3" w:rsidRDefault="00A45952" w:rsidP="00A32552">
      <w:pPr>
        <w:numPr>
          <w:ilvl w:val="0"/>
          <w:numId w:val="149"/>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account holder must not be allowed access to the credit facility until the account holder has set a relevant pre-commitment limit;</w:t>
      </w:r>
    </w:p>
    <w:p w:rsidR="00A45952" w:rsidRPr="00404DF3" w:rsidRDefault="00A45952" w:rsidP="00A32552">
      <w:pPr>
        <w:numPr>
          <w:ilvl w:val="0"/>
          <w:numId w:val="149"/>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if the credit facility is extended—</w:t>
      </w:r>
    </w:p>
    <w:p w:rsidR="00A45952" w:rsidRPr="00404DF3" w:rsidRDefault="00A45952" w:rsidP="00A32552">
      <w:pPr>
        <w:numPr>
          <w:ilvl w:val="0"/>
          <w:numId w:val="150"/>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account holder must not be allowed access to the extension of the facility until a positive step has been taken by the account holder to review the relevant pre-commitment limit; and</w:t>
      </w:r>
    </w:p>
    <w:p w:rsidR="00A45952" w:rsidRPr="00404DF3" w:rsidRDefault="00A45952" w:rsidP="00A32552">
      <w:pPr>
        <w:numPr>
          <w:ilvl w:val="0"/>
          <w:numId w:val="150"/>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pending compliance with sub-paragraph (1), the relevant pre-commitment limit must be capped at $500;</w:t>
      </w:r>
    </w:p>
    <w:p w:rsidR="00A45952" w:rsidRPr="00404DF3" w:rsidRDefault="00A45952" w:rsidP="00A32552">
      <w:pPr>
        <w:numPr>
          <w:ilvl w:val="0"/>
          <w:numId w:val="149"/>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terms and conditions of the facility, or the conduct of the gambling provider, must not operate to require a particular level of activity in order to maintain the facility;</w:t>
      </w:r>
    </w:p>
    <w:p w:rsidR="00A45952" w:rsidRPr="00404DF3" w:rsidRDefault="00A45952" w:rsidP="00A32552">
      <w:pPr>
        <w:numPr>
          <w:ilvl w:val="0"/>
          <w:numId w:val="149"/>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lastRenderedPageBreak/>
        <w:t>the terms and conditions of the facility must operate to limit the gambling provider’s credit recovery activities to the extent of the reasonable expectations identified in the acceptable due diligence process;</w:t>
      </w:r>
    </w:p>
    <w:p w:rsidR="00A45952" w:rsidRPr="00404DF3" w:rsidRDefault="00A45952" w:rsidP="00A32552">
      <w:pPr>
        <w:numPr>
          <w:ilvl w:val="0"/>
          <w:numId w:val="149"/>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gambling provider must not extend the credit facility at any time when the credit facility is not maintained in good standing in the manner identified in the acceptable due diligence process; and</w:t>
      </w:r>
    </w:p>
    <w:p w:rsidR="00A45952" w:rsidRPr="00404DF3" w:rsidRDefault="00A45952" w:rsidP="00A32552">
      <w:pPr>
        <w:numPr>
          <w:ilvl w:val="0"/>
          <w:numId w:val="149"/>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relevant pre-commitment limit must not exceed the prudential limit identified in the acceptable due diligence process.</w:t>
      </w:r>
    </w:p>
    <w:p w:rsidR="00A45952" w:rsidRPr="00404DF3" w:rsidRDefault="00A45952" w:rsidP="00A32552">
      <w:pPr>
        <w:numPr>
          <w:ilvl w:val="0"/>
          <w:numId w:val="147"/>
        </w:numPr>
        <w:spacing w:after="120" w:line="240" w:lineRule="auto"/>
        <w:ind w:left="851" w:hanging="425"/>
        <w:jc w:val="left"/>
        <w:rPr>
          <w:rFonts w:ascii="Times New Roman" w:eastAsia="Times New Roman" w:hAnsi="Times New Roman"/>
          <w:b/>
          <w:sz w:val="17"/>
          <w:szCs w:val="17"/>
          <w:lang w:eastAsia="en-AU" w:bidi="en-US"/>
        </w:rPr>
      </w:pPr>
      <w:r w:rsidRPr="00404DF3">
        <w:rPr>
          <w:rFonts w:ascii="Times New Roman" w:eastAsia="Times New Roman" w:hAnsi="Times New Roman"/>
          <w:bCs/>
          <w:sz w:val="17"/>
          <w:szCs w:val="17"/>
          <w:lang w:eastAsia="en-AU" w:bidi="en-US"/>
        </w:rPr>
        <w:t>A</w:t>
      </w:r>
      <w:r w:rsidRPr="00404DF3">
        <w:rPr>
          <w:rFonts w:ascii="Times New Roman" w:eastAsia="Times New Roman" w:hAnsi="Times New Roman"/>
          <w:sz w:val="17"/>
          <w:szCs w:val="17"/>
          <w:lang w:eastAsia="en-AU" w:bidi="en-US"/>
        </w:rPr>
        <w:t xml:space="preserve"> </w:t>
      </w:r>
      <w:r w:rsidRPr="00404DF3">
        <w:rPr>
          <w:rFonts w:ascii="Times New Roman" w:eastAsia="Times New Roman" w:hAnsi="Times New Roman"/>
          <w:bCs/>
          <w:sz w:val="17"/>
          <w:szCs w:val="17"/>
          <w:lang w:eastAsia="en-AU" w:bidi="en-US"/>
        </w:rPr>
        <w:t>gambling</w:t>
      </w:r>
      <w:r w:rsidRPr="00404DF3">
        <w:rPr>
          <w:rFonts w:ascii="Times New Roman" w:eastAsia="Times New Roman" w:hAnsi="Times New Roman"/>
          <w:sz w:val="17"/>
          <w:szCs w:val="17"/>
          <w:lang w:eastAsia="en-AU" w:bidi="en-US"/>
        </w:rPr>
        <w:t xml:space="preserve"> provider must not solicit a request for the establishment or extension of a credit facility, except</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51"/>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by inclusion in its advertising of a statement that the gambling provider offers credit gambling to account holders subject to completion of a due diligence process; and</w:t>
      </w:r>
    </w:p>
    <w:p w:rsidR="00A45952" w:rsidRPr="00404DF3" w:rsidRDefault="00A45952" w:rsidP="00A32552">
      <w:pPr>
        <w:numPr>
          <w:ilvl w:val="0"/>
          <w:numId w:val="151"/>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bCs/>
          <w:sz w:val="17"/>
          <w:szCs w:val="17"/>
          <w:lang w:eastAsia="en-AU" w:bidi="en-US"/>
        </w:rPr>
        <w:t>by publication</w:t>
      </w:r>
      <w:r w:rsidRPr="00404DF3">
        <w:rPr>
          <w:rFonts w:ascii="Times New Roman" w:eastAsia="Times New Roman" w:hAnsi="Times New Roman"/>
          <w:sz w:val="17"/>
          <w:szCs w:val="17"/>
          <w:lang w:eastAsia="en-AU" w:bidi="en-US"/>
        </w:rPr>
        <w:t xml:space="preserve"> of the terms and conditions on which it offers credit gambling.</w:t>
      </w:r>
    </w:p>
    <w:p w:rsidR="00A45952" w:rsidRPr="00404DF3" w:rsidRDefault="00A45952" w:rsidP="00A32552">
      <w:pPr>
        <w:numPr>
          <w:ilvl w:val="0"/>
          <w:numId w:val="147"/>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For the purposes of this clause, an acceptable due diligence process is a documented process </w:t>
      </w:r>
      <w:r w:rsidRPr="00404DF3">
        <w:rPr>
          <w:rFonts w:ascii="Times New Roman" w:eastAsia="Times New Roman" w:hAnsi="Times New Roman"/>
          <w:bCs/>
          <w:sz w:val="17"/>
          <w:szCs w:val="17"/>
          <w:lang w:eastAsia="en-AU" w:bidi="en-US"/>
        </w:rPr>
        <w:t>undertaken</w:t>
      </w:r>
      <w:r w:rsidRPr="00404DF3">
        <w:rPr>
          <w:rFonts w:ascii="Times New Roman" w:eastAsia="Times New Roman" w:hAnsi="Times New Roman"/>
          <w:sz w:val="17"/>
          <w:szCs w:val="17"/>
          <w:lang w:eastAsia="en-AU" w:bidi="en-US"/>
        </w:rPr>
        <w:t xml:space="preserve"> by a gambling provider directed to providing reasonable assurance in respect of an account holder as to</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52"/>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extent to which the account holder can afford to gamble on credit before experiencing harm;</w:t>
      </w:r>
    </w:p>
    <w:p w:rsidR="00A45952" w:rsidRPr="00404DF3" w:rsidRDefault="00A45952" w:rsidP="00A32552">
      <w:pPr>
        <w:numPr>
          <w:ilvl w:val="0"/>
          <w:numId w:val="152"/>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routine payments the account holder can afford to make to maintain the credit facility in good standing;</w:t>
      </w:r>
    </w:p>
    <w:p w:rsidR="00A45952" w:rsidRPr="00404DF3" w:rsidRDefault="00A45952" w:rsidP="00A32552">
      <w:pPr>
        <w:numPr>
          <w:ilvl w:val="0"/>
          <w:numId w:val="152"/>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times in which it would be reasonable to expect the account holder to satisfy a demand for payment in respect of the whole or part of the facility (credit recovery activities); and</w:t>
      </w:r>
    </w:p>
    <w:p w:rsidR="00A45952" w:rsidRPr="00404DF3" w:rsidRDefault="00A45952" w:rsidP="00A32552">
      <w:pPr>
        <w:numPr>
          <w:ilvl w:val="0"/>
          <w:numId w:val="152"/>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the account holder’s maximum prudent weekly gambling expenditure (the “prudential limit”),</w:t>
      </w:r>
    </w:p>
    <w:p w:rsidR="00A45952" w:rsidRPr="00404DF3" w:rsidRDefault="00A45952" w:rsidP="00A32552">
      <w:pPr>
        <w:spacing w:after="120" w:line="240" w:lineRule="auto"/>
        <w:ind w:left="851"/>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having regard, after reasonable enquiry, to the account holder’s means and other circumstances.</w:t>
      </w:r>
    </w:p>
    <w:p w:rsidR="00A45952" w:rsidRPr="00404DF3" w:rsidRDefault="00A45952" w:rsidP="00A32552">
      <w:pPr>
        <w:numPr>
          <w:ilvl w:val="0"/>
          <w:numId w:val="147"/>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For the purposes of this clause</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53"/>
        </w:numPr>
        <w:spacing w:after="120" w:line="240" w:lineRule="auto"/>
        <w:jc w:val="left"/>
        <w:rPr>
          <w:rFonts w:ascii="Times New Roman" w:eastAsia="Times New Roman" w:hAnsi="Times New Roman"/>
          <w:bCs/>
          <w:sz w:val="17"/>
          <w:szCs w:val="17"/>
          <w:lang w:eastAsia="en-AU" w:bidi="en-US"/>
        </w:rPr>
      </w:pPr>
      <w:r w:rsidRPr="00404DF3">
        <w:rPr>
          <w:rFonts w:ascii="Times New Roman" w:eastAsia="Times New Roman" w:hAnsi="Times New Roman"/>
          <w:bCs/>
          <w:sz w:val="17"/>
          <w:szCs w:val="17"/>
          <w:lang w:eastAsia="en-AU" w:bidi="en-US"/>
        </w:rPr>
        <w:t>a relevant pre-commitment limit is a weekly limit under clause 30; and</w:t>
      </w:r>
    </w:p>
    <w:p w:rsidR="00A45952" w:rsidRPr="00404DF3" w:rsidRDefault="00A45952" w:rsidP="00A32552">
      <w:pPr>
        <w:numPr>
          <w:ilvl w:val="0"/>
          <w:numId w:val="153"/>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bCs/>
          <w:sz w:val="17"/>
          <w:szCs w:val="17"/>
          <w:lang w:eastAsia="en-AU" w:bidi="en-US"/>
        </w:rPr>
        <w:t>if a relevant pre-commitment limit is assessed by reference to deposits made to the account during the relevant period (clause 30(2)(b)(2)), the account holder will be deemed (for the purpose of determining whether the limit has been reached) to have made</w:t>
      </w:r>
      <w:r w:rsidRPr="00404DF3">
        <w:rPr>
          <w:rFonts w:ascii="Times New Roman" w:eastAsia="Times New Roman" w:hAnsi="Times New Roman"/>
          <w:sz w:val="17"/>
          <w:szCs w:val="17"/>
          <w:lang w:eastAsia="en-AU" w:bidi="en-US"/>
        </w:rPr>
        <w:t xml:space="preserve"> deposits to the same extent as he or she has accessed credit.</w:t>
      </w:r>
    </w:p>
    <w:p w:rsidR="00A45952" w:rsidRPr="00404DF3" w:rsidRDefault="00A45952" w:rsidP="00A32552">
      <w:pPr>
        <w:numPr>
          <w:ilvl w:val="0"/>
          <w:numId w:val="147"/>
        </w:numPr>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This clause does not apply to interactive wagering service providers.</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bCs/>
          <w:sz w:val="17"/>
          <w:szCs w:val="17"/>
          <w:lang w:eastAsia="en-AU" w:bidi="en-US"/>
        </w:rPr>
      </w:pPr>
      <w:r w:rsidRPr="00404DF3">
        <w:rPr>
          <w:rFonts w:ascii="Times New Roman" w:eastAsia="Times New Roman" w:hAnsi="Times New Roman"/>
          <w:b/>
          <w:bCs/>
          <w:sz w:val="17"/>
          <w:szCs w:val="17"/>
          <w:lang w:eastAsia="en-AU" w:bidi="en-US"/>
        </w:rPr>
        <w:t xml:space="preserve">Direct marketing by </w:t>
      </w:r>
      <w:r w:rsidRPr="00404DF3">
        <w:rPr>
          <w:rFonts w:ascii="Times New Roman" w:eastAsia="Times New Roman" w:hAnsi="Times New Roman"/>
          <w:b/>
          <w:sz w:val="17"/>
          <w:szCs w:val="17"/>
          <w:lang w:eastAsia="en-AU"/>
        </w:rPr>
        <w:t>interactive</w:t>
      </w:r>
      <w:r w:rsidRPr="00404DF3">
        <w:rPr>
          <w:rFonts w:ascii="Times New Roman" w:eastAsia="Times New Roman" w:hAnsi="Times New Roman"/>
          <w:b/>
          <w:bCs/>
          <w:sz w:val="17"/>
          <w:szCs w:val="17"/>
          <w:lang w:eastAsia="en-AU" w:bidi="en-US"/>
        </w:rPr>
        <w:t xml:space="preserve"> wagering service providers</w:t>
      </w:r>
    </w:p>
    <w:p w:rsidR="00A45952" w:rsidRPr="00404DF3" w:rsidRDefault="00A45952" w:rsidP="00A32552">
      <w:pPr>
        <w:numPr>
          <w:ilvl w:val="0"/>
          <w:numId w:val="154"/>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An interactive wagering service provider, or a person acting on behalf of an interactive wagering service provider, must not send any direct marketing to a person unless that person has provided their express consent to receive direct marketing.</w:t>
      </w:r>
    </w:p>
    <w:p w:rsidR="00A45952" w:rsidRPr="00404DF3" w:rsidRDefault="00A45952" w:rsidP="00A32552">
      <w:pPr>
        <w:numPr>
          <w:ilvl w:val="0"/>
          <w:numId w:val="154"/>
        </w:numPr>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An interactive wagering servicer provider, or person acting on behalf of an interactive wagering service provider, must not provide direct marketing to person who has consented to receive direct marketing unless that person can unsubscribe and the process of unsubscribing is easy to access and use.</w:t>
      </w:r>
    </w:p>
    <w:p w:rsidR="00A45952" w:rsidRPr="00404DF3" w:rsidRDefault="00A45952" w:rsidP="00A32552">
      <w:pPr>
        <w:numPr>
          <w:ilvl w:val="0"/>
          <w:numId w:val="154"/>
        </w:numPr>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An interactive wagering service provider, or a person acting on behalf of an interactive wagering service provider, must not send direct marketing to a person at any time after 5 business days from the day it has received notification from the person that they have unsubscribed.</w:t>
      </w:r>
    </w:p>
    <w:p w:rsidR="00A45952" w:rsidRPr="00404DF3" w:rsidRDefault="00A45952" w:rsidP="00A32552">
      <w:pPr>
        <w:numPr>
          <w:ilvl w:val="0"/>
          <w:numId w:val="154"/>
        </w:numPr>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An interactive wagering service provider must not provide any credit, voucher or reward or other benefit to encourage a person to consent or to continue to receive direct marketing.</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bCs/>
          <w:sz w:val="17"/>
          <w:szCs w:val="17"/>
          <w:lang w:eastAsia="en-AU" w:bidi="en-US"/>
        </w:rPr>
      </w:pPr>
      <w:r w:rsidRPr="00404DF3">
        <w:rPr>
          <w:rFonts w:ascii="Times New Roman" w:eastAsia="Times New Roman" w:hAnsi="Times New Roman"/>
          <w:b/>
          <w:sz w:val="17"/>
          <w:szCs w:val="17"/>
          <w:lang w:eastAsia="en-AU"/>
        </w:rPr>
        <w:t>Account</w:t>
      </w:r>
      <w:r w:rsidRPr="00404DF3">
        <w:rPr>
          <w:rFonts w:ascii="Times New Roman" w:eastAsia="Times New Roman" w:hAnsi="Times New Roman"/>
          <w:b/>
          <w:bCs/>
          <w:sz w:val="17"/>
          <w:szCs w:val="17"/>
          <w:lang w:eastAsia="en-AU" w:bidi="en-US"/>
        </w:rPr>
        <w:t xml:space="preserve"> closure and duplicate accounts</w:t>
      </w:r>
    </w:p>
    <w:p w:rsidR="00A45952" w:rsidRPr="00404DF3" w:rsidRDefault="00A45952" w:rsidP="00A32552">
      <w:pPr>
        <w:numPr>
          <w:ilvl w:val="0"/>
          <w:numId w:val="155"/>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An interactive wagering service provider must not provide wagering services to an account holder unless the process available to the account holder for closing their gambling account with the interactive wagering service provider</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56"/>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is </w:t>
      </w:r>
      <w:r w:rsidRPr="00404DF3">
        <w:rPr>
          <w:rFonts w:ascii="Times New Roman" w:eastAsia="Times New Roman" w:hAnsi="Times New Roman"/>
          <w:bCs/>
          <w:sz w:val="17"/>
          <w:szCs w:val="17"/>
          <w:lang w:eastAsia="en-AU" w:bidi="en-US"/>
        </w:rPr>
        <w:t>clearly</w:t>
      </w:r>
      <w:r w:rsidRPr="00404DF3">
        <w:rPr>
          <w:rFonts w:ascii="Times New Roman" w:eastAsia="Times New Roman" w:hAnsi="Times New Roman"/>
          <w:sz w:val="17"/>
          <w:szCs w:val="17"/>
          <w:lang w:eastAsia="en-AU" w:bidi="en-US"/>
        </w:rPr>
        <w:t xml:space="preserve"> explained and prominently displayed on</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57"/>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interactive wagering service provider’s website;</w:t>
      </w:r>
    </w:p>
    <w:p w:rsidR="00A45952" w:rsidRPr="00404DF3" w:rsidRDefault="00A45952" w:rsidP="00A32552">
      <w:pPr>
        <w:numPr>
          <w:ilvl w:val="0"/>
          <w:numId w:val="157"/>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where an account holder is able to place a bet, either on the account holder’s ‘My Account’ window or its equivalent;</w:t>
      </w:r>
    </w:p>
    <w:p w:rsidR="00A45952" w:rsidRPr="00404DF3" w:rsidRDefault="00A45952" w:rsidP="00A32552">
      <w:pPr>
        <w:numPr>
          <w:ilvl w:val="0"/>
          <w:numId w:val="156"/>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is simple </w:t>
      </w:r>
      <w:r w:rsidRPr="00404DF3">
        <w:rPr>
          <w:rFonts w:ascii="Times New Roman" w:eastAsia="Times New Roman" w:hAnsi="Times New Roman"/>
          <w:bCs/>
          <w:sz w:val="17"/>
          <w:szCs w:val="17"/>
          <w:lang w:eastAsia="en-AU" w:bidi="en-US"/>
        </w:rPr>
        <w:t>and</w:t>
      </w:r>
      <w:r w:rsidRPr="00404DF3">
        <w:rPr>
          <w:rFonts w:ascii="Times New Roman" w:eastAsia="Times New Roman" w:hAnsi="Times New Roman"/>
          <w:sz w:val="17"/>
          <w:szCs w:val="17"/>
          <w:lang w:eastAsia="en-AU" w:bidi="en-US"/>
        </w:rPr>
        <w:t xml:space="preserve"> easy for the account holder to use;</w:t>
      </w:r>
    </w:p>
    <w:p w:rsidR="00A45952" w:rsidRPr="00404DF3" w:rsidRDefault="00A45952" w:rsidP="00A32552">
      <w:pPr>
        <w:numPr>
          <w:ilvl w:val="0"/>
          <w:numId w:val="156"/>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allows the account holder to make a request to close their gambling account by telephone, email and where the account holder is able to place a bet using a telephone, internet or other electronic means, using that telephone, internet service or other electronic means;</w:t>
      </w:r>
    </w:p>
    <w:p w:rsidR="00A45952" w:rsidRPr="00404DF3" w:rsidRDefault="00A45952" w:rsidP="00A32552">
      <w:pPr>
        <w:numPr>
          <w:ilvl w:val="0"/>
          <w:numId w:val="156"/>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results in the closure of the account holder’s gambling account as soon as practicable after the request is received by the interactive wagering service provider and after all bets made using that gambling account is settled.</w:t>
      </w:r>
    </w:p>
    <w:p w:rsidR="00A45952" w:rsidRPr="00404DF3" w:rsidRDefault="00A45952" w:rsidP="00A32552">
      <w:pPr>
        <w:numPr>
          <w:ilvl w:val="0"/>
          <w:numId w:val="155"/>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An interactive wagering service provider or a person acting on behalf of an interactive wagering service must not encourage or offer any credit, voucher or reward or other benefit to induce an account holder to keep a gambling account open after an account holder has made a request to close their gambling account (an interactive wagering service provider may however explain the consequences of closing a gambling account and ask the account holder if they wish to proceed).</w:t>
      </w:r>
    </w:p>
    <w:p w:rsidR="00A45952" w:rsidRPr="00404DF3" w:rsidRDefault="00A45952" w:rsidP="00A32552">
      <w:pPr>
        <w:numPr>
          <w:ilvl w:val="0"/>
          <w:numId w:val="155"/>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lastRenderedPageBreak/>
        <w:t>An interactive wagering service provider or a person acting on behalf of an interactive wagering service provider must not provide any direct marketing to a person at any time after 5 business days from the day it has received a request from that person to close their gambling account.</w:t>
      </w:r>
    </w:p>
    <w:p w:rsidR="00A45952" w:rsidRPr="00404DF3" w:rsidRDefault="00A45952" w:rsidP="00A32552">
      <w:pPr>
        <w:numPr>
          <w:ilvl w:val="0"/>
          <w:numId w:val="155"/>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gambling provider must ensure that each account holder has no more than one gambling account except where</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58"/>
        </w:numPr>
        <w:spacing w:after="120" w:line="240" w:lineRule="auto"/>
        <w:jc w:val="left"/>
        <w:rPr>
          <w:rFonts w:ascii="Times New Roman" w:eastAsia="Times New Roman" w:hAnsi="Times New Roman"/>
          <w:spacing w:val="-2"/>
          <w:sz w:val="17"/>
          <w:szCs w:val="17"/>
          <w:lang w:eastAsia="en-AU" w:bidi="en-US"/>
        </w:rPr>
      </w:pPr>
      <w:r w:rsidRPr="00404DF3">
        <w:rPr>
          <w:rFonts w:ascii="Times New Roman" w:eastAsia="Times New Roman" w:hAnsi="Times New Roman"/>
          <w:spacing w:val="-2"/>
          <w:sz w:val="17"/>
          <w:szCs w:val="17"/>
          <w:lang w:eastAsia="en-AU" w:bidi="en-US"/>
        </w:rPr>
        <w:t>the account holder has a fortnightly turnover consistent with an annual turnover of more than $1 million and the gambling provider is satisfied that there is good reason for the account holder to have more than one gambling account; or</w:t>
      </w:r>
    </w:p>
    <w:p w:rsidR="00A45952" w:rsidRPr="00404DF3" w:rsidRDefault="00A45952" w:rsidP="00A32552">
      <w:pPr>
        <w:numPr>
          <w:ilvl w:val="0"/>
          <w:numId w:val="158"/>
        </w:numPr>
        <w:spacing w:after="120" w:line="240" w:lineRule="auto"/>
        <w:ind w:left="1208" w:hanging="357"/>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offers only the net betting losses pre-commitment option referred to in clause 30(2)(b)(1).</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bCs/>
          <w:sz w:val="17"/>
          <w:szCs w:val="17"/>
          <w:lang w:eastAsia="en-AU" w:bidi="en-US"/>
        </w:rPr>
      </w:pPr>
      <w:r w:rsidRPr="00404DF3">
        <w:rPr>
          <w:rFonts w:ascii="Times New Roman" w:eastAsia="Times New Roman" w:hAnsi="Times New Roman"/>
          <w:b/>
          <w:bCs/>
          <w:sz w:val="17"/>
          <w:szCs w:val="17"/>
          <w:lang w:eastAsia="en-AU" w:bidi="en-US"/>
        </w:rPr>
        <w:t>Pre-</w:t>
      </w:r>
      <w:r w:rsidRPr="00404DF3">
        <w:rPr>
          <w:rFonts w:ascii="Times New Roman" w:eastAsia="Times New Roman" w:hAnsi="Times New Roman"/>
          <w:b/>
          <w:sz w:val="17"/>
          <w:szCs w:val="17"/>
          <w:lang w:eastAsia="en-AU"/>
        </w:rPr>
        <w:t>commitment</w:t>
      </w:r>
      <w:r w:rsidRPr="00404DF3">
        <w:rPr>
          <w:rFonts w:ascii="Times New Roman" w:eastAsia="Times New Roman" w:hAnsi="Times New Roman"/>
          <w:b/>
          <w:bCs/>
          <w:sz w:val="17"/>
          <w:szCs w:val="17"/>
          <w:lang w:eastAsia="en-AU" w:bidi="en-US"/>
        </w:rPr>
        <w:t xml:space="preserve"> limits and periods</w:t>
      </w:r>
    </w:p>
    <w:p w:rsidR="00A45952" w:rsidRPr="00404DF3" w:rsidRDefault="00A45952" w:rsidP="00A32552">
      <w:pPr>
        <w:numPr>
          <w:ilvl w:val="0"/>
          <w:numId w:val="159"/>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gambling provider must, in respect of account based gambling, provide a pre-commitment scheme.</w:t>
      </w:r>
    </w:p>
    <w:p w:rsidR="00A45952" w:rsidRPr="00404DF3" w:rsidRDefault="00A45952" w:rsidP="00A32552">
      <w:pPr>
        <w:numPr>
          <w:ilvl w:val="0"/>
          <w:numId w:val="159"/>
        </w:numPr>
        <w:spacing w:after="120" w:line="240" w:lineRule="auto"/>
        <w:ind w:left="851" w:hanging="425"/>
        <w:jc w:val="left"/>
        <w:rPr>
          <w:rFonts w:ascii="Times New Roman" w:eastAsia="Times New Roman" w:hAnsi="Times New Roman"/>
          <w:b/>
          <w:sz w:val="17"/>
          <w:szCs w:val="17"/>
          <w:lang w:eastAsia="en-AU" w:bidi="en-US"/>
        </w:rPr>
      </w:pPr>
      <w:r w:rsidRPr="00404DF3">
        <w:rPr>
          <w:rFonts w:ascii="Times New Roman" w:eastAsia="Times New Roman" w:hAnsi="Times New Roman"/>
          <w:sz w:val="17"/>
          <w:szCs w:val="17"/>
          <w:lang w:eastAsia="en-AU" w:bidi="en-US"/>
        </w:rPr>
        <w:t>A pre-commitment scheme referred to in sub-clause (1) must meet the following minimum requirements</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60"/>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an account holder must be able to set a pre-commitment limit for a fixed period of 7 days (the ”relevant period”);</w:t>
      </w:r>
    </w:p>
    <w:p w:rsidR="00A45952" w:rsidRPr="00404DF3" w:rsidRDefault="00A45952" w:rsidP="00A32552">
      <w:pPr>
        <w:numPr>
          <w:ilvl w:val="0"/>
          <w:numId w:val="160"/>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pre-commitment limit set by the account holder may apply, at the election of the gambling provider, to</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61"/>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net betting losses by the account holder (regardless of the number of accounts held) during the relevant period;</w:t>
      </w:r>
    </w:p>
    <w:p w:rsidR="00A45952" w:rsidRPr="00404DF3" w:rsidRDefault="00A45952" w:rsidP="00A32552">
      <w:pPr>
        <w:numPr>
          <w:ilvl w:val="0"/>
          <w:numId w:val="161"/>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deposits made to the account during the relevant period; or</w:t>
      </w:r>
    </w:p>
    <w:p w:rsidR="00A45952" w:rsidRPr="00404DF3" w:rsidRDefault="00A45952" w:rsidP="00A32552">
      <w:pPr>
        <w:numPr>
          <w:ilvl w:val="0"/>
          <w:numId w:val="161"/>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combination of both;</w:t>
      </w:r>
    </w:p>
    <w:p w:rsidR="00A45952" w:rsidRPr="00404DF3" w:rsidRDefault="00A45952" w:rsidP="00A32552">
      <w:pPr>
        <w:numPr>
          <w:ilvl w:val="0"/>
          <w:numId w:val="160"/>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bCs/>
          <w:sz w:val="17"/>
          <w:szCs w:val="17"/>
          <w:lang w:eastAsia="en-AU" w:bidi="en-US"/>
        </w:rPr>
        <w:t>a</w:t>
      </w:r>
      <w:r w:rsidRPr="00404DF3">
        <w:rPr>
          <w:rFonts w:ascii="Times New Roman" w:eastAsia="Times New Roman" w:hAnsi="Times New Roman"/>
          <w:b/>
          <w:sz w:val="17"/>
          <w:szCs w:val="17"/>
          <w:lang w:eastAsia="en-AU" w:bidi="en-US"/>
        </w:rPr>
        <w:t xml:space="preserve"> </w:t>
      </w:r>
      <w:r w:rsidRPr="00404DF3">
        <w:rPr>
          <w:rFonts w:ascii="Times New Roman" w:eastAsia="Times New Roman" w:hAnsi="Times New Roman"/>
          <w:sz w:val="17"/>
          <w:szCs w:val="17"/>
          <w:lang w:eastAsia="en-AU" w:bidi="en-US"/>
        </w:rPr>
        <w:t>gambling account must not be able to be used until the account holder has set a pre-commitment limit or chosen not to set a pre-commitment limit;</w:t>
      </w:r>
    </w:p>
    <w:p w:rsidR="00A45952" w:rsidRPr="00404DF3" w:rsidRDefault="00A45952" w:rsidP="00A32552">
      <w:pPr>
        <w:numPr>
          <w:ilvl w:val="0"/>
          <w:numId w:val="160"/>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at intervals of no less than 2 years, must contact each account holder who has chosen not to set a pre-commitment limit to offer the choice to set a pre-commitment limit;</w:t>
      </w:r>
    </w:p>
    <w:p w:rsidR="00A45952" w:rsidRPr="00404DF3" w:rsidRDefault="00A45952" w:rsidP="00A32552">
      <w:pPr>
        <w:numPr>
          <w:ilvl w:val="0"/>
          <w:numId w:val="160"/>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decision by an account holder to –</w:t>
      </w:r>
    </w:p>
    <w:p w:rsidR="00A45952" w:rsidRPr="00404DF3" w:rsidRDefault="00A45952" w:rsidP="00A32552">
      <w:pPr>
        <w:numPr>
          <w:ilvl w:val="0"/>
          <w:numId w:val="162"/>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increase or revoke a pre-commitment limit; or </w:t>
      </w:r>
    </w:p>
    <w:p w:rsidR="00A45952" w:rsidRPr="00404DF3" w:rsidRDefault="00A45952" w:rsidP="00A32552">
      <w:pPr>
        <w:numPr>
          <w:ilvl w:val="0"/>
          <w:numId w:val="162"/>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change the start day for the relevant period</w:t>
      </w:r>
      <w:r w:rsidRPr="00404DF3">
        <w:rPr>
          <w:rFonts w:ascii="Times New Roman" w:eastAsia="Times New Roman" w:hAnsi="Times New Roman"/>
          <w:b/>
          <w:bCs/>
          <w:sz w:val="17"/>
          <w:szCs w:val="17"/>
          <w:lang w:eastAsia="en-AU" w:bidi="en-US"/>
        </w:rPr>
        <w:t>—</w:t>
      </w:r>
    </w:p>
    <w:p w:rsidR="00A45952" w:rsidRPr="00404DF3" w:rsidRDefault="00A45952" w:rsidP="00957219">
      <w:pPr>
        <w:spacing w:after="120" w:line="240" w:lineRule="auto"/>
        <w:ind w:left="851"/>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must not come into effect for a period of 7 days;</w:t>
      </w:r>
    </w:p>
    <w:p w:rsidR="00A45952" w:rsidRPr="00404DF3" w:rsidRDefault="00A45952" w:rsidP="00A32552">
      <w:pPr>
        <w:numPr>
          <w:ilvl w:val="0"/>
          <w:numId w:val="160"/>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decision by an account holder to decrease a pre-commitment limit must be given effect as soon as practicable.</w:t>
      </w:r>
    </w:p>
    <w:p w:rsidR="00A45952" w:rsidRPr="00404DF3" w:rsidRDefault="00A45952" w:rsidP="00A32552">
      <w:pPr>
        <w:numPr>
          <w:ilvl w:val="0"/>
          <w:numId w:val="159"/>
        </w:numPr>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pre-commitment scheme referred to in sub-clause (1) may include additional limits and features so long as they do not conflict with the minimum requirements set out in sub-clause (2).</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bCs/>
          <w:sz w:val="17"/>
          <w:szCs w:val="17"/>
          <w:lang w:eastAsia="en-AU" w:bidi="en-US"/>
        </w:rPr>
      </w:pPr>
      <w:r w:rsidRPr="00404DF3">
        <w:rPr>
          <w:rFonts w:ascii="Times New Roman" w:eastAsia="Times New Roman" w:hAnsi="Times New Roman"/>
          <w:b/>
          <w:bCs/>
          <w:sz w:val="17"/>
          <w:szCs w:val="17"/>
          <w:lang w:eastAsia="en-AU" w:bidi="en-US"/>
        </w:rPr>
        <w:t xml:space="preserve">Interactive </w:t>
      </w:r>
      <w:r w:rsidRPr="00404DF3">
        <w:rPr>
          <w:rFonts w:ascii="Times New Roman" w:eastAsia="Times New Roman" w:hAnsi="Times New Roman"/>
          <w:b/>
          <w:sz w:val="17"/>
          <w:szCs w:val="17"/>
          <w:lang w:eastAsia="en-AU"/>
        </w:rPr>
        <w:t>wagering</w:t>
      </w:r>
      <w:r w:rsidRPr="00404DF3">
        <w:rPr>
          <w:rFonts w:ascii="Times New Roman" w:eastAsia="Times New Roman" w:hAnsi="Times New Roman"/>
          <w:b/>
          <w:bCs/>
          <w:sz w:val="17"/>
          <w:szCs w:val="17"/>
          <w:lang w:eastAsia="en-AU" w:bidi="en-US"/>
        </w:rPr>
        <w:t xml:space="preserve"> service providers to offer opt-out pre-commitment </w:t>
      </w:r>
    </w:p>
    <w:p w:rsidR="00A45952" w:rsidRPr="00404DF3" w:rsidRDefault="00A45952" w:rsidP="00A32552">
      <w:pPr>
        <w:numPr>
          <w:ilvl w:val="0"/>
          <w:numId w:val="163"/>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An</w:t>
      </w:r>
      <w:r w:rsidRPr="00404DF3">
        <w:rPr>
          <w:rFonts w:ascii="Times New Roman" w:eastAsia="Times New Roman" w:hAnsi="Times New Roman"/>
          <w:b/>
          <w:sz w:val="17"/>
          <w:szCs w:val="17"/>
          <w:lang w:eastAsia="en-AU" w:bidi="en-US"/>
        </w:rPr>
        <w:t xml:space="preserve"> </w:t>
      </w:r>
      <w:r w:rsidRPr="00404DF3">
        <w:rPr>
          <w:rFonts w:ascii="Times New Roman" w:eastAsia="Times New Roman" w:hAnsi="Times New Roman"/>
          <w:sz w:val="17"/>
          <w:szCs w:val="17"/>
          <w:lang w:eastAsia="en-AU" w:bidi="en-US"/>
        </w:rPr>
        <w:t>interactive wagering service provider must not open a gambling account for a person or provide wagering services to an account holder unless the person or account holder has set a relevant limit.</w:t>
      </w:r>
    </w:p>
    <w:p w:rsidR="00A45952" w:rsidRPr="00404DF3" w:rsidRDefault="00A45952" w:rsidP="00A32552">
      <w:pPr>
        <w:numPr>
          <w:ilvl w:val="0"/>
          <w:numId w:val="163"/>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Notwithstanding sub-clause (1), an interactive wagering service provider may open a gambling account for a person and provide wagering services to an account holder where the person or account holder has expressly indicated that they do not wish to set a relevant limit (opt-out).</w:t>
      </w:r>
    </w:p>
    <w:p w:rsidR="00A45952" w:rsidRPr="00404DF3" w:rsidRDefault="00A45952" w:rsidP="00A32552">
      <w:pPr>
        <w:numPr>
          <w:ilvl w:val="0"/>
          <w:numId w:val="163"/>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process for setting a relevant limit must</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64"/>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be clearly explained and prominently displayed on</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65"/>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interactive wagering service provider’s website;</w:t>
      </w:r>
    </w:p>
    <w:p w:rsidR="00A45952" w:rsidRPr="00404DF3" w:rsidRDefault="00A45952" w:rsidP="00A32552">
      <w:pPr>
        <w:numPr>
          <w:ilvl w:val="0"/>
          <w:numId w:val="165"/>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either on the account holder’s ‘My Account’ window or its equivalent, or a via a single link from the account holder’s ‘My Account’ window or its equivalent;</w:t>
      </w:r>
    </w:p>
    <w:p w:rsidR="00A45952" w:rsidRPr="00404DF3" w:rsidRDefault="00A45952" w:rsidP="00A32552">
      <w:pPr>
        <w:numPr>
          <w:ilvl w:val="0"/>
          <w:numId w:val="164"/>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be</w:t>
      </w:r>
      <w:r w:rsidRPr="00404DF3">
        <w:rPr>
          <w:rFonts w:ascii="Times New Roman" w:eastAsia="Times New Roman" w:hAnsi="Times New Roman"/>
          <w:b/>
          <w:sz w:val="17"/>
          <w:szCs w:val="17"/>
          <w:lang w:eastAsia="en-AU" w:bidi="en-US"/>
        </w:rPr>
        <w:t xml:space="preserve"> </w:t>
      </w:r>
      <w:r w:rsidRPr="00404DF3">
        <w:rPr>
          <w:rFonts w:ascii="Times New Roman" w:eastAsia="Times New Roman" w:hAnsi="Times New Roman"/>
          <w:sz w:val="17"/>
          <w:szCs w:val="17"/>
          <w:lang w:eastAsia="en-AU" w:bidi="en-US"/>
        </w:rPr>
        <w:t>simple and easy for the account holder to use to set and change a deposit limit;</w:t>
      </w:r>
    </w:p>
    <w:p w:rsidR="00A45952" w:rsidRPr="00404DF3" w:rsidRDefault="00A45952" w:rsidP="00A32552">
      <w:pPr>
        <w:numPr>
          <w:ilvl w:val="0"/>
          <w:numId w:val="164"/>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allow the account holder to choose the period during which the relevant limit applies (for example a week, fortnight, calendar month or calendar year or a combination of these);</w:t>
      </w:r>
    </w:p>
    <w:p w:rsidR="00A45952" w:rsidRPr="00404DF3" w:rsidRDefault="00A45952" w:rsidP="00A32552">
      <w:pPr>
        <w:numPr>
          <w:ilvl w:val="0"/>
          <w:numId w:val="164"/>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allow the account holder to set a relevant limit by email, telephone and where the person is able to place a bet by using the internet or other electronic means using that internet service or other electronic means;</w:t>
      </w:r>
    </w:p>
    <w:p w:rsidR="00A45952" w:rsidRPr="00404DF3" w:rsidRDefault="00A45952" w:rsidP="00A32552">
      <w:pPr>
        <w:numPr>
          <w:ilvl w:val="0"/>
          <w:numId w:val="164"/>
        </w:numPr>
        <w:spacing w:after="120" w:line="240" w:lineRule="auto"/>
        <w:jc w:val="left"/>
        <w:rPr>
          <w:rFonts w:ascii="Times New Roman" w:eastAsia="Times New Roman" w:hAnsi="Times New Roman"/>
          <w:b/>
          <w:sz w:val="17"/>
          <w:szCs w:val="17"/>
          <w:lang w:eastAsia="en-AU" w:bidi="en-US"/>
        </w:rPr>
      </w:pPr>
      <w:r w:rsidRPr="00404DF3">
        <w:rPr>
          <w:rFonts w:ascii="Times New Roman" w:eastAsia="Times New Roman" w:hAnsi="Times New Roman"/>
          <w:sz w:val="17"/>
          <w:szCs w:val="17"/>
          <w:lang w:eastAsia="en-AU" w:bidi="en-US"/>
        </w:rPr>
        <w:t>require a person or account holder who wants to opt-out of setting a relevant limit pursuant to sub-clause (2) to do so only after being given by the required method approved information about the benefits of setting a</w:t>
      </w:r>
      <w:r w:rsidRPr="00404DF3">
        <w:rPr>
          <w:rFonts w:ascii="Times New Roman" w:eastAsia="Times New Roman" w:hAnsi="Times New Roman"/>
          <w:sz w:val="17"/>
          <w:szCs w:val="17"/>
          <w:lang w:eastAsia="en-AU" w:bidi="en-US"/>
        </w:rPr>
        <w:br/>
        <w:t>pre-commitment limit.</w:t>
      </w:r>
    </w:p>
    <w:p w:rsidR="00A45952" w:rsidRPr="00404DF3" w:rsidRDefault="00A45952" w:rsidP="00A32552">
      <w:pPr>
        <w:numPr>
          <w:ilvl w:val="0"/>
          <w:numId w:val="163"/>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An interactive wagering service provider must not allow a person to deposit money into a gambling account where a relevant limit set by the account holder has been reached or would be exceeded if the money were deposited.</w:t>
      </w:r>
    </w:p>
    <w:p w:rsidR="00A45952" w:rsidRPr="00404DF3" w:rsidRDefault="00A45952" w:rsidP="00A32552">
      <w:pPr>
        <w:numPr>
          <w:ilvl w:val="0"/>
          <w:numId w:val="163"/>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An interactive wagering service provide must ensure that a request to lower a relevant limit set for an account holder is applied to the account holder’s gambling account immediately after the request is received by the interactive wagering service provider;</w:t>
      </w:r>
    </w:p>
    <w:p w:rsidR="00A45952" w:rsidRPr="00404DF3" w:rsidRDefault="00A45952" w:rsidP="00A32552">
      <w:pPr>
        <w:numPr>
          <w:ilvl w:val="0"/>
          <w:numId w:val="163"/>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lastRenderedPageBreak/>
        <w:t>An interactive wagering service provider must ensure that a request to increase a relevant limit set by an account holder is not applied to the account holder’s gambling account until 7 days after the day the request is received by the interactive wagering service provider, and the interactive wagering service provider is satisfied that the account holder can sustain an increased level of gambling activity.</w:t>
      </w:r>
    </w:p>
    <w:p w:rsidR="00A45952" w:rsidRPr="00404DF3" w:rsidRDefault="00A45952" w:rsidP="00A32552">
      <w:pPr>
        <w:numPr>
          <w:ilvl w:val="0"/>
          <w:numId w:val="163"/>
        </w:numPr>
        <w:spacing w:after="120" w:line="240" w:lineRule="auto"/>
        <w:ind w:left="851" w:hanging="425"/>
        <w:jc w:val="left"/>
        <w:rPr>
          <w:rFonts w:ascii="Times New Roman" w:eastAsia="Times New Roman" w:hAnsi="Times New Roman"/>
          <w:b/>
          <w:sz w:val="17"/>
          <w:szCs w:val="17"/>
          <w:lang w:eastAsia="en-AU" w:bidi="en-US"/>
        </w:rPr>
      </w:pPr>
      <w:r w:rsidRPr="00404DF3">
        <w:rPr>
          <w:rFonts w:ascii="Times New Roman" w:eastAsia="Times New Roman" w:hAnsi="Times New Roman"/>
          <w:sz w:val="17"/>
          <w:szCs w:val="17"/>
          <w:lang w:eastAsia="en-AU" w:bidi="en-US"/>
        </w:rPr>
        <w:t>An interactive wagering service provider must, within the required time and using the required method, ensure that an account holder with an active gambling account is asked</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66"/>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where the account holder has set a relevant limit, if they wish to change their relevant limit;</w:t>
      </w:r>
    </w:p>
    <w:p w:rsidR="00A45952" w:rsidRPr="00404DF3" w:rsidRDefault="00A45952" w:rsidP="00A32552">
      <w:pPr>
        <w:numPr>
          <w:ilvl w:val="0"/>
          <w:numId w:val="166"/>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where the account holder has not set a relevant limit, if they wish to set a relevant limit. </w:t>
      </w:r>
    </w:p>
    <w:p w:rsidR="00A45952" w:rsidRPr="00404DF3" w:rsidRDefault="00A45952" w:rsidP="00A32552">
      <w:pPr>
        <w:numPr>
          <w:ilvl w:val="0"/>
          <w:numId w:val="163"/>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In this clause</w:t>
      </w:r>
      <w:r w:rsidRPr="00404DF3">
        <w:rPr>
          <w:rFonts w:ascii="Times New Roman" w:eastAsia="Times New Roman" w:hAnsi="Times New Roman"/>
          <w:bCs/>
          <w:sz w:val="17"/>
          <w:szCs w:val="17"/>
          <w:lang w:eastAsia="en-AU" w:bidi="en-US"/>
        </w:rPr>
        <w:t>—</w:t>
      </w:r>
    </w:p>
    <w:p w:rsidR="00A45952" w:rsidRPr="00404DF3" w:rsidRDefault="00A45952" w:rsidP="00A32552">
      <w:pPr>
        <w:spacing w:after="120" w:line="240" w:lineRule="auto"/>
        <w:ind w:left="851"/>
        <w:jc w:val="left"/>
        <w:rPr>
          <w:rFonts w:ascii="Times New Roman" w:eastAsia="Times New Roman" w:hAnsi="Times New Roman"/>
          <w:sz w:val="17"/>
          <w:szCs w:val="17"/>
          <w:lang w:eastAsia="en-AU" w:bidi="en-US"/>
        </w:rPr>
      </w:pPr>
      <w:r w:rsidRPr="00404DF3">
        <w:rPr>
          <w:rFonts w:ascii="Times New Roman" w:eastAsia="Times New Roman" w:hAnsi="Times New Roman"/>
          <w:b/>
          <w:i/>
          <w:sz w:val="17"/>
          <w:szCs w:val="17"/>
          <w:lang w:eastAsia="en-AU" w:bidi="en-US"/>
        </w:rPr>
        <w:t>active gambling account</w:t>
      </w:r>
      <w:r w:rsidRPr="00404DF3">
        <w:rPr>
          <w:rFonts w:ascii="Times New Roman" w:eastAsia="Times New Roman" w:hAnsi="Times New Roman"/>
          <w:sz w:val="17"/>
          <w:szCs w:val="17"/>
          <w:lang w:eastAsia="en-AU" w:bidi="en-US"/>
        </w:rPr>
        <w:t xml:space="preserve"> means a gambling account that a gambling provider has established that has been used, including to settle a bet, within the preceding 12 months but does not include a gambling account that has been closed.</w:t>
      </w:r>
    </w:p>
    <w:p w:rsidR="00A45952" w:rsidRPr="00404DF3" w:rsidRDefault="00A45952" w:rsidP="00A32552">
      <w:pPr>
        <w:spacing w:after="120" w:line="240" w:lineRule="auto"/>
        <w:ind w:left="851"/>
        <w:jc w:val="left"/>
        <w:rPr>
          <w:rFonts w:ascii="Times New Roman" w:eastAsia="Times New Roman" w:hAnsi="Times New Roman"/>
          <w:sz w:val="17"/>
          <w:szCs w:val="17"/>
          <w:lang w:eastAsia="en-AU" w:bidi="en-US"/>
        </w:rPr>
      </w:pPr>
      <w:r w:rsidRPr="00404DF3">
        <w:rPr>
          <w:rFonts w:ascii="Times New Roman" w:eastAsia="Times New Roman" w:hAnsi="Times New Roman"/>
          <w:b/>
          <w:i/>
          <w:sz w:val="17"/>
          <w:szCs w:val="17"/>
          <w:lang w:eastAsia="en-AU" w:bidi="en-US"/>
        </w:rPr>
        <w:t>approved information</w:t>
      </w:r>
      <w:r w:rsidRPr="00404DF3">
        <w:rPr>
          <w:rFonts w:ascii="Times New Roman" w:eastAsia="Times New Roman" w:hAnsi="Times New Roman"/>
          <w:sz w:val="17"/>
          <w:szCs w:val="17"/>
          <w:lang w:eastAsia="en-AU" w:bidi="en-US"/>
        </w:rPr>
        <w:t xml:space="preserve"> means information approved by the Commissioner.</w:t>
      </w:r>
    </w:p>
    <w:p w:rsidR="00A45952" w:rsidRPr="00404DF3" w:rsidRDefault="00A45952" w:rsidP="00A32552">
      <w:pPr>
        <w:spacing w:after="120" w:line="240" w:lineRule="auto"/>
        <w:ind w:left="851"/>
        <w:jc w:val="left"/>
        <w:rPr>
          <w:rFonts w:ascii="Times New Roman" w:eastAsia="Times New Roman" w:hAnsi="Times New Roman"/>
          <w:sz w:val="17"/>
          <w:szCs w:val="17"/>
          <w:lang w:eastAsia="en-AU" w:bidi="en-US"/>
        </w:rPr>
      </w:pPr>
      <w:r w:rsidRPr="00404DF3">
        <w:rPr>
          <w:rFonts w:ascii="Times New Roman" w:eastAsia="Times New Roman" w:hAnsi="Times New Roman"/>
          <w:b/>
          <w:i/>
          <w:sz w:val="17"/>
          <w:szCs w:val="17"/>
          <w:lang w:eastAsia="en-AU" w:bidi="en-US"/>
        </w:rPr>
        <w:t>relevant limit</w:t>
      </w:r>
      <w:r w:rsidRPr="00404DF3">
        <w:rPr>
          <w:rFonts w:ascii="Times New Roman" w:eastAsia="Times New Roman" w:hAnsi="Times New Roman"/>
          <w:sz w:val="17"/>
          <w:szCs w:val="17"/>
          <w:lang w:eastAsia="en-AU" w:bidi="en-US"/>
        </w:rPr>
        <w:t xml:space="preserve"> means a limit set by the account holder may apply, at the election of the interactive wagering service provider, to net betting losses by the account holder (regardless of the number of accounts held), deposits made to the account, or a combination of both.</w:t>
      </w:r>
    </w:p>
    <w:p w:rsidR="00A45952" w:rsidRPr="00404DF3" w:rsidRDefault="00A45952" w:rsidP="00A32552">
      <w:pPr>
        <w:spacing w:after="120" w:line="240" w:lineRule="auto"/>
        <w:ind w:left="851"/>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except for sub-clause (3)(e)</w:t>
      </w:r>
      <w:r w:rsidRPr="00404DF3">
        <w:rPr>
          <w:rFonts w:ascii="Times New Roman" w:eastAsia="Times New Roman" w:hAnsi="Times New Roman"/>
          <w:bCs/>
          <w:sz w:val="17"/>
          <w:szCs w:val="17"/>
          <w:lang w:eastAsia="en-AU" w:bidi="en-US"/>
        </w:rPr>
        <w:t xml:space="preserve"> —</w:t>
      </w:r>
    </w:p>
    <w:p w:rsidR="00A45952" w:rsidRPr="00404DF3" w:rsidRDefault="00A45952" w:rsidP="00A32552">
      <w:pPr>
        <w:spacing w:after="120" w:line="240" w:lineRule="auto"/>
        <w:ind w:left="851"/>
        <w:jc w:val="left"/>
        <w:rPr>
          <w:rFonts w:ascii="Times New Roman" w:eastAsia="Times New Roman" w:hAnsi="Times New Roman"/>
          <w:sz w:val="17"/>
          <w:szCs w:val="17"/>
          <w:lang w:eastAsia="en-AU" w:bidi="en-US"/>
        </w:rPr>
      </w:pPr>
      <w:r w:rsidRPr="00404DF3">
        <w:rPr>
          <w:rFonts w:ascii="Times New Roman" w:eastAsia="Times New Roman" w:hAnsi="Times New Roman"/>
          <w:b/>
          <w:i/>
          <w:sz w:val="17"/>
          <w:szCs w:val="17"/>
          <w:lang w:eastAsia="en-AU" w:bidi="en-US"/>
        </w:rPr>
        <w:t xml:space="preserve">required time </w:t>
      </w:r>
      <w:r w:rsidRPr="00404DF3">
        <w:rPr>
          <w:rFonts w:ascii="Times New Roman" w:eastAsia="Times New Roman" w:hAnsi="Times New Roman"/>
          <w:sz w:val="17"/>
          <w:szCs w:val="17"/>
          <w:lang w:eastAsia="en-AU" w:bidi="en-US"/>
        </w:rPr>
        <w:t>means on or before the day that is 12 months after the day the account holder placed their first bet using the gambling account and on or before that date each subsequent year, except where the account holder’s gambling account is not an active gambling account on that date;</w:t>
      </w:r>
    </w:p>
    <w:p w:rsidR="00A45952" w:rsidRPr="00404DF3" w:rsidRDefault="00A45952" w:rsidP="00A32552">
      <w:pPr>
        <w:spacing w:after="120" w:line="240" w:lineRule="auto"/>
        <w:ind w:left="851"/>
        <w:jc w:val="left"/>
        <w:rPr>
          <w:rFonts w:ascii="Times New Roman" w:eastAsia="Times New Roman" w:hAnsi="Times New Roman"/>
          <w:sz w:val="17"/>
          <w:szCs w:val="17"/>
          <w:lang w:eastAsia="en-AU" w:bidi="en-US"/>
        </w:rPr>
      </w:pPr>
      <w:r w:rsidRPr="00404DF3">
        <w:rPr>
          <w:rFonts w:ascii="Times New Roman" w:eastAsia="Times New Roman" w:hAnsi="Times New Roman"/>
          <w:b/>
          <w:i/>
          <w:sz w:val="17"/>
          <w:szCs w:val="17"/>
          <w:lang w:eastAsia="en-AU" w:bidi="en-US"/>
        </w:rPr>
        <w:t>required method</w:t>
      </w:r>
      <w:r w:rsidRPr="00404DF3">
        <w:rPr>
          <w:rFonts w:ascii="Times New Roman" w:eastAsia="Times New Roman" w:hAnsi="Times New Roman"/>
          <w:sz w:val="17"/>
          <w:szCs w:val="17"/>
          <w:lang w:eastAsia="en-AU" w:bidi="en-US"/>
        </w:rPr>
        <w:t xml:space="preserve"> means the method the account holder usually used to place a bet (for example, using a telephone, internet or other electronic means).</w:t>
      </w:r>
    </w:p>
    <w:p w:rsidR="00A45952" w:rsidRPr="00404DF3" w:rsidRDefault="00A45952" w:rsidP="00A32552">
      <w:pPr>
        <w:spacing w:after="120" w:line="240" w:lineRule="auto"/>
        <w:ind w:left="851"/>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for the purpose of sub-clause (3)(e)</w:t>
      </w:r>
      <w:r w:rsidRPr="00404DF3">
        <w:rPr>
          <w:rFonts w:ascii="Times New Roman" w:eastAsia="Times New Roman" w:hAnsi="Times New Roman"/>
          <w:bCs/>
          <w:sz w:val="17"/>
          <w:szCs w:val="17"/>
          <w:lang w:eastAsia="en-AU" w:bidi="en-US"/>
        </w:rPr>
        <w:t>—</w:t>
      </w:r>
    </w:p>
    <w:p w:rsidR="00A45952" w:rsidRPr="00404DF3" w:rsidRDefault="00A45952" w:rsidP="00A32552">
      <w:pPr>
        <w:spacing w:after="120" w:line="240" w:lineRule="auto"/>
        <w:ind w:left="851"/>
        <w:jc w:val="left"/>
        <w:rPr>
          <w:rFonts w:ascii="Times New Roman" w:eastAsia="Times New Roman" w:hAnsi="Times New Roman"/>
          <w:sz w:val="17"/>
          <w:szCs w:val="17"/>
          <w:lang w:eastAsia="en-AU" w:bidi="en-US"/>
        </w:rPr>
      </w:pPr>
      <w:r w:rsidRPr="00404DF3">
        <w:rPr>
          <w:rFonts w:ascii="Times New Roman" w:eastAsia="Times New Roman" w:hAnsi="Times New Roman"/>
          <w:b/>
          <w:i/>
          <w:sz w:val="17"/>
          <w:szCs w:val="17"/>
          <w:lang w:eastAsia="en-AU" w:bidi="en-US"/>
        </w:rPr>
        <w:t>required method</w:t>
      </w:r>
      <w:r w:rsidRPr="00404DF3">
        <w:rPr>
          <w:rFonts w:ascii="Times New Roman" w:eastAsia="Times New Roman" w:hAnsi="Times New Roman"/>
          <w:sz w:val="17"/>
          <w:szCs w:val="17"/>
          <w:lang w:eastAsia="en-AU" w:bidi="en-US"/>
        </w:rPr>
        <w:t xml:space="preserve"> means</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67"/>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where a person can open an account or make a bet using a telephone, internet or other electronic means by navigating to a new application screen, web page or the pages on electronic services that contains the approved information and after viewing the approved information the person or account holder can provide their express indication that they wish to opt-out of setting a deposit limit;</w:t>
      </w:r>
    </w:p>
    <w:p w:rsidR="00A45952" w:rsidRPr="00404DF3" w:rsidRDefault="00A45952" w:rsidP="00A32552">
      <w:pPr>
        <w:numPr>
          <w:ilvl w:val="0"/>
          <w:numId w:val="167"/>
        </w:numPr>
        <w:spacing w:after="120" w:line="240" w:lineRule="auto"/>
        <w:ind w:left="1208" w:hanging="357"/>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where a person can open an account or make a bet using the telephone, by the approved information being provided verbally to the person or account holder and after being provided with the approved information the person or account holder is expressly asked if they still wish to opt-out of setting a deposit limit.</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bCs/>
          <w:sz w:val="17"/>
          <w:szCs w:val="17"/>
          <w:lang w:eastAsia="en-AU" w:bidi="en-US"/>
        </w:rPr>
      </w:pPr>
      <w:r w:rsidRPr="00404DF3">
        <w:rPr>
          <w:rFonts w:ascii="Times New Roman" w:eastAsia="Times New Roman" w:hAnsi="Times New Roman"/>
          <w:b/>
          <w:bCs/>
          <w:sz w:val="17"/>
          <w:szCs w:val="17"/>
          <w:lang w:eastAsia="en-AU" w:bidi="en-US"/>
        </w:rPr>
        <w:t xml:space="preserve">Account </w:t>
      </w:r>
      <w:r w:rsidRPr="00404DF3">
        <w:rPr>
          <w:rFonts w:ascii="Times New Roman" w:eastAsia="Times New Roman" w:hAnsi="Times New Roman"/>
          <w:b/>
          <w:sz w:val="17"/>
          <w:szCs w:val="17"/>
          <w:lang w:eastAsia="en-AU"/>
        </w:rPr>
        <w:t>balances</w:t>
      </w:r>
    </w:p>
    <w:p w:rsidR="00A45952" w:rsidRPr="00404DF3" w:rsidRDefault="00A45952" w:rsidP="00A32552">
      <w:pPr>
        <w:numPr>
          <w:ilvl w:val="0"/>
          <w:numId w:val="168"/>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gambling provider must provide an account holder with an account balance</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69"/>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whenever money is withdrawn (other than for the purchase of a gambling product); and</w:t>
      </w:r>
    </w:p>
    <w:p w:rsidR="00A45952" w:rsidRPr="00404DF3" w:rsidRDefault="00A45952" w:rsidP="00A32552">
      <w:pPr>
        <w:numPr>
          <w:ilvl w:val="0"/>
          <w:numId w:val="169"/>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whenever money is deposited into a gambling account via an online transaction; and</w:t>
      </w:r>
    </w:p>
    <w:p w:rsidR="00A45952" w:rsidRPr="00404DF3" w:rsidRDefault="00A45952" w:rsidP="00A32552">
      <w:pPr>
        <w:numPr>
          <w:ilvl w:val="0"/>
          <w:numId w:val="169"/>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in the case of a bet placed by internet, whenever a bet is made from the account; and</w:t>
      </w:r>
    </w:p>
    <w:p w:rsidR="00A45952" w:rsidRPr="00404DF3" w:rsidRDefault="00A45952" w:rsidP="00A32552">
      <w:pPr>
        <w:numPr>
          <w:ilvl w:val="0"/>
          <w:numId w:val="169"/>
        </w:numPr>
        <w:spacing w:after="120" w:line="240" w:lineRule="auto"/>
        <w:ind w:left="1208" w:hanging="357"/>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upon request by the account holder.</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bCs/>
          <w:sz w:val="17"/>
          <w:szCs w:val="17"/>
          <w:lang w:eastAsia="en-AU" w:bidi="en-US"/>
        </w:rPr>
      </w:pPr>
      <w:r w:rsidRPr="00404DF3">
        <w:rPr>
          <w:rFonts w:ascii="Times New Roman" w:eastAsia="Times New Roman" w:hAnsi="Times New Roman"/>
          <w:b/>
          <w:bCs/>
          <w:sz w:val="17"/>
          <w:szCs w:val="17"/>
          <w:lang w:eastAsia="en-AU" w:bidi="en-US"/>
        </w:rPr>
        <w:t>Pre-</w:t>
      </w:r>
      <w:r w:rsidRPr="00404DF3">
        <w:rPr>
          <w:rFonts w:ascii="Times New Roman" w:eastAsia="Times New Roman" w:hAnsi="Times New Roman"/>
          <w:b/>
          <w:sz w:val="17"/>
          <w:szCs w:val="17"/>
          <w:lang w:eastAsia="en-AU"/>
        </w:rPr>
        <w:t>commitment</w:t>
      </w:r>
      <w:r w:rsidRPr="00404DF3">
        <w:rPr>
          <w:rFonts w:ascii="Times New Roman" w:eastAsia="Times New Roman" w:hAnsi="Times New Roman"/>
          <w:b/>
          <w:bCs/>
          <w:sz w:val="17"/>
          <w:szCs w:val="17"/>
          <w:lang w:eastAsia="en-AU" w:bidi="en-US"/>
        </w:rPr>
        <w:t xml:space="preserve"> to be promoted</w:t>
      </w:r>
    </w:p>
    <w:p w:rsidR="00A45952" w:rsidRPr="00404DF3" w:rsidRDefault="00A45952" w:rsidP="00A32552">
      <w:pPr>
        <w:numPr>
          <w:ilvl w:val="0"/>
          <w:numId w:val="170"/>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gambling provider must promote the availability of the pre-commitment scheme</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71"/>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on any brochures, pamphlets or marketing information (other than advertising) that provides information on how a gambling account may be established;</w:t>
      </w:r>
    </w:p>
    <w:p w:rsidR="00A45952" w:rsidRPr="00404DF3" w:rsidRDefault="00A45952" w:rsidP="00A32552">
      <w:pPr>
        <w:numPr>
          <w:ilvl w:val="0"/>
          <w:numId w:val="171"/>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as part of the welcome pack (however described) provided to an account holder upon account establishment;</w:t>
      </w:r>
    </w:p>
    <w:p w:rsidR="00A45952" w:rsidRPr="00404DF3" w:rsidRDefault="00A45952" w:rsidP="00A32552">
      <w:pPr>
        <w:numPr>
          <w:ilvl w:val="0"/>
          <w:numId w:val="171"/>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on the gambling provider’s website, both on the homepage and on any point of sale page; and</w:t>
      </w:r>
    </w:p>
    <w:p w:rsidR="00A45952" w:rsidRPr="00404DF3" w:rsidRDefault="00A45952" w:rsidP="00A32552">
      <w:pPr>
        <w:numPr>
          <w:ilvl w:val="0"/>
          <w:numId w:val="171"/>
        </w:numPr>
        <w:spacing w:after="120" w:line="240" w:lineRule="auto"/>
        <w:ind w:left="1208" w:hanging="357"/>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on account balances (when provided in writing) and activity statements.</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bCs/>
          <w:sz w:val="17"/>
          <w:szCs w:val="17"/>
          <w:lang w:eastAsia="en-AU" w:bidi="en-US"/>
        </w:rPr>
      </w:pPr>
      <w:r w:rsidRPr="00404DF3">
        <w:rPr>
          <w:rFonts w:ascii="Times New Roman" w:eastAsia="Times New Roman" w:hAnsi="Times New Roman"/>
          <w:b/>
          <w:bCs/>
          <w:sz w:val="17"/>
          <w:szCs w:val="17"/>
          <w:lang w:eastAsia="en-AU" w:bidi="en-US"/>
        </w:rPr>
        <w:t xml:space="preserve">Activity </w:t>
      </w:r>
      <w:r w:rsidRPr="00404DF3">
        <w:rPr>
          <w:rFonts w:ascii="Times New Roman" w:eastAsia="Times New Roman" w:hAnsi="Times New Roman"/>
          <w:b/>
          <w:sz w:val="17"/>
          <w:szCs w:val="17"/>
          <w:lang w:eastAsia="en-AU"/>
        </w:rPr>
        <w:t>statements</w:t>
      </w:r>
    </w:p>
    <w:p w:rsidR="00A45952" w:rsidRPr="00404DF3" w:rsidRDefault="00A45952" w:rsidP="00A32552">
      <w:pPr>
        <w:numPr>
          <w:ilvl w:val="0"/>
          <w:numId w:val="172"/>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gambling provider must send an account holder a routine activity statement</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73"/>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for each calendar month in which there are 50 or more transactions conducted on a gambling account; and</w:t>
      </w:r>
    </w:p>
    <w:p w:rsidR="00A45952" w:rsidRPr="00404DF3" w:rsidRDefault="00A45952" w:rsidP="00A32552">
      <w:pPr>
        <w:numPr>
          <w:ilvl w:val="0"/>
          <w:numId w:val="173"/>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for each period of consecutive calendar months (up to three calendar months) in which more than 40 transactions are conducted on a gambling account (which statement may be combined with a statement required by paragraph (a); and</w:t>
      </w:r>
    </w:p>
    <w:p w:rsidR="00A45952" w:rsidRPr="00404DF3" w:rsidRDefault="00A45952" w:rsidP="00A32552">
      <w:pPr>
        <w:numPr>
          <w:ilvl w:val="0"/>
          <w:numId w:val="173"/>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at least once in each period of 12 months following the provision of an activity statement,</w:t>
      </w:r>
    </w:p>
    <w:p w:rsidR="00A45952" w:rsidRPr="00404DF3" w:rsidRDefault="00A45952" w:rsidP="00A32552">
      <w:pPr>
        <w:numPr>
          <w:ilvl w:val="0"/>
          <w:numId w:val="173"/>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so as to provide a continuous record of gambling activity.</w:t>
      </w:r>
    </w:p>
    <w:p w:rsidR="00A45952" w:rsidRPr="00404DF3" w:rsidRDefault="00A45952" w:rsidP="00A32552">
      <w:pPr>
        <w:numPr>
          <w:ilvl w:val="0"/>
          <w:numId w:val="172"/>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bCs/>
          <w:sz w:val="17"/>
          <w:szCs w:val="17"/>
          <w:lang w:eastAsia="en-AU" w:bidi="en-US"/>
        </w:rPr>
        <w:lastRenderedPageBreak/>
        <w:t xml:space="preserve">A gambling provider must, in addition to activity statements required by sub-clause (1), </w:t>
      </w:r>
      <w:r w:rsidRPr="00404DF3">
        <w:rPr>
          <w:rFonts w:ascii="Times New Roman" w:eastAsia="Times New Roman" w:hAnsi="Times New Roman"/>
          <w:sz w:val="17"/>
          <w:szCs w:val="17"/>
          <w:lang w:eastAsia="en-AU" w:bidi="en-US"/>
        </w:rPr>
        <w:t>send a special activity statement to an account holder upon request for the period nominated by the account holder.</w:t>
      </w:r>
    </w:p>
    <w:p w:rsidR="00A45952" w:rsidRPr="00404DF3" w:rsidRDefault="00A45952" w:rsidP="00A32552">
      <w:pPr>
        <w:numPr>
          <w:ilvl w:val="0"/>
          <w:numId w:val="172"/>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Despite sub-clause (1), a gambling provider may meet the requirements for routine activity statements by sending activity statements on a rolling monthly basis (whether or not the statement periods are calendar months).</w:t>
      </w:r>
    </w:p>
    <w:p w:rsidR="00A45952" w:rsidRPr="00404DF3" w:rsidRDefault="00A45952" w:rsidP="00A32552">
      <w:pPr>
        <w:numPr>
          <w:ilvl w:val="0"/>
          <w:numId w:val="172"/>
        </w:numPr>
        <w:spacing w:after="120" w:line="240" w:lineRule="auto"/>
        <w:ind w:left="851" w:hanging="425"/>
        <w:jc w:val="left"/>
        <w:rPr>
          <w:rFonts w:ascii="Times New Roman" w:eastAsia="Times New Roman" w:hAnsi="Times New Roman"/>
          <w:spacing w:val="-2"/>
          <w:sz w:val="17"/>
          <w:szCs w:val="17"/>
          <w:lang w:eastAsia="en-AU" w:bidi="en-US"/>
        </w:rPr>
      </w:pPr>
      <w:r w:rsidRPr="00404DF3">
        <w:rPr>
          <w:rFonts w:ascii="Times New Roman" w:eastAsia="Times New Roman" w:hAnsi="Times New Roman"/>
          <w:spacing w:val="-2"/>
          <w:sz w:val="17"/>
          <w:szCs w:val="17"/>
          <w:lang w:eastAsia="en-AU" w:bidi="en-US"/>
        </w:rPr>
        <w:t>Despite sub-clause (1)(c), a gambling provider is not required to send an annual activity statement in respect of an account that has a credit balance of $10 or less at the end of the relevant year and which there has been no gambling activity in that year.</w:t>
      </w:r>
    </w:p>
    <w:p w:rsidR="00A45952" w:rsidRPr="00404DF3" w:rsidRDefault="00A45952" w:rsidP="00A32552">
      <w:pPr>
        <w:numPr>
          <w:ilvl w:val="0"/>
          <w:numId w:val="172"/>
        </w:numPr>
        <w:spacing w:after="120" w:line="240" w:lineRule="auto"/>
        <w:ind w:left="851" w:hanging="425"/>
        <w:jc w:val="left"/>
        <w:rPr>
          <w:rFonts w:ascii="Times New Roman" w:eastAsia="Times New Roman" w:hAnsi="Times New Roman"/>
          <w:bCs/>
          <w:sz w:val="17"/>
          <w:szCs w:val="17"/>
          <w:lang w:eastAsia="en-AU" w:bidi="en-US"/>
        </w:rPr>
      </w:pPr>
      <w:r w:rsidRPr="00404DF3">
        <w:rPr>
          <w:rFonts w:ascii="Times New Roman" w:eastAsia="Times New Roman" w:hAnsi="Times New Roman"/>
          <w:sz w:val="17"/>
          <w:szCs w:val="17"/>
          <w:lang w:eastAsia="en-AU" w:bidi="en-US"/>
        </w:rPr>
        <w:t>An activity statement must</w:t>
      </w:r>
      <w:r w:rsidRPr="00404DF3">
        <w:rPr>
          <w:rFonts w:ascii="Times New Roman" w:eastAsia="Times New Roman" w:hAnsi="Times New Roman"/>
          <w:bCs/>
          <w:sz w:val="17"/>
          <w:szCs w:val="17"/>
          <w:lang w:eastAsia="en-AU" w:bidi="en-US"/>
        </w:rPr>
        <w:t xml:space="preserve"> be sent in writing.</w:t>
      </w:r>
    </w:p>
    <w:p w:rsidR="00A45952" w:rsidRPr="00404DF3" w:rsidRDefault="00A45952" w:rsidP="00A32552">
      <w:pPr>
        <w:numPr>
          <w:ilvl w:val="0"/>
          <w:numId w:val="172"/>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 gambling provider may satisfy the requirement to send an activity statement in writing by sending the statement, by email if the account holder elects to receive the statement that way, by post or some other form of physical delivery.</w:t>
      </w:r>
    </w:p>
    <w:p w:rsidR="00A45952" w:rsidRPr="00404DF3" w:rsidRDefault="00A45952" w:rsidP="00A32552">
      <w:pPr>
        <w:numPr>
          <w:ilvl w:val="0"/>
          <w:numId w:val="172"/>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If an account holder elects to receive activity statements by post or some other form of delivery, the gambling provider is not prevented by this code from recovering the additional cost occasioned by the mode of delivery.</w:t>
      </w:r>
    </w:p>
    <w:p w:rsidR="00A45952" w:rsidRPr="00404DF3" w:rsidRDefault="00A45952" w:rsidP="00A32552">
      <w:pPr>
        <w:numPr>
          <w:ilvl w:val="0"/>
          <w:numId w:val="172"/>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An activity statement must include details of each transaction in the statement period, including the amount, date, time, description of the transaction, and the amount of spotters’ fees relating to the account in the statement period.</w:t>
      </w:r>
    </w:p>
    <w:p w:rsidR="00A45952" w:rsidRPr="00404DF3" w:rsidRDefault="00A45952" w:rsidP="00A32552">
      <w:pPr>
        <w:numPr>
          <w:ilvl w:val="0"/>
          <w:numId w:val="172"/>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If an account holder elects to receive activity statements by email, the statement records 20 or more transactions on any one day during the relevant period and the gambling provider offers a facility for the account holder to view individual transactions online, the gambling provider may provide the statement in a form which aggregates on a daily basis the amounts deposited, withdrawn, bet and won.</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sz w:val="17"/>
          <w:szCs w:val="17"/>
          <w:lang w:eastAsia="en-AU" w:bidi="en-US"/>
        </w:rPr>
      </w:pPr>
      <w:r w:rsidRPr="00404DF3">
        <w:rPr>
          <w:rFonts w:ascii="Times New Roman" w:eastAsia="Times New Roman" w:hAnsi="Times New Roman"/>
          <w:b/>
          <w:sz w:val="17"/>
          <w:szCs w:val="17"/>
          <w:lang w:eastAsia="en-AU"/>
        </w:rPr>
        <w:t>Required</w:t>
      </w:r>
      <w:r w:rsidRPr="00404DF3">
        <w:rPr>
          <w:rFonts w:ascii="Times New Roman" w:eastAsia="Times New Roman" w:hAnsi="Times New Roman"/>
          <w:b/>
          <w:bCs/>
          <w:sz w:val="17"/>
          <w:szCs w:val="17"/>
          <w:lang w:eastAsia="en-AU" w:bidi="en-US"/>
        </w:rPr>
        <w:t xml:space="preserve"> training  </w:t>
      </w:r>
    </w:p>
    <w:p w:rsidR="00A45952" w:rsidRPr="00404DF3" w:rsidRDefault="00A45952" w:rsidP="00A32552">
      <w:pPr>
        <w:numPr>
          <w:ilvl w:val="0"/>
          <w:numId w:val="174"/>
        </w:numPr>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76"/>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ensure that all people involved in selling its gambling products, or otherwise dealing with patrons, receive problem gambling training</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75"/>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for all staff at induction</w:t>
      </w:r>
      <w:r w:rsidRPr="00404DF3">
        <w:rPr>
          <w:rFonts w:ascii="Times New Roman" w:eastAsia="Times New Roman" w:hAnsi="Times New Roman"/>
          <w:b/>
          <w:bCs/>
          <w:sz w:val="17"/>
          <w:szCs w:val="17"/>
          <w:lang w:eastAsia="en-AU" w:bidi="en-US"/>
        </w:rPr>
        <w:t>—</w:t>
      </w:r>
    </w:p>
    <w:p w:rsidR="00A45952" w:rsidRPr="00404DF3" w:rsidRDefault="00A45952" w:rsidP="00A32552">
      <w:pPr>
        <w:tabs>
          <w:tab w:val="left" w:pos="284"/>
        </w:tabs>
        <w:spacing w:after="120" w:line="240" w:lineRule="auto"/>
        <w:ind w:left="1571"/>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basic training which identifies problem gambling and which explains the role and process of barring and exclusion; and</w:t>
      </w:r>
    </w:p>
    <w:p w:rsidR="00A45952" w:rsidRPr="00404DF3" w:rsidRDefault="00A45952" w:rsidP="00A32552">
      <w:pPr>
        <w:numPr>
          <w:ilvl w:val="0"/>
          <w:numId w:val="175"/>
        </w:numPr>
        <w:tabs>
          <w:tab w:val="left" w:pos="284"/>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for supervisory and managerial staff (including the person in charge of a call centre, a physical point of sale or a physical gambling area)</w:t>
      </w:r>
      <w:r w:rsidRPr="00404DF3">
        <w:rPr>
          <w:rFonts w:ascii="Times New Roman" w:eastAsia="Times New Roman" w:hAnsi="Times New Roman"/>
          <w:bCs/>
          <w:sz w:val="17"/>
          <w:szCs w:val="17"/>
          <w:lang w:eastAsia="en-AU" w:bidi="en-US"/>
        </w:rPr>
        <w:t>—</w:t>
      </w:r>
    </w:p>
    <w:p w:rsidR="00A45952" w:rsidRPr="00404DF3" w:rsidRDefault="00A45952" w:rsidP="00A32552">
      <w:pPr>
        <w:tabs>
          <w:tab w:val="left" w:pos="284"/>
        </w:tabs>
        <w:spacing w:after="120" w:line="240" w:lineRule="auto"/>
        <w:ind w:left="1571"/>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advanced training on the identification of, and intervention techniques for, problem gambling;</w:t>
      </w:r>
    </w:p>
    <w:p w:rsidR="00A45952" w:rsidRPr="00404DF3" w:rsidRDefault="00A45952" w:rsidP="00A32552">
      <w:pPr>
        <w:numPr>
          <w:ilvl w:val="0"/>
          <w:numId w:val="176"/>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provide refresher courses for all staff at least each 2 years;</w:t>
      </w:r>
    </w:p>
    <w:p w:rsidR="00A45952" w:rsidRPr="00404DF3" w:rsidRDefault="00A45952" w:rsidP="00A32552">
      <w:pPr>
        <w:numPr>
          <w:ilvl w:val="0"/>
          <w:numId w:val="176"/>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include responsible gambling information in employee newsletters and magazines; </w:t>
      </w:r>
    </w:p>
    <w:p w:rsidR="00A45952" w:rsidRPr="00404DF3" w:rsidRDefault="00A45952" w:rsidP="00A32552">
      <w:pPr>
        <w:numPr>
          <w:ilvl w:val="0"/>
          <w:numId w:val="176"/>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provide responsible gambling materials in the workplace to remind staff of policies and their responsibilities; and</w:t>
      </w:r>
    </w:p>
    <w:p w:rsidR="00A45952" w:rsidRPr="00404DF3" w:rsidRDefault="00A45952" w:rsidP="00A32552">
      <w:pPr>
        <w:numPr>
          <w:ilvl w:val="0"/>
          <w:numId w:val="176"/>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if the gambling provider installs, in a place in which it is otherwise authorised to provide its gambling products, a device which allows customers to purchase the gambling product and process winnings without the assistance of an operator and the device is able to be operated by the insertion of cash, must have enhanced training for staff to ensure the use of the devices are adequately monitored and additional harm minimisation measures are understood and implemented as required.</w:t>
      </w:r>
    </w:p>
    <w:p w:rsidR="00A45952" w:rsidRPr="00404DF3" w:rsidRDefault="00A45952" w:rsidP="00A32552">
      <w:pPr>
        <w:numPr>
          <w:ilvl w:val="0"/>
          <w:numId w:val="174"/>
        </w:numPr>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 xml:space="preserve">If a gambling provider uses an external provider for training, that training provider must be a registered training organisation under the </w:t>
      </w:r>
      <w:r w:rsidRPr="00404DF3">
        <w:rPr>
          <w:rFonts w:ascii="Times New Roman" w:eastAsia="Times New Roman" w:hAnsi="Times New Roman"/>
          <w:i/>
          <w:sz w:val="17"/>
          <w:szCs w:val="17"/>
          <w:lang w:eastAsia="en-AU" w:bidi="en-US"/>
        </w:rPr>
        <w:t xml:space="preserve">National Vocational Education and Training Regulator Act 2011 </w:t>
      </w:r>
      <w:r w:rsidRPr="00404DF3">
        <w:rPr>
          <w:rFonts w:ascii="Times New Roman" w:eastAsia="Times New Roman" w:hAnsi="Times New Roman"/>
          <w:sz w:val="17"/>
          <w:szCs w:val="17"/>
          <w:lang w:eastAsia="en-AU" w:bidi="en-US"/>
        </w:rPr>
        <w:t>(Commonwealth).</w:t>
      </w:r>
    </w:p>
    <w:p w:rsidR="00A45952" w:rsidRPr="00404DF3" w:rsidRDefault="00A45952" w:rsidP="00A32552">
      <w:pPr>
        <w:numPr>
          <w:ilvl w:val="0"/>
          <w:numId w:val="174"/>
        </w:numPr>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For the purposes of sub-clause (1), basic and advanced training programs must be designed to</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77"/>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provide information about the potential effect of gambling on customers;</w:t>
      </w:r>
    </w:p>
    <w:p w:rsidR="00A45952" w:rsidRPr="00404DF3" w:rsidRDefault="00A45952" w:rsidP="00A32552">
      <w:pPr>
        <w:numPr>
          <w:ilvl w:val="0"/>
          <w:numId w:val="177"/>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include information on the recognition and identification of problem gambling traits; and</w:t>
      </w:r>
    </w:p>
    <w:p w:rsidR="00A45952" w:rsidRPr="00404DF3" w:rsidRDefault="00A45952" w:rsidP="00A32552">
      <w:pPr>
        <w:numPr>
          <w:ilvl w:val="0"/>
          <w:numId w:val="177"/>
        </w:numPr>
        <w:spacing w:after="120" w:line="240" w:lineRule="auto"/>
        <w:jc w:val="left"/>
        <w:rPr>
          <w:rFonts w:ascii="Times New Roman" w:eastAsia="Times New Roman" w:hAnsi="Times New Roman"/>
          <w:b/>
          <w:sz w:val="17"/>
          <w:szCs w:val="17"/>
          <w:lang w:eastAsia="en-AU" w:bidi="en-US"/>
        </w:rPr>
      </w:pPr>
      <w:r w:rsidRPr="00404DF3">
        <w:rPr>
          <w:rFonts w:ascii="Times New Roman" w:eastAsia="Times New Roman" w:hAnsi="Times New Roman"/>
          <w:sz w:val="17"/>
          <w:szCs w:val="17"/>
          <w:lang w:eastAsia="en-AU" w:bidi="en-US"/>
        </w:rPr>
        <w:t>ensure that the processes for approach, intervention, referral and follow-up are clear and well understood.</w:t>
      </w:r>
    </w:p>
    <w:p w:rsidR="00A45952" w:rsidRPr="00404DF3" w:rsidRDefault="00A45952" w:rsidP="00A32552">
      <w:pPr>
        <w:numPr>
          <w:ilvl w:val="0"/>
          <w:numId w:val="174"/>
        </w:numPr>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w:t>
      </w:r>
      <w:r w:rsidRPr="00404DF3">
        <w:rPr>
          <w:rFonts w:ascii="Times New Roman" w:eastAsia="Times New Roman" w:hAnsi="Times New Roman"/>
          <w:bCs/>
          <w:sz w:val="17"/>
          <w:szCs w:val="17"/>
          <w:lang w:eastAsia="en-AU" w:bidi="en-US"/>
        </w:rPr>
        <w:t>—</w:t>
      </w:r>
    </w:p>
    <w:p w:rsidR="00A45952" w:rsidRPr="00404DF3" w:rsidRDefault="00A45952" w:rsidP="00A32552">
      <w:pPr>
        <w:numPr>
          <w:ilvl w:val="0"/>
          <w:numId w:val="178"/>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make arrangements to ensure that training programs provided to its staff are the subject of an annual review of or audit for their compliance with the requirements of this code; and</w:t>
      </w:r>
    </w:p>
    <w:p w:rsidR="00A45952" w:rsidRPr="00404DF3" w:rsidRDefault="00A45952" w:rsidP="00A32552">
      <w:pPr>
        <w:numPr>
          <w:ilvl w:val="0"/>
          <w:numId w:val="178"/>
        </w:numPr>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provide a report of the outcome of each review or audit to the Commissioner within 28 days after completion.</w:t>
      </w:r>
    </w:p>
    <w:p w:rsidR="00A45952" w:rsidRPr="00404DF3" w:rsidRDefault="00A45952" w:rsidP="00A32552">
      <w:pPr>
        <w:numPr>
          <w:ilvl w:val="0"/>
          <w:numId w:val="174"/>
        </w:numPr>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Commissioner, on the application of a gambling provider or a relevant peak body, may grant exemptions from the operation of this clause in respect to the deferral of training required on induction by up to 3 months.</w:t>
      </w:r>
    </w:p>
    <w:p w:rsidR="00A45952" w:rsidRPr="00404DF3" w:rsidRDefault="00A45952" w:rsidP="00A32552">
      <w:pPr>
        <w:numPr>
          <w:ilvl w:val="0"/>
          <w:numId w:val="174"/>
        </w:numPr>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Sub-clauses (1)(a) and (b) do not apply (at the election of the gambling provider) in respect of a person on the staff of an agent which is coincidentally a gaming machine or casino licensee, if that person has received and is current with the training required by their relevant code of practice.</w:t>
      </w:r>
    </w:p>
    <w:p w:rsidR="00A45952" w:rsidRPr="00404DF3" w:rsidRDefault="00A45952" w:rsidP="00A32552">
      <w:pPr>
        <w:numPr>
          <w:ilvl w:val="0"/>
          <w:numId w:val="174"/>
        </w:numPr>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gambling provider must ensure that records of all successful completion of training are maintained and available for inspection upon request by an inspector.</w:t>
      </w:r>
    </w:p>
    <w:p w:rsidR="00A45952" w:rsidRPr="00404DF3" w:rsidRDefault="00A45952" w:rsidP="00A32552">
      <w:pPr>
        <w:numPr>
          <w:ilvl w:val="0"/>
          <w:numId w:val="180"/>
        </w:numPr>
        <w:tabs>
          <w:tab w:val="num" w:pos="426"/>
        </w:tabs>
        <w:spacing w:after="120" w:line="240" w:lineRule="auto"/>
        <w:ind w:left="426"/>
        <w:rPr>
          <w:rFonts w:ascii="Times New Roman" w:eastAsia="Times New Roman" w:hAnsi="Times New Roman"/>
          <w:b/>
          <w:bCs/>
          <w:sz w:val="17"/>
          <w:szCs w:val="17"/>
          <w:lang w:eastAsia="en-AU" w:bidi="en-US"/>
        </w:rPr>
      </w:pPr>
      <w:r w:rsidRPr="00404DF3">
        <w:rPr>
          <w:rFonts w:ascii="Times New Roman" w:eastAsia="Times New Roman" w:hAnsi="Times New Roman"/>
          <w:b/>
          <w:bCs/>
          <w:sz w:val="17"/>
          <w:szCs w:val="17"/>
          <w:lang w:eastAsia="en-AU" w:bidi="en-US"/>
        </w:rPr>
        <w:lastRenderedPageBreak/>
        <w:t>Individual exemptions</w:t>
      </w:r>
    </w:p>
    <w:p w:rsidR="00A45952" w:rsidRPr="00404DF3" w:rsidRDefault="00A45952" w:rsidP="00A32552">
      <w:pPr>
        <w:numPr>
          <w:ilvl w:val="0"/>
          <w:numId w:val="179"/>
        </w:numPr>
        <w:spacing w:after="120" w:line="240" w:lineRule="auto"/>
        <w:ind w:left="851"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Commissioner may, on application by a gambling provider, exempt the gambling provider from a specified provision of this code of practice.</w:t>
      </w:r>
    </w:p>
    <w:p w:rsidR="00A45952" w:rsidRPr="00404DF3" w:rsidRDefault="00A45952" w:rsidP="00A32552">
      <w:pPr>
        <w:numPr>
          <w:ilvl w:val="0"/>
          <w:numId w:val="179"/>
        </w:numPr>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Commissioner may impose conditions in respect of an exemption.</w:t>
      </w:r>
    </w:p>
    <w:p w:rsidR="00222805" w:rsidRPr="00404DF3" w:rsidRDefault="00A45952" w:rsidP="00A32552">
      <w:pPr>
        <w:numPr>
          <w:ilvl w:val="0"/>
          <w:numId w:val="179"/>
        </w:numPr>
        <w:spacing w:after="120" w:line="240" w:lineRule="auto"/>
        <w:ind w:left="850" w:hanging="425"/>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The Commissioner may on the Commissioner’s own initiative, by written notice to a gambling provider or on application by a gambling provider, vary or revoke an exemption.</w:t>
      </w:r>
    </w:p>
    <w:p w:rsidR="00A45952" w:rsidRPr="00404DF3" w:rsidRDefault="00A45952" w:rsidP="00A32552">
      <w:pPr>
        <w:spacing w:after="120" w:line="240" w:lineRule="auto"/>
        <w:jc w:val="left"/>
        <w:rPr>
          <w:rFonts w:ascii="Times New Roman" w:eastAsia="Times New Roman" w:hAnsi="Times New Roman"/>
          <w:b/>
          <w:sz w:val="20"/>
          <w:szCs w:val="20"/>
          <w:lang w:eastAsia="en-AU"/>
        </w:rPr>
      </w:pPr>
      <w:r w:rsidRPr="00404DF3">
        <w:rPr>
          <w:rFonts w:ascii="Times New Roman" w:eastAsia="Times New Roman" w:hAnsi="Times New Roman"/>
          <w:b/>
          <w:sz w:val="20"/>
          <w:szCs w:val="20"/>
          <w:lang w:eastAsia="en-AU"/>
        </w:rPr>
        <w:t>Schedule 1—</w:t>
      </w:r>
    </w:p>
    <w:p w:rsidR="00A45952" w:rsidRPr="00404DF3" w:rsidRDefault="00A45952" w:rsidP="00A32552">
      <w:pPr>
        <w:spacing w:after="120" w:line="240" w:lineRule="auto"/>
        <w:jc w:val="left"/>
        <w:rPr>
          <w:rFonts w:ascii="Times New Roman" w:eastAsia="Times New Roman" w:hAnsi="Times New Roman"/>
          <w:i/>
          <w:iCs/>
          <w:sz w:val="17"/>
          <w:szCs w:val="17"/>
          <w:lang w:eastAsia="en-AU"/>
        </w:rPr>
      </w:pPr>
      <w:r w:rsidRPr="00404DF3">
        <w:rPr>
          <w:rFonts w:ascii="Times New Roman" w:eastAsia="Times New Roman" w:hAnsi="Times New Roman"/>
          <w:i/>
          <w:iCs/>
          <w:sz w:val="17"/>
          <w:szCs w:val="17"/>
          <w:lang w:eastAsia="en-AU"/>
        </w:rPr>
        <w:t>Authorised Betting Operations Act 2000</w:t>
      </w:r>
    </w:p>
    <w:p w:rsidR="00A45952" w:rsidRPr="00404DF3" w:rsidRDefault="00A45952" w:rsidP="00A32552">
      <w:pPr>
        <w:spacing w:after="120" w:line="240" w:lineRule="auto"/>
        <w:jc w:val="left"/>
        <w:rPr>
          <w:rFonts w:ascii="Times New Roman" w:eastAsia="Times New Roman" w:hAnsi="Times New Roman"/>
          <w:b/>
          <w:sz w:val="20"/>
          <w:szCs w:val="20"/>
          <w:lang w:eastAsia="en-AU"/>
        </w:rPr>
      </w:pPr>
      <w:r w:rsidRPr="00404DF3">
        <w:rPr>
          <w:rFonts w:ascii="Times New Roman" w:eastAsia="Times New Roman" w:hAnsi="Times New Roman"/>
          <w:b/>
          <w:sz w:val="20"/>
          <w:szCs w:val="20"/>
          <w:lang w:eastAsia="en-AU"/>
        </w:rPr>
        <w:t>Expanded warning messages</w:t>
      </w:r>
    </w:p>
    <w:p w:rsidR="00A45952" w:rsidRPr="00404DF3" w:rsidRDefault="00A45952" w:rsidP="00A32552">
      <w:pPr>
        <w:tabs>
          <w:tab w:val="left" w:pos="540"/>
          <w:tab w:val="left" w:pos="900"/>
          <w:tab w:val="left" w:pos="5103"/>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Don’t let the game play you. Stay in control.  Gamble responsibly.</w:t>
      </w:r>
      <w:r w:rsidRPr="00404DF3">
        <w:rPr>
          <w:rFonts w:ascii="Times New Roman" w:eastAsia="Times New Roman" w:hAnsi="Times New Roman"/>
          <w:sz w:val="17"/>
          <w:szCs w:val="17"/>
          <w:lang w:eastAsia="en-AU" w:bidi="en-US"/>
        </w:rPr>
        <w:tab/>
        <w:t>1 July 2021 to 31 December 2021</w:t>
      </w:r>
    </w:p>
    <w:p w:rsidR="00A45952" w:rsidRPr="00404DF3" w:rsidRDefault="00A45952" w:rsidP="00A32552">
      <w:pPr>
        <w:tabs>
          <w:tab w:val="left" w:pos="540"/>
          <w:tab w:val="left" w:pos="900"/>
          <w:tab w:val="left" w:pos="5103"/>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Stay in control.  Leave before you lose it.  Gamble responsibly.</w:t>
      </w:r>
      <w:r w:rsidRPr="00404DF3">
        <w:rPr>
          <w:rFonts w:ascii="Times New Roman" w:eastAsia="Times New Roman" w:hAnsi="Times New Roman"/>
          <w:sz w:val="17"/>
          <w:szCs w:val="17"/>
          <w:lang w:eastAsia="en-AU" w:bidi="en-US"/>
        </w:rPr>
        <w:tab/>
        <w:t>1 January 2022 to 30 June 2022</w:t>
      </w:r>
    </w:p>
    <w:p w:rsidR="00A45952" w:rsidRPr="00404DF3" w:rsidRDefault="00A45952" w:rsidP="00A32552">
      <w:pPr>
        <w:tabs>
          <w:tab w:val="left" w:pos="540"/>
          <w:tab w:val="left" w:pos="900"/>
          <w:tab w:val="left" w:pos="5103"/>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You know the score. Stay in control. Gamble responsibly.</w:t>
      </w:r>
      <w:r w:rsidRPr="00404DF3">
        <w:rPr>
          <w:rFonts w:ascii="Times New Roman" w:eastAsia="Times New Roman" w:hAnsi="Times New Roman"/>
          <w:sz w:val="17"/>
          <w:szCs w:val="17"/>
          <w:lang w:eastAsia="en-AU" w:bidi="en-US"/>
        </w:rPr>
        <w:tab/>
        <w:t xml:space="preserve">1 July 2022 to 31 December 2022 </w:t>
      </w:r>
    </w:p>
    <w:p w:rsidR="00A45952" w:rsidRPr="00404DF3" w:rsidRDefault="00A45952" w:rsidP="00A32552">
      <w:pPr>
        <w:tabs>
          <w:tab w:val="left" w:pos="540"/>
          <w:tab w:val="left" w:pos="900"/>
          <w:tab w:val="left" w:pos="5103"/>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Know when to stop. Don’t go over the top. Gamble responsibly.</w:t>
      </w:r>
      <w:r w:rsidRPr="00404DF3">
        <w:rPr>
          <w:rFonts w:ascii="Times New Roman" w:eastAsia="Times New Roman" w:hAnsi="Times New Roman"/>
          <w:sz w:val="17"/>
          <w:szCs w:val="17"/>
          <w:lang w:eastAsia="en-AU" w:bidi="en-US"/>
        </w:rPr>
        <w:tab/>
        <w:t>1 January 2023 to 30 June 2023</w:t>
      </w:r>
    </w:p>
    <w:p w:rsidR="00A45952" w:rsidRPr="00404DF3" w:rsidRDefault="00A45952" w:rsidP="00A32552">
      <w:pPr>
        <w:tabs>
          <w:tab w:val="left" w:pos="540"/>
          <w:tab w:val="left" w:pos="900"/>
          <w:tab w:val="left" w:pos="5103"/>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Think of the people who need your support.  Gamble responsibly.</w:t>
      </w:r>
      <w:r w:rsidRPr="00404DF3">
        <w:rPr>
          <w:rFonts w:ascii="Times New Roman" w:eastAsia="Times New Roman" w:hAnsi="Times New Roman"/>
          <w:sz w:val="17"/>
          <w:szCs w:val="17"/>
          <w:lang w:eastAsia="en-AU" w:bidi="en-US"/>
        </w:rPr>
        <w:tab/>
        <w:t>1 July to 31 December 2023</w:t>
      </w:r>
    </w:p>
    <w:p w:rsidR="00A45952" w:rsidRPr="00404DF3" w:rsidRDefault="00A45952" w:rsidP="00A32552">
      <w:pPr>
        <w:tabs>
          <w:tab w:val="left" w:pos="540"/>
          <w:tab w:val="left" w:pos="900"/>
          <w:tab w:val="left" w:pos="5103"/>
        </w:tabs>
        <w:spacing w:after="120" w:line="240" w:lineRule="auto"/>
        <w:jc w:val="left"/>
        <w:rPr>
          <w:rFonts w:ascii="Times New Roman" w:eastAsia="Times New Roman" w:hAnsi="Times New Roman"/>
          <w:sz w:val="17"/>
          <w:szCs w:val="17"/>
          <w:lang w:eastAsia="en-AU" w:bidi="en-US"/>
        </w:rPr>
      </w:pPr>
      <w:r w:rsidRPr="00404DF3">
        <w:rPr>
          <w:rFonts w:ascii="Times New Roman" w:eastAsia="Times New Roman" w:hAnsi="Times New Roman"/>
          <w:sz w:val="17"/>
          <w:szCs w:val="17"/>
          <w:lang w:eastAsia="en-AU" w:bidi="en-US"/>
        </w:rPr>
        <w:t>Don’t chase your losses. Walk away.  Gamble responsibly.</w:t>
      </w:r>
      <w:r w:rsidRPr="00404DF3">
        <w:rPr>
          <w:rFonts w:ascii="Times New Roman" w:eastAsia="Times New Roman" w:hAnsi="Times New Roman"/>
          <w:sz w:val="17"/>
          <w:szCs w:val="17"/>
          <w:lang w:eastAsia="en-AU" w:bidi="en-US"/>
        </w:rPr>
        <w:tab/>
        <w:t>1 January to 30 June 2024.</w:t>
      </w:r>
    </w:p>
    <w:p w:rsidR="00A45952" w:rsidRPr="00404DF3" w:rsidRDefault="00A45952" w:rsidP="00404DF3">
      <w:pPr>
        <w:spacing w:after="120" w:line="240" w:lineRule="auto"/>
        <w:jc w:val="left"/>
        <w:rPr>
          <w:rFonts w:ascii="Times New Roman" w:eastAsia="Times New Roman" w:hAnsi="Times New Roman"/>
          <w:b/>
          <w:sz w:val="20"/>
          <w:szCs w:val="20"/>
          <w:lang w:eastAsia="en-AU"/>
        </w:rPr>
      </w:pPr>
      <w:r w:rsidRPr="00404DF3">
        <w:rPr>
          <w:rFonts w:ascii="Times New Roman" w:eastAsia="Times New Roman" w:hAnsi="Times New Roman"/>
          <w:b/>
          <w:sz w:val="20"/>
          <w:szCs w:val="20"/>
          <w:lang w:eastAsia="en-AU"/>
        </w:rPr>
        <w:t>Schedule 2—</w:t>
      </w:r>
    </w:p>
    <w:p w:rsidR="00A45952" w:rsidRPr="00404DF3" w:rsidRDefault="00A45952" w:rsidP="00404DF3">
      <w:pPr>
        <w:spacing w:after="240" w:line="240" w:lineRule="auto"/>
        <w:jc w:val="left"/>
        <w:rPr>
          <w:rFonts w:ascii="Times New Roman" w:eastAsia="Times New Roman" w:hAnsi="Times New Roman"/>
          <w:i/>
          <w:iCs/>
          <w:sz w:val="17"/>
          <w:szCs w:val="17"/>
          <w:lang w:eastAsia="en-AU"/>
        </w:rPr>
      </w:pPr>
      <w:r w:rsidRPr="00404DF3">
        <w:rPr>
          <w:rFonts w:ascii="Times New Roman" w:eastAsia="Times New Roman" w:hAnsi="Times New Roman"/>
          <w:i/>
          <w:iCs/>
          <w:sz w:val="17"/>
          <w:szCs w:val="17"/>
          <w:lang w:eastAsia="en-AU"/>
        </w:rPr>
        <w:t>Authorised Betting Operations Act 2000</w:t>
      </w:r>
    </w:p>
    <w:p w:rsidR="00A45952" w:rsidRPr="00404DF3" w:rsidRDefault="00A45952" w:rsidP="00404DF3">
      <w:pPr>
        <w:spacing w:after="240" w:line="240" w:lineRule="auto"/>
        <w:jc w:val="left"/>
        <w:rPr>
          <w:rFonts w:ascii="Times New Roman" w:eastAsia="Times New Roman" w:hAnsi="Times New Roman"/>
          <w:b/>
          <w:sz w:val="20"/>
          <w:szCs w:val="20"/>
          <w:lang w:eastAsia="en-AU"/>
        </w:rPr>
      </w:pPr>
      <w:r w:rsidRPr="00404DF3">
        <w:rPr>
          <w:rFonts w:ascii="Times New Roman" w:eastAsia="Times New Roman" w:hAnsi="Times New Roman"/>
          <w:b/>
          <w:sz w:val="20"/>
          <w:szCs w:val="20"/>
          <w:lang w:eastAsia="en-AU"/>
        </w:rPr>
        <w:t>Categories of Offences and Expiations</w:t>
      </w:r>
    </w:p>
    <w:tbl>
      <w:tblPr>
        <w:tblStyle w:val="GridTable1Light1"/>
        <w:tblW w:w="0" w:type="auto"/>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ook w:val="04A0" w:firstRow="1" w:lastRow="0" w:firstColumn="1" w:lastColumn="0" w:noHBand="0" w:noVBand="1"/>
      </w:tblPr>
      <w:tblGrid>
        <w:gridCol w:w="3118"/>
        <w:gridCol w:w="3118"/>
        <w:gridCol w:w="3118"/>
      </w:tblGrid>
      <w:tr w:rsidR="00A45952" w:rsidRPr="00404DF3" w:rsidTr="00491D2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118" w:type="dxa"/>
            <w:tcBorders>
              <w:bottom w:val="single" w:sz="18" w:space="0" w:color="AEAAAA"/>
            </w:tcBorders>
            <w:vAlign w:val="center"/>
          </w:tcPr>
          <w:p w:rsidR="00A45952" w:rsidRPr="00404DF3" w:rsidRDefault="00A45952" w:rsidP="00404DF3">
            <w:pPr>
              <w:tabs>
                <w:tab w:val="left" w:pos="540"/>
                <w:tab w:val="left" w:pos="900"/>
              </w:tabs>
              <w:spacing w:before="20" w:after="20" w:line="240" w:lineRule="auto"/>
              <w:jc w:val="center"/>
              <w:rPr>
                <w:sz w:val="16"/>
                <w:szCs w:val="16"/>
                <w:lang w:eastAsia="en-AU" w:bidi="en-US"/>
              </w:rPr>
            </w:pPr>
            <w:r w:rsidRPr="00404DF3">
              <w:rPr>
                <w:sz w:val="16"/>
                <w:szCs w:val="16"/>
                <w:lang w:eastAsia="en-AU" w:bidi="en-US"/>
              </w:rPr>
              <w:t>Column A</w:t>
            </w:r>
          </w:p>
          <w:p w:rsidR="00A45952" w:rsidRPr="00404DF3" w:rsidRDefault="00A45952" w:rsidP="00404DF3">
            <w:pPr>
              <w:tabs>
                <w:tab w:val="left" w:pos="540"/>
                <w:tab w:val="left" w:pos="900"/>
              </w:tabs>
              <w:spacing w:before="20" w:after="20" w:line="240" w:lineRule="auto"/>
              <w:jc w:val="center"/>
              <w:rPr>
                <w:sz w:val="16"/>
                <w:szCs w:val="16"/>
                <w:lang w:eastAsia="en-AU" w:bidi="en-US"/>
              </w:rPr>
            </w:pPr>
            <w:r w:rsidRPr="00404DF3">
              <w:rPr>
                <w:sz w:val="16"/>
                <w:szCs w:val="16"/>
                <w:lang w:eastAsia="en-AU" w:bidi="en-US"/>
              </w:rPr>
              <w:t>Clause No.</w:t>
            </w:r>
          </w:p>
        </w:tc>
        <w:tc>
          <w:tcPr>
            <w:tcW w:w="3118" w:type="dxa"/>
            <w:tcBorders>
              <w:bottom w:val="single" w:sz="18" w:space="0" w:color="AEAAAA"/>
            </w:tcBorders>
            <w:vAlign w:val="center"/>
          </w:tcPr>
          <w:p w:rsidR="00A45952" w:rsidRPr="00404DF3" w:rsidRDefault="00A45952" w:rsidP="00404DF3">
            <w:pPr>
              <w:tabs>
                <w:tab w:val="left" w:pos="540"/>
                <w:tab w:val="left" w:pos="900"/>
              </w:tabs>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6"/>
                <w:szCs w:val="16"/>
                <w:lang w:eastAsia="en-AU" w:bidi="en-US"/>
              </w:rPr>
            </w:pPr>
            <w:r w:rsidRPr="00404DF3">
              <w:rPr>
                <w:sz w:val="16"/>
                <w:szCs w:val="16"/>
                <w:lang w:eastAsia="en-AU" w:bidi="en-US"/>
              </w:rPr>
              <w:t>Column B</w:t>
            </w:r>
          </w:p>
          <w:p w:rsidR="00A45952" w:rsidRPr="00404DF3" w:rsidRDefault="00A45952" w:rsidP="00404DF3">
            <w:pPr>
              <w:tabs>
                <w:tab w:val="left" w:pos="540"/>
                <w:tab w:val="left" w:pos="900"/>
              </w:tabs>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6"/>
                <w:szCs w:val="16"/>
                <w:lang w:eastAsia="en-AU" w:bidi="en-US"/>
              </w:rPr>
            </w:pPr>
            <w:r w:rsidRPr="00404DF3">
              <w:rPr>
                <w:sz w:val="16"/>
                <w:szCs w:val="16"/>
                <w:lang w:eastAsia="en-AU" w:bidi="en-US"/>
              </w:rPr>
              <w:t>Offence category</w:t>
            </w:r>
          </w:p>
        </w:tc>
        <w:tc>
          <w:tcPr>
            <w:tcW w:w="3118" w:type="dxa"/>
            <w:tcBorders>
              <w:bottom w:val="single" w:sz="18" w:space="0" w:color="AEAAAA"/>
            </w:tcBorders>
            <w:vAlign w:val="center"/>
          </w:tcPr>
          <w:p w:rsidR="00A45952" w:rsidRPr="00404DF3" w:rsidRDefault="00A45952" w:rsidP="00404DF3">
            <w:pPr>
              <w:tabs>
                <w:tab w:val="left" w:pos="540"/>
                <w:tab w:val="left" w:pos="900"/>
              </w:tabs>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6"/>
                <w:szCs w:val="16"/>
                <w:lang w:eastAsia="en-AU" w:bidi="en-US"/>
              </w:rPr>
            </w:pPr>
            <w:r w:rsidRPr="00404DF3">
              <w:rPr>
                <w:sz w:val="16"/>
                <w:szCs w:val="16"/>
                <w:lang w:eastAsia="en-AU" w:bidi="en-US"/>
              </w:rPr>
              <w:t>Column C</w:t>
            </w:r>
          </w:p>
          <w:p w:rsidR="00A45952" w:rsidRPr="00404DF3" w:rsidRDefault="00A45952" w:rsidP="00404DF3">
            <w:pPr>
              <w:tabs>
                <w:tab w:val="left" w:pos="540"/>
                <w:tab w:val="left" w:pos="900"/>
              </w:tabs>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6"/>
                <w:szCs w:val="16"/>
                <w:lang w:eastAsia="en-AU" w:bidi="en-US"/>
              </w:rPr>
            </w:pPr>
            <w:r w:rsidRPr="00404DF3">
              <w:rPr>
                <w:sz w:val="16"/>
                <w:szCs w:val="16"/>
                <w:lang w:eastAsia="en-AU" w:bidi="en-US"/>
              </w:rPr>
              <w:t>Expiation category</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tcBorders>
              <w:top w:val="single" w:sz="18" w:space="0" w:color="AEAAAA"/>
            </w:tcBorders>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9(1)(a)</w:t>
            </w:r>
          </w:p>
        </w:tc>
        <w:tc>
          <w:tcPr>
            <w:tcW w:w="3118" w:type="dxa"/>
            <w:tcBorders>
              <w:top w:val="single" w:sz="18" w:space="0" w:color="AEAAAA"/>
            </w:tcBorders>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A</w:t>
            </w:r>
          </w:p>
        </w:tc>
        <w:tc>
          <w:tcPr>
            <w:tcW w:w="3118" w:type="dxa"/>
            <w:tcBorders>
              <w:top w:val="single" w:sz="18" w:space="0" w:color="AEAAAA"/>
            </w:tcBorders>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9(1)(b)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9(1)(c)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9(1)(d)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9(1)(e)</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9(1)(f)</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9(1)(g)</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9(1)(h)</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9(1)(i)</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9(1)(j)</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9(1)(k)</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9(1)(l)</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9(1)(m)</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(9)(1)(n)</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9(3)</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10(1)(a)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10(1)(b)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rPr>
          <w:trHeight w:val="191"/>
        </w:trPr>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12(1)</w:t>
            </w:r>
          </w:p>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This penalty applies where the condensed message is used when the expanded warning message should have been used.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rPr>
          <w:trHeight w:val="82"/>
        </w:trPr>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12(2)</w:t>
            </w:r>
          </w:p>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This penalty applies where no warning message appears.</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12(3)</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12(4)</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13(1)</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13(2)</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13(3)</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13(4)</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13(5)</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lastRenderedPageBreak/>
              <w:t>13(6)</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13(7)</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13(8)</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13(9)</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14(1)</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14(2)</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14(3)</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14(5)</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14(6)</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14(7)</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14(9)</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14(11)</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16(1)</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16(2)</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16(3)</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16(4)</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16(5)</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16(8)</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16(9)</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rPr>
          <w:trHeight w:val="171"/>
        </w:trPr>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16(10)</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16(12)</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16(13)</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16(14)</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16(15)</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16(16)</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16(17)</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16(18)</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17(1)(a)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17(1)(b)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17(1)(c)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17(1)(d)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17(2)(a)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17(2)(b)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18(1)(b)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18(1)(c)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19(1)</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19(2)(a)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20(1)</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20(2)</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20(3)</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20(4)(a)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20(4)(b)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20(5)(a)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20(5)(b)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20(6)</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bidi="en-US"/>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20(7)</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21(1)(a)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21(1)(b)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21(1)(c)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21(2)</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22(1)</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26(1)</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26(2)</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28</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lastRenderedPageBreak/>
              <w:t>29(1)</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29(2)</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B</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30(1)</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30(2)(a)(b)(c)(d)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30(2)(e)(f)</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31(1)</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31(3)</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31(4)</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31(5)</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31(6)</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A</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31(7)</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32</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33</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34</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35(1)</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35(4)</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D</w:t>
            </w:r>
          </w:p>
        </w:tc>
      </w:tr>
      <w:tr w:rsidR="00A45952" w:rsidRPr="00404DF3" w:rsidTr="00491D21">
        <w:tc>
          <w:tcPr>
            <w:cnfStyle w:val="001000000000" w:firstRow="0" w:lastRow="0" w:firstColumn="1" w:lastColumn="0" w:oddVBand="0" w:evenVBand="0" w:oddHBand="0" w:evenHBand="0" w:firstRowFirstColumn="0" w:firstRowLastColumn="0" w:lastRowFirstColumn="0" w:lastRowLastColumn="0"/>
            <w:tcW w:w="3118" w:type="dxa"/>
            <w:vAlign w:val="center"/>
          </w:tcPr>
          <w:p w:rsidR="00A45952" w:rsidRPr="004C43C7" w:rsidRDefault="00A45952" w:rsidP="00404DF3">
            <w:pPr>
              <w:tabs>
                <w:tab w:val="left" w:pos="540"/>
                <w:tab w:val="left" w:pos="900"/>
              </w:tabs>
              <w:spacing w:before="20" w:after="20" w:line="240" w:lineRule="auto"/>
              <w:jc w:val="center"/>
              <w:rPr>
                <w:b w:val="0"/>
                <w:sz w:val="17"/>
                <w:szCs w:val="17"/>
                <w:lang w:eastAsia="en-AU"/>
              </w:rPr>
            </w:pPr>
            <w:r w:rsidRPr="004C43C7">
              <w:rPr>
                <w:b w:val="0"/>
                <w:sz w:val="17"/>
                <w:szCs w:val="17"/>
                <w:lang w:eastAsia="en-AU"/>
              </w:rPr>
              <w:t>35(7)</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c>
          <w:tcPr>
            <w:tcW w:w="3118" w:type="dxa"/>
            <w:vAlign w:val="center"/>
          </w:tcPr>
          <w:p w:rsidR="00A45952" w:rsidRPr="00404DF3" w:rsidRDefault="00A45952" w:rsidP="00404DF3">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04DF3">
              <w:rPr>
                <w:sz w:val="17"/>
                <w:szCs w:val="17"/>
                <w:lang w:eastAsia="en-AU"/>
              </w:rPr>
              <w:t>C</w:t>
            </w:r>
          </w:p>
        </w:tc>
      </w:tr>
    </w:tbl>
    <w:p w:rsidR="00A45952" w:rsidRPr="00404DF3" w:rsidRDefault="00A45952" w:rsidP="00404DF3">
      <w:pPr>
        <w:pBdr>
          <w:bottom w:val="single" w:sz="4" w:space="1" w:color="auto"/>
        </w:pBdr>
        <w:tabs>
          <w:tab w:val="left" w:pos="540"/>
        </w:tabs>
        <w:spacing w:after="0" w:line="240" w:lineRule="auto"/>
        <w:ind w:left="1701" w:right="1699"/>
        <w:jc w:val="center"/>
        <w:rPr>
          <w:rFonts w:ascii="Times New Roman" w:eastAsia="Times New Roman" w:hAnsi="Times New Roman"/>
          <w:sz w:val="17"/>
          <w:szCs w:val="17"/>
          <w:lang w:eastAsia="en-AU"/>
        </w:rPr>
      </w:pPr>
      <w:bookmarkStart w:id="72" w:name="_Hlk76973894"/>
    </w:p>
    <w:p w:rsidR="00A45952" w:rsidRPr="00404DF3" w:rsidRDefault="00A45952" w:rsidP="00404DF3">
      <w:pPr>
        <w:tabs>
          <w:tab w:val="left" w:pos="540"/>
        </w:tabs>
        <w:spacing w:after="0" w:line="240" w:lineRule="auto"/>
        <w:jc w:val="center"/>
        <w:rPr>
          <w:rFonts w:ascii="Times New Roman" w:eastAsia="Times New Roman" w:hAnsi="Times New Roman"/>
          <w:b/>
          <w:bCs/>
          <w:sz w:val="17"/>
          <w:szCs w:val="17"/>
          <w:lang w:eastAsia="en-AU"/>
        </w:rPr>
      </w:pPr>
    </w:p>
    <w:p w:rsidR="00A45952" w:rsidRPr="00404DF3" w:rsidRDefault="00A45952" w:rsidP="00404DF3">
      <w:pPr>
        <w:tabs>
          <w:tab w:val="left" w:pos="540"/>
        </w:tabs>
        <w:spacing w:after="120" w:line="240" w:lineRule="auto"/>
        <w:jc w:val="center"/>
        <w:rPr>
          <w:rFonts w:ascii="Times New Roman" w:eastAsia="Times New Roman" w:hAnsi="Times New Roman"/>
          <w:b/>
          <w:bCs/>
          <w:sz w:val="17"/>
          <w:szCs w:val="17"/>
          <w:lang w:eastAsia="en-AU"/>
        </w:rPr>
      </w:pPr>
      <w:r w:rsidRPr="00404DF3">
        <w:rPr>
          <w:rFonts w:ascii="Times New Roman" w:eastAsia="Times New Roman" w:hAnsi="Times New Roman"/>
          <w:b/>
          <w:bCs/>
          <w:sz w:val="17"/>
          <w:szCs w:val="17"/>
          <w:lang w:eastAsia="en-AU"/>
        </w:rPr>
        <w:t>NOTES</w:t>
      </w:r>
    </w:p>
    <w:p w:rsidR="00A45952" w:rsidRPr="00404DF3" w:rsidRDefault="00A45952" w:rsidP="00404DF3">
      <w:pPr>
        <w:numPr>
          <w:ilvl w:val="0"/>
          <w:numId w:val="84"/>
        </w:numPr>
        <w:tabs>
          <w:tab w:val="left" w:pos="426"/>
        </w:tabs>
        <w:spacing w:after="120" w:line="240" w:lineRule="auto"/>
        <w:ind w:left="426" w:right="281" w:hanging="284"/>
        <w:jc w:val="left"/>
        <w:rPr>
          <w:rFonts w:ascii="Times New Roman" w:eastAsia="Times New Roman" w:hAnsi="Times New Roman"/>
          <w:i/>
          <w:iCs/>
          <w:sz w:val="16"/>
          <w:szCs w:val="16"/>
          <w:lang w:eastAsia="en-AU"/>
        </w:rPr>
      </w:pPr>
      <w:r w:rsidRPr="00404DF3">
        <w:rPr>
          <w:rFonts w:ascii="Times New Roman" w:eastAsia="Times New Roman" w:hAnsi="Times New Roman"/>
          <w:i/>
          <w:iCs/>
          <w:sz w:val="16"/>
          <w:szCs w:val="16"/>
          <w:lang w:eastAsia="en-AU"/>
        </w:rPr>
        <w:t>The Gambling Codes of Practice Notice 2013 was published in a South Australian Government Gazette on 18 December 2013 (No, 81 of 2013) at pages 4798-4844.  This notice was subsequently varied by the Gambling Codes of Practice (General) Variation Notice 2016 published in the South Australian Government Gazette on 9 June 2016 (No, 81 of 2013) at pages 2049-2052.</w:t>
      </w:r>
    </w:p>
    <w:p w:rsidR="00A45952" w:rsidRPr="00404DF3" w:rsidRDefault="00A45952" w:rsidP="00404DF3">
      <w:pPr>
        <w:numPr>
          <w:ilvl w:val="0"/>
          <w:numId w:val="84"/>
        </w:numPr>
        <w:tabs>
          <w:tab w:val="left" w:pos="426"/>
        </w:tabs>
        <w:spacing w:after="120" w:line="240" w:lineRule="auto"/>
        <w:ind w:left="426" w:right="281" w:hanging="284"/>
        <w:jc w:val="left"/>
        <w:rPr>
          <w:rFonts w:ascii="Times New Roman" w:eastAsia="Times New Roman" w:hAnsi="Times New Roman"/>
          <w:i/>
          <w:iCs/>
          <w:sz w:val="16"/>
          <w:szCs w:val="16"/>
          <w:lang w:eastAsia="en-AU"/>
        </w:rPr>
      </w:pPr>
      <w:r w:rsidRPr="00404DF3">
        <w:rPr>
          <w:rFonts w:ascii="Times New Roman" w:eastAsia="Times New Roman" w:hAnsi="Times New Roman"/>
          <w:i/>
          <w:iCs/>
          <w:sz w:val="16"/>
          <w:szCs w:val="16"/>
          <w:lang w:eastAsia="en-AU"/>
        </w:rPr>
        <w:t>In accordance with transitional provisions under Schedule 1—clause 3(1) of the Gambling Administration Act 2019,  the Gambling Codes of Practice Notice 2013 has, since 3 December 2020, continued in force as if it had been made under section 15 of the Gambling Administration Act 2019.</w:t>
      </w:r>
    </w:p>
    <w:p w:rsidR="00A45952" w:rsidRPr="00404DF3" w:rsidRDefault="00A45952" w:rsidP="00404DF3">
      <w:pPr>
        <w:numPr>
          <w:ilvl w:val="0"/>
          <w:numId w:val="84"/>
        </w:numPr>
        <w:tabs>
          <w:tab w:val="left" w:pos="426"/>
        </w:tabs>
        <w:spacing w:after="120" w:line="240" w:lineRule="auto"/>
        <w:ind w:left="426" w:right="281" w:hanging="284"/>
        <w:jc w:val="left"/>
        <w:rPr>
          <w:rFonts w:ascii="Times New Roman" w:eastAsia="Times New Roman" w:hAnsi="Times New Roman"/>
          <w:i/>
          <w:iCs/>
          <w:sz w:val="16"/>
          <w:szCs w:val="16"/>
          <w:lang w:eastAsia="en-AU"/>
        </w:rPr>
      </w:pPr>
      <w:r w:rsidRPr="00404DF3">
        <w:rPr>
          <w:rFonts w:ascii="Times New Roman" w:eastAsia="Times New Roman" w:hAnsi="Times New Roman"/>
          <w:i/>
          <w:iCs/>
          <w:sz w:val="16"/>
          <w:szCs w:val="16"/>
          <w:lang w:eastAsia="en-AU"/>
        </w:rPr>
        <w:t>Notice of intention to prescribe the State Lotteries Gambling Code of Practice by publication in the South Australian Government Gazette was given to authorised betting operators on 16 November 2021.</w:t>
      </w:r>
    </w:p>
    <w:p w:rsidR="00A45952" w:rsidRPr="00404DF3" w:rsidRDefault="00A45952" w:rsidP="00404DF3">
      <w:pPr>
        <w:numPr>
          <w:ilvl w:val="0"/>
          <w:numId w:val="84"/>
        </w:numPr>
        <w:tabs>
          <w:tab w:val="left" w:pos="426"/>
        </w:tabs>
        <w:spacing w:after="120" w:line="240" w:lineRule="auto"/>
        <w:ind w:left="426" w:right="281" w:hanging="284"/>
        <w:jc w:val="left"/>
        <w:rPr>
          <w:rFonts w:ascii="Times New Roman" w:eastAsia="Times New Roman" w:hAnsi="Times New Roman"/>
          <w:i/>
          <w:iCs/>
          <w:sz w:val="16"/>
          <w:szCs w:val="16"/>
          <w:lang w:eastAsia="en-AU"/>
        </w:rPr>
      </w:pPr>
      <w:r w:rsidRPr="00404DF3">
        <w:rPr>
          <w:rFonts w:ascii="Times New Roman" w:eastAsia="Times New Roman" w:hAnsi="Times New Roman"/>
          <w:i/>
          <w:iCs/>
          <w:sz w:val="16"/>
          <w:szCs w:val="16"/>
          <w:lang w:eastAsia="en-AU"/>
        </w:rPr>
        <w:t>Following the publication of this notice in the South Australian Gazette on 23 December 2021, the Gambling Codes of Practice Notice 2013 will cease to have affect in relation to the operations of the Lotteries Commission of South Australia.</w:t>
      </w:r>
    </w:p>
    <w:bookmarkEnd w:id="72"/>
    <w:p w:rsidR="00A45952" w:rsidRPr="00404DF3" w:rsidRDefault="00A45952" w:rsidP="00404DF3">
      <w:pPr>
        <w:tabs>
          <w:tab w:val="left" w:pos="540"/>
        </w:tabs>
        <w:spacing w:after="120" w:line="240" w:lineRule="auto"/>
        <w:jc w:val="left"/>
        <w:rPr>
          <w:rFonts w:ascii="Times New Roman" w:eastAsia="Times New Roman" w:hAnsi="Times New Roman"/>
          <w:sz w:val="18"/>
          <w:szCs w:val="18"/>
          <w:lang w:eastAsia="en-AU"/>
        </w:rPr>
      </w:pPr>
      <w:r w:rsidRPr="00404DF3">
        <w:rPr>
          <w:rFonts w:ascii="Times New Roman" w:eastAsia="Times New Roman" w:hAnsi="Times New Roman"/>
          <w:sz w:val="18"/>
          <w:szCs w:val="18"/>
          <w:lang w:eastAsia="en-AU"/>
        </w:rPr>
        <w:t>Dated: 23 December 2021</w:t>
      </w:r>
    </w:p>
    <w:p w:rsidR="00A45952" w:rsidRPr="00404DF3" w:rsidRDefault="00A45952" w:rsidP="00404DF3">
      <w:pPr>
        <w:tabs>
          <w:tab w:val="left" w:pos="540"/>
        </w:tabs>
        <w:spacing w:after="0" w:line="240" w:lineRule="auto"/>
        <w:jc w:val="left"/>
        <w:rPr>
          <w:rFonts w:ascii="Times New Roman" w:eastAsia="Times New Roman" w:hAnsi="Times New Roman"/>
          <w:sz w:val="18"/>
          <w:szCs w:val="18"/>
          <w:lang w:eastAsia="en-AU"/>
        </w:rPr>
      </w:pPr>
      <w:r w:rsidRPr="00404DF3">
        <w:rPr>
          <w:rFonts w:ascii="Times New Roman" w:eastAsia="Times New Roman" w:hAnsi="Times New Roman"/>
          <w:sz w:val="18"/>
          <w:szCs w:val="18"/>
          <w:lang w:eastAsia="en-AU"/>
        </w:rPr>
        <w:t>Made by Dini Soulio</w:t>
      </w:r>
    </w:p>
    <w:p w:rsidR="00A45952" w:rsidRPr="00404DF3" w:rsidRDefault="00A45952" w:rsidP="00404DF3">
      <w:pPr>
        <w:tabs>
          <w:tab w:val="left" w:pos="540"/>
        </w:tabs>
        <w:spacing w:after="0" w:line="240" w:lineRule="auto"/>
        <w:jc w:val="left"/>
        <w:rPr>
          <w:rFonts w:ascii="Times New Roman" w:eastAsia="Times New Roman" w:hAnsi="Times New Roman"/>
          <w:bCs/>
          <w:sz w:val="18"/>
          <w:szCs w:val="18"/>
          <w:lang w:eastAsia="en-AU"/>
        </w:rPr>
      </w:pPr>
      <w:r w:rsidRPr="00404DF3">
        <w:rPr>
          <w:rFonts w:ascii="Times New Roman" w:eastAsia="Times New Roman" w:hAnsi="Times New Roman"/>
          <w:bCs/>
          <w:sz w:val="18"/>
          <w:szCs w:val="18"/>
          <w:lang w:eastAsia="en-AU"/>
        </w:rPr>
        <w:t>Liquor and Gambling Commissioner</w:t>
      </w:r>
    </w:p>
    <w:p w:rsidR="00A45952" w:rsidRPr="00A45952" w:rsidRDefault="00A45952" w:rsidP="00A45952">
      <w:pPr>
        <w:pBdr>
          <w:top w:val="single" w:sz="4" w:space="1" w:color="auto"/>
        </w:pBdr>
        <w:tabs>
          <w:tab w:val="left" w:pos="540"/>
        </w:tabs>
        <w:spacing w:before="100" w:after="0" w:line="14" w:lineRule="exact"/>
        <w:jc w:val="center"/>
        <w:rPr>
          <w:rFonts w:ascii="Times New Roman" w:eastAsia="Times New Roman" w:hAnsi="Times New Roman"/>
          <w:sz w:val="17"/>
          <w:szCs w:val="17"/>
          <w:lang w:eastAsia="en-AU"/>
        </w:rPr>
      </w:pPr>
    </w:p>
    <w:p w:rsidR="00381816" w:rsidRDefault="00381816" w:rsidP="00E70C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ED27D9" w:rsidRPr="00ED27D9" w:rsidRDefault="00ED27D9" w:rsidP="00ED27D9">
      <w:pPr>
        <w:jc w:val="center"/>
        <w:rPr>
          <w:rFonts w:ascii="Times New Roman" w:hAnsi="Times New Roman"/>
          <w:caps/>
          <w:sz w:val="17"/>
          <w:szCs w:val="17"/>
          <w:lang w:eastAsia="en-AU"/>
        </w:rPr>
      </w:pPr>
      <w:r w:rsidRPr="00ED27D9">
        <w:rPr>
          <w:rFonts w:ascii="Times New Roman" w:hAnsi="Times New Roman"/>
          <w:caps/>
          <w:sz w:val="17"/>
          <w:szCs w:val="17"/>
          <w:lang w:eastAsia="en-AU"/>
        </w:rPr>
        <w:t>Gambling Administration Act 2019</w:t>
      </w:r>
    </w:p>
    <w:p w:rsidR="00ED27D9" w:rsidRPr="00ED27D9" w:rsidRDefault="00ED27D9" w:rsidP="003258B5">
      <w:pPr>
        <w:spacing w:after="120" w:line="240" w:lineRule="auto"/>
        <w:rPr>
          <w:rFonts w:ascii="Times New Roman" w:eastAsia="Times New Roman" w:hAnsi="Times New Roman"/>
          <w:sz w:val="18"/>
          <w:szCs w:val="18"/>
          <w:lang w:eastAsia="en-AU"/>
        </w:rPr>
      </w:pPr>
      <w:r w:rsidRPr="00ED27D9">
        <w:rPr>
          <w:rFonts w:ascii="Times New Roman" w:eastAsia="Times New Roman" w:hAnsi="Times New Roman"/>
          <w:sz w:val="18"/>
          <w:szCs w:val="18"/>
          <w:lang w:eastAsia="en-AU"/>
        </w:rPr>
        <w:t>South Australia</w:t>
      </w:r>
    </w:p>
    <w:p w:rsidR="00ED27D9" w:rsidRPr="00ED27D9" w:rsidRDefault="00ED27D9" w:rsidP="00EE183A">
      <w:pPr>
        <w:spacing w:after="240" w:line="240" w:lineRule="auto"/>
        <w:jc w:val="left"/>
        <w:rPr>
          <w:rFonts w:ascii="Times New Roman" w:eastAsia="Times New Roman" w:hAnsi="Times New Roman"/>
          <w:b/>
          <w:sz w:val="24"/>
          <w:szCs w:val="24"/>
          <w:lang w:eastAsia="en-AU"/>
        </w:rPr>
      </w:pPr>
      <w:r w:rsidRPr="00ED27D9">
        <w:rPr>
          <w:rFonts w:ascii="Times New Roman" w:eastAsia="Times New Roman" w:hAnsi="Times New Roman"/>
          <w:b/>
          <w:sz w:val="24"/>
          <w:szCs w:val="24"/>
          <w:lang w:eastAsia="en-AU"/>
        </w:rPr>
        <w:t>Authorised Betting Operations (Inducements and Complimentary Gambling Products Guidelines) Notice 2021</w:t>
      </w:r>
    </w:p>
    <w:p w:rsidR="00ED27D9" w:rsidRPr="00ED27D9" w:rsidRDefault="00ED27D9" w:rsidP="003258B5">
      <w:pPr>
        <w:spacing w:after="120" w:line="240" w:lineRule="auto"/>
        <w:rPr>
          <w:rFonts w:ascii="Times New Roman" w:eastAsia="Times New Roman" w:hAnsi="Times New Roman"/>
          <w:i/>
          <w:sz w:val="17"/>
          <w:szCs w:val="17"/>
          <w:lang w:eastAsia="en-AU"/>
        </w:rPr>
      </w:pPr>
      <w:r w:rsidRPr="00ED27D9">
        <w:rPr>
          <w:rFonts w:ascii="Times New Roman" w:eastAsia="Times New Roman" w:hAnsi="Times New Roman"/>
          <w:sz w:val="17"/>
          <w:szCs w:val="17"/>
          <w:lang w:eastAsia="en-AU"/>
        </w:rPr>
        <w:t xml:space="preserve">under section 17 of the </w:t>
      </w:r>
      <w:r w:rsidRPr="00ED27D9">
        <w:rPr>
          <w:rFonts w:ascii="Times New Roman" w:eastAsia="Times New Roman" w:hAnsi="Times New Roman"/>
          <w:i/>
          <w:sz w:val="17"/>
          <w:szCs w:val="17"/>
          <w:lang w:eastAsia="en-AU"/>
        </w:rPr>
        <w:t>Gambling Administration Act 2019</w:t>
      </w:r>
    </w:p>
    <w:p w:rsidR="00ED27D9" w:rsidRPr="00ED27D9" w:rsidRDefault="00ED27D9" w:rsidP="003258B5">
      <w:pPr>
        <w:tabs>
          <w:tab w:val="left" w:pos="540"/>
        </w:tabs>
        <w:spacing w:after="120" w:line="240" w:lineRule="auto"/>
        <w:rPr>
          <w:rFonts w:ascii="Times New Roman" w:eastAsia="Times New Roman" w:hAnsi="Times New Roman"/>
          <w:b/>
          <w:sz w:val="17"/>
          <w:szCs w:val="17"/>
          <w:lang w:eastAsia="en-AU"/>
        </w:rPr>
      </w:pPr>
      <w:r w:rsidRPr="00ED27D9">
        <w:rPr>
          <w:rFonts w:ascii="Times New Roman" w:eastAsia="Times New Roman" w:hAnsi="Times New Roman"/>
          <w:b/>
          <w:sz w:val="17"/>
          <w:szCs w:val="17"/>
          <w:lang w:eastAsia="en-AU"/>
        </w:rPr>
        <w:t>1—Short title</w:t>
      </w:r>
    </w:p>
    <w:p w:rsidR="00ED27D9" w:rsidRPr="00ED27D9" w:rsidRDefault="00ED27D9" w:rsidP="003258B5">
      <w:pPr>
        <w:spacing w:after="240" w:line="240" w:lineRule="auto"/>
        <w:ind w:left="567"/>
        <w:rPr>
          <w:rFonts w:ascii="Times New Roman" w:eastAsia="Times New Roman" w:hAnsi="Times New Roman"/>
          <w:i/>
          <w:sz w:val="17"/>
          <w:szCs w:val="17"/>
          <w:lang w:eastAsia="en-AU"/>
        </w:rPr>
      </w:pPr>
      <w:r w:rsidRPr="00ED27D9">
        <w:rPr>
          <w:rFonts w:ascii="Times New Roman" w:eastAsia="Times New Roman" w:hAnsi="Times New Roman"/>
          <w:sz w:val="17"/>
          <w:szCs w:val="17"/>
          <w:lang w:eastAsia="en-AU"/>
        </w:rPr>
        <w:t xml:space="preserve">This notice may be cited as the </w:t>
      </w:r>
      <w:r w:rsidRPr="00ED27D9">
        <w:rPr>
          <w:rFonts w:ascii="Times New Roman" w:eastAsia="Times New Roman" w:hAnsi="Times New Roman"/>
          <w:i/>
          <w:sz w:val="17"/>
          <w:szCs w:val="17"/>
          <w:lang w:eastAsia="en-AU"/>
        </w:rPr>
        <w:t>Authorised Betting Operations</w:t>
      </w:r>
      <w:r w:rsidRPr="00ED27D9">
        <w:rPr>
          <w:rFonts w:ascii="Times New Roman" w:eastAsia="Times New Roman" w:hAnsi="Times New Roman"/>
          <w:sz w:val="17"/>
          <w:szCs w:val="17"/>
          <w:lang w:eastAsia="en-AU"/>
        </w:rPr>
        <w:t xml:space="preserve"> (</w:t>
      </w:r>
      <w:r w:rsidRPr="00ED27D9">
        <w:rPr>
          <w:rFonts w:ascii="Times New Roman" w:eastAsia="Times New Roman" w:hAnsi="Times New Roman"/>
          <w:i/>
          <w:sz w:val="17"/>
          <w:szCs w:val="17"/>
          <w:lang w:eastAsia="en-AU"/>
        </w:rPr>
        <w:t>Inducements and Complimentary Gambling Products Guidelines) Notice 2021.</w:t>
      </w:r>
    </w:p>
    <w:p w:rsidR="00ED27D9" w:rsidRPr="00ED27D9" w:rsidRDefault="00ED27D9" w:rsidP="003258B5">
      <w:pPr>
        <w:tabs>
          <w:tab w:val="left" w:pos="540"/>
        </w:tabs>
        <w:spacing w:after="120" w:line="240" w:lineRule="auto"/>
        <w:rPr>
          <w:rFonts w:ascii="Times New Roman" w:eastAsia="Times New Roman" w:hAnsi="Times New Roman"/>
          <w:b/>
          <w:sz w:val="17"/>
          <w:szCs w:val="17"/>
          <w:lang w:eastAsia="en-AU"/>
        </w:rPr>
      </w:pPr>
      <w:r w:rsidRPr="00ED27D9">
        <w:rPr>
          <w:rFonts w:ascii="Times New Roman" w:eastAsia="Times New Roman" w:hAnsi="Times New Roman"/>
          <w:b/>
          <w:sz w:val="17"/>
          <w:szCs w:val="17"/>
          <w:lang w:eastAsia="en-AU"/>
        </w:rPr>
        <w:t>2—Commencement</w:t>
      </w:r>
    </w:p>
    <w:p w:rsidR="00ED27D9" w:rsidRPr="00ED27D9" w:rsidRDefault="00ED27D9" w:rsidP="003258B5">
      <w:pPr>
        <w:tabs>
          <w:tab w:val="left" w:pos="540"/>
          <w:tab w:val="left" w:pos="900"/>
        </w:tabs>
        <w:spacing w:after="240" w:line="240" w:lineRule="auto"/>
        <w:ind w:left="539"/>
        <w:rPr>
          <w:rFonts w:ascii="Times New Roman" w:eastAsia="Times New Roman" w:hAnsi="Times New Roman"/>
          <w:sz w:val="17"/>
          <w:szCs w:val="17"/>
          <w:lang w:eastAsia="en-AU"/>
        </w:rPr>
      </w:pPr>
      <w:r w:rsidRPr="00ED27D9">
        <w:rPr>
          <w:rFonts w:ascii="Times New Roman" w:eastAsia="Times New Roman" w:hAnsi="Times New Roman"/>
          <w:sz w:val="17"/>
          <w:szCs w:val="17"/>
          <w:lang w:eastAsia="en-AU"/>
        </w:rPr>
        <w:t>This notice comes into operation on 23 December 2021.</w:t>
      </w:r>
    </w:p>
    <w:p w:rsidR="00ED27D9" w:rsidRPr="00ED27D9" w:rsidRDefault="00ED27D9" w:rsidP="003258B5">
      <w:pPr>
        <w:tabs>
          <w:tab w:val="left" w:pos="540"/>
        </w:tabs>
        <w:spacing w:after="120" w:line="240" w:lineRule="auto"/>
        <w:rPr>
          <w:rFonts w:ascii="Times New Roman" w:eastAsia="Times New Roman" w:hAnsi="Times New Roman"/>
          <w:b/>
          <w:sz w:val="17"/>
          <w:szCs w:val="17"/>
          <w:lang w:eastAsia="en-AU"/>
        </w:rPr>
      </w:pPr>
      <w:r w:rsidRPr="00ED27D9">
        <w:rPr>
          <w:rFonts w:ascii="Times New Roman" w:eastAsia="Times New Roman" w:hAnsi="Times New Roman"/>
          <w:b/>
          <w:sz w:val="17"/>
          <w:szCs w:val="17"/>
          <w:lang w:eastAsia="en-AU"/>
        </w:rPr>
        <w:t>3—Inducements and Complimentary Gambling Products Guidelines</w:t>
      </w:r>
    </w:p>
    <w:p w:rsidR="00ED27D9" w:rsidRPr="00ED27D9" w:rsidRDefault="00ED27D9" w:rsidP="003258B5">
      <w:pPr>
        <w:tabs>
          <w:tab w:val="left" w:pos="540"/>
        </w:tabs>
        <w:spacing w:after="240" w:line="240" w:lineRule="auto"/>
        <w:ind w:left="539"/>
        <w:rPr>
          <w:rFonts w:ascii="Times New Roman" w:eastAsia="Times New Roman" w:hAnsi="Times New Roman"/>
          <w:sz w:val="17"/>
          <w:szCs w:val="17"/>
          <w:lang w:eastAsia="en-AU"/>
        </w:rPr>
      </w:pPr>
      <w:r w:rsidRPr="00ED27D9">
        <w:rPr>
          <w:rFonts w:ascii="Times New Roman" w:eastAsia="Times New Roman" w:hAnsi="Times New Roman"/>
          <w:sz w:val="17"/>
          <w:szCs w:val="17"/>
          <w:lang w:eastAsia="en-AU"/>
        </w:rPr>
        <w:t xml:space="preserve">The guidelines set out in the schedule are prescribed by the Liquor and Gambling Commissioner under section 17 of the </w:t>
      </w:r>
      <w:r w:rsidRPr="00ED27D9">
        <w:rPr>
          <w:rFonts w:ascii="Times New Roman" w:eastAsia="Times New Roman" w:hAnsi="Times New Roman"/>
          <w:i/>
          <w:sz w:val="17"/>
          <w:szCs w:val="17"/>
          <w:lang w:eastAsia="en-AU"/>
        </w:rPr>
        <w:t>Gambling Administration Act 2019</w:t>
      </w:r>
      <w:r w:rsidRPr="00ED27D9">
        <w:rPr>
          <w:rFonts w:ascii="Times New Roman" w:eastAsia="Times New Roman" w:hAnsi="Times New Roman"/>
          <w:sz w:val="17"/>
          <w:szCs w:val="17"/>
          <w:lang w:eastAsia="en-AU"/>
        </w:rPr>
        <w:t xml:space="preserve"> for the purpose of the </w:t>
      </w:r>
      <w:r w:rsidRPr="00ED27D9">
        <w:rPr>
          <w:rFonts w:ascii="Times New Roman" w:eastAsia="Times New Roman" w:hAnsi="Times New Roman"/>
          <w:i/>
          <w:iCs/>
          <w:sz w:val="17"/>
          <w:szCs w:val="17"/>
          <w:lang w:eastAsia="en-AU"/>
        </w:rPr>
        <w:t>Authorised Betting Operations Gambling Code of Practice,</w:t>
      </w:r>
      <w:r w:rsidRPr="00ED27D9">
        <w:rPr>
          <w:rFonts w:ascii="Times New Roman" w:eastAsia="Times New Roman" w:hAnsi="Times New Roman"/>
          <w:sz w:val="17"/>
          <w:szCs w:val="17"/>
          <w:lang w:eastAsia="en-AU"/>
        </w:rPr>
        <w:t xml:space="preserve"> </w:t>
      </w:r>
      <w:r w:rsidRPr="00ED27D9">
        <w:rPr>
          <w:rFonts w:ascii="Times New Roman" w:eastAsia="Times New Roman" w:hAnsi="Times New Roman"/>
          <w:sz w:val="17"/>
          <w:szCs w:val="17"/>
          <w:lang w:eastAsia="en-AU" w:bidi="en-US"/>
        </w:rPr>
        <w:t xml:space="preserve">prescribed under section 15 of the </w:t>
      </w:r>
      <w:r w:rsidRPr="00ED27D9">
        <w:rPr>
          <w:rFonts w:ascii="Times New Roman" w:eastAsia="Times New Roman" w:hAnsi="Times New Roman"/>
          <w:i/>
          <w:iCs/>
          <w:sz w:val="17"/>
          <w:szCs w:val="17"/>
          <w:lang w:eastAsia="en-AU" w:bidi="en-US"/>
        </w:rPr>
        <w:t>Gambling Administration Act 2019.</w:t>
      </w:r>
    </w:p>
    <w:p w:rsidR="00CA6F0A" w:rsidRDefault="00CA6F0A" w:rsidP="00382CFF">
      <w:pPr>
        <w:spacing w:after="0" w:line="240" w:lineRule="auto"/>
        <w:jc w:val="left"/>
        <w:rPr>
          <w:rFonts w:ascii="Times New Roman" w:eastAsia="Times New Roman" w:hAnsi="Times New Roman"/>
          <w:b/>
          <w:sz w:val="24"/>
          <w:szCs w:val="24"/>
          <w:lang w:eastAsia="en-AU"/>
        </w:rPr>
      </w:pPr>
      <w:r>
        <w:rPr>
          <w:rFonts w:ascii="Times New Roman" w:eastAsia="Times New Roman" w:hAnsi="Times New Roman"/>
          <w:b/>
          <w:sz w:val="24"/>
          <w:szCs w:val="24"/>
          <w:lang w:eastAsia="en-AU"/>
        </w:rPr>
        <w:br w:type="page"/>
      </w:r>
    </w:p>
    <w:p w:rsidR="00ED27D9" w:rsidRPr="00ED27D9" w:rsidRDefault="00ED27D9" w:rsidP="005E019D">
      <w:pPr>
        <w:spacing w:after="120" w:line="240" w:lineRule="auto"/>
        <w:jc w:val="left"/>
        <w:rPr>
          <w:rFonts w:ascii="Times New Roman" w:eastAsia="Times New Roman" w:hAnsi="Times New Roman"/>
          <w:sz w:val="24"/>
          <w:szCs w:val="24"/>
          <w:lang w:eastAsia="en-AU"/>
        </w:rPr>
      </w:pPr>
      <w:r w:rsidRPr="00ED27D9">
        <w:rPr>
          <w:rFonts w:ascii="Times New Roman" w:eastAsia="Times New Roman" w:hAnsi="Times New Roman"/>
          <w:b/>
          <w:sz w:val="24"/>
          <w:szCs w:val="24"/>
          <w:lang w:eastAsia="en-AU"/>
        </w:rPr>
        <w:lastRenderedPageBreak/>
        <w:t>Schedule</w:t>
      </w:r>
      <w:r w:rsidRPr="00ED27D9">
        <w:rPr>
          <w:rFonts w:ascii="Times New Roman" w:eastAsia="Times New Roman" w:hAnsi="Times New Roman"/>
          <w:b/>
          <w:sz w:val="20"/>
          <w:szCs w:val="20"/>
          <w:lang w:eastAsia="en-AU"/>
        </w:rPr>
        <w:t>—</w:t>
      </w:r>
      <w:r w:rsidRPr="00ED27D9">
        <w:rPr>
          <w:rFonts w:ascii="Times New Roman" w:eastAsia="Times New Roman" w:hAnsi="Times New Roman"/>
          <w:b/>
          <w:sz w:val="24"/>
          <w:szCs w:val="24"/>
          <w:lang w:eastAsia="en-AU"/>
        </w:rPr>
        <w:t>Inducements and Complimentary Gambling Products</w:t>
      </w:r>
    </w:p>
    <w:p w:rsidR="00ED27D9" w:rsidRPr="00ED27D9" w:rsidRDefault="00ED27D9" w:rsidP="00382CFF">
      <w:pPr>
        <w:numPr>
          <w:ilvl w:val="0"/>
          <w:numId w:val="194"/>
        </w:numPr>
        <w:spacing w:after="120" w:line="240" w:lineRule="auto"/>
        <w:ind w:left="426" w:hanging="436"/>
        <w:jc w:val="left"/>
        <w:rPr>
          <w:rFonts w:ascii="Times New Roman" w:eastAsia="Times New Roman" w:hAnsi="Times New Roman"/>
          <w:b/>
          <w:sz w:val="17"/>
          <w:szCs w:val="17"/>
          <w:lang w:eastAsia="en-AU"/>
        </w:rPr>
      </w:pPr>
      <w:r w:rsidRPr="00ED27D9">
        <w:rPr>
          <w:rFonts w:ascii="Times New Roman" w:eastAsia="Times New Roman" w:hAnsi="Times New Roman"/>
          <w:b/>
          <w:sz w:val="17"/>
          <w:szCs w:val="17"/>
          <w:lang w:eastAsia="en-AU"/>
        </w:rPr>
        <w:t>Introduction</w:t>
      </w:r>
    </w:p>
    <w:p w:rsidR="00ED27D9" w:rsidRPr="00ED27D9" w:rsidRDefault="00ED27D9" w:rsidP="00382CFF">
      <w:pPr>
        <w:spacing w:after="120" w:line="240" w:lineRule="auto"/>
        <w:ind w:left="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Authorised Betting Operations Gambling Code of Practice (code of practice) does not allow gambling providers to offer or advertise certain rewards or benefits that may encourage a person to gamble or to gamble more than they normally would.</w:t>
      </w:r>
      <w:r w:rsidR="00E10DC6">
        <w:rPr>
          <w:rFonts w:ascii="Times New Roman" w:eastAsia="Times New Roman" w:hAnsi="Times New Roman"/>
          <w:sz w:val="17"/>
          <w:szCs w:val="17"/>
          <w:lang w:eastAsia="en-AU" w:bidi="en-US"/>
        </w:rPr>
        <w:t xml:space="preserve"> </w:t>
      </w:r>
      <w:r w:rsidRPr="00ED27D9">
        <w:rPr>
          <w:rFonts w:ascii="Times New Roman" w:eastAsia="Times New Roman" w:hAnsi="Times New Roman"/>
          <w:sz w:val="17"/>
          <w:szCs w:val="17"/>
          <w:lang w:eastAsia="en-AU" w:bidi="en-US"/>
        </w:rPr>
        <w:t>These rewards or benefits are called “</w:t>
      </w:r>
      <w:r w:rsidRPr="00ED27D9">
        <w:rPr>
          <w:rFonts w:ascii="Times New Roman" w:eastAsia="Times New Roman" w:hAnsi="Times New Roman"/>
          <w:b/>
          <w:i/>
          <w:sz w:val="17"/>
          <w:szCs w:val="17"/>
          <w:lang w:eastAsia="en-AU" w:bidi="en-US"/>
        </w:rPr>
        <w:t>inducements</w:t>
      </w:r>
      <w:r w:rsidRPr="00ED27D9">
        <w:rPr>
          <w:rFonts w:ascii="Times New Roman" w:eastAsia="Times New Roman" w:hAnsi="Times New Roman"/>
          <w:sz w:val="17"/>
          <w:szCs w:val="17"/>
          <w:lang w:eastAsia="en-AU" w:bidi="en-US"/>
        </w:rPr>
        <w:t>”.</w:t>
      </w:r>
    </w:p>
    <w:p w:rsidR="00ED27D9" w:rsidRPr="00ED27D9" w:rsidRDefault="00ED27D9" w:rsidP="00382CFF">
      <w:pPr>
        <w:spacing w:after="120" w:line="240" w:lineRule="auto"/>
        <w:ind w:left="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These guidelines are intended to provide authorised betting operators with guidance about the offering and advertising of inducements in South Australia in accordance with the requirements of the code of practice.</w:t>
      </w:r>
    </w:p>
    <w:p w:rsidR="00ED27D9" w:rsidRPr="00ED27D9" w:rsidRDefault="00ED27D9" w:rsidP="00382CFF">
      <w:pPr>
        <w:spacing w:after="120" w:line="240" w:lineRule="auto"/>
        <w:ind w:left="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In addition to any requirements specified in the code of practice, gambling advertising must also be compliant with any other relevant State or Federal laws and industry codes of practice in place.</w:t>
      </w:r>
    </w:p>
    <w:p w:rsidR="00ED27D9" w:rsidRPr="00ED27D9" w:rsidRDefault="00ED27D9" w:rsidP="00382CFF">
      <w:pPr>
        <w:spacing w:after="240" w:line="240" w:lineRule="auto"/>
        <w:ind w:left="426"/>
        <w:jc w:val="left"/>
        <w:rPr>
          <w:rFonts w:ascii="Times New Roman" w:eastAsia="Times New Roman" w:hAnsi="Times New Roman"/>
          <w:b/>
          <w:sz w:val="17"/>
          <w:szCs w:val="17"/>
          <w:lang w:eastAsia="en-AU" w:bidi="en-US"/>
        </w:rPr>
      </w:pPr>
      <w:r w:rsidRPr="00ED27D9">
        <w:rPr>
          <w:rFonts w:ascii="Times New Roman" w:eastAsia="Times New Roman" w:hAnsi="Times New Roman"/>
          <w:sz w:val="17"/>
          <w:szCs w:val="17"/>
          <w:lang w:eastAsia="en-AU" w:bidi="en-US"/>
        </w:rPr>
        <w:t xml:space="preserve">The Commissioner may by notice in the Government Gazette vary or revoke these guidelines at any time in accordance with section 17(3) of the </w:t>
      </w:r>
      <w:r w:rsidRPr="00ED27D9">
        <w:rPr>
          <w:rFonts w:ascii="Times New Roman" w:eastAsia="Times New Roman" w:hAnsi="Times New Roman"/>
          <w:i/>
          <w:sz w:val="17"/>
          <w:szCs w:val="17"/>
          <w:lang w:eastAsia="en-AU" w:bidi="en-US"/>
        </w:rPr>
        <w:t>Gambling Administration Act 2019</w:t>
      </w:r>
      <w:r w:rsidRPr="00ED27D9">
        <w:rPr>
          <w:rFonts w:ascii="Times New Roman" w:eastAsia="Times New Roman" w:hAnsi="Times New Roman"/>
          <w:sz w:val="17"/>
          <w:szCs w:val="17"/>
          <w:lang w:eastAsia="en-AU" w:bidi="en-US"/>
        </w:rPr>
        <w:t>.</w:t>
      </w:r>
    </w:p>
    <w:p w:rsidR="00ED27D9" w:rsidRPr="00ED27D9" w:rsidRDefault="00ED27D9" w:rsidP="00382CFF">
      <w:pPr>
        <w:numPr>
          <w:ilvl w:val="0"/>
          <w:numId w:val="194"/>
        </w:numPr>
        <w:spacing w:after="120" w:line="240" w:lineRule="auto"/>
        <w:ind w:left="426" w:hanging="436"/>
        <w:jc w:val="left"/>
        <w:rPr>
          <w:rFonts w:ascii="Times New Roman" w:eastAsia="Times New Roman" w:hAnsi="Times New Roman"/>
          <w:b/>
          <w:sz w:val="17"/>
          <w:szCs w:val="17"/>
          <w:lang w:eastAsia="en-AU"/>
        </w:rPr>
      </w:pPr>
      <w:r w:rsidRPr="00ED27D9">
        <w:rPr>
          <w:rFonts w:ascii="Times New Roman" w:eastAsia="Times New Roman" w:hAnsi="Times New Roman"/>
          <w:b/>
          <w:sz w:val="17"/>
          <w:szCs w:val="17"/>
          <w:lang w:eastAsia="en-AU"/>
        </w:rPr>
        <w:t>Overview</w:t>
      </w:r>
    </w:p>
    <w:p w:rsidR="00ED27D9" w:rsidRPr="00ED27D9" w:rsidRDefault="00ED27D9" w:rsidP="00382CFF">
      <w:pPr>
        <w:spacing w:after="120" w:line="240" w:lineRule="auto"/>
        <w:ind w:left="426"/>
        <w:jc w:val="left"/>
        <w:rPr>
          <w:rFonts w:ascii="Times New Roman" w:eastAsia="Times New Roman" w:hAnsi="Times New Roman"/>
          <w:sz w:val="17"/>
          <w:szCs w:val="17"/>
          <w:lang w:eastAsia="en-AU"/>
        </w:rPr>
      </w:pPr>
      <w:r w:rsidRPr="00ED27D9">
        <w:rPr>
          <w:rFonts w:ascii="Times New Roman" w:eastAsia="Times New Roman" w:hAnsi="Times New Roman"/>
          <w:sz w:val="17"/>
          <w:szCs w:val="17"/>
          <w:lang w:eastAsia="en-AU"/>
        </w:rPr>
        <w:t xml:space="preserve">Under the </w:t>
      </w:r>
      <w:r w:rsidRPr="00ED27D9">
        <w:rPr>
          <w:rFonts w:ascii="Times New Roman" w:eastAsia="Times New Roman" w:hAnsi="Times New Roman"/>
          <w:i/>
          <w:sz w:val="17"/>
          <w:szCs w:val="17"/>
          <w:lang w:eastAsia="en-AU"/>
        </w:rPr>
        <w:t>Gambling Administration Act 2019</w:t>
      </w:r>
      <w:r w:rsidRPr="00ED27D9">
        <w:rPr>
          <w:rFonts w:ascii="Times New Roman" w:eastAsia="Times New Roman" w:hAnsi="Times New Roman"/>
          <w:sz w:val="17"/>
          <w:szCs w:val="17"/>
          <w:lang w:eastAsia="en-AU"/>
        </w:rPr>
        <w:t xml:space="preserve"> the Commissioner must, in considering whether a matter is or is not in the public interest for the purpose of a gambling Act, have regard to the need for gambling harm minimisation. </w:t>
      </w:r>
    </w:p>
    <w:p w:rsidR="00ED27D9" w:rsidRPr="00ED27D9" w:rsidRDefault="00ED27D9" w:rsidP="00382CFF">
      <w:pPr>
        <w:spacing w:after="120" w:line="240" w:lineRule="auto"/>
        <w:ind w:left="426"/>
        <w:jc w:val="left"/>
        <w:rPr>
          <w:rFonts w:ascii="Times New Roman" w:eastAsia="Times New Roman" w:hAnsi="Times New Roman"/>
          <w:sz w:val="17"/>
          <w:szCs w:val="17"/>
          <w:lang w:eastAsia="en-AU"/>
        </w:rPr>
      </w:pPr>
      <w:r w:rsidRPr="00ED27D9">
        <w:rPr>
          <w:rFonts w:ascii="Times New Roman" w:eastAsia="Times New Roman" w:hAnsi="Times New Roman"/>
          <w:sz w:val="17"/>
          <w:szCs w:val="17"/>
          <w:lang w:eastAsia="en-AU"/>
        </w:rPr>
        <w:t>The offering of certain rewards or benefits may cause serious gambling related harm, for example by encouraging a person to gambling beyond their means.</w:t>
      </w:r>
      <w:r w:rsidR="00E10DC6">
        <w:rPr>
          <w:rFonts w:ascii="Times New Roman" w:eastAsia="Times New Roman" w:hAnsi="Times New Roman"/>
          <w:sz w:val="17"/>
          <w:szCs w:val="17"/>
          <w:lang w:eastAsia="en-AU"/>
        </w:rPr>
        <w:t xml:space="preserve"> </w:t>
      </w:r>
      <w:r w:rsidRPr="00ED27D9">
        <w:rPr>
          <w:rFonts w:ascii="Times New Roman" w:eastAsia="Times New Roman" w:hAnsi="Times New Roman"/>
          <w:sz w:val="17"/>
          <w:szCs w:val="17"/>
          <w:lang w:eastAsia="en-AU"/>
        </w:rPr>
        <w:t xml:space="preserve">These guidelines are intended to inform authorised betting operators of those matters that the Commissioner considers are necessary to prevent and minimise the risk of these harms occurring when offering such rewards or benefits. </w:t>
      </w:r>
    </w:p>
    <w:p w:rsidR="00ED27D9" w:rsidRPr="00ED27D9" w:rsidRDefault="00ED27D9" w:rsidP="00382CFF">
      <w:pPr>
        <w:spacing w:after="120" w:line="240" w:lineRule="auto"/>
        <w:ind w:left="426"/>
        <w:jc w:val="left"/>
        <w:rPr>
          <w:rFonts w:ascii="Times New Roman" w:eastAsia="Times New Roman" w:hAnsi="Times New Roman"/>
          <w:sz w:val="17"/>
          <w:szCs w:val="17"/>
          <w:lang w:eastAsia="en-AU"/>
        </w:rPr>
      </w:pPr>
      <w:r w:rsidRPr="00ED27D9">
        <w:rPr>
          <w:rFonts w:ascii="Times New Roman" w:eastAsia="Times New Roman" w:hAnsi="Times New Roman"/>
          <w:sz w:val="17"/>
          <w:szCs w:val="17"/>
          <w:lang w:eastAsia="en-AU"/>
        </w:rPr>
        <w:t>The information in these guidelines is provided on the understanding that the Commissioner is not giving legal opinion, interpretation, or other professional advice.</w:t>
      </w:r>
    </w:p>
    <w:p w:rsidR="00ED27D9" w:rsidRPr="00ED27D9" w:rsidRDefault="00ED27D9" w:rsidP="00382CFF">
      <w:pPr>
        <w:spacing w:after="120" w:line="240" w:lineRule="auto"/>
        <w:ind w:left="426"/>
        <w:jc w:val="left"/>
        <w:rPr>
          <w:rFonts w:ascii="Times New Roman" w:eastAsia="Times New Roman" w:hAnsi="Times New Roman"/>
          <w:sz w:val="17"/>
          <w:szCs w:val="17"/>
          <w:lang w:eastAsia="en-AU"/>
        </w:rPr>
      </w:pPr>
      <w:r w:rsidRPr="00ED27D9">
        <w:rPr>
          <w:rFonts w:ascii="Times New Roman" w:eastAsia="Times New Roman" w:hAnsi="Times New Roman"/>
          <w:sz w:val="17"/>
          <w:szCs w:val="17"/>
          <w:lang w:eastAsia="en-AU"/>
        </w:rPr>
        <w:t>When considering whether an offer or the advertising of an offer by a gambling provider is compliant with the code of practice, the Commissioner will have regard to any relevant information provided in these guidelines.</w:t>
      </w:r>
      <w:r w:rsidR="00E10DC6">
        <w:rPr>
          <w:rFonts w:ascii="Times New Roman" w:eastAsia="Times New Roman" w:hAnsi="Times New Roman"/>
          <w:sz w:val="17"/>
          <w:szCs w:val="17"/>
          <w:lang w:eastAsia="en-AU"/>
        </w:rPr>
        <w:t xml:space="preserve"> </w:t>
      </w:r>
      <w:r w:rsidRPr="00ED27D9">
        <w:rPr>
          <w:rFonts w:ascii="Times New Roman" w:eastAsia="Times New Roman" w:hAnsi="Times New Roman"/>
          <w:sz w:val="17"/>
          <w:szCs w:val="17"/>
          <w:lang w:eastAsia="en-AU"/>
        </w:rPr>
        <w:t>It is not the purpose of these guidelines however to mandate or approve specific offers or forms of advertising by gambling providers, but rather to provide guidance on the types of promotions, benefits or rewards that may be allowed and those that will not be permitted.</w:t>
      </w:r>
    </w:p>
    <w:p w:rsidR="00ED27D9" w:rsidRPr="00ED27D9" w:rsidRDefault="00ED27D9" w:rsidP="00382CFF">
      <w:pPr>
        <w:spacing w:after="120" w:line="240" w:lineRule="auto"/>
        <w:ind w:left="426"/>
        <w:jc w:val="left"/>
        <w:rPr>
          <w:rFonts w:ascii="Times New Roman" w:eastAsia="Times New Roman" w:hAnsi="Times New Roman"/>
          <w:sz w:val="17"/>
          <w:szCs w:val="17"/>
          <w:lang w:eastAsia="en-AU"/>
        </w:rPr>
      </w:pPr>
      <w:r w:rsidRPr="00ED27D9">
        <w:rPr>
          <w:rFonts w:ascii="Times New Roman" w:eastAsia="Times New Roman" w:hAnsi="Times New Roman"/>
          <w:sz w:val="17"/>
          <w:szCs w:val="17"/>
          <w:lang w:eastAsia="en-AU"/>
        </w:rPr>
        <w:t>It is the responsibility of gambling providers to consider the appropriateness of any type of reward or benefit that is proposed to be promoted or advertised and if necessary, seek independent legal advice on whether the offer may be contrary to the code of practice.</w:t>
      </w:r>
    </w:p>
    <w:p w:rsidR="00ED27D9" w:rsidRPr="00ED27D9" w:rsidRDefault="00ED27D9" w:rsidP="00382CFF">
      <w:pPr>
        <w:spacing w:after="120" w:line="240" w:lineRule="auto"/>
        <w:ind w:left="426"/>
        <w:jc w:val="left"/>
        <w:rPr>
          <w:rFonts w:ascii="Times New Roman" w:eastAsia="Times New Roman" w:hAnsi="Times New Roman"/>
          <w:sz w:val="17"/>
          <w:szCs w:val="17"/>
          <w:lang w:eastAsia="en-AU"/>
        </w:rPr>
      </w:pPr>
      <w:r w:rsidRPr="00ED27D9">
        <w:rPr>
          <w:rFonts w:ascii="Times New Roman" w:eastAsia="Times New Roman" w:hAnsi="Times New Roman"/>
          <w:sz w:val="17"/>
          <w:szCs w:val="17"/>
          <w:lang w:eastAsia="en-AU"/>
        </w:rPr>
        <w:t>The Commissioner has unqualified discretion to determine at any time that an offer of a reward or benefit is an inducement and prohibit that inducement from being advertised or offered by a gambling provider.</w:t>
      </w:r>
    </w:p>
    <w:p w:rsidR="00ED27D9" w:rsidRPr="00ED27D9" w:rsidRDefault="00ED27D9" w:rsidP="00382CFF">
      <w:pPr>
        <w:spacing w:after="240" w:line="240" w:lineRule="auto"/>
        <w:ind w:left="426"/>
        <w:jc w:val="left"/>
        <w:rPr>
          <w:rFonts w:ascii="Times New Roman" w:eastAsia="Times New Roman" w:hAnsi="Times New Roman"/>
          <w:sz w:val="17"/>
          <w:szCs w:val="17"/>
          <w:lang w:eastAsia="en-AU"/>
        </w:rPr>
      </w:pPr>
      <w:r w:rsidRPr="00ED27D9">
        <w:rPr>
          <w:rFonts w:ascii="Times New Roman" w:eastAsia="Times New Roman" w:hAnsi="Times New Roman"/>
          <w:sz w:val="17"/>
          <w:szCs w:val="17"/>
          <w:lang w:eastAsia="en-AU"/>
        </w:rPr>
        <w:t>Any matters arising from the regulation of the offering or advertising of inducements not covered by these guidelines will be resolved at the discretion of the Commissioner.</w:t>
      </w:r>
    </w:p>
    <w:p w:rsidR="00ED27D9" w:rsidRPr="00ED27D9" w:rsidRDefault="00ED27D9" w:rsidP="00382CFF">
      <w:pPr>
        <w:numPr>
          <w:ilvl w:val="0"/>
          <w:numId w:val="194"/>
        </w:numPr>
        <w:spacing w:after="120" w:line="240" w:lineRule="auto"/>
        <w:ind w:left="426" w:hanging="436"/>
        <w:jc w:val="left"/>
        <w:rPr>
          <w:rFonts w:ascii="Times New Roman" w:eastAsia="Times New Roman" w:hAnsi="Times New Roman"/>
          <w:b/>
          <w:sz w:val="17"/>
          <w:szCs w:val="17"/>
          <w:lang w:eastAsia="en-AU"/>
        </w:rPr>
      </w:pPr>
      <w:r w:rsidRPr="00ED27D9">
        <w:rPr>
          <w:rFonts w:ascii="Times New Roman" w:eastAsia="Times New Roman" w:hAnsi="Times New Roman"/>
          <w:b/>
          <w:sz w:val="17"/>
          <w:szCs w:val="17"/>
          <w:lang w:eastAsia="en-AU"/>
        </w:rPr>
        <w:t>Gambling Inducements</w:t>
      </w:r>
    </w:p>
    <w:p w:rsidR="00ED27D9" w:rsidRPr="00ED27D9" w:rsidRDefault="00ED27D9" w:rsidP="00382CFF">
      <w:pPr>
        <w:numPr>
          <w:ilvl w:val="0"/>
          <w:numId w:val="426"/>
        </w:numPr>
        <w:spacing w:after="120" w:line="240" w:lineRule="auto"/>
        <w:ind w:left="851"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Clause 22 of the code of practice requires that a gambling provider must not offer or provide any inducement directed at encouraging a person to gamble (including an inducement to open a gambling account, or an inducement to not close a gambling account).</w:t>
      </w:r>
      <w:r w:rsidR="00E10DC6">
        <w:rPr>
          <w:rFonts w:ascii="Times New Roman" w:eastAsia="Times New Roman" w:hAnsi="Times New Roman"/>
          <w:sz w:val="17"/>
          <w:szCs w:val="17"/>
          <w:lang w:eastAsia="en-AU" w:bidi="en-US"/>
        </w:rPr>
        <w:t xml:space="preserve"> </w:t>
      </w:r>
    </w:p>
    <w:p w:rsidR="00ED27D9" w:rsidRPr="00ED27D9" w:rsidRDefault="00ED27D9" w:rsidP="00382CFF">
      <w:pPr>
        <w:numPr>
          <w:ilvl w:val="0"/>
          <w:numId w:val="426"/>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An inducement for this purpose includes any credit, voucher, bonus bet, or reward (however described), that is offered by a gambling provider as an inducement to encourage a person to participate or to participate frequently in any gambling activity.</w:t>
      </w:r>
      <w:r w:rsidR="00E10DC6">
        <w:rPr>
          <w:rFonts w:ascii="Times New Roman" w:eastAsia="Times New Roman" w:hAnsi="Times New Roman"/>
          <w:sz w:val="17"/>
          <w:szCs w:val="17"/>
          <w:lang w:eastAsia="en-AU" w:bidi="en-US"/>
        </w:rPr>
        <w:t xml:space="preserve"> </w:t>
      </w:r>
      <w:r w:rsidRPr="00ED27D9">
        <w:rPr>
          <w:rFonts w:ascii="Times New Roman" w:eastAsia="Times New Roman" w:hAnsi="Times New Roman"/>
          <w:sz w:val="17"/>
          <w:szCs w:val="17"/>
          <w:lang w:eastAsia="en-AU" w:bidi="en-US"/>
        </w:rPr>
        <w:t>Such inducements are considered by the Commissioner to be separate and distinct from the core gambling product or activity being promoted.</w:t>
      </w:r>
    </w:p>
    <w:p w:rsidR="00ED27D9" w:rsidRPr="00ED27D9" w:rsidRDefault="00ED27D9" w:rsidP="00382CFF">
      <w:pPr>
        <w:numPr>
          <w:ilvl w:val="0"/>
          <w:numId w:val="426"/>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If a legal bet type has core parts that include an offer, such as paying the best totalisator price, the offer is not considered an inducement.</w:t>
      </w:r>
      <w:r w:rsidR="00E10DC6">
        <w:rPr>
          <w:rFonts w:ascii="Times New Roman" w:eastAsia="Times New Roman" w:hAnsi="Times New Roman"/>
          <w:sz w:val="17"/>
          <w:szCs w:val="17"/>
          <w:lang w:eastAsia="en-AU" w:bidi="en-US"/>
        </w:rPr>
        <w:t xml:space="preserve"> </w:t>
      </w:r>
    </w:p>
    <w:p w:rsidR="00ED27D9" w:rsidRPr="00ED27D9" w:rsidRDefault="00ED27D9" w:rsidP="00382CFF">
      <w:pPr>
        <w:numPr>
          <w:ilvl w:val="0"/>
          <w:numId w:val="426"/>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 xml:space="preserve">If an offer by a gambling provider does not contravene clause 22 of the code of practice and is proposed to be advertised, the advertising of the offer must still comply with the responsible gambling advertising requirements set out in clause 9 of the code of practice. </w:t>
      </w:r>
    </w:p>
    <w:p w:rsidR="00ED27D9" w:rsidRPr="00ED27D9" w:rsidRDefault="00ED27D9" w:rsidP="00382CFF">
      <w:pPr>
        <w:numPr>
          <w:ilvl w:val="0"/>
          <w:numId w:val="426"/>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Under no circumstances are gambling providers permitted to offer or advertise an inducement to encourage a person to open a gambling account with them, or to encourage a person not to close a gambling account.</w:t>
      </w:r>
      <w:r w:rsidR="00E10DC6">
        <w:rPr>
          <w:rFonts w:ascii="Times New Roman" w:eastAsia="Times New Roman" w:hAnsi="Times New Roman"/>
          <w:sz w:val="17"/>
          <w:szCs w:val="17"/>
          <w:lang w:eastAsia="en-AU" w:bidi="en-US"/>
        </w:rPr>
        <w:t xml:space="preserve"> </w:t>
      </w:r>
      <w:r w:rsidRPr="00ED27D9">
        <w:rPr>
          <w:rFonts w:ascii="Times New Roman" w:eastAsia="Times New Roman" w:hAnsi="Times New Roman"/>
          <w:sz w:val="17"/>
          <w:szCs w:val="17"/>
          <w:lang w:eastAsia="en-AU" w:bidi="en-US"/>
        </w:rPr>
        <w:t>Interactive wagering service providers may however explain the consequences of closing a gambling account and ask the account holder if they wish to proceed.</w:t>
      </w:r>
    </w:p>
    <w:p w:rsidR="00ED27D9" w:rsidRPr="00ED27D9" w:rsidRDefault="00ED27D9" w:rsidP="00382CFF">
      <w:pPr>
        <w:numPr>
          <w:ilvl w:val="0"/>
          <w:numId w:val="426"/>
        </w:numPr>
        <w:spacing w:after="240" w:line="240" w:lineRule="auto"/>
        <w:ind w:left="851"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Interactive wagering providers must also not offer or advertise an inducement to encourage a person to consent to or to continue to receive direct marketing.</w:t>
      </w:r>
    </w:p>
    <w:p w:rsidR="00184B55" w:rsidRDefault="00184B55">
      <w:pPr>
        <w:spacing w:after="0" w:line="240" w:lineRule="auto"/>
        <w:jc w:val="left"/>
        <w:rPr>
          <w:rFonts w:ascii="Times New Roman" w:eastAsia="Times New Roman" w:hAnsi="Times New Roman"/>
          <w:b/>
          <w:sz w:val="17"/>
          <w:szCs w:val="17"/>
          <w:lang w:eastAsia="en-AU"/>
        </w:rPr>
      </w:pPr>
      <w:r>
        <w:rPr>
          <w:rFonts w:ascii="Times New Roman" w:eastAsia="Times New Roman" w:hAnsi="Times New Roman"/>
          <w:b/>
          <w:sz w:val="17"/>
          <w:szCs w:val="17"/>
          <w:lang w:eastAsia="en-AU"/>
        </w:rPr>
        <w:br w:type="page"/>
      </w:r>
    </w:p>
    <w:p w:rsidR="00ED27D9" w:rsidRPr="00ED27D9" w:rsidRDefault="00ED27D9" w:rsidP="00382CFF">
      <w:pPr>
        <w:numPr>
          <w:ilvl w:val="0"/>
          <w:numId w:val="194"/>
        </w:numPr>
        <w:spacing w:after="120" w:line="240" w:lineRule="auto"/>
        <w:ind w:left="426" w:hanging="436"/>
        <w:jc w:val="left"/>
        <w:rPr>
          <w:rFonts w:ascii="Times New Roman" w:eastAsia="Times New Roman" w:hAnsi="Times New Roman"/>
          <w:b/>
          <w:sz w:val="17"/>
          <w:szCs w:val="17"/>
          <w:lang w:eastAsia="en-AU"/>
        </w:rPr>
      </w:pPr>
      <w:r w:rsidRPr="00ED27D9">
        <w:rPr>
          <w:rFonts w:ascii="Times New Roman" w:eastAsia="Times New Roman" w:hAnsi="Times New Roman"/>
          <w:b/>
          <w:sz w:val="17"/>
          <w:szCs w:val="17"/>
          <w:lang w:eastAsia="en-AU"/>
        </w:rPr>
        <w:lastRenderedPageBreak/>
        <w:t>When can inducements be offered</w:t>
      </w:r>
    </w:p>
    <w:p w:rsidR="00ED27D9" w:rsidRPr="00ED27D9" w:rsidRDefault="00ED27D9" w:rsidP="00382CFF">
      <w:pPr>
        <w:spacing w:after="120" w:line="240" w:lineRule="auto"/>
        <w:ind w:left="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Although the code of practice generally prohibits a gambling provider from offering or providing an inducement, there are a few exceptions where this does not apply.</w:t>
      </w:r>
      <w:r w:rsidR="00E10DC6">
        <w:rPr>
          <w:rFonts w:ascii="Times New Roman" w:eastAsia="Times New Roman" w:hAnsi="Times New Roman"/>
          <w:sz w:val="17"/>
          <w:szCs w:val="17"/>
          <w:lang w:eastAsia="en-AU" w:bidi="en-US"/>
        </w:rPr>
        <w:t xml:space="preserve"> </w:t>
      </w:r>
      <w:r w:rsidR="006F00BC">
        <w:rPr>
          <w:rFonts w:ascii="Times New Roman" w:eastAsia="Times New Roman" w:hAnsi="Times New Roman"/>
          <w:sz w:val="17"/>
          <w:szCs w:val="17"/>
          <w:lang w:eastAsia="en-AU" w:bidi="en-US"/>
        </w:rPr>
        <w:t>They are—</w:t>
      </w:r>
    </w:p>
    <w:p w:rsidR="00ED27D9" w:rsidRPr="00ED27D9" w:rsidRDefault="00ED27D9" w:rsidP="00382CFF">
      <w:pPr>
        <w:numPr>
          <w:ilvl w:val="0"/>
          <w:numId w:val="181"/>
        </w:numPr>
        <w:spacing w:after="120" w:line="240" w:lineRule="auto"/>
        <w:ind w:left="1276" w:hanging="43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offering or provision of participation in a rewards program (</w:t>
      </w:r>
      <w:r w:rsidRPr="00ED27D9">
        <w:rPr>
          <w:rFonts w:ascii="Times New Roman" w:eastAsia="Times New Roman" w:hAnsi="Times New Roman"/>
          <w:i/>
          <w:sz w:val="17"/>
          <w:szCs w:val="17"/>
          <w:lang w:eastAsia="en-AU" w:bidi="en-US"/>
        </w:rPr>
        <w:t>an acceptable loyalty program</w:t>
      </w:r>
      <w:r w:rsidRPr="00ED27D9">
        <w:rPr>
          <w:rFonts w:ascii="Times New Roman" w:eastAsia="Times New Roman" w:hAnsi="Times New Roman"/>
          <w:sz w:val="17"/>
          <w:szCs w:val="17"/>
          <w:lang w:eastAsia="en-AU" w:bidi="en-US"/>
        </w:rPr>
        <w:t xml:space="preserve">); </w:t>
      </w:r>
    </w:p>
    <w:p w:rsidR="00ED27D9" w:rsidRPr="00ED27D9" w:rsidRDefault="00ED27D9" w:rsidP="00382CFF">
      <w:pPr>
        <w:numPr>
          <w:ilvl w:val="0"/>
          <w:numId w:val="181"/>
        </w:numPr>
        <w:spacing w:after="120" w:line="240" w:lineRule="auto"/>
        <w:ind w:left="1276" w:hanging="43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offering or provision of participation in an acceptable trade promotion lottery, by drawing attention to the prizes;</w:t>
      </w:r>
    </w:p>
    <w:p w:rsidR="00ED27D9" w:rsidRPr="00ED27D9" w:rsidRDefault="00ED27D9" w:rsidP="00382CFF">
      <w:pPr>
        <w:numPr>
          <w:ilvl w:val="0"/>
          <w:numId w:val="181"/>
        </w:numPr>
        <w:spacing w:after="120" w:line="240" w:lineRule="auto"/>
        <w:ind w:left="1276"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offering or provision of a complimentary gambling product, however in respect of an interactive wagering service provider, only if the winnings from a bet made with a complimentary gambling product can be withdrawn by an account holder without being subject to a requirement that the account holder continue to bet with those winnings;</w:t>
      </w:r>
    </w:p>
    <w:p w:rsidR="00ED27D9" w:rsidRPr="00ED27D9" w:rsidRDefault="00ED27D9" w:rsidP="00382CFF">
      <w:pPr>
        <w:numPr>
          <w:ilvl w:val="0"/>
          <w:numId w:val="181"/>
        </w:numPr>
        <w:spacing w:after="120" w:line="240" w:lineRule="auto"/>
        <w:ind w:left="1276"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offering or provision in a gambling area of complimentary non-alcoholic beverages and refreshments of nominal value; or</w:t>
      </w:r>
    </w:p>
    <w:p w:rsidR="00ED27D9" w:rsidRPr="00ED27D9" w:rsidRDefault="00ED27D9" w:rsidP="00382CFF">
      <w:pPr>
        <w:numPr>
          <w:ilvl w:val="0"/>
          <w:numId w:val="181"/>
        </w:numPr>
        <w:spacing w:after="240" w:line="240" w:lineRule="auto"/>
        <w:ind w:left="1276"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in respect of a pre-commitment trial approved by the Commissioner, subject to the terms of the approval.</w:t>
      </w:r>
    </w:p>
    <w:p w:rsidR="00ED27D9" w:rsidRPr="00ED27D9" w:rsidRDefault="00ED27D9" w:rsidP="00382CFF">
      <w:pPr>
        <w:numPr>
          <w:ilvl w:val="0"/>
          <w:numId w:val="194"/>
        </w:numPr>
        <w:spacing w:after="120" w:line="240" w:lineRule="auto"/>
        <w:ind w:left="426" w:hanging="436"/>
        <w:jc w:val="left"/>
        <w:rPr>
          <w:rFonts w:ascii="Times New Roman" w:eastAsia="Times New Roman" w:hAnsi="Times New Roman"/>
          <w:b/>
          <w:sz w:val="17"/>
          <w:szCs w:val="17"/>
          <w:lang w:eastAsia="en-AU"/>
        </w:rPr>
      </w:pPr>
      <w:r w:rsidRPr="00ED27D9">
        <w:rPr>
          <w:rFonts w:ascii="Times New Roman" w:eastAsia="Times New Roman" w:hAnsi="Times New Roman"/>
          <w:b/>
          <w:sz w:val="17"/>
          <w:szCs w:val="17"/>
          <w:lang w:eastAsia="en-AU"/>
        </w:rPr>
        <w:t>Whe</w:t>
      </w:r>
      <w:r w:rsidR="006F00BC">
        <w:rPr>
          <w:rFonts w:ascii="Times New Roman" w:eastAsia="Times New Roman" w:hAnsi="Times New Roman"/>
          <w:b/>
          <w:sz w:val="17"/>
          <w:szCs w:val="17"/>
          <w:lang w:eastAsia="en-AU"/>
        </w:rPr>
        <w:t>n can inducements be advertised</w:t>
      </w:r>
    </w:p>
    <w:p w:rsidR="00ED27D9" w:rsidRPr="00ED27D9" w:rsidRDefault="00ED27D9" w:rsidP="00382CFF">
      <w:pPr>
        <w:spacing w:after="120" w:line="240" w:lineRule="auto"/>
        <w:ind w:left="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code of practice only allows for the advertising of permitted inducements and complimentary gambling products (</w:t>
      </w:r>
      <w:r w:rsidRPr="00ED27D9">
        <w:rPr>
          <w:rFonts w:ascii="Times New Roman" w:eastAsia="Times New Roman" w:hAnsi="Times New Roman"/>
          <w:i/>
          <w:sz w:val="17"/>
          <w:szCs w:val="17"/>
          <w:lang w:eastAsia="en-AU" w:bidi="en-US"/>
        </w:rPr>
        <w:t>see clause 4 above</w:t>
      </w:r>
      <w:r w:rsidRPr="00ED27D9">
        <w:rPr>
          <w:rFonts w:ascii="Times New Roman" w:eastAsia="Times New Roman" w:hAnsi="Times New Roman"/>
          <w:sz w:val="17"/>
          <w:szCs w:val="17"/>
          <w:lang w:eastAsia="en-AU" w:bidi="en-US"/>
        </w:rPr>
        <w:t>), subject to the following requirements—</w:t>
      </w:r>
    </w:p>
    <w:p w:rsidR="00ED27D9" w:rsidRPr="00ED27D9" w:rsidRDefault="00ED27D9" w:rsidP="00184B55">
      <w:pPr>
        <w:spacing w:after="120" w:line="240" w:lineRule="auto"/>
        <w:ind w:left="426"/>
        <w:jc w:val="left"/>
        <w:rPr>
          <w:rFonts w:ascii="Times New Roman" w:eastAsia="Times New Roman" w:hAnsi="Times New Roman"/>
          <w:b/>
          <w:sz w:val="17"/>
          <w:szCs w:val="17"/>
          <w:lang w:eastAsia="en-AU" w:bidi="en-US"/>
        </w:rPr>
      </w:pPr>
      <w:r w:rsidRPr="00ED27D9">
        <w:rPr>
          <w:rFonts w:ascii="Times New Roman" w:eastAsia="Times New Roman" w:hAnsi="Times New Roman"/>
          <w:b/>
          <w:sz w:val="17"/>
          <w:szCs w:val="17"/>
          <w:lang w:eastAsia="en-AU" w:bidi="en-US"/>
        </w:rPr>
        <w:t>Acceptable loyalty programs</w:t>
      </w:r>
    </w:p>
    <w:p w:rsidR="00ED27D9" w:rsidRPr="00ED27D9" w:rsidRDefault="00ED27D9" w:rsidP="00382CFF">
      <w:pPr>
        <w:numPr>
          <w:ilvl w:val="0"/>
          <w:numId w:val="182"/>
        </w:numPr>
        <w:spacing w:after="120" w:line="240" w:lineRule="auto"/>
        <w:ind w:left="851"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An acceptable loyalty program is a structured program that is approved by the Commissioner in terms of its rules, conditions, promotions, predictive monitoring processes and the manner in which it is to be advertised and promoted (</w:t>
      </w:r>
      <w:r w:rsidRPr="00ED27D9">
        <w:rPr>
          <w:rFonts w:ascii="Times New Roman" w:eastAsia="Times New Roman" w:hAnsi="Times New Roman"/>
          <w:i/>
          <w:sz w:val="17"/>
          <w:szCs w:val="17"/>
          <w:lang w:eastAsia="en-AU" w:bidi="en-US"/>
        </w:rPr>
        <w:t>see clause 23 of the code of practice for more details</w:t>
      </w:r>
      <w:r w:rsidRPr="00ED27D9">
        <w:rPr>
          <w:rFonts w:ascii="Times New Roman" w:eastAsia="Times New Roman" w:hAnsi="Times New Roman"/>
          <w:sz w:val="17"/>
          <w:szCs w:val="17"/>
          <w:lang w:eastAsia="en-AU" w:bidi="en-US"/>
        </w:rPr>
        <w:t>).</w:t>
      </w:r>
    </w:p>
    <w:p w:rsidR="00ED27D9" w:rsidRPr="00ED27D9" w:rsidRDefault="00ED27D9" w:rsidP="00382CFF">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A gambling provider may advertise an inducement for participation in an acceptable loyalty program, however the primary purpose of the advertisement must be to draw attention to—</w:t>
      </w:r>
    </w:p>
    <w:p w:rsidR="00ED27D9" w:rsidRPr="00ED27D9" w:rsidRDefault="00ED27D9" w:rsidP="00382CFF">
      <w:pPr>
        <w:numPr>
          <w:ilvl w:val="0"/>
          <w:numId w:val="183"/>
        </w:numPr>
        <w:spacing w:after="120" w:line="240" w:lineRule="auto"/>
        <w:ind w:left="1276" w:hanging="43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name of the loyalty program;</w:t>
      </w:r>
    </w:p>
    <w:p w:rsidR="00ED27D9" w:rsidRPr="00ED27D9" w:rsidRDefault="00ED27D9" w:rsidP="00382CFF">
      <w:pPr>
        <w:numPr>
          <w:ilvl w:val="0"/>
          <w:numId w:val="183"/>
        </w:numPr>
        <w:spacing w:after="120" w:line="240" w:lineRule="auto"/>
        <w:ind w:left="1276" w:hanging="43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its availability to customers; and</w:t>
      </w:r>
    </w:p>
    <w:p w:rsidR="00ED27D9" w:rsidRPr="00ED27D9" w:rsidRDefault="00ED27D9" w:rsidP="00382CFF">
      <w:pPr>
        <w:numPr>
          <w:ilvl w:val="0"/>
          <w:numId w:val="183"/>
        </w:numPr>
        <w:spacing w:after="120" w:line="240" w:lineRule="auto"/>
        <w:ind w:left="1276" w:hanging="43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 xml:space="preserve">the benefits of </w:t>
      </w:r>
      <w:r w:rsidR="002C4A06">
        <w:rPr>
          <w:rFonts w:ascii="Times New Roman" w:eastAsia="Times New Roman" w:hAnsi="Times New Roman"/>
          <w:sz w:val="17"/>
          <w:szCs w:val="17"/>
          <w:lang w:eastAsia="en-AU" w:bidi="en-US"/>
        </w:rPr>
        <w:t>being a member of the program.</w:t>
      </w:r>
    </w:p>
    <w:p w:rsidR="00ED27D9" w:rsidRPr="00ED27D9" w:rsidRDefault="00ED27D9" w:rsidP="00382CFF">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Customers must also be directed to the program’s full terms and conditions that are published on a public website, or in a document available in or near a gambling area.</w:t>
      </w:r>
    </w:p>
    <w:p w:rsidR="00ED27D9" w:rsidRPr="00ED27D9" w:rsidRDefault="00ED27D9" w:rsidP="00184B55">
      <w:pPr>
        <w:spacing w:after="120" w:line="240" w:lineRule="auto"/>
        <w:ind w:left="426"/>
        <w:jc w:val="left"/>
        <w:rPr>
          <w:rFonts w:ascii="Times New Roman" w:eastAsia="Times New Roman" w:hAnsi="Times New Roman"/>
          <w:b/>
          <w:sz w:val="17"/>
          <w:szCs w:val="17"/>
          <w:lang w:eastAsia="en-AU" w:bidi="en-US"/>
        </w:rPr>
      </w:pPr>
      <w:r w:rsidRPr="00ED27D9">
        <w:rPr>
          <w:rFonts w:ascii="Times New Roman" w:eastAsia="Times New Roman" w:hAnsi="Times New Roman"/>
          <w:b/>
          <w:sz w:val="17"/>
          <w:szCs w:val="17"/>
          <w:lang w:eastAsia="en-AU" w:bidi="en-US"/>
        </w:rPr>
        <w:t>Acceptable trade promotion lotteries</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 xml:space="preserve">An acceptable trade promotion lottery </w:t>
      </w:r>
      <w:r w:rsidRPr="00ED27D9">
        <w:rPr>
          <w:rFonts w:ascii="Times New Roman" w:eastAsia="Times New Roman" w:hAnsi="Times New Roman"/>
          <w:bCs/>
          <w:sz w:val="17"/>
          <w:szCs w:val="17"/>
          <w:lang w:eastAsia="en-AU" w:bidi="en-US"/>
        </w:rPr>
        <w:t xml:space="preserve">is a licensed lottery or a permitted lottery under the </w:t>
      </w:r>
      <w:r w:rsidRPr="00ED27D9">
        <w:rPr>
          <w:rFonts w:ascii="Times New Roman" w:eastAsia="Times New Roman" w:hAnsi="Times New Roman"/>
          <w:bCs/>
          <w:i/>
          <w:iCs/>
          <w:sz w:val="17"/>
          <w:szCs w:val="17"/>
          <w:lang w:eastAsia="en-AU" w:bidi="en-US"/>
        </w:rPr>
        <w:t>Lotteries Act 2019</w:t>
      </w:r>
      <w:r w:rsidRPr="00ED27D9">
        <w:rPr>
          <w:rFonts w:ascii="Times New Roman" w:eastAsia="Times New Roman" w:hAnsi="Times New Roman"/>
          <w:sz w:val="17"/>
          <w:szCs w:val="17"/>
          <w:lang w:eastAsia="en-AU" w:bidi="en-US"/>
        </w:rPr>
        <w:t>.</w:t>
      </w:r>
      <w:r w:rsidR="00E10DC6">
        <w:rPr>
          <w:rFonts w:ascii="Times New Roman" w:eastAsia="Times New Roman" w:hAnsi="Times New Roman"/>
          <w:sz w:val="17"/>
          <w:szCs w:val="17"/>
          <w:lang w:eastAsia="en-AU" w:bidi="en-US"/>
        </w:rPr>
        <w:t xml:space="preserve"> </w:t>
      </w:r>
      <w:r w:rsidRPr="00ED27D9">
        <w:rPr>
          <w:rFonts w:ascii="Times New Roman" w:eastAsia="Times New Roman" w:hAnsi="Times New Roman"/>
          <w:sz w:val="17"/>
          <w:szCs w:val="17"/>
          <w:lang w:eastAsia="en-AU" w:bidi="en-US"/>
        </w:rPr>
        <w:t xml:space="preserve">Its dominant purpose is to reward or retain existing customers and not to attract new customers. </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Entry must be free, but customers may have to buy goods or services which are the subject of the promotion.</w:t>
      </w:r>
      <w:r w:rsidR="00E10DC6">
        <w:rPr>
          <w:rFonts w:ascii="Times New Roman" w:eastAsia="Times New Roman" w:hAnsi="Times New Roman"/>
          <w:sz w:val="17"/>
          <w:szCs w:val="17"/>
          <w:lang w:eastAsia="en-AU" w:bidi="en-US"/>
        </w:rPr>
        <w:t xml:space="preserve"> </w:t>
      </w:r>
      <w:r w:rsidRPr="00ED27D9">
        <w:rPr>
          <w:rFonts w:ascii="Times New Roman" w:eastAsia="Times New Roman" w:hAnsi="Times New Roman"/>
          <w:sz w:val="17"/>
          <w:szCs w:val="17"/>
          <w:lang w:eastAsia="en-AU" w:bidi="en-US"/>
        </w:rPr>
        <w:t xml:space="preserve">Winners must be determined by lot, draw or chance. </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Commissioner must approve the lottery in terms of its rules, conditions, and the manner in which it will be advertised.</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permissible advertising of an acceptable trade promotion lottery is restricted to advertising direct to existing account holders—</w:t>
      </w:r>
    </w:p>
    <w:p w:rsidR="00ED27D9" w:rsidRPr="00ED27D9" w:rsidRDefault="00ED27D9" w:rsidP="00382CFF">
      <w:pPr>
        <w:numPr>
          <w:ilvl w:val="0"/>
          <w:numId w:val="184"/>
        </w:numPr>
        <w:spacing w:after="120" w:line="240" w:lineRule="auto"/>
        <w:ind w:left="1276" w:hanging="43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on a private webpage maintained by the gambling provider;</w:t>
      </w:r>
    </w:p>
    <w:p w:rsidR="00ED27D9" w:rsidRPr="00ED27D9" w:rsidRDefault="00ED27D9" w:rsidP="00382CFF">
      <w:pPr>
        <w:numPr>
          <w:ilvl w:val="0"/>
          <w:numId w:val="184"/>
        </w:numPr>
        <w:spacing w:after="120" w:line="240" w:lineRule="auto"/>
        <w:ind w:left="1276" w:hanging="43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by direct communication to customers that have expressly agreed to receiving advertising; and</w:t>
      </w:r>
    </w:p>
    <w:p w:rsidR="00ED27D9" w:rsidRPr="00ED27D9" w:rsidRDefault="00ED27D9" w:rsidP="00382CFF">
      <w:pPr>
        <w:numPr>
          <w:ilvl w:val="0"/>
          <w:numId w:val="184"/>
        </w:numPr>
        <w:spacing w:after="120" w:line="240" w:lineRule="auto"/>
        <w:ind w:left="1276" w:hanging="43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within gambling areas.</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Advertisements for participation in an acceptable trade promotion, that includes an inducement, are permitted to be advertised on platforms which provide predominantly thoroughbred horse, harness or greyhound racing content and the advertisement has been published or communicated on the part of the platform that exclusively contains racing-related content, provided the advertisement draws attention to the prizes and complies with the requirements in the code of practice for acceptable trade promotion lotteries (</w:t>
      </w:r>
      <w:r w:rsidRPr="00ED27D9">
        <w:rPr>
          <w:rFonts w:ascii="Times New Roman" w:eastAsia="Times New Roman" w:hAnsi="Times New Roman"/>
          <w:i/>
          <w:sz w:val="17"/>
          <w:szCs w:val="17"/>
          <w:lang w:eastAsia="en-AU" w:bidi="en-US"/>
        </w:rPr>
        <w:t>see clause 25 of the code of practice for more details</w:t>
      </w:r>
      <w:r w:rsidRPr="00ED27D9">
        <w:rPr>
          <w:rFonts w:ascii="Times New Roman" w:eastAsia="Times New Roman" w:hAnsi="Times New Roman"/>
          <w:sz w:val="17"/>
          <w:szCs w:val="17"/>
          <w:lang w:eastAsia="en-AU" w:bidi="en-US"/>
        </w:rPr>
        <w:t>).</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An acceptable trade promotion lottery—</w:t>
      </w:r>
    </w:p>
    <w:p w:rsidR="00ED27D9" w:rsidRPr="00ED27D9" w:rsidRDefault="00ED27D9" w:rsidP="00382CFF">
      <w:pPr>
        <w:numPr>
          <w:ilvl w:val="0"/>
          <w:numId w:val="185"/>
        </w:numPr>
        <w:spacing w:after="120" w:line="240" w:lineRule="auto"/>
        <w:ind w:left="1276" w:hanging="43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must not be advertised to the wider community or used as an inducement to attract new customers; and</w:t>
      </w:r>
    </w:p>
    <w:p w:rsidR="00ED27D9" w:rsidRPr="00ED27D9" w:rsidRDefault="00ED27D9" w:rsidP="00382CFF">
      <w:pPr>
        <w:numPr>
          <w:ilvl w:val="0"/>
          <w:numId w:val="185"/>
        </w:numPr>
        <w:spacing w:after="120" w:line="240" w:lineRule="auto"/>
        <w:ind w:left="1276" w:hanging="43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must not encourage people to gamble for a minimum period or for a minimum amount to qualify for a reward or benefit.</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If the Commissioner forms the view that the proposed advertising renders the trade promotion unacceptable because the dominant purpose of rewarding or retaining existing customers is not satisfied, but rather is to attract new patronage, the approval of the promotion as an acceptable trade promotion will be refused.</w:t>
      </w:r>
    </w:p>
    <w:p w:rsidR="00D013B4" w:rsidRDefault="00D013B4">
      <w:pPr>
        <w:spacing w:after="0" w:line="240" w:lineRule="auto"/>
        <w:jc w:val="left"/>
        <w:rPr>
          <w:rFonts w:ascii="Times New Roman" w:eastAsia="Times New Roman" w:hAnsi="Times New Roman"/>
          <w:b/>
          <w:sz w:val="17"/>
          <w:szCs w:val="17"/>
          <w:lang w:eastAsia="en-AU" w:bidi="en-US"/>
        </w:rPr>
      </w:pPr>
      <w:r>
        <w:rPr>
          <w:rFonts w:ascii="Times New Roman" w:eastAsia="Times New Roman" w:hAnsi="Times New Roman"/>
          <w:b/>
          <w:sz w:val="17"/>
          <w:szCs w:val="17"/>
          <w:lang w:eastAsia="en-AU" w:bidi="en-US"/>
        </w:rPr>
        <w:br w:type="page"/>
      </w:r>
    </w:p>
    <w:p w:rsidR="00ED27D9" w:rsidRPr="00ED27D9" w:rsidRDefault="00ED27D9" w:rsidP="00184B55">
      <w:pPr>
        <w:tabs>
          <w:tab w:val="left" w:pos="284"/>
          <w:tab w:val="left" w:pos="709"/>
        </w:tabs>
        <w:spacing w:after="120" w:line="240" w:lineRule="auto"/>
        <w:ind w:left="426"/>
        <w:jc w:val="left"/>
        <w:rPr>
          <w:rFonts w:ascii="Times New Roman" w:eastAsia="Times New Roman" w:hAnsi="Times New Roman"/>
          <w:b/>
          <w:sz w:val="17"/>
          <w:szCs w:val="17"/>
          <w:lang w:eastAsia="en-AU" w:bidi="en-US"/>
        </w:rPr>
      </w:pPr>
      <w:r w:rsidRPr="00ED27D9">
        <w:rPr>
          <w:rFonts w:ascii="Times New Roman" w:eastAsia="Times New Roman" w:hAnsi="Times New Roman"/>
          <w:b/>
          <w:sz w:val="17"/>
          <w:szCs w:val="17"/>
          <w:lang w:eastAsia="en-AU" w:bidi="en-US"/>
        </w:rPr>
        <w:lastRenderedPageBreak/>
        <w:t>Complimentary gambling products</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 xml:space="preserve">A complimentary gambling product is an inducement that may be advertised as long as it is provided free of charge to reward an existing customer as a courtesy for their patronage. </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Complimentary gambling products must not be offered to encourage a person to open a gambling account or to not close a gambling account.</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offer or advertising of a complimentary gambling product must genuinely be to reward existing customers.</w:t>
      </w:r>
      <w:r w:rsidR="00E10DC6">
        <w:rPr>
          <w:rFonts w:ascii="Times New Roman" w:eastAsia="Times New Roman" w:hAnsi="Times New Roman"/>
          <w:sz w:val="17"/>
          <w:szCs w:val="17"/>
          <w:lang w:eastAsia="en-AU" w:bidi="en-US"/>
        </w:rPr>
        <w:t xml:space="preserve"> </w:t>
      </w:r>
      <w:r w:rsidRPr="00ED27D9">
        <w:rPr>
          <w:rFonts w:ascii="Times New Roman" w:eastAsia="Times New Roman" w:hAnsi="Times New Roman"/>
          <w:sz w:val="17"/>
          <w:szCs w:val="17"/>
          <w:lang w:eastAsia="en-AU" w:bidi="en-US"/>
        </w:rPr>
        <w:t xml:space="preserve">If a complimentary gambling product requires a person to deposit an amount of money into an account, or if the offer is not genuinely complimentary these will not be permitted. </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Offering or advertising complimentary gambling products that are excessive or disproportionate to the amount being wagered are likely to be considered inducement, rather than genuine complimentary gambling products and therefore, if offered, would likely contravene the code of practice.</w:t>
      </w:r>
    </w:p>
    <w:p w:rsidR="00ED27D9" w:rsidRPr="00ED27D9" w:rsidRDefault="00ED27D9" w:rsidP="00184B55">
      <w:pPr>
        <w:tabs>
          <w:tab w:val="left" w:pos="284"/>
          <w:tab w:val="left" w:pos="709"/>
        </w:tabs>
        <w:spacing w:after="120" w:line="240" w:lineRule="auto"/>
        <w:ind w:left="426"/>
        <w:jc w:val="left"/>
        <w:rPr>
          <w:rFonts w:ascii="Times New Roman" w:eastAsia="Times New Roman" w:hAnsi="Times New Roman"/>
          <w:b/>
          <w:sz w:val="17"/>
          <w:szCs w:val="17"/>
          <w:lang w:eastAsia="en-AU" w:bidi="en-US"/>
        </w:rPr>
      </w:pPr>
      <w:r w:rsidRPr="00ED27D9">
        <w:rPr>
          <w:rFonts w:ascii="Times New Roman" w:eastAsia="Times New Roman" w:hAnsi="Times New Roman"/>
          <w:b/>
          <w:sz w:val="17"/>
          <w:szCs w:val="17"/>
          <w:lang w:eastAsia="en-AU" w:bidi="en-US"/>
        </w:rPr>
        <w:t>Bonus bets</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Depending on the terms of the offer, bonus bets may be accepted as an offer of a genuine complimentary gambling product, provided the offer is to reward existing customers.</w:t>
      </w:r>
      <w:r w:rsidR="00E10DC6">
        <w:rPr>
          <w:rFonts w:ascii="Times New Roman" w:eastAsia="Times New Roman" w:hAnsi="Times New Roman"/>
          <w:sz w:val="17"/>
          <w:szCs w:val="17"/>
          <w:lang w:eastAsia="en-AU" w:bidi="en-US"/>
        </w:rPr>
        <w:t xml:space="preserve"> </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To be considered a genuine complimentary gambling product, bonus bet offers must not—</w:t>
      </w:r>
    </w:p>
    <w:p w:rsidR="00ED27D9" w:rsidRPr="00ED27D9" w:rsidRDefault="00ED27D9" w:rsidP="00382CFF">
      <w:pPr>
        <w:numPr>
          <w:ilvl w:val="0"/>
          <w:numId w:val="193"/>
        </w:numPr>
        <w:spacing w:after="120" w:line="240" w:lineRule="auto"/>
        <w:ind w:left="1276" w:hanging="43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be excessive or disproportionate to the amount wagered; or</w:t>
      </w:r>
    </w:p>
    <w:p w:rsidR="00ED27D9" w:rsidRPr="00ED27D9" w:rsidRDefault="00ED27D9" w:rsidP="00382CFF">
      <w:pPr>
        <w:numPr>
          <w:ilvl w:val="0"/>
          <w:numId w:val="193"/>
        </w:numPr>
        <w:spacing w:after="120" w:line="240" w:lineRule="auto"/>
        <w:ind w:left="1276" w:hanging="43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encourage a person to gamble more or for longer than they otherw</w:t>
      </w:r>
      <w:r w:rsidR="002C4A06">
        <w:rPr>
          <w:rFonts w:ascii="Times New Roman" w:eastAsia="Times New Roman" w:hAnsi="Times New Roman"/>
          <w:sz w:val="17"/>
          <w:szCs w:val="17"/>
          <w:lang w:eastAsia="en-AU" w:bidi="en-US"/>
        </w:rPr>
        <w:t>ise would.</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Bonus bets offered as complimentary gambling products by interactive gambling providers may only be offered if the winnings from a bet made with the complimentary gambling product can be withdrawn by an account holder without being subject to a requirement that the account holder continue to bet with those winnings.</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Bonus bets in the form of a genuine complimentary gambling product are only permitted to be advertised on platforms which provides predominantly thoroughbred horse, harness or greyhound racing (that is dedicated racing television channels, websites, written publications or radio stations and within the boundaries of racetracks and must be published or communicated on the part of the platform that exclusively contains racing-related content.</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A complimentary gambling product in the form of a bonus bet offer may not be advertised if it exceeds $100.</w:t>
      </w:r>
    </w:p>
    <w:p w:rsidR="00ED27D9" w:rsidRPr="00ED27D9" w:rsidRDefault="00ED27D9" w:rsidP="00184B55">
      <w:pPr>
        <w:tabs>
          <w:tab w:val="left" w:pos="284"/>
          <w:tab w:val="left" w:pos="709"/>
        </w:tabs>
        <w:spacing w:after="120" w:line="240" w:lineRule="auto"/>
        <w:ind w:left="426"/>
        <w:jc w:val="left"/>
        <w:rPr>
          <w:rFonts w:ascii="Times New Roman" w:eastAsia="Times New Roman" w:hAnsi="Times New Roman"/>
          <w:b/>
          <w:sz w:val="17"/>
          <w:szCs w:val="17"/>
          <w:lang w:eastAsia="en-AU" w:bidi="en-US"/>
        </w:rPr>
      </w:pPr>
      <w:r w:rsidRPr="00ED27D9">
        <w:rPr>
          <w:rFonts w:ascii="Times New Roman" w:eastAsia="Times New Roman" w:hAnsi="Times New Roman"/>
          <w:b/>
          <w:sz w:val="17"/>
          <w:szCs w:val="17"/>
          <w:lang w:eastAsia="en-AU" w:bidi="en-US"/>
        </w:rPr>
        <w:t>Racing platform advertising</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Commissioner accepts that people who watch racing content broadcast on racing channels and purchase publications about racing tend to be people already engaged in gambling or be existing customers of gambling providers.</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code of practice allows for the permissible advertising of inducements if—</w:t>
      </w:r>
    </w:p>
    <w:p w:rsidR="00ED27D9" w:rsidRPr="00ED27D9" w:rsidRDefault="00ED27D9" w:rsidP="00382CFF">
      <w:pPr>
        <w:numPr>
          <w:ilvl w:val="0"/>
          <w:numId w:val="186"/>
        </w:numPr>
        <w:spacing w:after="120" w:line="240" w:lineRule="auto"/>
        <w:ind w:left="1276" w:hanging="43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advertised inducement is only available for a bet placed on a racing event and not a bet placed on any other sport or fixture; and</w:t>
      </w:r>
    </w:p>
    <w:p w:rsidR="00ED27D9" w:rsidRPr="00ED27D9" w:rsidRDefault="00ED27D9" w:rsidP="00382CFF">
      <w:pPr>
        <w:numPr>
          <w:ilvl w:val="0"/>
          <w:numId w:val="186"/>
        </w:numPr>
        <w:spacing w:after="120" w:line="240" w:lineRule="auto"/>
        <w:ind w:left="1276" w:hanging="43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advertisement has been published or communicated on a platform which provides predominantly thoroughbred horse, harness or greyhound racing (that is, dedicated racing television channels, websites, written publications or radio stations and within the boundaries of racetracks); and</w:t>
      </w:r>
    </w:p>
    <w:p w:rsidR="00ED27D9" w:rsidRPr="00ED27D9" w:rsidRDefault="00ED27D9" w:rsidP="00382CFF">
      <w:pPr>
        <w:numPr>
          <w:ilvl w:val="0"/>
          <w:numId w:val="186"/>
        </w:numPr>
        <w:spacing w:after="120" w:line="240" w:lineRule="auto"/>
        <w:ind w:left="1276" w:hanging="43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advertisement has been published or communicated on the part of the platform that exclusively contains racing-relating content.</w:t>
      </w:r>
    </w:p>
    <w:p w:rsidR="00ED27D9" w:rsidRPr="00ED27D9" w:rsidRDefault="00ED27D9" w:rsidP="00F579F5">
      <w:pPr>
        <w:numPr>
          <w:ilvl w:val="0"/>
          <w:numId w:val="182"/>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Some</w:t>
      </w:r>
      <w:r w:rsidRPr="00ED27D9">
        <w:rPr>
          <w:rFonts w:ascii="Times New Roman" w:eastAsia="Times New Roman" w:hAnsi="Times New Roman"/>
          <w:bCs/>
          <w:iCs/>
          <w:sz w:val="17"/>
          <w:szCs w:val="17"/>
          <w:lang w:eastAsia="en-AU" w:bidi="en-US"/>
        </w:rPr>
        <w:t xml:space="preserve"> </w:t>
      </w:r>
      <w:r w:rsidRPr="00ED27D9">
        <w:rPr>
          <w:rFonts w:ascii="Times New Roman" w:eastAsia="Times New Roman" w:hAnsi="Times New Roman"/>
          <w:sz w:val="17"/>
          <w:szCs w:val="17"/>
          <w:lang w:eastAsia="en-AU" w:bidi="en-US"/>
        </w:rPr>
        <w:t>dedicated</w:t>
      </w:r>
      <w:r w:rsidRPr="00ED27D9">
        <w:rPr>
          <w:rFonts w:ascii="Times New Roman" w:eastAsia="Times New Roman" w:hAnsi="Times New Roman"/>
          <w:bCs/>
          <w:iCs/>
          <w:sz w:val="17"/>
          <w:szCs w:val="17"/>
          <w:lang w:eastAsia="en-AU" w:bidi="en-US"/>
        </w:rPr>
        <w:t xml:space="preserve"> racing channels may broadcast </w:t>
      </w:r>
      <w:r w:rsidRPr="00ED27D9">
        <w:rPr>
          <w:rFonts w:ascii="Times New Roman" w:eastAsia="Times New Roman" w:hAnsi="Times New Roman"/>
          <w:sz w:val="17"/>
          <w:szCs w:val="17"/>
          <w:lang w:eastAsia="en-AU" w:bidi="en-US"/>
        </w:rPr>
        <w:t>sport or other programs when racing content is not available, however inducements may not be advertised during these programs.</w:t>
      </w:r>
    </w:p>
    <w:p w:rsidR="00ED27D9" w:rsidRPr="00ED27D9" w:rsidRDefault="00ED27D9" w:rsidP="00382CFF">
      <w:pPr>
        <w:numPr>
          <w:ilvl w:val="0"/>
          <w:numId w:val="194"/>
        </w:numPr>
        <w:spacing w:after="120" w:line="240" w:lineRule="auto"/>
        <w:ind w:left="426" w:hanging="436"/>
        <w:jc w:val="left"/>
        <w:rPr>
          <w:rFonts w:ascii="Times New Roman" w:eastAsia="Times New Roman" w:hAnsi="Times New Roman"/>
          <w:b/>
          <w:sz w:val="17"/>
          <w:szCs w:val="17"/>
          <w:lang w:eastAsia="en-AU"/>
        </w:rPr>
      </w:pPr>
      <w:r w:rsidRPr="00ED27D9">
        <w:rPr>
          <w:rFonts w:ascii="Times New Roman" w:eastAsia="Times New Roman" w:hAnsi="Times New Roman"/>
          <w:b/>
          <w:sz w:val="17"/>
          <w:szCs w:val="17"/>
          <w:lang w:eastAsia="en-AU"/>
        </w:rPr>
        <w:t>Gambling advertising</w:t>
      </w:r>
    </w:p>
    <w:p w:rsidR="00ED27D9" w:rsidRPr="00ED27D9" w:rsidRDefault="00ED27D9" w:rsidP="00382CFF">
      <w:pPr>
        <w:numPr>
          <w:ilvl w:val="0"/>
          <w:numId w:val="187"/>
        </w:numPr>
        <w:spacing w:after="120" w:line="240" w:lineRule="auto"/>
        <w:ind w:left="851"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It is the responsibility of the gambling provider to ensure that their gambling advertising complies with the relevant provisions of the code of practice.</w:t>
      </w:r>
    </w:p>
    <w:p w:rsidR="00ED27D9" w:rsidRPr="00ED27D9" w:rsidRDefault="00ED27D9" w:rsidP="00382CFF">
      <w:pPr>
        <w:numPr>
          <w:ilvl w:val="0"/>
          <w:numId w:val="187"/>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When considering whether the advertising of an offer by a gambling provider is an inducement, the Commissioner will have regard to—</w:t>
      </w:r>
    </w:p>
    <w:p w:rsidR="00ED27D9" w:rsidRPr="00ED27D9" w:rsidRDefault="00ED27D9" w:rsidP="00382CFF">
      <w:pPr>
        <w:numPr>
          <w:ilvl w:val="0"/>
          <w:numId w:val="192"/>
        </w:numPr>
        <w:spacing w:after="120" w:line="240" w:lineRule="auto"/>
        <w:ind w:left="1276"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whether the advertisement includes an offer that might encourage a person to engage in gambling behaviour, or encourage a person to gamble more than they otherwise would;</w:t>
      </w:r>
    </w:p>
    <w:p w:rsidR="00ED27D9" w:rsidRPr="00ED27D9" w:rsidRDefault="00ED27D9" w:rsidP="00382CFF">
      <w:pPr>
        <w:numPr>
          <w:ilvl w:val="0"/>
          <w:numId w:val="192"/>
        </w:numPr>
        <w:spacing w:after="120" w:line="240" w:lineRule="auto"/>
        <w:ind w:left="1276"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whether the advertisement includes an offer that might encourage a person to gamble for longer or more frequently;</w:t>
      </w:r>
    </w:p>
    <w:p w:rsidR="00ED27D9" w:rsidRPr="00ED27D9" w:rsidRDefault="00ED27D9" w:rsidP="00382CFF">
      <w:pPr>
        <w:numPr>
          <w:ilvl w:val="0"/>
          <w:numId w:val="192"/>
        </w:numPr>
        <w:spacing w:after="120" w:line="240" w:lineRule="auto"/>
        <w:ind w:left="1276"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whether the advertisement includes an offer that might encourage a person to gamble in a certain manner or during certain times;</w:t>
      </w:r>
    </w:p>
    <w:p w:rsidR="00ED27D9" w:rsidRPr="00ED27D9" w:rsidRDefault="00ED27D9" w:rsidP="00382CFF">
      <w:pPr>
        <w:numPr>
          <w:ilvl w:val="0"/>
          <w:numId w:val="192"/>
        </w:numPr>
        <w:spacing w:after="120" w:line="240" w:lineRule="auto"/>
        <w:ind w:left="1276" w:hanging="425"/>
        <w:jc w:val="left"/>
        <w:rPr>
          <w:rFonts w:ascii="Times New Roman" w:eastAsia="Times New Roman" w:hAnsi="Times New Roman"/>
          <w:spacing w:val="-4"/>
          <w:sz w:val="17"/>
          <w:szCs w:val="17"/>
          <w:lang w:eastAsia="en-AU" w:bidi="en-US"/>
        </w:rPr>
      </w:pPr>
      <w:r w:rsidRPr="00ED27D9">
        <w:rPr>
          <w:rFonts w:ascii="Times New Roman" w:eastAsia="Times New Roman" w:hAnsi="Times New Roman"/>
          <w:spacing w:val="-4"/>
          <w:sz w:val="17"/>
          <w:szCs w:val="17"/>
          <w:lang w:eastAsia="en-AU" w:bidi="en-US"/>
        </w:rPr>
        <w:t xml:space="preserve">whether the advertisement includes an offer that might encourage a person to bet an amount </w:t>
      </w:r>
      <w:r w:rsidR="00F252B9" w:rsidRPr="00F252B9">
        <w:rPr>
          <w:rFonts w:ascii="Times New Roman" w:eastAsia="Times New Roman" w:hAnsi="Times New Roman"/>
          <w:spacing w:val="-4"/>
          <w:sz w:val="17"/>
          <w:szCs w:val="17"/>
          <w:lang w:eastAsia="en-AU" w:bidi="en-US"/>
        </w:rPr>
        <w:t>more than they otherwise would;</w:t>
      </w:r>
    </w:p>
    <w:p w:rsidR="00ED27D9" w:rsidRPr="00ED27D9" w:rsidRDefault="00ED27D9" w:rsidP="00382CFF">
      <w:pPr>
        <w:numPr>
          <w:ilvl w:val="0"/>
          <w:numId w:val="192"/>
        </w:numPr>
        <w:spacing w:after="120" w:line="240" w:lineRule="auto"/>
        <w:ind w:left="1276"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whether the advertisement includes an offer that is excessive or disproportionate to the amount to be wagered; and</w:t>
      </w:r>
    </w:p>
    <w:p w:rsidR="00617F38" w:rsidRPr="00617F38" w:rsidRDefault="00ED27D9" w:rsidP="00617F38">
      <w:pPr>
        <w:numPr>
          <w:ilvl w:val="0"/>
          <w:numId w:val="192"/>
        </w:numPr>
        <w:spacing w:after="120" w:line="240" w:lineRule="auto"/>
        <w:ind w:left="1276" w:hanging="425"/>
        <w:jc w:val="left"/>
        <w:rPr>
          <w:rFonts w:ascii="Times New Roman" w:eastAsia="Times New Roman" w:hAnsi="Times New Roman"/>
          <w:spacing w:val="-4"/>
          <w:sz w:val="17"/>
          <w:szCs w:val="17"/>
          <w:lang w:eastAsia="en-AU" w:bidi="en-US"/>
        </w:rPr>
      </w:pPr>
      <w:r w:rsidRPr="00ED27D9">
        <w:rPr>
          <w:rFonts w:ascii="Times New Roman" w:eastAsia="Times New Roman" w:hAnsi="Times New Roman"/>
          <w:spacing w:val="-4"/>
          <w:sz w:val="17"/>
          <w:szCs w:val="17"/>
          <w:lang w:eastAsia="en-AU" w:bidi="en-US"/>
        </w:rPr>
        <w:t>whether the advertisement includes an offer that might suggest new customers receive benefits that existing customers do not.</w:t>
      </w:r>
      <w:r w:rsidR="00617F38" w:rsidRPr="00617F38">
        <w:rPr>
          <w:rFonts w:ascii="Times New Roman" w:eastAsia="Times New Roman" w:hAnsi="Times New Roman"/>
          <w:b/>
          <w:sz w:val="17"/>
          <w:szCs w:val="17"/>
          <w:lang w:eastAsia="en-AU" w:bidi="en-US"/>
        </w:rPr>
        <w:br w:type="page"/>
      </w:r>
    </w:p>
    <w:p w:rsidR="00ED27D9" w:rsidRPr="00ED27D9" w:rsidRDefault="00ED27D9" w:rsidP="00184B55">
      <w:pPr>
        <w:tabs>
          <w:tab w:val="left" w:pos="284"/>
          <w:tab w:val="left" w:pos="709"/>
        </w:tabs>
        <w:spacing w:after="120" w:line="240" w:lineRule="auto"/>
        <w:ind w:left="426"/>
        <w:jc w:val="left"/>
        <w:rPr>
          <w:rFonts w:ascii="Times New Roman" w:eastAsia="Times New Roman" w:hAnsi="Times New Roman"/>
          <w:b/>
          <w:sz w:val="17"/>
          <w:szCs w:val="17"/>
          <w:lang w:eastAsia="en-AU" w:bidi="en-US"/>
        </w:rPr>
      </w:pPr>
      <w:r w:rsidRPr="00ED27D9">
        <w:rPr>
          <w:rFonts w:ascii="Times New Roman" w:eastAsia="Times New Roman" w:hAnsi="Times New Roman"/>
          <w:b/>
          <w:sz w:val="17"/>
          <w:szCs w:val="17"/>
          <w:lang w:eastAsia="en-AU" w:bidi="en-US"/>
        </w:rPr>
        <w:lastRenderedPageBreak/>
        <w:t>Advertising of offers that are not available to SA residents</w:t>
      </w:r>
    </w:p>
    <w:p w:rsidR="00ED27D9" w:rsidRPr="00ED27D9" w:rsidRDefault="00ED27D9" w:rsidP="00262700">
      <w:pPr>
        <w:numPr>
          <w:ilvl w:val="0"/>
          <w:numId w:val="187"/>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The code of practice restricts the advertising of offers in South Australia that include a disclaimer that the offer is not available to South Australian residents.</w:t>
      </w:r>
    </w:p>
    <w:p w:rsidR="00ED27D9" w:rsidRPr="00ED27D9" w:rsidRDefault="00ED27D9" w:rsidP="00262700">
      <w:pPr>
        <w:numPr>
          <w:ilvl w:val="0"/>
          <w:numId w:val="187"/>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Gambling providers must, to the greatest extent practicable not advertise offers in South Australia that are not available to South Australian residents, if they can control or it is reasonable to expect that directions could be given that the offer is not to be advertised or communicated in South Australia.</w:t>
      </w:r>
    </w:p>
    <w:p w:rsidR="00ED27D9" w:rsidRPr="00ED27D9" w:rsidRDefault="00ED27D9" w:rsidP="00262700">
      <w:pPr>
        <w:numPr>
          <w:ilvl w:val="0"/>
          <w:numId w:val="187"/>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For example—</w:t>
      </w:r>
    </w:p>
    <w:p w:rsidR="00ED27D9" w:rsidRPr="00ED27D9" w:rsidRDefault="00ED27D9" w:rsidP="00262700">
      <w:pPr>
        <w:spacing w:after="120" w:line="240" w:lineRule="auto"/>
        <w:ind w:left="851"/>
        <w:jc w:val="left"/>
        <w:rPr>
          <w:rFonts w:ascii="Times New Roman" w:eastAsia="Times New Roman" w:hAnsi="Times New Roman"/>
          <w:sz w:val="17"/>
          <w:szCs w:val="17"/>
          <w:lang w:eastAsia="en-AU" w:bidi="en-US"/>
        </w:rPr>
      </w:pPr>
      <w:r w:rsidRPr="00ED27D9">
        <w:rPr>
          <w:rFonts w:ascii="Times New Roman" w:eastAsia="Times New Roman" w:hAnsi="Times New Roman"/>
          <w:i/>
          <w:iCs/>
          <w:sz w:val="17"/>
          <w:szCs w:val="17"/>
          <w:lang w:eastAsia="en-AU" w:bidi="en-US"/>
        </w:rPr>
        <w:t>If the advertisement appears in a local South Australian newspaper, it would be expected that the gambling provider is likely to have control over the placement of the advertisement and can avoid it being published in that newspaper</w:t>
      </w:r>
      <w:r w:rsidRPr="00ED27D9">
        <w:rPr>
          <w:rFonts w:ascii="Times New Roman" w:eastAsia="Times New Roman" w:hAnsi="Times New Roman"/>
          <w:sz w:val="17"/>
          <w:szCs w:val="17"/>
          <w:lang w:eastAsia="en-AU" w:bidi="en-US"/>
        </w:rPr>
        <w:t>.</w:t>
      </w:r>
      <w:r w:rsidR="00E10DC6">
        <w:rPr>
          <w:rFonts w:ascii="Times New Roman" w:eastAsia="Times New Roman" w:hAnsi="Times New Roman"/>
          <w:sz w:val="17"/>
          <w:szCs w:val="17"/>
          <w:lang w:eastAsia="en-AU" w:bidi="en-US"/>
        </w:rPr>
        <w:t xml:space="preserve"> </w:t>
      </w:r>
    </w:p>
    <w:p w:rsidR="00ED27D9" w:rsidRPr="00ED27D9" w:rsidRDefault="00ED27D9" w:rsidP="00262700">
      <w:pPr>
        <w:spacing w:after="240" w:line="240" w:lineRule="auto"/>
        <w:ind w:left="851"/>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However, if the advertisement is to appear during a nationally televised broadcast that cannot be separated, then the gambling provider will not be in breach of the code of practice if the advertisement appears and includes a disclaimer that the offer is not available to South Australian residents.</w:t>
      </w:r>
    </w:p>
    <w:p w:rsidR="00ED27D9" w:rsidRPr="00ED27D9" w:rsidRDefault="00ED27D9" w:rsidP="00382CFF">
      <w:pPr>
        <w:numPr>
          <w:ilvl w:val="0"/>
          <w:numId w:val="194"/>
        </w:numPr>
        <w:spacing w:after="120" w:line="240" w:lineRule="auto"/>
        <w:ind w:left="426" w:hanging="436"/>
        <w:jc w:val="left"/>
        <w:rPr>
          <w:rFonts w:ascii="Times New Roman" w:eastAsia="Times New Roman" w:hAnsi="Times New Roman"/>
          <w:b/>
          <w:sz w:val="17"/>
          <w:szCs w:val="17"/>
          <w:lang w:eastAsia="en-AU"/>
        </w:rPr>
      </w:pPr>
      <w:r w:rsidRPr="00ED27D9">
        <w:rPr>
          <w:rFonts w:ascii="Times New Roman" w:eastAsia="Times New Roman" w:hAnsi="Times New Roman"/>
          <w:b/>
          <w:sz w:val="17"/>
          <w:szCs w:val="17"/>
          <w:lang w:eastAsia="en-AU"/>
        </w:rPr>
        <w:t>Direct communication with customers</w:t>
      </w:r>
    </w:p>
    <w:p w:rsidR="00ED27D9" w:rsidRPr="00ED27D9" w:rsidRDefault="00ED27D9" w:rsidP="00382CFF">
      <w:pPr>
        <w:numPr>
          <w:ilvl w:val="0"/>
          <w:numId w:val="188"/>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Gambling providers will not be regarded as advertising when communicating directly with customers—</w:t>
      </w:r>
    </w:p>
    <w:p w:rsidR="00ED27D9" w:rsidRPr="00ED27D9" w:rsidRDefault="00ED27D9" w:rsidP="00382CFF">
      <w:pPr>
        <w:numPr>
          <w:ilvl w:val="0"/>
          <w:numId w:val="189"/>
        </w:numPr>
        <w:spacing w:after="120" w:line="240" w:lineRule="auto"/>
        <w:ind w:left="1276"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who have expressly agreed to receiving advertising material;</w:t>
      </w:r>
    </w:p>
    <w:p w:rsidR="00ED27D9" w:rsidRPr="00ED27D9" w:rsidRDefault="00ED27D9" w:rsidP="00382CFF">
      <w:pPr>
        <w:numPr>
          <w:ilvl w:val="0"/>
          <w:numId w:val="189"/>
        </w:numPr>
        <w:spacing w:after="120" w:line="240" w:lineRule="auto"/>
        <w:ind w:left="1276"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on a private webpage maintained by the gambling provider, where access is controlled by the use of a secure login;</w:t>
      </w:r>
    </w:p>
    <w:p w:rsidR="00ED27D9" w:rsidRPr="00ED27D9" w:rsidRDefault="00ED27D9" w:rsidP="00382CFF">
      <w:pPr>
        <w:numPr>
          <w:ilvl w:val="0"/>
          <w:numId w:val="189"/>
        </w:numPr>
        <w:spacing w:after="120" w:line="240" w:lineRule="auto"/>
        <w:ind w:left="1276"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or by drawing attention to printed point of sale material in gambling areas.</w:t>
      </w:r>
    </w:p>
    <w:p w:rsidR="00ED27D9" w:rsidRPr="00ED27D9" w:rsidRDefault="00ED27D9" w:rsidP="00382CFF">
      <w:pPr>
        <w:numPr>
          <w:ilvl w:val="0"/>
          <w:numId w:val="188"/>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For a person to expressly consent to receiving advertising material, they must ‘</w:t>
      </w:r>
      <w:r w:rsidRPr="00ED27D9">
        <w:rPr>
          <w:rFonts w:ascii="Times New Roman" w:eastAsia="Times New Roman" w:hAnsi="Times New Roman"/>
          <w:b/>
          <w:i/>
          <w:sz w:val="17"/>
          <w:szCs w:val="17"/>
          <w:lang w:eastAsia="en-AU" w:bidi="en-US"/>
        </w:rPr>
        <w:t>opt-in</w:t>
      </w:r>
      <w:r w:rsidRPr="00ED27D9">
        <w:rPr>
          <w:rFonts w:ascii="Times New Roman" w:eastAsia="Times New Roman" w:hAnsi="Times New Roman"/>
          <w:sz w:val="17"/>
          <w:szCs w:val="17"/>
          <w:lang w:eastAsia="en-AU" w:bidi="en-US"/>
        </w:rPr>
        <w:t>’ rather than ‘</w:t>
      </w:r>
      <w:r w:rsidRPr="00ED27D9">
        <w:rPr>
          <w:rFonts w:ascii="Times New Roman" w:eastAsia="Times New Roman" w:hAnsi="Times New Roman"/>
          <w:b/>
          <w:i/>
          <w:sz w:val="17"/>
          <w:szCs w:val="17"/>
          <w:lang w:eastAsia="en-AU" w:bidi="en-US"/>
        </w:rPr>
        <w:t>opting-out</w:t>
      </w:r>
      <w:r w:rsidRPr="00ED27D9">
        <w:rPr>
          <w:rFonts w:ascii="Times New Roman" w:eastAsia="Times New Roman" w:hAnsi="Times New Roman"/>
          <w:sz w:val="17"/>
          <w:szCs w:val="17"/>
          <w:lang w:eastAsia="en-AU" w:bidi="en-US"/>
        </w:rPr>
        <w:t>’ to receiving marketing material.</w:t>
      </w:r>
    </w:p>
    <w:p w:rsidR="00ED27D9" w:rsidRPr="00ED27D9" w:rsidRDefault="00ED27D9" w:rsidP="00382CFF">
      <w:pPr>
        <w:numPr>
          <w:ilvl w:val="0"/>
          <w:numId w:val="188"/>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Additionally, interactive wagering service providers must not provide any credit, voucher or reward or other benefit to encourage a person to consent or to continue to receive direct marketing.</w:t>
      </w:r>
    </w:p>
    <w:p w:rsidR="00ED27D9" w:rsidRPr="00ED27D9" w:rsidRDefault="00ED27D9" w:rsidP="00382CFF">
      <w:pPr>
        <w:numPr>
          <w:ilvl w:val="0"/>
          <w:numId w:val="188"/>
        </w:numPr>
        <w:spacing w:after="120" w:line="240" w:lineRule="auto"/>
        <w:ind w:left="851" w:hanging="426"/>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Interactive wagering service providers must—</w:t>
      </w:r>
    </w:p>
    <w:p w:rsidR="00ED27D9" w:rsidRPr="00ED27D9" w:rsidRDefault="00ED27D9" w:rsidP="00382CFF">
      <w:pPr>
        <w:numPr>
          <w:ilvl w:val="0"/>
          <w:numId w:val="190"/>
        </w:numPr>
        <w:spacing w:after="120" w:line="240" w:lineRule="auto"/>
        <w:ind w:left="1276"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ensure that a person can unsubscribe easily to receiving advertising and are not sent direct marketing after 5 business days from unsubscribing; and</w:t>
      </w:r>
    </w:p>
    <w:p w:rsidR="00ED27D9" w:rsidRPr="00ED27D9" w:rsidRDefault="00ED27D9" w:rsidP="00382CFF">
      <w:pPr>
        <w:numPr>
          <w:ilvl w:val="0"/>
          <w:numId w:val="190"/>
        </w:numPr>
        <w:spacing w:after="240" w:line="240" w:lineRule="auto"/>
        <w:ind w:left="1276" w:hanging="425"/>
        <w:jc w:val="left"/>
        <w:rPr>
          <w:rFonts w:ascii="Times New Roman" w:eastAsia="Times New Roman" w:hAnsi="Times New Roman"/>
          <w:sz w:val="17"/>
          <w:szCs w:val="17"/>
          <w:lang w:eastAsia="en-AU" w:bidi="en-US"/>
        </w:rPr>
      </w:pPr>
      <w:r w:rsidRPr="00ED27D9">
        <w:rPr>
          <w:rFonts w:ascii="Times New Roman" w:eastAsia="Times New Roman" w:hAnsi="Times New Roman"/>
          <w:sz w:val="17"/>
          <w:szCs w:val="17"/>
          <w:lang w:eastAsia="en-AU" w:bidi="en-US"/>
        </w:rPr>
        <w:t>not provide any inducement to encourage a person to consent to or to continue to receive direct marketing.</w:t>
      </w:r>
    </w:p>
    <w:p w:rsidR="00ED27D9" w:rsidRPr="00ED27D9" w:rsidRDefault="00ED27D9" w:rsidP="00382CFF">
      <w:pPr>
        <w:numPr>
          <w:ilvl w:val="0"/>
          <w:numId w:val="194"/>
        </w:numPr>
        <w:spacing w:after="120" w:line="240" w:lineRule="auto"/>
        <w:ind w:left="426" w:hanging="437"/>
        <w:jc w:val="left"/>
        <w:rPr>
          <w:rFonts w:ascii="Times New Roman" w:eastAsia="Times New Roman" w:hAnsi="Times New Roman"/>
          <w:b/>
          <w:sz w:val="17"/>
          <w:szCs w:val="17"/>
          <w:lang w:eastAsia="en-AU"/>
        </w:rPr>
      </w:pPr>
      <w:r w:rsidRPr="00ED27D9">
        <w:rPr>
          <w:rFonts w:ascii="Times New Roman" w:eastAsia="Times New Roman" w:hAnsi="Times New Roman"/>
          <w:b/>
          <w:sz w:val="17"/>
          <w:szCs w:val="17"/>
          <w:lang w:eastAsia="en-AU"/>
        </w:rPr>
        <w:t>Examples</w:t>
      </w:r>
    </w:p>
    <w:p w:rsidR="00ED27D9" w:rsidRPr="00ED27D9" w:rsidRDefault="00ED27D9" w:rsidP="00141952">
      <w:pPr>
        <w:spacing w:after="120" w:line="240" w:lineRule="auto"/>
        <w:ind w:left="567"/>
        <w:jc w:val="left"/>
        <w:rPr>
          <w:rFonts w:ascii="Times New Roman" w:eastAsia="Times New Roman" w:hAnsi="Times New Roman"/>
          <w:b/>
          <w:sz w:val="17"/>
          <w:szCs w:val="17"/>
          <w:lang w:eastAsia="en-AU" w:bidi="en-US"/>
        </w:rPr>
      </w:pPr>
      <w:bookmarkStart w:id="73" w:name="_Toc41649158"/>
      <w:r w:rsidRPr="00ED27D9">
        <w:rPr>
          <w:rFonts w:ascii="Times New Roman" w:eastAsia="Times New Roman" w:hAnsi="Times New Roman"/>
          <w:b/>
          <w:sz w:val="17"/>
          <w:szCs w:val="17"/>
          <w:lang w:eastAsia="en-AU" w:bidi="en-US"/>
        </w:rPr>
        <w:t>Example 1</w:t>
      </w:r>
    </w:p>
    <w:p w:rsidR="00ED27D9" w:rsidRPr="00ED27D9" w:rsidRDefault="00ED27D9" w:rsidP="00141952">
      <w:pPr>
        <w:spacing w:after="120" w:line="240" w:lineRule="auto"/>
        <w:ind w:left="567"/>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The code of practice prohibits the offering or advertising of inducements that encourages a person to open a gambling account, or to not close a gambling account</w:t>
      </w:r>
      <w:bookmarkEnd w:id="73"/>
      <w:r w:rsidRPr="00ED27D9">
        <w:rPr>
          <w:rFonts w:ascii="Times New Roman" w:eastAsia="Times New Roman" w:hAnsi="Times New Roman"/>
          <w:i/>
          <w:iCs/>
          <w:sz w:val="17"/>
          <w:szCs w:val="17"/>
          <w:lang w:eastAsia="en-AU" w:bidi="en-US"/>
        </w:rPr>
        <w:t>.</w:t>
      </w:r>
      <w:r w:rsidR="00E10DC6">
        <w:rPr>
          <w:rFonts w:ascii="Times New Roman" w:eastAsia="Times New Roman" w:hAnsi="Times New Roman"/>
          <w:i/>
          <w:iCs/>
          <w:sz w:val="17"/>
          <w:szCs w:val="17"/>
          <w:lang w:eastAsia="en-AU" w:bidi="en-US"/>
        </w:rPr>
        <w:t xml:space="preserve"> </w:t>
      </w:r>
      <w:r w:rsidRPr="00ED27D9">
        <w:rPr>
          <w:rFonts w:ascii="Times New Roman" w:eastAsia="Times New Roman" w:hAnsi="Times New Roman"/>
          <w:i/>
          <w:iCs/>
          <w:sz w:val="17"/>
          <w:szCs w:val="17"/>
          <w:lang w:eastAsia="en-AU" w:bidi="en-US"/>
        </w:rPr>
        <w:t>For example, the following types of offers are not permitted:</w:t>
      </w:r>
    </w:p>
    <w:p w:rsidR="00ED27D9" w:rsidRPr="00ED27D9" w:rsidRDefault="00ED27D9" w:rsidP="00382CFF">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“Place your first bet and get $250 in bonus bets”</w:t>
      </w:r>
    </w:p>
    <w:p w:rsidR="00ED27D9" w:rsidRPr="00ED27D9" w:rsidRDefault="00ED27D9" w:rsidP="00382CFF">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“Double your winnings for the first 6 months if you join now”</w:t>
      </w:r>
    </w:p>
    <w:p w:rsidR="00ED27D9" w:rsidRPr="00ED27D9" w:rsidRDefault="00ED27D9" w:rsidP="00382CFF">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“Join now and receive $100 in bonus bets”</w:t>
      </w:r>
    </w:p>
    <w:p w:rsidR="00ED27D9" w:rsidRPr="00ED27D9" w:rsidRDefault="00ED27D9" w:rsidP="00382CFF">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“Open an account this month and go into the draw to win a prize”</w:t>
      </w:r>
    </w:p>
    <w:p w:rsidR="00ED27D9" w:rsidRPr="00ED27D9" w:rsidRDefault="00ED27D9" w:rsidP="00382CFF">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“Stay with us a bit longer and receive $50 in bonus bets”</w:t>
      </w:r>
    </w:p>
    <w:p w:rsidR="00ED27D9" w:rsidRPr="00ED27D9" w:rsidRDefault="00ED27D9" w:rsidP="00382CFF">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“Refer a friend, and you’ll receive $100 in bonus bets”.</w:t>
      </w:r>
    </w:p>
    <w:p w:rsidR="00ED27D9" w:rsidRPr="00ED27D9" w:rsidRDefault="00ED27D9" w:rsidP="00141952">
      <w:pPr>
        <w:spacing w:after="120" w:line="240" w:lineRule="auto"/>
        <w:ind w:left="567"/>
        <w:jc w:val="left"/>
        <w:rPr>
          <w:rFonts w:ascii="Times New Roman" w:eastAsia="Times New Roman" w:hAnsi="Times New Roman"/>
          <w:b/>
          <w:sz w:val="17"/>
          <w:szCs w:val="17"/>
          <w:lang w:eastAsia="en-AU" w:bidi="en-US"/>
        </w:rPr>
      </w:pPr>
      <w:r w:rsidRPr="00ED27D9">
        <w:rPr>
          <w:rFonts w:ascii="Times New Roman" w:eastAsia="Times New Roman" w:hAnsi="Times New Roman"/>
          <w:b/>
          <w:sz w:val="17"/>
          <w:szCs w:val="17"/>
          <w:lang w:eastAsia="en-AU" w:bidi="en-US"/>
        </w:rPr>
        <w:t>Example 2</w:t>
      </w:r>
    </w:p>
    <w:p w:rsidR="00ED27D9" w:rsidRPr="00ED27D9" w:rsidRDefault="00ED27D9" w:rsidP="00141952">
      <w:pPr>
        <w:spacing w:after="120" w:line="240" w:lineRule="auto"/>
        <w:ind w:left="567"/>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The following is an example of an acceptable trade promotion lottery that may be advertised to existing customers:</w:t>
      </w:r>
    </w:p>
    <w:p w:rsidR="00ED27D9" w:rsidRPr="00ED27D9" w:rsidRDefault="00ED27D9" w:rsidP="00382CFF">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“Place any bet this month and go into the draw to win a prize”.</w:t>
      </w:r>
    </w:p>
    <w:p w:rsidR="00ED27D9" w:rsidRPr="00ED27D9" w:rsidRDefault="00ED27D9" w:rsidP="00141952">
      <w:pPr>
        <w:spacing w:after="120" w:line="240" w:lineRule="auto"/>
        <w:ind w:left="567"/>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The following is an example of an offer that will not be permitted:</w:t>
      </w:r>
    </w:p>
    <w:p w:rsidR="00ED27D9" w:rsidRPr="00ED27D9" w:rsidRDefault="00ED27D9" w:rsidP="00382CFF">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“Place a bet of $10 or more this week and for every bet you make enter our draw to win a prize”.</w:t>
      </w:r>
    </w:p>
    <w:p w:rsidR="00ED27D9" w:rsidRPr="00ED27D9" w:rsidRDefault="00ED27D9" w:rsidP="00141952">
      <w:pPr>
        <w:spacing w:after="120" w:line="240" w:lineRule="auto"/>
        <w:ind w:left="567"/>
        <w:jc w:val="left"/>
        <w:rPr>
          <w:rFonts w:ascii="Times New Roman" w:eastAsia="Times New Roman" w:hAnsi="Times New Roman"/>
          <w:b/>
          <w:sz w:val="17"/>
          <w:szCs w:val="17"/>
          <w:lang w:eastAsia="en-AU" w:bidi="en-US"/>
        </w:rPr>
      </w:pPr>
      <w:r w:rsidRPr="00ED27D9">
        <w:rPr>
          <w:rFonts w:ascii="Times New Roman" w:eastAsia="Times New Roman" w:hAnsi="Times New Roman"/>
          <w:b/>
          <w:sz w:val="17"/>
          <w:szCs w:val="17"/>
          <w:lang w:eastAsia="en-AU" w:bidi="en-US"/>
        </w:rPr>
        <w:t>Example 3</w:t>
      </w:r>
    </w:p>
    <w:p w:rsidR="00ED27D9" w:rsidRPr="00ED27D9" w:rsidRDefault="00ED27D9" w:rsidP="00141952">
      <w:pPr>
        <w:spacing w:after="120" w:line="240" w:lineRule="auto"/>
        <w:ind w:left="567"/>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Complimentary gambling products that are given free of charge to customers, as a courtesy for their patronage, could include offers such as:</w:t>
      </w:r>
    </w:p>
    <w:p w:rsidR="00ED27D9" w:rsidRPr="00ED27D9" w:rsidRDefault="00ED27D9" w:rsidP="00382CFF">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 xml:space="preserve">“Cashback for running 2nd or 3rd” up to $25 </w:t>
      </w:r>
    </w:p>
    <w:p w:rsidR="00ED27D9" w:rsidRPr="00ED27D9" w:rsidRDefault="00ED27D9" w:rsidP="00382CFF">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“Double your winnings up to $25”</w:t>
      </w:r>
    </w:p>
    <w:p w:rsidR="00ED27D9" w:rsidRPr="00ED27D9" w:rsidRDefault="00ED27D9" w:rsidP="00382CFF">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“Winnings paid if leading at half time”</w:t>
      </w:r>
    </w:p>
    <w:p w:rsidR="00617F38" w:rsidRPr="00617F38" w:rsidRDefault="00ED27D9" w:rsidP="00617F38">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lastRenderedPageBreak/>
        <w:t>“enhanced odds” or “increased odds”.</w:t>
      </w:r>
      <w:r w:rsidR="00617F38" w:rsidRPr="00617F38">
        <w:rPr>
          <w:rFonts w:ascii="Times New Roman" w:eastAsia="Times New Roman" w:hAnsi="Times New Roman"/>
          <w:b/>
          <w:sz w:val="17"/>
          <w:szCs w:val="17"/>
          <w:lang w:eastAsia="en-AU" w:bidi="en-US"/>
        </w:rPr>
        <w:br w:type="page"/>
      </w:r>
    </w:p>
    <w:p w:rsidR="00ED27D9" w:rsidRPr="00ED27D9" w:rsidRDefault="00ED27D9" w:rsidP="00141952">
      <w:pPr>
        <w:spacing w:after="120" w:line="240" w:lineRule="auto"/>
        <w:ind w:left="567"/>
        <w:jc w:val="left"/>
        <w:rPr>
          <w:rFonts w:ascii="Times New Roman" w:eastAsia="Times New Roman" w:hAnsi="Times New Roman"/>
          <w:b/>
          <w:sz w:val="17"/>
          <w:szCs w:val="17"/>
          <w:lang w:eastAsia="en-AU" w:bidi="en-US"/>
        </w:rPr>
      </w:pPr>
      <w:r w:rsidRPr="00ED27D9">
        <w:rPr>
          <w:rFonts w:ascii="Times New Roman" w:eastAsia="Times New Roman" w:hAnsi="Times New Roman"/>
          <w:b/>
          <w:sz w:val="17"/>
          <w:szCs w:val="17"/>
          <w:lang w:eastAsia="en-AU" w:bidi="en-US"/>
        </w:rPr>
        <w:lastRenderedPageBreak/>
        <w:t>Example 4</w:t>
      </w:r>
    </w:p>
    <w:p w:rsidR="00ED27D9" w:rsidRPr="00ED27D9" w:rsidRDefault="00ED27D9" w:rsidP="00141952">
      <w:pPr>
        <w:spacing w:after="120" w:line="240" w:lineRule="auto"/>
        <w:ind w:left="567"/>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The following examples are likely to be considered inducements and will not be permitted to be advertised:</w:t>
      </w:r>
      <w:r w:rsidR="00E10DC6">
        <w:rPr>
          <w:rFonts w:ascii="Times New Roman" w:eastAsia="Times New Roman" w:hAnsi="Times New Roman"/>
          <w:i/>
          <w:iCs/>
          <w:sz w:val="17"/>
          <w:szCs w:val="17"/>
          <w:lang w:eastAsia="en-AU" w:bidi="en-US"/>
        </w:rPr>
        <w:t xml:space="preserve"> </w:t>
      </w:r>
    </w:p>
    <w:p w:rsidR="00ED27D9" w:rsidRPr="00ED27D9" w:rsidRDefault="00ED27D9" w:rsidP="00382CFF">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offers that require customers to deposit money into their account to receive rewards or b</w:t>
      </w:r>
      <w:r w:rsidR="0017447E">
        <w:rPr>
          <w:rFonts w:ascii="Times New Roman" w:eastAsia="Times New Roman" w:hAnsi="Times New Roman"/>
          <w:i/>
          <w:iCs/>
          <w:sz w:val="17"/>
          <w:szCs w:val="17"/>
          <w:lang w:eastAsia="en-AU" w:bidi="en-US"/>
        </w:rPr>
        <w:t>onus bets (for example “Deposit </w:t>
      </w:r>
      <w:r w:rsidRPr="00ED27D9">
        <w:rPr>
          <w:rFonts w:ascii="Times New Roman" w:eastAsia="Times New Roman" w:hAnsi="Times New Roman"/>
          <w:i/>
          <w:iCs/>
          <w:sz w:val="17"/>
          <w:szCs w:val="17"/>
          <w:lang w:eastAsia="en-AU" w:bidi="en-US"/>
        </w:rPr>
        <w:t>$10 cash and get $50 bonus bets”)</w:t>
      </w:r>
    </w:p>
    <w:p w:rsidR="00ED27D9" w:rsidRPr="00ED27D9" w:rsidRDefault="00ED27D9" w:rsidP="00382CFF">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offers that include bonus bets of more than $100 (for example “Take up $300 bonus bet offer”)</w:t>
      </w:r>
    </w:p>
    <w:p w:rsidR="00ED27D9" w:rsidRPr="00ED27D9" w:rsidRDefault="00ED27D9" w:rsidP="00382CFF">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offers that are disproportionate to the amount of bet (for example “Bet $5 and receive $50 bonus bet offer”)</w:t>
      </w:r>
    </w:p>
    <w:p w:rsidR="00ED27D9" w:rsidRPr="00ED27D9" w:rsidRDefault="00ED27D9" w:rsidP="00382CFF">
      <w:pPr>
        <w:numPr>
          <w:ilvl w:val="0"/>
          <w:numId w:val="191"/>
        </w:numPr>
        <w:spacing w:after="120" w:line="240" w:lineRule="auto"/>
        <w:ind w:left="851" w:hanging="284"/>
        <w:jc w:val="left"/>
        <w:rPr>
          <w:rFonts w:ascii="Times New Roman" w:eastAsia="Times New Roman" w:hAnsi="Times New Roman"/>
          <w:i/>
          <w:iCs/>
          <w:sz w:val="17"/>
          <w:szCs w:val="17"/>
          <w:lang w:eastAsia="en-AU" w:bidi="en-US"/>
        </w:rPr>
      </w:pPr>
      <w:r w:rsidRPr="00ED27D9">
        <w:rPr>
          <w:rFonts w:ascii="Times New Roman" w:eastAsia="Times New Roman" w:hAnsi="Times New Roman"/>
          <w:i/>
          <w:iCs/>
          <w:sz w:val="17"/>
          <w:szCs w:val="17"/>
          <w:lang w:eastAsia="en-AU" w:bidi="en-US"/>
        </w:rPr>
        <w:t>offers that encourage customers to gamble more frequently (for example “Bet with us every day for the next month and receive enhanced odds”).</w:t>
      </w:r>
    </w:p>
    <w:p w:rsidR="00ED27D9" w:rsidRPr="00ED27D9" w:rsidRDefault="00ED27D9" w:rsidP="00382CFF">
      <w:pPr>
        <w:numPr>
          <w:ilvl w:val="0"/>
          <w:numId w:val="194"/>
        </w:numPr>
        <w:spacing w:after="120" w:line="240" w:lineRule="auto"/>
        <w:ind w:left="426" w:hanging="437"/>
        <w:jc w:val="left"/>
        <w:rPr>
          <w:rFonts w:ascii="Times New Roman" w:eastAsia="Times New Roman" w:hAnsi="Times New Roman"/>
          <w:b/>
          <w:sz w:val="17"/>
          <w:szCs w:val="17"/>
          <w:lang w:eastAsia="en-AU"/>
        </w:rPr>
      </w:pPr>
      <w:r w:rsidRPr="00ED27D9">
        <w:rPr>
          <w:rFonts w:ascii="Times New Roman" w:eastAsia="Times New Roman" w:hAnsi="Times New Roman"/>
          <w:b/>
          <w:sz w:val="17"/>
          <w:szCs w:val="17"/>
          <w:lang w:eastAsia="en-AU"/>
        </w:rPr>
        <w:t>References</w:t>
      </w:r>
    </w:p>
    <w:p w:rsidR="00ED27D9" w:rsidRPr="00ED27D9" w:rsidRDefault="00BE58B6" w:rsidP="00382CFF">
      <w:pPr>
        <w:spacing w:after="120" w:line="240" w:lineRule="auto"/>
        <w:ind w:left="426"/>
        <w:jc w:val="left"/>
        <w:rPr>
          <w:rFonts w:ascii="Times New Roman" w:eastAsia="Times New Roman" w:hAnsi="Times New Roman"/>
          <w:i/>
          <w:sz w:val="17"/>
          <w:szCs w:val="17"/>
          <w:lang w:eastAsia="en-AU" w:bidi="en-US"/>
        </w:rPr>
      </w:pPr>
      <w:hyperlink r:id="rId60" w:history="1">
        <w:r w:rsidR="00ED27D9" w:rsidRPr="00ED27D9">
          <w:rPr>
            <w:rFonts w:ascii="Times New Roman" w:eastAsia="Times New Roman" w:hAnsi="Times New Roman"/>
            <w:i/>
            <w:color w:val="0563C1"/>
            <w:sz w:val="17"/>
            <w:szCs w:val="17"/>
            <w:u w:val="single"/>
            <w:lang w:eastAsia="en-AU" w:bidi="en-US"/>
          </w:rPr>
          <w:t>Gambling Administration Act 2019</w:t>
        </w:r>
      </w:hyperlink>
    </w:p>
    <w:p w:rsidR="00ED27D9" w:rsidRPr="00ED27D9" w:rsidRDefault="00BE58B6" w:rsidP="00382CFF">
      <w:pPr>
        <w:spacing w:after="120" w:line="240" w:lineRule="auto"/>
        <w:ind w:left="426"/>
        <w:jc w:val="left"/>
        <w:rPr>
          <w:rFonts w:ascii="Times New Roman" w:eastAsia="Times New Roman" w:hAnsi="Times New Roman"/>
          <w:i/>
          <w:sz w:val="17"/>
          <w:szCs w:val="17"/>
          <w:lang w:eastAsia="en-AU" w:bidi="en-US"/>
        </w:rPr>
      </w:pPr>
      <w:hyperlink r:id="rId61" w:history="1">
        <w:r w:rsidR="00ED27D9" w:rsidRPr="00ED27D9">
          <w:rPr>
            <w:rFonts w:ascii="Times New Roman" w:eastAsia="Times New Roman" w:hAnsi="Times New Roman"/>
            <w:i/>
            <w:color w:val="0563C1"/>
            <w:sz w:val="17"/>
            <w:szCs w:val="17"/>
            <w:u w:val="single"/>
            <w:lang w:eastAsia="en-AU" w:bidi="en-US"/>
          </w:rPr>
          <w:t>Authorised Betting Operations Act 2000</w:t>
        </w:r>
      </w:hyperlink>
    </w:p>
    <w:p w:rsidR="00ED27D9" w:rsidRPr="00ED27D9" w:rsidRDefault="00BE58B6" w:rsidP="00382CFF">
      <w:pPr>
        <w:spacing w:after="120" w:line="240" w:lineRule="auto"/>
        <w:ind w:left="426"/>
        <w:jc w:val="left"/>
        <w:rPr>
          <w:rFonts w:ascii="Times New Roman" w:eastAsia="Times New Roman" w:hAnsi="Times New Roman"/>
          <w:sz w:val="17"/>
          <w:szCs w:val="17"/>
          <w:lang w:eastAsia="en-AU" w:bidi="en-US"/>
        </w:rPr>
      </w:pPr>
      <w:hyperlink r:id="rId62" w:history="1">
        <w:r w:rsidR="00ED27D9" w:rsidRPr="00ED27D9">
          <w:rPr>
            <w:rFonts w:ascii="Times New Roman" w:eastAsia="Times New Roman" w:hAnsi="Times New Roman"/>
            <w:color w:val="0563C1"/>
            <w:sz w:val="17"/>
            <w:szCs w:val="17"/>
            <w:u w:val="single"/>
            <w:lang w:eastAsia="en-AU" w:bidi="en-US"/>
          </w:rPr>
          <w:t>National Consumer Protection Framework for Online Gambling</w:t>
        </w:r>
      </w:hyperlink>
    </w:p>
    <w:p w:rsidR="00ED27D9" w:rsidRPr="00ED27D9" w:rsidRDefault="00ED27D9" w:rsidP="00382CFF">
      <w:pPr>
        <w:spacing w:after="120" w:line="240" w:lineRule="auto"/>
        <w:jc w:val="left"/>
        <w:rPr>
          <w:rFonts w:ascii="Times New Roman" w:eastAsia="Times New Roman" w:hAnsi="Times New Roman"/>
          <w:sz w:val="18"/>
          <w:szCs w:val="18"/>
          <w:lang w:eastAsia="en-AU" w:bidi="en-US"/>
        </w:rPr>
      </w:pPr>
      <w:r w:rsidRPr="00ED27D9">
        <w:rPr>
          <w:rFonts w:ascii="Times New Roman" w:eastAsia="Times New Roman" w:hAnsi="Times New Roman"/>
          <w:sz w:val="18"/>
          <w:szCs w:val="18"/>
          <w:lang w:eastAsia="en-AU" w:bidi="en-US"/>
        </w:rPr>
        <w:t>Dated: 23 December 2021</w:t>
      </w:r>
    </w:p>
    <w:p w:rsidR="00ED27D9" w:rsidRPr="00ED27D9" w:rsidRDefault="00ED27D9" w:rsidP="00382CFF">
      <w:pPr>
        <w:tabs>
          <w:tab w:val="left" w:pos="284"/>
          <w:tab w:val="left" w:pos="709"/>
        </w:tabs>
        <w:spacing w:after="0" w:line="240" w:lineRule="auto"/>
        <w:jc w:val="left"/>
        <w:rPr>
          <w:rFonts w:ascii="Times New Roman" w:eastAsia="Times New Roman" w:hAnsi="Times New Roman"/>
          <w:sz w:val="18"/>
          <w:szCs w:val="18"/>
          <w:lang w:eastAsia="en-AU" w:bidi="en-US"/>
        </w:rPr>
      </w:pPr>
      <w:r w:rsidRPr="00ED27D9">
        <w:rPr>
          <w:rFonts w:ascii="Times New Roman" w:eastAsia="Times New Roman" w:hAnsi="Times New Roman"/>
          <w:sz w:val="18"/>
          <w:szCs w:val="18"/>
          <w:lang w:eastAsia="en-AU" w:bidi="en-US"/>
        </w:rPr>
        <w:t>Made by Dini Soulio</w:t>
      </w:r>
    </w:p>
    <w:p w:rsidR="00ED27D9" w:rsidRPr="00ED27D9" w:rsidRDefault="00ED27D9" w:rsidP="00382CFF">
      <w:pPr>
        <w:tabs>
          <w:tab w:val="left" w:pos="284"/>
          <w:tab w:val="left" w:pos="709"/>
        </w:tabs>
        <w:spacing w:after="120" w:line="240" w:lineRule="auto"/>
        <w:jc w:val="left"/>
        <w:rPr>
          <w:rFonts w:ascii="Times New Roman" w:eastAsia="Times New Roman" w:hAnsi="Times New Roman"/>
          <w:sz w:val="18"/>
          <w:szCs w:val="18"/>
          <w:lang w:eastAsia="en-AU" w:bidi="en-US"/>
        </w:rPr>
      </w:pPr>
      <w:r w:rsidRPr="00ED27D9">
        <w:rPr>
          <w:rFonts w:ascii="Times New Roman" w:eastAsia="Times New Roman" w:hAnsi="Times New Roman"/>
          <w:sz w:val="18"/>
          <w:szCs w:val="18"/>
          <w:lang w:eastAsia="en-AU" w:bidi="en-US"/>
        </w:rPr>
        <w:t>Liquor and Gambling Commissioner</w:t>
      </w:r>
    </w:p>
    <w:p w:rsidR="00ED27D9" w:rsidRPr="00ED27D9" w:rsidRDefault="00ED27D9" w:rsidP="00ED27D9">
      <w:pPr>
        <w:pBdr>
          <w:top w:val="single" w:sz="4" w:space="1" w:color="auto"/>
        </w:pBdr>
        <w:spacing w:before="100" w:after="0" w:line="14" w:lineRule="exact"/>
        <w:jc w:val="center"/>
        <w:rPr>
          <w:rFonts w:ascii="Times New Roman" w:eastAsia="Times New Roman" w:hAnsi="Times New Roman"/>
          <w:sz w:val="17"/>
          <w:szCs w:val="17"/>
          <w:lang w:eastAsia="en-AU" w:bidi="en-US"/>
        </w:rPr>
      </w:pPr>
    </w:p>
    <w:p w:rsidR="00ED27D9" w:rsidRDefault="00ED27D9" w:rsidP="00CB4030">
      <w:pPr>
        <w:spacing w:after="0" w:line="240" w:lineRule="auto"/>
        <w:jc w:val="center"/>
        <w:rPr>
          <w:rFonts w:ascii="Times New Roman" w:eastAsia="Times New Roman" w:hAnsi="Times New Roman"/>
          <w:caps/>
          <w:sz w:val="17"/>
          <w:szCs w:val="17"/>
          <w:lang w:eastAsia="en-AU"/>
        </w:rPr>
      </w:pPr>
    </w:p>
    <w:p w:rsidR="00CB4030" w:rsidRPr="00CB4030" w:rsidRDefault="00CB4030" w:rsidP="00CB4030">
      <w:pPr>
        <w:spacing w:after="0" w:line="240" w:lineRule="auto"/>
        <w:jc w:val="center"/>
        <w:rPr>
          <w:rFonts w:ascii="Times New Roman" w:eastAsia="Times New Roman" w:hAnsi="Times New Roman"/>
          <w:caps/>
          <w:sz w:val="17"/>
          <w:szCs w:val="17"/>
          <w:lang w:eastAsia="en-AU"/>
        </w:rPr>
      </w:pPr>
      <w:r w:rsidRPr="00CB4030">
        <w:rPr>
          <w:rFonts w:ascii="Times New Roman" w:eastAsia="Times New Roman" w:hAnsi="Times New Roman"/>
          <w:caps/>
          <w:sz w:val="17"/>
          <w:szCs w:val="17"/>
          <w:lang w:eastAsia="en-AU"/>
        </w:rPr>
        <w:t>Gambling Administration Act 2019</w:t>
      </w:r>
    </w:p>
    <w:p w:rsidR="00CB4030" w:rsidRPr="00420A51" w:rsidRDefault="00CB4030" w:rsidP="00420A51">
      <w:pPr>
        <w:spacing w:after="120" w:line="240" w:lineRule="auto"/>
        <w:jc w:val="left"/>
        <w:rPr>
          <w:rFonts w:ascii="Times New Roman" w:eastAsia="Times New Roman" w:hAnsi="Times New Roman"/>
          <w:sz w:val="17"/>
          <w:szCs w:val="17"/>
          <w:lang w:eastAsia="en-AU"/>
        </w:rPr>
      </w:pPr>
      <w:r w:rsidRPr="00420A51">
        <w:rPr>
          <w:rFonts w:ascii="Times New Roman" w:eastAsia="Times New Roman" w:hAnsi="Times New Roman"/>
          <w:sz w:val="17"/>
          <w:szCs w:val="17"/>
          <w:lang w:eastAsia="en-AU"/>
        </w:rPr>
        <w:t>South Australia</w:t>
      </w:r>
    </w:p>
    <w:p w:rsidR="00CB4030" w:rsidRPr="00184B55" w:rsidRDefault="00CB4030" w:rsidP="00184B55">
      <w:pPr>
        <w:spacing w:after="240" w:line="240" w:lineRule="auto"/>
        <w:jc w:val="left"/>
        <w:rPr>
          <w:rFonts w:ascii="Times New Roman" w:eastAsia="Times New Roman" w:hAnsi="Times New Roman"/>
          <w:b/>
          <w:sz w:val="24"/>
          <w:szCs w:val="24"/>
          <w:lang w:eastAsia="en-AU"/>
        </w:rPr>
      </w:pPr>
      <w:r w:rsidRPr="00184B55">
        <w:rPr>
          <w:rFonts w:ascii="Times New Roman" w:eastAsia="Times New Roman" w:hAnsi="Times New Roman"/>
          <w:b/>
          <w:sz w:val="24"/>
          <w:szCs w:val="24"/>
          <w:lang w:eastAsia="en-AU"/>
        </w:rPr>
        <w:t>State Lotteries Gambling Code of Practice Prescription Notice 2021</w:t>
      </w:r>
    </w:p>
    <w:p w:rsidR="00CB4030" w:rsidRPr="00420A51" w:rsidRDefault="00CB4030" w:rsidP="00420A51">
      <w:pPr>
        <w:spacing w:after="120" w:line="240" w:lineRule="auto"/>
        <w:jc w:val="left"/>
        <w:rPr>
          <w:rFonts w:ascii="Times New Roman" w:eastAsia="Times New Roman" w:hAnsi="Times New Roman"/>
          <w:i/>
          <w:sz w:val="17"/>
          <w:szCs w:val="17"/>
          <w:lang w:eastAsia="en-AU"/>
        </w:rPr>
      </w:pPr>
      <w:r w:rsidRPr="00420A51">
        <w:rPr>
          <w:rFonts w:ascii="Times New Roman" w:eastAsia="Times New Roman" w:hAnsi="Times New Roman"/>
          <w:sz w:val="17"/>
          <w:szCs w:val="17"/>
          <w:lang w:eastAsia="en-AU"/>
        </w:rPr>
        <w:t xml:space="preserve">under section 15 of the </w:t>
      </w:r>
      <w:r w:rsidRPr="00420A51">
        <w:rPr>
          <w:rFonts w:ascii="Times New Roman" w:eastAsia="Times New Roman" w:hAnsi="Times New Roman"/>
          <w:i/>
          <w:sz w:val="17"/>
          <w:szCs w:val="17"/>
          <w:lang w:eastAsia="en-AU"/>
        </w:rPr>
        <w:t>Gambling Administration Act 2019</w:t>
      </w:r>
    </w:p>
    <w:p w:rsidR="00CB4030" w:rsidRPr="00420A51" w:rsidRDefault="00CB4030" w:rsidP="00420A51">
      <w:pPr>
        <w:tabs>
          <w:tab w:val="left" w:pos="540"/>
        </w:tabs>
        <w:spacing w:after="120" w:line="240" w:lineRule="auto"/>
        <w:jc w:val="left"/>
        <w:rPr>
          <w:rFonts w:ascii="Times New Roman" w:eastAsia="Times New Roman" w:hAnsi="Times New Roman"/>
          <w:b/>
          <w:sz w:val="17"/>
          <w:szCs w:val="17"/>
          <w:lang w:eastAsia="en-AU"/>
        </w:rPr>
      </w:pPr>
      <w:r w:rsidRPr="00420A51">
        <w:rPr>
          <w:rFonts w:ascii="Times New Roman" w:eastAsia="Times New Roman" w:hAnsi="Times New Roman"/>
          <w:b/>
          <w:sz w:val="17"/>
          <w:szCs w:val="17"/>
          <w:lang w:eastAsia="en-AU"/>
        </w:rPr>
        <w:t>1—Short title</w:t>
      </w:r>
    </w:p>
    <w:p w:rsidR="00CB4030" w:rsidRPr="00420A51" w:rsidRDefault="00CB4030" w:rsidP="00F25F37">
      <w:pPr>
        <w:spacing w:after="240" w:line="240" w:lineRule="auto"/>
        <w:ind w:left="426"/>
        <w:jc w:val="left"/>
        <w:rPr>
          <w:rFonts w:ascii="Times New Roman" w:eastAsia="Times New Roman" w:hAnsi="Times New Roman"/>
          <w:i/>
          <w:sz w:val="17"/>
          <w:szCs w:val="17"/>
          <w:lang w:eastAsia="en-AU"/>
        </w:rPr>
      </w:pPr>
      <w:r w:rsidRPr="00420A51">
        <w:rPr>
          <w:rFonts w:ascii="Times New Roman" w:eastAsia="Times New Roman" w:hAnsi="Times New Roman"/>
          <w:sz w:val="17"/>
          <w:szCs w:val="17"/>
          <w:lang w:eastAsia="en-AU"/>
        </w:rPr>
        <w:t xml:space="preserve">This notice may be cited as the </w:t>
      </w:r>
      <w:r w:rsidRPr="00420A51">
        <w:rPr>
          <w:rFonts w:ascii="Times New Roman" w:eastAsia="Times New Roman" w:hAnsi="Times New Roman"/>
          <w:i/>
          <w:sz w:val="17"/>
          <w:szCs w:val="17"/>
          <w:lang w:eastAsia="en-AU"/>
        </w:rPr>
        <w:t>State Lotteries Gambling Code of Practice Prescription Notice 2021.</w:t>
      </w:r>
    </w:p>
    <w:p w:rsidR="00CB4030" w:rsidRPr="00420A51" w:rsidRDefault="00CB4030" w:rsidP="00420A51">
      <w:pPr>
        <w:tabs>
          <w:tab w:val="left" w:pos="540"/>
        </w:tabs>
        <w:spacing w:after="120" w:line="240" w:lineRule="auto"/>
        <w:jc w:val="left"/>
        <w:rPr>
          <w:rFonts w:ascii="Times New Roman" w:eastAsia="Times New Roman" w:hAnsi="Times New Roman"/>
          <w:b/>
          <w:sz w:val="17"/>
          <w:szCs w:val="17"/>
          <w:lang w:eastAsia="en-AU"/>
        </w:rPr>
      </w:pPr>
      <w:r w:rsidRPr="00420A51">
        <w:rPr>
          <w:rFonts w:ascii="Times New Roman" w:eastAsia="Times New Roman" w:hAnsi="Times New Roman"/>
          <w:b/>
          <w:sz w:val="17"/>
          <w:szCs w:val="17"/>
          <w:lang w:eastAsia="en-AU"/>
        </w:rPr>
        <w:t>2—Commencement</w:t>
      </w:r>
    </w:p>
    <w:p w:rsidR="00CB4030" w:rsidRPr="00420A51" w:rsidRDefault="00CB4030" w:rsidP="00F25F37">
      <w:pPr>
        <w:spacing w:after="240" w:line="240" w:lineRule="auto"/>
        <w:ind w:left="426"/>
        <w:jc w:val="left"/>
        <w:rPr>
          <w:rFonts w:ascii="Times New Roman" w:eastAsia="Times New Roman" w:hAnsi="Times New Roman"/>
          <w:sz w:val="17"/>
          <w:szCs w:val="17"/>
          <w:lang w:eastAsia="en-AU"/>
        </w:rPr>
      </w:pPr>
      <w:r w:rsidRPr="00420A51">
        <w:rPr>
          <w:rFonts w:ascii="Times New Roman" w:eastAsia="Times New Roman" w:hAnsi="Times New Roman"/>
          <w:sz w:val="17"/>
          <w:szCs w:val="17"/>
          <w:lang w:eastAsia="en-AU"/>
        </w:rPr>
        <w:t>This notice comes into operation on 23 December 2021.</w:t>
      </w:r>
    </w:p>
    <w:p w:rsidR="00CB4030" w:rsidRPr="00420A51" w:rsidRDefault="00CB4030" w:rsidP="00420A51">
      <w:pPr>
        <w:tabs>
          <w:tab w:val="left" w:pos="540"/>
        </w:tabs>
        <w:spacing w:after="120" w:line="240" w:lineRule="auto"/>
        <w:jc w:val="left"/>
        <w:rPr>
          <w:rFonts w:ascii="Times New Roman" w:eastAsia="Times New Roman" w:hAnsi="Times New Roman"/>
          <w:b/>
          <w:sz w:val="17"/>
          <w:szCs w:val="17"/>
          <w:lang w:eastAsia="en-AU"/>
        </w:rPr>
      </w:pPr>
      <w:r w:rsidRPr="00420A51">
        <w:rPr>
          <w:rFonts w:ascii="Times New Roman" w:eastAsia="Times New Roman" w:hAnsi="Times New Roman"/>
          <w:b/>
          <w:sz w:val="17"/>
          <w:szCs w:val="17"/>
          <w:lang w:eastAsia="en-AU"/>
        </w:rPr>
        <w:t>3—Revocation of existing codes of practice</w:t>
      </w:r>
    </w:p>
    <w:p w:rsidR="00CB4030" w:rsidRPr="00420A51" w:rsidRDefault="00CB4030" w:rsidP="00F25F37">
      <w:pPr>
        <w:spacing w:after="240" w:line="240" w:lineRule="auto"/>
        <w:ind w:left="426"/>
        <w:jc w:val="left"/>
        <w:rPr>
          <w:rFonts w:ascii="Times New Roman" w:eastAsia="Times New Roman" w:hAnsi="Times New Roman"/>
          <w:sz w:val="17"/>
          <w:szCs w:val="17"/>
          <w:lang w:eastAsia="en-AU"/>
        </w:rPr>
      </w:pPr>
      <w:r w:rsidRPr="00420A51">
        <w:rPr>
          <w:rFonts w:ascii="Times New Roman" w:eastAsia="Times New Roman" w:hAnsi="Times New Roman"/>
          <w:sz w:val="17"/>
          <w:szCs w:val="17"/>
          <w:lang w:eastAsia="en-AU"/>
        </w:rPr>
        <w:t xml:space="preserve">In accordance with section 15(6) of the </w:t>
      </w:r>
      <w:r w:rsidRPr="00420A51">
        <w:rPr>
          <w:rFonts w:ascii="Times New Roman" w:eastAsia="Times New Roman" w:hAnsi="Times New Roman"/>
          <w:i/>
          <w:iCs/>
          <w:sz w:val="17"/>
          <w:szCs w:val="17"/>
          <w:lang w:eastAsia="en-AU"/>
        </w:rPr>
        <w:t>Gambling Administration Act 2019</w:t>
      </w:r>
      <w:r w:rsidRPr="00420A51">
        <w:rPr>
          <w:rFonts w:ascii="Times New Roman" w:eastAsia="Times New Roman" w:hAnsi="Times New Roman"/>
          <w:sz w:val="17"/>
          <w:szCs w:val="17"/>
          <w:lang w:eastAsia="en-AU"/>
        </w:rPr>
        <w:t xml:space="preserve">, the provisions of an advertising code of practice or a responsible gambling code of practice made and in force under the </w:t>
      </w:r>
      <w:r w:rsidRPr="00420A51">
        <w:rPr>
          <w:rFonts w:ascii="Times New Roman" w:eastAsia="Times New Roman" w:hAnsi="Times New Roman"/>
          <w:i/>
          <w:iCs/>
          <w:sz w:val="17"/>
          <w:szCs w:val="17"/>
          <w:lang w:eastAsia="en-AU"/>
        </w:rPr>
        <w:t>State Lotteries Act 1966</w:t>
      </w:r>
      <w:r w:rsidRPr="00420A51">
        <w:rPr>
          <w:rFonts w:ascii="Times New Roman" w:eastAsia="Times New Roman" w:hAnsi="Times New Roman"/>
          <w:sz w:val="17"/>
          <w:szCs w:val="17"/>
          <w:lang w:eastAsia="en-AU"/>
        </w:rPr>
        <w:t xml:space="preserve"> are, insofar as they apply to the Lotteries Commission of South Australia constituted under the </w:t>
      </w:r>
      <w:r w:rsidRPr="00420A51">
        <w:rPr>
          <w:rFonts w:ascii="Times New Roman" w:eastAsia="Times New Roman" w:hAnsi="Times New Roman"/>
          <w:i/>
          <w:iCs/>
          <w:sz w:val="17"/>
          <w:szCs w:val="17"/>
          <w:lang w:eastAsia="en-AU"/>
        </w:rPr>
        <w:t xml:space="preserve">Lotteries Act 1966 </w:t>
      </w:r>
      <w:r w:rsidRPr="00420A51">
        <w:rPr>
          <w:rFonts w:ascii="Times New Roman" w:eastAsia="Times New Roman" w:hAnsi="Times New Roman"/>
          <w:sz w:val="17"/>
          <w:szCs w:val="17"/>
          <w:lang w:eastAsia="en-AU"/>
        </w:rPr>
        <w:t>and offices, branches and agencies of the Commission, revoked.</w:t>
      </w:r>
    </w:p>
    <w:p w:rsidR="00CB4030" w:rsidRPr="00420A51" w:rsidRDefault="00CB4030" w:rsidP="00420A51">
      <w:pPr>
        <w:tabs>
          <w:tab w:val="left" w:pos="540"/>
        </w:tabs>
        <w:spacing w:after="120" w:line="240" w:lineRule="auto"/>
        <w:jc w:val="left"/>
        <w:rPr>
          <w:rFonts w:ascii="Times New Roman" w:eastAsia="Times New Roman" w:hAnsi="Times New Roman"/>
          <w:b/>
          <w:sz w:val="17"/>
          <w:szCs w:val="17"/>
          <w:lang w:eastAsia="en-AU"/>
        </w:rPr>
      </w:pPr>
      <w:r w:rsidRPr="00420A51">
        <w:rPr>
          <w:rFonts w:ascii="Times New Roman" w:eastAsia="Times New Roman" w:hAnsi="Times New Roman"/>
          <w:b/>
          <w:sz w:val="17"/>
          <w:szCs w:val="17"/>
          <w:lang w:eastAsia="en-AU"/>
        </w:rPr>
        <w:t>4—Code of practice</w:t>
      </w:r>
    </w:p>
    <w:p w:rsidR="00CB4030" w:rsidRPr="00420A51" w:rsidRDefault="00CB4030" w:rsidP="00F25F37">
      <w:pPr>
        <w:spacing w:after="120" w:line="240" w:lineRule="auto"/>
        <w:ind w:left="426"/>
        <w:jc w:val="left"/>
        <w:rPr>
          <w:rFonts w:ascii="Times New Roman" w:eastAsia="Times New Roman" w:hAnsi="Times New Roman"/>
          <w:sz w:val="17"/>
          <w:szCs w:val="17"/>
          <w:lang w:eastAsia="en-AU"/>
        </w:rPr>
      </w:pPr>
      <w:r w:rsidRPr="00420A51">
        <w:rPr>
          <w:rFonts w:ascii="Times New Roman" w:eastAsia="Times New Roman" w:hAnsi="Times New Roman"/>
          <w:sz w:val="17"/>
          <w:szCs w:val="17"/>
          <w:lang w:eastAsia="en-AU"/>
        </w:rPr>
        <w:t xml:space="preserve">The State Lotteries Gambling Code of Practice as set out in this notice is prescribed under section 15 of the </w:t>
      </w:r>
      <w:r w:rsidRPr="00420A51">
        <w:rPr>
          <w:rFonts w:ascii="Times New Roman" w:eastAsia="Times New Roman" w:hAnsi="Times New Roman"/>
          <w:i/>
          <w:iCs/>
          <w:sz w:val="17"/>
          <w:szCs w:val="17"/>
          <w:lang w:eastAsia="en-AU"/>
        </w:rPr>
        <w:t>Gambling Administration Act 2019</w:t>
      </w:r>
      <w:r w:rsidRPr="00420A51">
        <w:rPr>
          <w:rFonts w:ascii="Times New Roman" w:eastAsia="Times New Roman" w:hAnsi="Times New Roman"/>
          <w:sz w:val="17"/>
          <w:szCs w:val="17"/>
          <w:lang w:eastAsia="en-AU"/>
        </w:rPr>
        <w:t xml:space="preserve">, for the purposes of the </w:t>
      </w:r>
      <w:r w:rsidRPr="00420A51">
        <w:rPr>
          <w:rFonts w:ascii="Times New Roman" w:eastAsia="Times New Roman" w:hAnsi="Times New Roman"/>
          <w:i/>
          <w:iCs/>
          <w:sz w:val="17"/>
          <w:szCs w:val="17"/>
          <w:lang w:eastAsia="en-AU"/>
        </w:rPr>
        <w:t>Lotteries Act 1966</w:t>
      </w:r>
      <w:r w:rsidRPr="00420A51">
        <w:rPr>
          <w:rFonts w:ascii="Times New Roman" w:eastAsia="Times New Roman" w:hAnsi="Times New Roman"/>
          <w:sz w:val="17"/>
          <w:szCs w:val="17"/>
          <w:lang w:eastAsia="en-AU"/>
        </w:rPr>
        <w:t>.</w:t>
      </w:r>
    </w:p>
    <w:p w:rsidR="00CB4030" w:rsidRPr="00420A51" w:rsidRDefault="00CB4030" w:rsidP="00F25F37">
      <w:pPr>
        <w:spacing w:after="240" w:line="240" w:lineRule="auto"/>
        <w:ind w:left="426"/>
        <w:jc w:val="left"/>
        <w:rPr>
          <w:rFonts w:ascii="Times New Roman" w:eastAsia="Times New Roman" w:hAnsi="Times New Roman"/>
          <w:sz w:val="17"/>
          <w:szCs w:val="17"/>
          <w:lang w:eastAsia="en-AU"/>
        </w:rPr>
      </w:pPr>
      <w:r w:rsidRPr="00420A51">
        <w:rPr>
          <w:rFonts w:ascii="Times New Roman" w:eastAsia="Times New Roman" w:hAnsi="Times New Roman"/>
          <w:sz w:val="17"/>
          <w:szCs w:val="17"/>
          <w:lang w:eastAsia="en-AU"/>
        </w:rPr>
        <w:t xml:space="preserve">In accordance with section 13C of the </w:t>
      </w:r>
      <w:r w:rsidRPr="00420A51">
        <w:rPr>
          <w:rFonts w:ascii="Times New Roman" w:eastAsia="Times New Roman" w:hAnsi="Times New Roman"/>
          <w:i/>
          <w:iCs/>
          <w:sz w:val="17"/>
          <w:szCs w:val="17"/>
          <w:lang w:eastAsia="en-AU"/>
        </w:rPr>
        <w:t>State Lotteries Act 1966</w:t>
      </w:r>
      <w:r w:rsidRPr="00420A51">
        <w:rPr>
          <w:rFonts w:ascii="Times New Roman" w:eastAsia="Times New Roman" w:hAnsi="Times New Roman"/>
          <w:sz w:val="17"/>
          <w:szCs w:val="17"/>
          <w:lang w:eastAsia="en-AU"/>
        </w:rPr>
        <w:t xml:space="preserve">, the Commission must ensure, in the performance of its functions, that the Commission conforms with the provisions of the applicable responsible gambling codes of practice or the applicable advertising codes of practice prescribed under the </w:t>
      </w:r>
      <w:r w:rsidRPr="00420A51">
        <w:rPr>
          <w:rFonts w:ascii="Times New Roman" w:eastAsia="Times New Roman" w:hAnsi="Times New Roman"/>
          <w:i/>
          <w:iCs/>
          <w:sz w:val="17"/>
          <w:szCs w:val="17"/>
          <w:lang w:eastAsia="en-AU"/>
        </w:rPr>
        <w:t>Gambling Administration Act 2019</w:t>
      </w:r>
      <w:r w:rsidRPr="00420A51">
        <w:rPr>
          <w:rFonts w:ascii="Times New Roman" w:eastAsia="Times New Roman" w:hAnsi="Times New Roman"/>
          <w:sz w:val="17"/>
          <w:szCs w:val="17"/>
          <w:lang w:eastAsia="en-AU"/>
        </w:rPr>
        <w:t>.</w:t>
      </w:r>
    </w:p>
    <w:p w:rsidR="00CB4030" w:rsidRPr="00184B55" w:rsidRDefault="00CB4030" w:rsidP="0023074B">
      <w:pPr>
        <w:spacing w:after="120" w:line="240" w:lineRule="auto"/>
        <w:jc w:val="left"/>
        <w:rPr>
          <w:rFonts w:ascii="Times New Roman" w:eastAsia="Times New Roman" w:hAnsi="Times New Roman"/>
          <w:b/>
          <w:sz w:val="24"/>
          <w:szCs w:val="24"/>
          <w:lang w:eastAsia="en-AU"/>
        </w:rPr>
      </w:pPr>
      <w:r w:rsidRPr="00184B55">
        <w:rPr>
          <w:rFonts w:ascii="Times New Roman" w:eastAsia="Times New Roman" w:hAnsi="Times New Roman"/>
          <w:b/>
          <w:sz w:val="24"/>
          <w:szCs w:val="24"/>
          <w:lang w:eastAsia="en-AU"/>
        </w:rPr>
        <w:t>State Lotteries Gambling Code of Practice</w:t>
      </w:r>
    </w:p>
    <w:p w:rsidR="00CB4030" w:rsidRPr="00184B55" w:rsidRDefault="00CB4030" w:rsidP="00420A51">
      <w:pPr>
        <w:spacing w:after="120" w:line="240" w:lineRule="auto"/>
        <w:jc w:val="left"/>
        <w:rPr>
          <w:rFonts w:ascii="Times New Roman" w:eastAsia="Times New Roman" w:hAnsi="Times New Roman"/>
          <w:b/>
          <w:sz w:val="20"/>
          <w:szCs w:val="17"/>
          <w:lang w:eastAsia="en-AU"/>
        </w:rPr>
      </w:pPr>
      <w:r w:rsidRPr="00184B55">
        <w:rPr>
          <w:rFonts w:ascii="Times New Roman" w:eastAsia="Times New Roman" w:hAnsi="Times New Roman"/>
          <w:b/>
          <w:sz w:val="20"/>
          <w:szCs w:val="17"/>
          <w:lang w:eastAsia="en-AU"/>
        </w:rPr>
        <w:t>Part 1—Preliminary</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Scope</w:t>
      </w:r>
    </w:p>
    <w:p w:rsidR="00CB4030" w:rsidRPr="00420A51" w:rsidRDefault="00CB4030" w:rsidP="00F629F9">
      <w:pPr>
        <w:spacing w:after="120" w:line="240" w:lineRule="auto"/>
        <w:ind w:left="426"/>
        <w:jc w:val="left"/>
        <w:rPr>
          <w:rFonts w:ascii="Times New Roman" w:eastAsia="Times New Roman" w:hAnsi="Times New Roman"/>
          <w:spacing w:val="-2"/>
          <w:sz w:val="17"/>
          <w:szCs w:val="17"/>
          <w:lang w:eastAsia="en-AU" w:bidi="en-US"/>
        </w:rPr>
      </w:pPr>
      <w:r w:rsidRPr="00420A51">
        <w:rPr>
          <w:rFonts w:ascii="Times New Roman" w:eastAsia="Times New Roman" w:hAnsi="Times New Roman"/>
          <w:spacing w:val="-2"/>
          <w:sz w:val="17"/>
          <w:szCs w:val="17"/>
          <w:lang w:eastAsia="en-AU" w:bidi="en-US"/>
        </w:rPr>
        <w:t xml:space="preserve">This code of practice is prescribed under section 15 of the </w:t>
      </w:r>
      <w:r w:rsidRPr="00420A51">
        <w:rPr>
          <w:rFonts w:ascii="Times New Roman" w:eastAsia="Times New Roman" w:hAnsi="Times New Roman"/>
          <w:i/>
          <w:iCs/>
          <w:spacing w:val="-2"/>
          <w:sz w:val="17"/>
          <w:szCs w:val="17"/>
          <w:lang w:eastAsia="en-AU" w:bidi="en-US"/>
        </w:rPr>
        <w:t xml:space="preserve">Gambling Administration Act 2019, </w:t>
      </w:r>
      <w:r w:rsidRPr="00420A51">
        <w:rPr>
          <w:rFonts w:ascii="Times New Roman" w:eastAsia="Times New Roman" w:hAnsi="Times New Roman"/>
          <w:spacing w:val="-2"/>
          <w:sz w:val="17"/>
          <w:szCs w:val="17"/>
          <w:lang w:eastAsia="en-AU" w:bidi="en-US"/>
        </w:rPr>
        <w:t xml:space="preserve">for the purposes of the </w:t>
      </w:r>
      <w:r w:rsidRPr="00420A51">
        <w:rPr>
          <w:rFonts w:ascii="Times New Roman" w:eastAsia="Times New Roman" w:hAnsi="Times New Roman"/>
          <w:i/>
          <w:spacing w:val="-2"/>
          <w:sz w:val="17"/>
          <w:szCs w:val="17"/>
          <w:lang w:eastAsia="en-AU" w:bidi="en-US"/>
        </w:rPr>
        <w:t xml:space="preserve">State </w:t>
      </w:r>
      <w:r w:rsidRPr="00420A51">
        <w:rPr>
          <w:rFonts w:ascii="Times New Roman" w:eastAsia="Times New Roman" w:hAnsi="Times New Roman"/>
          <w:i/>
          <w:iCs/>
          <w:spacing w:val="-2"/>
          <w:sz w:val="17"/>
          <w:szCs w:val="17"/>
          <w:lang w:eastAsia="en-AU" w:bidi="en-US"/>
        </w:rPr>
        <w:t>Lotteries Act 1966</w:t>
      </w:r>
      <w:r w:rsidRPr="00420A51">
        <w:rPr>
          <w:rFonts w:ascii="Times New Roman" w:eastAsia="Times New Roman" w:hAnsi="Times New Roman"/>
          <w:spacing w:val="-2"/>
          <w:sz w:val="17"/>
          <w:szCs w:val="17"/>
          <w:lang w:eastAsia="en-AU" w:bidi="en-US"/>
        </w:rPr>
        <w:t xml:space="preserve">, and is inclusive of the advertising code of practice </w:t>
      </w:r>
      <w:r w:rsidRPr="00420A51">
        <w:rPr>
          <w:rFonts w:ascii="Times New Roman" w:eastAsia="Times New Roman" w:hAnsi="Times New Roman"/>
          <w:i/>
          <w:spacing w:val="-2"/>
          <w:sz w:val="17"/>
          <w:szCs w:val="17"/>
          <w:lang w:eastAsia="en-AU" w:bidi="en-US"/>
        </w:rPr>
        <w:t>(Part 2)</w:t>
      </w:r>
      <w:r w:rsidRPr="00420A51">
        <w:rPr>
          <w:rFonts w:ascii="Times New Roman" w:eastAsia="Times New Roman" w:hAnsi="Times New Roman"/>
          <w:spacing w:val="-2"/>
          <w:sz w:val="17"/>
          <w:szCs w:val="17"/>
          <w:lang w:eastAsia="en-AU" w:bidi="en-US"/>
        </w:rPr>
        <w:t xml:space="preserve"> and the responsible gambling code of practice </w:t>
      </w:r>
      <w:r w:rsidRPr="00420A51">
        <w:rPr>
          <w:rFonts w:ascii="Times New Roman" w:eastAsia="Times New Roman" w:hAnsi="Times New Roman"/>
          <w:i/>
          <w:spacing w:val="-2"/>
          <w:sz w:val="17"/>
          <w:szCs w:val="17"/>
          <w:lang w:eastAsia="en-AU" w:bidi="en-US"/>
        </w:rPr>
        <w:t>(Part 3)</w:t>
      </w:r>
      <w:r w:rsidRPr="00420A51">
        <w:rPr>
          <w:rFonts w:ascii="Times New Roman" w:eastAsia="Times New Roman" w:hAnsi="Times New Roman"/>
          <w:spacing w:val="-2"/>
          <w:sz w:val="17"/>
          <w:szCs w:val="17"/>
          <w:lang w:eastAsia="en-AU" w:bidi="en-US"/>
        </w:rPr>
        <w:t>.</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Commencement</w:t>
      </w:r>
    </w:p>
    <w:p w:rsidR="00CB4030" w:rsidRPr="00420A51" w:rsidRDefault="00CB4030" w:rsidP="005551DA">
      <w:pPr>
        <w:tabs>
          <w:tab w:val="left" w:pos="426"/>
          <w:tab w:val="left" w:pos="900"/>
        </w:tabs>
        <w:spacing w:after="120" w:line="240" w:lineRule="auto"/>
        <w:ind w:left="426"/>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This code of practice comes into operation on 23 December 2021.</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Purpose of the code</w:t>
      </w:r>
    </w:p>
    <w:p w:rsidR="00CB4030" w:rsidRPr="00420A51" w:rsidRDefault="00CB4030" w:rsidP="007221A4">
      <w:pPr>
        <w:numPr>
          <w:ilvl w:val="0"/>
          <w:numId w:val="432"/>
        </w:numPr>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The purpose of this code of practice is to promote the objects of the </w:t>
      </w:r>
      <w:r w:rsidRPr="00420A51">
        <w:rPr>
          <w:rFonts w:ascii="Times New Roman" w:eastAsia="Times New Roman" w:hAnsi="Times New Roman"/>
          <w:i/>
          <w:iCs/>
          <w:sz w:val="17"/>
          <w:szCs w:val="17"/>
          <w:lang w:eastAsia="en-AU" w:bidi="en-US"/>
        </w:rPr>
        <w:t xml:space="preserve">Gambling Administration Act 2019 </w:t>
      </w:r>
      <w:r w:rsidRPr="00420A51">
        <w:rPr>
          <w:rFonts w:ascii="Times New Roman" w:eastAsia="Times New Roman" w:hAnsi="Times New Roman"/>
          <w:sz w:val="17"/>
          <w:szCs w:val="17"/>
          <w:lang w:eastAsia="en-AU" w:bidi="en-US"/>
        </w:rPr>
        <w:t>and, in particular—</w:t>
      </w:r>
    </w:p>
    <w:p w:rsidR="00CB4030" w:rsidRPr="007221A4" w:rsidRDefault="00CB4030" w:rsidP="007221A4">
      <w:pPr>
        <w:pStyle w:val="Codea"/>
        <w:numPr>
          <w:ilvl w:val="0"/>
          <w:numId w:val="433"/>
        </w:numPr>
        <w:ind w:left="1276" w:hanging="425"/>
        <w:rPr>
          <w:lang w:eastAsia="en-AU"/>
        </w:rPr>
      </w:pPr>
      <w:r w:rsidRPr="007221A4">
        <w:rPr>
          <w:lang w:eastAsia="en-AU"/>
        </w:rPr>
        <w:t>to reduce the prevalence and severity of harm associated with the misuse and abuse of gambling activities; and</w:t>
      </w:r>
    </w:p>
    <w:p w:rsidR="00CB4030" w:rsidRPr="00420A51" w:rsidRDefault="00CB4030" w:rsidP="007221A4">
      <w:pPr>
        <w:numPr>
          <w:ilvl w:val="0"/>
          <w:numId w:val="87"/>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lastRenderedPageBreak/>
        <w:t>to foster responsible conduct in relation to gambling and in particular, to ensure that gambling is conducted responsibly, fairly and honestly, with regard to minimising the harm associated with gambling; and</w:t>
      </w:r>
    </w:p>
    <w:p w:rsidR="00CB4030" w:rsidRPr="00420A51" w:rsidRDefault="00CB4030" w:rsidP="007221A4">
      <w:pPr>
        <w:numPr>
          <w:ilvl w:val="0"/>
          <w:numId w:val="87"/>
        </w:numPr>
        <w:tabs>
          <w:tab w:val="left" w:pos="284"/>
          <w:tab w:val="left" w:pos="709"/>
        </w:tabs>
        <w:spacing w:after="120" w:line="240" w:lineRule="auto"/>
        <w:ind w:left="1276" w:hanging="425"/>
        <w:jc w:val="left"/>
        <w:rPr>
          <w:rFonts w:ascii="Times New Roman" w:eastAsia="Times New Roman" w:hAnsi="Times New Roman"/>
          <w:spacing w:val="-2"/>
          <w:sz w:val="17"/>
          <w:szCs w:val="17"/>
          <w:lang w:eastAsia="en-AU" w:bidi="en-US"/>
        </w:rPr>
      </w:pPr>
      <w:r w:rsidRPr="00420A51">
        <w:rPr>
          <w:rFonts w:ascii="Times New Roman" w:eastAsia="Times New Roman" w:hAnsi="Times New Roman"/>
          <w:spacing w:val="-2"/>
          <w:sz w:val="17"/>
          <w:szCs w:val="17"/>
          <w:lang w:eastAsia="en-AU" w:bidi="en-US"/>
        </w:rPr>
        <w:t>to facilitate the balanced development and maintenance, in the public interest, of an economically viable and socially responsible gambling industry in the State recognising the positive and negative impacts of gambling on communities; and</w:t>
      </w:r>
    </w:p>
    <w:p w:rsidR="00CB4030" w:rsidRPr="00420A51" w:rsidRDefault="00CB4030" w:rsidP="007221A4">
      <w:pPr>
        <w:numPr>
          <w:ilvl w:val="0"/>
          <w:numId w:val="87"/>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to ensure that gambling is conducted honestly and free from interference, criminal influence and exploitation; and</w:t>
      </w:r>
    </w:p>
    <w:p w:rsidR="00CB4030" w:rsidRPr="00420A51" w:rsidRDefault="00CB4030" w:rsidP="007221A4">
      <w:pPr>
        <w:numPr>
          <w:ilvl w:val="0"/>
          <w:numId w:val="87"/>
        </w:numPr>
        <w:tabs>
          <w:tab w:val="left" w:pos="284"/>
          <w:tab w:val="left" w:pos="709"/>
        </w:tabs>
        <w:spacing w:after="120" w:line="240" w:lineRule="auto"/>
        <w:ind w:left="1276" w:hanging="425"/>
        <w:jc w:val="left"/>
        <w:rPr>
          <w:rFonts w:ascii="Times New Roman" w:eastAsia="Times New Roman" w:hAnsi="Times New Roman"/>
          <w:spacing w:val="-4"/>
          <w:sz w:val="17"/>
          <w:szCs w:val="17"/>
          <w:lang w:eastAsia="en-AU" w:bidi="en-US"/>
        </w:rPr>
      </w:pPr>
      <w:r w:rsidRPr="00420A51">
        <w:rPr>
          <w:rFonts w:ascii="Times New Roman" w:eastAsia="Times New Roman" w:hAnsi="Times New Roman"/>
          <w:spacing w:val="-4"/>
          <w:sz w:val="17"/>
          <w:szCs w:val="17"/>
          <w:lang w:eastAsia="en-AU" w:bidi="en-US"/>
        </w:rPr>
        <w:t>to ensure, as far as practicable, that the conduct of gambling is consistent with the expectations and aspirations of the public.</w:t>
      </w:r>
    </w:p>
    <w:p w:rsidR="00CB4030" w:rsidRPr="00420A51" w:rsidRDefault="00CB4030" w:rsidP="00471419">
      <w:pPr>
        <w:numPr>
          <w:ilvl w:val="0"/>
          <w:numId w:val="432"/>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For the purposes of clause 3(1)(a) harm associated with the misuse and abuse of gambling activities includes— </w:t>
      </w:r>
    </w:p>
    <w:p w:rsidR="00CB4030" w:rsidRPr="007221A4" w:rsidRDefault="00CB4030" w:rsidP="007221A4">
      <w:pPr>
        <w:pStyle w:val="Codea"/>
        <w:numPr>
          <w:ilvl w:val="0"/>
          <w:numId w:val="434"/>
        </w:numPr>
        <w:ind w:left="1276" w:hanging="425"/>
        <w:rPr>
          <w:lang w:eastAsia="en-AU"/>
        </w:rPr>
      </w:pPr>
      <w:r w:rsidRPr="007221A4">
        <w:rPr>
          <w:lang w:eastAsia="en-AU"/>
        </w:rPr>
        <w:t>the risk of harm to children, vulnerable people and communities (whether to a community as a whole or a group within a community); and</w:t>
      </w:r>
    </w:p>
    <w:p w:rsidR="00CB4030" w:rsidRPr="00420A51" w:rsidRDefault="00CB4030" w:rsidP="007221A4">
      <w:pPr>
        <w:numPr>
          <w:ilvl w:val="0"/>
          <w:numId w:val="87"/>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adverse economic, social and cultural effects on communities (whether on a community as a whole or a group within a community); and</w:t>
      </w:r>
    </w:p>
    <w:p w:rsidR="00CB4030" w:rsidRPr="00420A51" w:rsidRDefault="00CB4030" w:rsidP="007221A4">
      <w:pPr>
        <w:numPr>
          <w:ilvl w:val="0"/>
          <w:numId w:val="87"/>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adverse effects on a person</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health or welfare; and</w:t>
      </w:r>
    </w:p>
    <w:p w:rsidR="00CB4030" w:rsidRPr="00420A51" w:rsidRDefault="00CB4030" w:rsidP="007221A4">
      <w:pPr>
        <w:numPr>
          <w:ilvl w:val="0"/>
          <w:numId w:val="87"/>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adverse effects on a person</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family, friends and work colleagues.</w:t>
      </w:r>
    </w:p>
    <w:p w:rsidR="00CB4030" w:rsidRPr="00420A51" w:rsidRDefault="00CB4030" w:rsidP="00471419">
      <w:pPr>
        <w:numPr>
          <w:ilvl w:val="0"/>
          <w:numId w:val="432"/>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intention of this code of practice is to commit gambling providers to—</w:t>
      </w:r>
    </w:p>
    <w:p w:rsidR="00CB4030" w:rsidRPr="007221A4" w:rsidRDefault="00CB4030" w:rsidP="007221A4">
      <w:pPr>
        <w:pStyle w:val="Codea"/>
        <w:numPr>
          <w:ilvl w:val="0"/>
          <w:numId w:val="435"/>
        </w:numPr>
        <w:ind w:left="1276" w:hanging="425"/>
        <w:rPr>
          <w:lang w:eastAsia="en-AU"/>
        </w:rPr>
      </w:pPr>
      <w:r w:rsidRPr="007221A4">
        <w:rPr>
          <w:lang w:eastAsia="en-AU"/>
        </w:rPr>
        <w:t>ensure that gambling practices are consistent with the community</w:t>
      </w:r>
      <w:r w:rsidR="00420A51" w:rsidRPr="007221A4">
        <w:rPr>
          <w:lang w:eastAsia="en-AU"/>
        </w:rPr>
        <w:t>’</w:t>
      </w:r>
      <w:r w:rsidRPr="007221A4">
        <w:rPr>
          <w:lang w:eastAsia="en-AU"/>
        </w:rPr>
        <w:t>s expectations that gambling businesses will be conducted in a responsible manner so as to minimise the harm caused by gambling;</w:t>
      </w:r>
    </w:p>
    <w:p w:rsidR="00CB4030" w:rsidRPr="00420A51" w:rsidRDefault="00CB4030" w:rsidP="007221A4">
      <w:pPr>
        <w:numPr>
          <w:ilvl w:val="0"/>
          <w:numId w:val="87"/>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ensure that gambling advertising is consistent with the community</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expectations that gambling businesses will be conducted in a responsible manner so as to minimise the harm caused by gambling and is socially responsible;</w:t>
      </w:r>
    </w:p>
    <w:p w:rsidR="00CB4030" w:rsidRPr="00420A51" w:rsidRDefault="00CB4030" w:rsidP="007221A4">
      <w:pPr>
        <w:numPr>
          <w:ilvl w:val="0"/>
          <w:numId w:val="87"/>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consider and implement measures to minimise harm associated with gambling activities;</w:t>
      </w:r>
    </w:p>
    <w:p w:rsidR="00CB4030" w:rsidRPr="00420A51" w:rsidRDefault="00CB4030" w:rsidP="007221A4">
      <w:pPr>
        <w:numPr>
          <w:ilvl w:val="0"/>
          <w:numId w:val="87"/>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maintain standards of operational practice that, as a matter of course, address harm minimisation; </w:t>
      </w:r>
    </w:p>
    <w:p w:rsidR="00CB4030" w:rsidRPr="00420A51" w:rsidRDefault="00CB4030" w:rsidP="007221A4">
      <w:pPr>
        <w:numPr>
          <w:ilvl w:val="0"/>
          <w:numId w:val="87"/>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not undertake operational practices involving unacceptable risk of harm.</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Interpretation</w:t>
      </w:r>
    </w:p>
    <w:p w:rsidR="00CB4030" w:rsidRPr="00420A51" w:rsidRDefault="00CB4030" w:rsidP="006371CB">
      <w:pPr>
        <w:numPr>
          <w:ilvl w:val="0"/>
          <w:numId w:val="46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pacing w:val="-4"/>
          <w:sz w:val="17"/>
          <w:szCs w:val="17"/>
          <w:lang w:eastAsia="en-AU" w:bidi="en-US"/>
        </w:rPr>
        <w:t xml:space="preserve">Unless the contrary intention appears, expressions defined in the </w:t>
      </w:r>
      <w:r w:rsidRPr="00420A51">
        <w:rPr>
          <w:rFonts w:ascii="Times New Roman" w:eastAsia="Times New Roman" w:hAnsi="Times New Roman"/>
          <w:i/>
          <w:spacing w:val="-4"/>
          <w:sz w:val="17"/>
          <w:szCs w:val="17"/>
          <w:lang w:eastAsia="en-AU" w:bidi="en-US"/>
        </w:rPr>
        <w:t>Gambling Administration Act 2019</w:t>
      </w:r>
      <w:r w:rsidRPr="00420A51">
        <w:rPr>
          <w:rFonts w:ascii="Times New Roman" w:eastAsia="Times New Roman" w:hAnsi="Times New Roman"/>
          <w:spacing w:val="-4"/>
          <w:sz w:val="17"/>
          <w:szCs w:val="17"/>
          <w:lang w:eastAsia="en-AU" w:bidi="en-US"/>
        </w:rPr>
        <w:t xml:space="preserve"> and </w:t>
      </w:r>
      <w:r w:rsidRPr="00420A51">
        <w:rPr>
          <w:rFonts w:ascii="Times New Roman" w:eastAsia="Times New Roman" w:hAnsi="Times New Roman"/>
          <w:i/>
          <w:iCs/>
          <w:spacing w:val="-4"/>
          <w:sz w:val="17"/>
          <w:szCs w:val="17"/>
          <w:lang w:eastAsia="en-AU" w:bidi="en-US"/>
        </w:rPr>
        <w:t>State Lotteries Act 1966</w:t>
      </w:r>
      <w:r w:rsidRPr="00420A51">
        <w:rPr>
          <w:rFonts w:ascii="Times New Roman" w:eastAsia="Times New Roman" w:hAnsi="Times New Roman"/>
          <w:i/>
          <w:iCs/>
          <w:sz w:val="17"/>
          <w:szCs w:val="17"/>
          <w:lang w:eastAsia="en-AU" w:bidi="en-US"/>
        </w:rPr>
        <w:t xml:space="preserve"> </w:t>
      </w:r>
      <w:r w:rsidRPr="00420A51">
        <w:rPr>
          <w:rFonts w:ascii="Times New Roman" w:eastAsia="Times New Roman" w:hAnsi="Times New Roman"/>
          <w:sz w:val="17"/>
          <w:szCs w:val="17"/>
          <w:lang w:eastAsia="en-AU" w:bidi="en-US"/>
        </w:rPr>
        <w:t xml:space="preserve">have the same meaning in this code of practice. </w:t>
      </w:r>
    </w:p>
    <w:p w:rsidR="00CB4030" w:rsidRPr="00420A51" w:rsidRDefault="00CB4030" w:rsidP="005551DA">
      <w:pPr>
        <w:tabs>
          <w:tab w:val="left" w:pos="540"/>
          <w:tab w:val="left" w:pos="900"/>
        </w:tabs>
        <w:spacing w:after="120" w:line="240" w:lineRule="auto"/>
        <w:ind w:left="851"/>
        <w:jc w:val="left"/>
        <w:rPr>
          <w:rFonts w:ascii="Times New Roman" w:eastAsia="Times New Roman" w:hAnsi="Times New Roman"/>
          <w:sz w:val="17"/>
          <w:szCs w:val="17"/>
          <w:lang w:eastAsia="en-AU" w:bidi="en-US"/>
        </w:rPr>
      </w:pPr>
      <w:r w:rsidRPr="00420A51">
        <w:rPr>
          <w:rFonts w:ascii="Times New Roman" w:eastAsia="Times New Roman" w:hAnsi="Times New Roman"/>
          <w:b/>
          <w:bCs/>
          <w:i/>
          <w:iCs/>
          <w:sz w:val="17"/>
          <w:szCs w:val="17"/>
          <w:lang w:eastAsia="en-AU" w:bidi="en-US"/>
        </w:rPr>
        <w:t>condensed warning message</w:t>
      </w:r>
      <w:r w:rsidRPr="00420A51">
        <w:rPr>
          <w:rFonts w:ascii="Times New Roman" w:eastAsia="Times New Roman" w:hAnsi="Times New Roman"/>
          <w:sz w:val="17"/>
          <w:szCs w:val="17"/>
          <w:lang w:eastAsia="en-AU" w:bidi="en-US"/>
        </w:rPr>
        <w:t xml:space="preserve"> means the following message - </w:t>
      </w:r>
      <w:r w:rsidR="00420A51">
        <w:rPr>
          <w:rFonts w:ascii="Times New Roman" w:eastAsia="Times New Roman" w:hAnsi="Times New Roman"/>
          <w:sz w:val="17"/>
          <w:szCs w:val="17"/>
          <w:lang w:eastAsia="en-AU" w:bidi="en-US"/>
        </w:rPr>
        <w:t>“</w:t>
      </w:r>
      <w:r w:rsidRPr="00420A51">
        <w:rPr>
          <w:rFonts w:ascii="Times New Roman" w:eastAsia="Times New Roman" w:hAnsi="Times New Roman"/>
          <w:i/>
          <w:iCs/>
          <w:sz w:val="17"/>
          <w:szCs w:val="17"/>
          <w:lang w:eastAsia="en-AU" w:bidi="en-US"/>
        </w:rPr>
        <w:t>Gamble responsibly</w:t>
      </w:r>
      <w:r w:rsidR="00420A51">
        <w:rPr>
          <w:rFonts w:ascii="Times New Roman" w:eastAsia="Times New Roman" w:hAnsi="Times New Roman"/>
          <w:sz w:val="17"/>
          <w:szCs w:val="17"/>
          <w:lang w:eastAsia="en-AU" w:bidi="en-US"/>
        </w:rPr>
        <w:t>”</w:t>
      </w:r>
    </w:p>
    <w:p w:rsidR="00CB4030" w:rsidRPr="00420A51" w:rsidRDefault="00CB4030" w:rsidP="005551DA">
      <w:pPr>
        <w:tabs>
          <w:tab w:val="left" w:pos="540"/>
          <w:tab w:val="left" w:pos="900"/>
        </w:tabs>
        <w:spacing w:after="120" w:line="240" w:lineRule="auto"/>
        <w:ind w:left="851"/>
        <w:jc w:val="left"/>
        <w:rPr>
          <w:rFonts w:ascii="Times New Roman" w:eastAsia="Times New Roman" w:hAnsi="Times New Roman"/>
          <w:sz w:val="17"/>
          <w:szCs w:val="17"/>
          <w:lang w:eastAsia="en-AU" w:bidi="en-US"/>
        </w:rPr>
      </w:pPr>
      <w:r w:rsidRPr="00420A51">
        <w:rPr>
          <w:rFonts w:ascii="Times New Roman" w:eastAsia="Times New Roman" w:hAnsi="Times New Roman"/>
          <w:b/>
          <w:bCs/>
          <w:i/>
          <w:iCs/>
          <w:sz w:val="17"/>
          <w:szCs w:val="17"/>
          <w:lang w:eastAsia="en-AU" w:bidi="en-US"/>
        </w:rPr>
        <w:t>gambling advertising</w:t>
      </w:r>
      <w:r w:rsidRPr="00420A51">
        <w:rPr>
          <w:rFonts w:ascii="Times New Roman" w:eastAsia="Times New Roman" w:hAnsi="Times New Roman"/>
          <w:sz w:val="17"/>
          <w:szCs w:val="17"/>
          <w:lang w:eastAsia="en-AU" w:bidi="en-US"/>
        </w:rPr>
        <w:t xml:space="preserve"> means any advertising by a gambling provider of a particular gambling product, products or gambling activity (including to open a gambling account), whether in print or electronic form,</w:t>
      </w:r>
      <w:r w:rsidR="00420A51">
        <w:rPr>
          <w:rFonts w:ascii="Times New Roman" w:eastAsia="Times New Roman" w:hAnsi="Times New Roman"/>
          <w:sz w:val="17"/>
          <w:szCs w:val="17"/>
          <w:lang w:eastAsia="en-AU" w:bidi="en-US"/>
        </w:rPr>
        <w:t xml:space="preserve"> </w:t>
      </w:r>
      <w:r w:rsidRPr="00420A51">
        <w:rPr>
          <w:rFonts w:ascii="Times New Roman" w:eastAsia="Times New Roman" w:hAnsi="Times New Roman"/>
          <w:sz w:val="17"/>
          <w:szCs w:val="17"/>
          <w:lang w:eastAsia="en-AU" w:bidi="en-US"/>
        </w:rPr>
        <w:t>including media (internet and all electronic and social media), radio, television, print media, signs and billboards, and any advertising on radio or television in the nature of a plug or endorsement, celebrity commentary, or program content which is in exchange for payment, or some other form of valuable consideration.</w:t>
      </w:r>
    </w:p>
    <w:p w:rsidR="00CB4030" w:rsidRPr="00420A51" w:rsidRDefault="00CB4030" w:rsidP="005551DA">
      <w:pPr>
        <w:tabs>
          <w:tab w:val="left" w:pos="540"/>
          <w:tab w:val="left" w:pos="900"/>
        </w:tabs>
        <w:spacing w:after="120" w:line="240" w:lineRule="auto"/>
        <w:ind w:left="851"/>
        <w:jc w:val="left"/>
        <w:rPr>
          <w:rFonts w:ascii="Times New Roman" w:eastAsia="Times New Roman" w:hAnsi="Times New Roman"/>
          <w:sz w:val="17"/>
          <w:szCs w:val="17"/>
          <w:lang w:eastAsia="en-AU" w:bidi="en-US"/>
        </w:rPr>
      </w:pPr>
      <w:r w:rsidRPr="00420A51">
        <w:rPr>
          <w:rFonts w:ascii="Times New Roman" w:eastAsia="Times New Roman" w:hAnsi="Times New Roman"/>
          <w:b/>
          <w:bCs/>
          <w:i/>
          <w:iCs/>
          <w:sz w:val="17"/>
          <w:szCs w:val="17"/>
          <w:lang w:eastAsia="en-AU" w:bidi="en-US"/>
        </w:rPr>
        <w:t>gambling provider</w:t>
      </w:r>
      <w:r w:rsidRPr="00420A51">
        <w:rPr>
          <w:rFonts w:ascii="Times New Roman" w:eastAsia="Times New Roman" w:hAnsi="Times New Roman"/>
          <w:sz w:val="17"/>
          <w:szCs w:val="17"/>
          <w:lang w:eastAsia="en-AU" w:bidi="en-US"/>
        </w:rPr>
        <w:t xml:space="preserve"> for the purpose of this code means the Lotteries Commission of South Australia (the Lotteries Commission).</w:t>
      </w:r>
    </w:p>
    <w:p w:rsidR="00CB4030" w:rsidRPr="00420A51" w:rsidRDefault="00CB4030" w:rsidP="005551DA">
      <w:pPr>
        <w:tabs>
          <w:tab w:val="left" w:pos="540"/>
          <w:tab w:val="left" w:pos="900"/>
        </w:tabs>
        <w:spacing w:after="120" w:line="240" w:lineRule="auto"/>
        <w:ind w:left="851"/>
        <w:jc w:val="left"/>
        <w:rPr>
          <w:rFonts w:ascii="Times New Roman" w:eastAsia="Times New Roman" w:hAnsi="Times New Roman"/>
          <w:b/>
          <w:bCs/>
          <w:i/>
          <w:iCs/>
          <w:spacing w:val="-2"/>
          <w:sz w:val="17"/>
          <w:szCs w:val="17"/>
          <w:lang w:eastAsia="en-AU" w:bidi="en-US"/>
        </w:rPr>
      </w:pPr>
      <w:r w:rsidRPr="00420A51">
        <w:rPr>
          <w:rFonts w:ascii="Times New Roman" w:eastAsia="Times New Roman" w:hAnsi="Times New Roman"/>
          <w:b/>
          <w:bCs/>
          <w:i/>
          <w:iCs/>
          <w:spacing w:val="-2"/>
          <w:sz w:val="17"/>
          <w:szCs w:val="17"/>
          <w:lang w:eastAsia="en-AU" w:bidi="en-US"/>
        </w:rPr>
        <w:t>gambling area</w:t>
      </w:r>
      <w:r w:rsidRPr="00420A51">
        <w:rPr>
          <w:rFonts w:ascii="Times New Roman" w:eastAsia="Times New Roman" w:hAnsi="Times New Roman"/>
          <w:spacing w:val="-2"/>
          <w:sz w:val="17"/>
          <w:szCs w:val="17"/>
          <w:lang w:eastAsia="en-AU" w:bidi="en-US"/>
        </w:rPr>
        <w:t xml:space="preserve"> means the immediate environs of the point of sale for a product authorised under the </w:t>
      </w:r>
      <w:r w:rsidRPr="00420A51">
        <w:rPr>
          <w:rFonts w:ascii="Times New Roman" w:eastAsia="Times New Roman" w:hAnsi="Times New Roman"/>
          <w:i/>
          <w:iCs/>
          <w:spacing w:val="-2"/>
          <w:sz w:val="17"/>
          <w:szCs w:val="17"/>
          <w:lang w:eastAsia="en-AU" w:bidi="en-US"/>
        </w:rPr>
        <w:t>State Lotteries Act 1966</w:t>
      </w:r>
      <w:r w:rsidRPr="00420A51">
        <w:rPr>
          <w:rFonts w:ascii="Times New Roman" w:eastAsia="Times New Roman" w:hAnsi="Times New Roman"/>
          <w:spacing w:val="-2"/>
          <w:sz w:val="17"/>
          <w:szCs w:val="17"/>
          <w:lang w:eastAsia="en-AU" w:bidi="en-US"/>
        </w:rPr>
        <w:t>.</w:t>
      </w:r>
    </w:p>
    <w:p w:rsidR="00CB4030" w:rsidRPr="00420A51" w:rsidRDefault="00CB4030" w:rsidP="005551DA">
      <w:pPr>
        <w:tabs>
          <w:tab w:val="left" w:pos="540"/>
          <w:tab w:val="left" w:pos="900"/>
        </w:tabs>
        <w:spacing w:after="120" w:line="240" w:lineRule="auto"/>
        <w:ind w:left="851"/>
        <w:jc w:val="left"/>
        <w:rPr>
          <w:rFonts w:ascii="Times New Roman" w:eastAsia="Times New Roman" w:hAnsi="Times New Roman"/>
          <w:sz w:val="17"/>
          <w:szCs w:val="17"/>
          <w:lang w:eastAsia="en-AU" w:bidi="en-US"/>
        </w:rPr>
      </w:pPr>
      <w:r w:rsidRPr="00420A51">
        <w:rPr>
          <w:rFonts w:ascii="Times New Roman" w:eastAsia="Times New Roman" w:hAnsi="Times New Roman"/>
          <w:b/>
          <w:bCs/>
          <w:i/>
          <w:iCs/>
          <w:sz w:val="17"/>
          <w:szCs w:val="17"/>
          <w:lang w:eastAsia="en-AU" w:bidi="en-US"/>
        </w:rPr>
        <w:t>inducement</w:t>
      </w:r>
      <w:r w:rsidRPr="00420A51">
        <w:rPr>
          <w:rFonts w:ascii="Times New Roman" w:eastAsia="Times New Roman" w:hAnsi="Times New Roman"/>
          <w:sz w:val="17"/>
          <w:szCs w:val="17"/>
          <w:lang w:eastAsia="en-AU" w:bidi="en-US"/>
        </w:rPr>
        <w:t xml:space="preserve"> means any credit, voucher or reward offered to a person as an inducement to participate, or to participate frequently, in any gambling activity (including as an inducement to open a gambling account, or as an inducement to not close a gambling account).</w:t>
      </w:r>
    </w:p>
    <w:p w:rsidR="00CB4030" w:rsidRPr="00420A51" w:rsidRDefault="00CB4030" w:rsidP="005551DA">
      <w:pPr>
        <w:tabs>
          <w:tab w:val="left" w:pos="540"/>
          <w:tab w:val="left" w:pos="900"/>
        </w:tabs>
        <w:spacing w:after="120" w:line="240" w:lineRule="auto"/>
        <w:ind w:left="851"/>
        <w:jc w:val="left"/>
        <w:rPr>
          <w:rFonts w:ascii="Times New Roman" w:eastAsia="Times New Roman" w:hAnsi="Times New Roman"/>
          <w:sz w:val="17"/>
          <w:szCs w:val="17"/>
          <w:lang w:eastAsia="en-AU" w:bidi="en-US"/>
        </w:rPr>
      </w:pPr>
      <w:r w:rsidRPr="00420A51">
        <w:rPr>
          <w:rFonts w:ascii="Times New Roman" w:eastAsia="Times New Roman" w:hAnsi="Times New Roman"/>
          <w:b/>
          <w:bCs/>
          <w:i/>
          <w:iCs/>
          <w:sz w:val="17"/>
          <w:szCs w:val="17"/>
          <w:lang w:eastAsia="en-AU" w:bidi="en-US"/>
        </w:rPr>
        <w:t>permitted external sign</w:t>
      </w:r>
      <w:r w:rsidRPr="00420A51">
        <w:rPr>
          <w:rFonts w:ascii="Times New Roman" w:eastAsia="Times New Roman" w:hAnsi="Times New Roman"/>
          <w:sz w:val="17"/>
          <w:szCs w:val="17"/>
          <w:lang w:eastAsia="en-AU" w:bidi="en-US"/>
        </w:rPr>
        <w:t xml:space="preserve"> means a sign affixed to the outside of a building containing a gambling area or affixed to the outside of a permanent structure within the immediate environs of a building containing a gambling area, which is under the control of the gambling provider that—</w:t>
      </w:r>
    </w:p>
    <w:p w:rsidR="00CB4030" w:rsidRPr="00420A51" w:rsidRDefault="00CB4030" w:rsidP="007221A4">
      <w:pPr>
        <w:numPr>
          <w:ilvl w:val="0"/>
          <w:numId w:val="196"/>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displays the gambling provider</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logo or name; or</w:t>
      </w:r>
    </w:p>
    <w:p w:rsidR="00CB4030" w:rsidRPr="00420A51" w:rsidRDefault="00CB4030" w:rsidP="007221A4">
      <w:pPr>
        <w:numPr>
          <w:ilvl w:val="0"/>
          <w:numId w:val="196"/>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indicates the availability of a gambling activity inside the building.</w:t>
      </w:r>
    </w:p>
    <w:p w:rsidR="00CB4030" w:rsidRPr="00420A51" w:rsidRDefault="00CB4030" w:rsidP="005551DA">
      <w:pPr>
        <w:tabs>
          <w:tab w:val="left" w:pos="540"/>
          <w:tab w:val="left" w:pos="900"/>
        </w:tabs>
        <w:spacing w:after="120" w:line="240" w:lineRule="auto"/>
        <w:ind w:left="853"/>
        <w:jc w:val="left"/>
        <w:rPr>
          <w:rFonts w:ascii="Times New Roman" w:eastAsia="Times New Roman" w:hAnsi="Times New Roman"/>
          <w:sz w:val="17"/>
          <w:szCs w:val="17"/>
          <w:lang w:eastAsia="en-AU" w:bidi="en-US"/>
        </w:rPr>
      </w:pPr>
      <w:r w:rsidRPr="00420A51">
        <w:rPr>
          <w:rFonts w:ascii="Times New Roman" w:eastAsia="Times New Roman" w:hAnsi="Times New Roman"/>
          <w:b/>
          <w:bCs/>
          <w:i/>
          <w:iCs/>
          <w:sz w:val="17"/>
          <w:szCs w:val="17"/>
          <w:lang w:eastAsia="en-AU" w:bidi="en-US"/>
        </w:rPr>
        <w:t>private webpage</w:t>
      </w:r>
      <w:r w:rsidRPr="00420A51">
        <w:rPr>
          <w:rFonts w:ascii="Times New Roman" w:eastAsia="Times New Roman" w:hAnsi="Times New Roman"/>
          <w:sz w:val="17"/>
          <w:szCs w:val="17"/>
          <w:lang w:eastAsia="en-AU" w:bidi="en-US"/>
        </w:rPr>
        <w:t xml:space="preserve"> means a webpage, application or a display on an internet-enabled device, which provides for a person to gamble with the gambling provider.</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Mandatory nature of the code</w:t>
      </w:r>
    </w:p>
    <w:p w:rsidR="00CB4030" w:rsidRPr="00420A51" w:rsidRDefault="00CB4030" w:rsidP="006371CB">
      <w:pPr>
        <w:numPr>
          <w:ilvl w:val="0"/>
          <w:numId w:val="468"/>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Under section 15 of the </w:t>
      </w:r>
      <w:r w:rsidRPr="00420A51">
        <w:rPr>
          <w:rFonts w:ascii="Times New Roman" w:eastAsia="Times New Roman" w:hAnsi="Times New Roman"/>
          <w:i/>
          <w:sz w:val="17"/>
          <w:szCs w:val="17"/>
          <w:lang w:eastAsia="en-AU" w:bidi="en-US"/>
        </w:rPr>
        <w:t>Gambling Administration Act 2019</w:t>
      </w:r>
      <w:r w:rsidRPr="00420A51">
        <w:rPr>
          <w:rFonts w:ascii="Times New Roman" w:eastAsia="Times New Roman" w:hAnsi="Times New Roman"/>
          <w:sz w:val="17"/>
          <w:szCs w:val="17"/>
          <w:lang w:eastAsia="en-AU" w:bidi="en-US"/>
        </w:rPr>
        <w:t>, the Liquor and Gambling Commissioner (the Commissioner) may prescribe advertising codes of practice and responsible gambling codes of practice.</w:t>
      </w:r>
      <w:r w:rsidR="00420A51">
        <w:rPr>
          <w:rFonts w:ascii="Times New Roman" w:eastAsia="Times New Roman" w:hAnsi="Times New Roman"/>
          <w:sz w:val="17"/>
          <w:szCs w:val="17"/>
          <w:lang w:eastAsia="en-AU" w:bidi="en-US"/>
        </w:rPr>
        <w:t xml:space="preserve"> </w:t>
      </w:r>
    </w:p>
    <w:p w:rsidR="00CB4030" w:rsidRPr="00420A51" w:rsidRDefault="00CB4030" w:rsidP="006371CB">
      <w:pPr>
        <w:numPr>
          <w:ilvl w:val="0"/>
          <w:numId w:val="468"/>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A gambling provider must not contravene or fail to comply with a provision of a code of practice.</w:t>
      </w:r>
    </w:p>
    <w:p w:rsidR="00CB4030" w:rsidRPr="00420A51" w:rsidRDefault="00CB4030" w:rsidP="006371CB">
      <w:pPr>
        <w:numPr>
          <w:ilvl w:val="0"/>
          <w:numId w:val="468"/>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For the purposes of section 16 of the </w:t>
      </w:r>
      <w:r w:rsidRPr="00420A51">
        <w:rPr>
          <w:rFonts w:ascii="Times New Roman" w:eastAsia="Times New Roman" w:hAnsi="Times New Roman"/>
          <w:i/>
          <w:iCs/>
          <w:sz w:val="17"/>
          <w:szCs w:val="17"/>
          <w:lang w:eastAsia="en-AU" w:bidi="en-US"/>
        </w:rPr>
        <w:t>Gambling Administration Act 2019</w:t>
      </w:r>
      <w:r w:rsidRPr="00420A51">
        <w:rPr>
          <w:rFonts w:ascii="Times New Roman" w:eastAsia="Times New Roman" w:hAnsi="Times New Roman"/>
          <w:sz w:val="17"/>
          <w:szCs w:val="17"/>
          <w:lang w:eastAsia="en-AU" w:bidi="en-US"/>
        </w:rPr>
        <w:t>—</w:t>
      </w:r>
    </w:p>
    <w:p w:rsidR="00CB4030" w:rsidRPr="00420A51" w:rsidRDefault="00CB4030" w:rsidP="007221A4">
      <w:pPr>
        <w:numPr>
          <w:ilvl w:val="0"/>
          <w:numId w:val="436"/>
        </w:numPr>
        <w:tabs>
          <w:tab w:val="left" w:pos="284"/>
          <w:tab w:val="left" w:pos="709"/>
        </w:tabs>
        <w:spacing w:after="120" w:line="240" w:lineRule="auto"/>
        <w:ind w:left="1276" w:hanging="425"/>
        <w:jc w:val="left"/>
        <w:rPr>
          <w:rFonts w:ascii="Times New Roman" w:eastAsia="Times New Roman" w:hAnsi="Times New Roman"/>
          <w:spacing w:val="-4"/>
          <w:sz w:val="17"/>
          <w:szCs w:val="17"/>
          <w:lang w:eastAsia="en-AU" w:bidi="en-US"/>
        </w:rPr>
      </w:pPr>
      <w:r w:rsidRPr="00420A51">
        <w:rPr>
          <w:rFonts w:ascii="Times New Roman" w:eastAsia="Times New Roman" w:hAnsi="Times New Roman"/>
          <w:spacing w:val="-4"/>
          <w:sz w:val="17"/>
          <w:szCs w:val="17"/>
          <w:lang w:eastAsia="en-AU" w:bidi="en-US"/>
        </w:rPr>
        <w:t xml:space="preserve">if the letter </w:t>
      </w:r>
      <w:r w:rsidR="00420A51">
        <w:rPr>
          <w:rFonts w:ascii="Times New Roman" w:eastAsia="Times New Roman" w:hAnsi="Times New Roman"/>
          <w:spacing w:val="-4"/>
          <w:sz w:val="17"/>
          <w:szCs w:val="17"/>
          <w:lang w:eastAsia="en-AU" w:bidi="en-US"/>
        </w:rPr>
        <w:t>“</w:t>
      </w:r>
      <w:r w:rsidRPr="00420A51">
        <w:rPr>
          <w:rFonts w:ascii="Times New Roman" w:eastAsia="Times New Roman" w:hAnsi="Times New Roman"/>
          <w:spacing w:val="-4"/>
          <w:sz w:val="17"/>
          <w:szCs w:val="17"/>
          <w:lang w:eastAsia="en-AU" w:bidi="en-US"/>
        </w:rPr>
        <w:t>A</w:t>
      </w:r>
      <w:r w:rsidR="00420A51">
        <w:rPr>
          <w:rFonts w:ascii="Times New Roman" w:eastAsia="Times New Roman" w:hAnsi="Times New Roman"/>
          <w:spacing w:val="-4"/>
          <w:sz w:val="17"/>
          <w:szCs w:val="17"/>
          <w:lang w:eastAsia="en-AU" w:bidi="en-US"/>
        </w:rPr>
        <w:t>”</w:t>
      </w:r>
      <w:r w:rsidRPr="00420A51">
        <w:rPr>
          <w:rFonts w:ascii="Times New Roman" w:eastAsia="Times New Roman" w:hAnsi="Times New Roman"/>
          <w:spacing w:val="-4"/>
          <w:sz w:val="17"/>
          <w:szCs w:val="17"/>
          <w:lang w:eastAsia="en-AU" w:bidi="en-US"/>
        </w:rPr>
        <w:t xml:space="preserve">, </w:t>
      </w:r>
      <w:r w:rsidR="00420A51">
        <w:rPr>
          <w:rFonts w:ascii="Times New Roman" w:eastAsia="Times New Roman" w:hAnsi="Times New Roman"/>
          <w:spacing w:val="-4"/>
          <w:sz w:val="17"/>
          <w:szCs w:val="17"/>
          <w:lang w:eastAsia="en-AU" w:bidi="en-US"/>
        </w:rPr>
        <w:t>“</w:t>
      </w:r>
      <w:r w:rsidRPr="00420A51">
        <w:rPr>
          <w:rFonts w:ascii="Times New Roman" w:eastAsia="Times New Roman" w:hAnsi="Times New Roman"/>
          <w:spacing w:val="-4"/>
          <w:sz w:val="17"/>
          <w:szCs w:val="17"/>
          <w:lang w:eastAsia="en-AU" w:bidi="en-US"/>
        </w:rPr>
        <w:t>B</w:t>
      </w:r>
      <w:r w:rsidR="00420A51">
        <w:rPr>
          <w:rFonts w:ascii="Times New Roman" w:eastAsia="Times New Roman" w:hAnsi="Times New Roman"/>
          <w:spacing w:val="-4"/>
          <w:sz w:val="17"/>
          <w:szCs w:val="17"/>
          <w:lang w:eastAsia="en-AU" w:bidi="en-US"/>
        </w:rPr>
        <w:t>”</w:t>
      </w:r>
      <w:r w:rsidRPr="00420A51">
        <w:rPr>
          <w:rFonts w:ascii="Times New Roman" w:eastAsia="Times New Roman" w:hAnsi="Times New Roman"/>
          <w:spacing w:val="-4"/>
          <w:sz w:val="17"/>
          <w:szCs w:val="17"/>
          <w:lang w:eastAsia="en-AU" w:bidi="en-US"/>
        </w:rPr>
        <w:t xml:space="preserve">, </w:t>
      </w:r>
      <w:r w:rsidR="00420A51">
        <w:rPr>
          <w:rFonts w:ascii="Times New Roman" w:eastAsia="Times New Roman" w:hAnsi="Times New Roman"/>
          <w:spacing w:val="-4"/>
          <w:sz w:val="17"/>
          <w:szCs w:val="17"/>
          <w:lang w:eastAsia="en-AU" w:bidi="en-US"/>
        </w:rPr>
        <w:t>“</w:t>
      </w:r>
      <w:r w:rsidRPr="00420A51">
        <w:rPr>
          <w:rFonts w:ascii="Times New Roman" w:eastAsia="Times New Roman" w:hAnsi="Times New Roman"/>
          <w:spacing w:val="-4"/>
          <w:sz w:val="17"/>
          <w:szCs w:val="17"/>
          <w:lang w:eastAsia="en-AU" w:bidi="en-US"/>
        </w:rPr>
        <w:t>C</w:t>
      </w:r>
      <w:r w:rsidR="00420A51">
        <w:rPr>
          <w:rFonts w:ascii="Times New Roman" w:eastAsia="Times New Roman" w:hAnsi="Times New Roman"/>
          <w:spacing w:val="-4"/>
          <w:sz w:val="17"/>
          <w:szCs w:val="17"/>
          <w:lang w:eastAsia="en-AU" w:bidi="en-US"/>
        </w:rPr>
        <w:t>”</w:t>
      </w:r>
      <w:r w:rsidRPr="00420A51">
        <w:rPr>
          <w:rFonts w:ascii="Times New Roman" w:eastAsia="Times New Roman" w:hAnsi="Times New Roman"/>
          <w:spacing w:val="-4"/>
          <w:sz w:val="17"/>
          <w:szCs w:val="17"/>
          <w:lang w:eastAsia="en-AU" w:bidi="en-US"/>
        </w:rPr>
        <w:t xml:space="preserve"> or </w:t>
      </w:r>
      <w:r w:rsidR="00420A51">
        <w:rPr>
          <w:rFonts w:ascii="Times New Roman" w:eastAsia="Times New Roman" w:hAnsi="Times New Roman"/>
          <w:spacing w:val="-4"/>
          <w:sz w:val="17"/>
          <w:szCs w:val="17"/>
          <w:lang w:eastAsia="en-AU" w:bidi="en-US"/>
        </w:rPr>
        <w:t>“</w:t>
      </w:r>
      <w:r w:rsidRPr="00420A51">
        <w:rPr>
          <w:rFonts w:ascii="Times New Roman" w:eastAsia="Times New Roman" w:hAnsi="Times New Roman"/>
          <w:spacing w:val="-4"/>
          <w:sz w:val="17"/>
          <w:szCs w:val="17"/>
          <w:lang w:eastAsia="en-AU" w:bidi="en-US"/>
        </w:rPr>
        <w:t>D</w:t>
      </w:r>
      <w:r w:rsidR="00420A51">
        <w:rPr>
          <w:rFonts w:ascii="Times New Roman" w:eastAsia="Times New Roman" w:hAnsi="Times New Roman"/>
          <w:spacing w:val="-4"/>
          <w:sz w:val="17"/>
          <w:szCs w:val="17"/>
          <w:lang w:eastAsia="en-AU" w:bidi="en-US"/>
        </w:rPr>
        <w:t>”</w:t>
      </w:r>
      <w:r w:rsidRPr="00420A51">
        <w:rPr>
          <w:rFonts w:ascii="Times New Roman" w:eastAsia="Times New Roman" w:hAnsi="Times New Roman"/>
          <w:spacing w:val="-4"/>
          <w:sz w:val="17"/>
          <w:szCs w:val="17"/>
          <w:lang w:eastAsia="en-AU" w:bidi="en-US"/>
        </w:rPr>
        <w:t xml:space="preserve"> appears in column B of the table in Schedule 2 next to the listing of a provision, contravention or failure to comply with the provision is declared to be an offence in the category corresponding to that letter;</w:t>
      </w:r>
    </w:p>
    <w:p w:rsidR="00CB4030" w:rsidRPr="00420A51" w:rsidRDefault="00CB4030" w:rsidP="007221A4">
      <w:pPr>
        <w:numPr>
          <w:ilvl w:val="0"/>
          <w:numId w:val="436"/>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lastRenderedPageBreak/>
        <w:t xml:space="preserve">if the letter </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A</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 xml:space="preserve">, </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B</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 xml:space="preserve">, </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C</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 xml:space="preserve"> or </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D</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 xml:space="preserve"> appears in column C of the table in Schedule 2 next to the listing of a provision, the offence of contravention or failure to comply with the provision is declared to be an expiable offence in the category corresponding to that letter.</w:t>
      </w:r>
      <w:r w:rsidR="00420A51">
        <w:rPr>
          <w:rFonts w:ascii="Times New Roman" w:eastAsia="Times New Roman" w:hAnsi="Times New Roman"/>
          <w:sz w:val="17"/>
          <w:szCs w:val="17"/>
          <w:lang w:eastAsia="en-AU" w:bidi="en-US"/>
        </w:rPr>
        <w:t xml:space="preserve"> </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Application of this code of practice under section 15 of the Gambling Administration Act 2019</w:t>
      </w:r>
    </w:p>
    <w:p w:rsidR="00CB4030" w:rsidRPr="00420A51" w:rsidRDefault="00CB4030" w:rsidP="006371CB">
      <w:pPr>
        <w:numPr>
          <w:ilvl w:val="0"/>
          <w:numId w:val="467"/>
        </w:numPr>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Part 2 of this code of practice operates as the prescribed advertising code of practice for the purposes of section 15(1)(a) of the </w:t>
      </w:r>
      <w:r w:rsidRPr="00420A51">
        <w:rPr>
          <w:rFonts w:ascii="Times New Roman" w:eastAsia="Times New Roman" w:hAnsi="Times New Roman"/>
          <w:i/>
          <w:iCs/>
          <w:sz w:val="17"/>
          <w:szCs w:val="17"/>
          <w:lang w:eastAsia="en-AU" w:bidi="en-US"/>
        </w:rPr>
        <w:t>Gambling Administration Act 2019</w:t>
      </w:r>
      <w:r w:rsidRPr="00420A51">
        <w:rPr>
          <w:rFonts w:ascii="Times New Roman" w:eastAsia="Times New Roman" w:hAnsi="Times New Roman"/>
          <w:sz w:val="17"/>
          <w:szCs w:val="17"/>
          <w:lang w:eastAsia="en-AU" w:bidi="en-US"/>
        </w:rPr>
        <w:t>.</w:t>
      </w:r>
    </w:p>
    <w:p w:rsidR="00CB4030" w:rsidRPr="00420A51" w:rsidRDefault="00CB4030" w:rsidP="006371CB">
      <w:pPr>
        <w:numPr>
          <w:ilvl w:val="0"/>
          <w:numId w:val="467"/>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Part 3 of this code of practice operates as the prescribed responsible gambling code of practice for the purposes of section 15(1)(b) of the </w:t>
      </w:r>
      <w:r w:rsidRPr="00420A51">
        <w:rPr>
          <w:rFonts w:ascii="Times New Roman" w:eastAsia="Times New Roman" w:hAnsi="Times New Roman"/>
          <w:i/>
          <w:iCs/>
          <w:sz w:val="17"/>
          <w:szCs w:val="17"/>
          <w:lang w:eastAsia="en-AU" w:bidi="en-US"/>
        </w:rPr>
        <w:t>Gambling Administration Act 2019</w:t>
      </w:r>
      <w:r w:rsidRPr="00420A51">
        <w:rPr>
          <w:rFonts w:ascii="Times New Roman" w:eastAsia="Times New Roman" w:hAnsi="Times New Roman"/>
          <w:sz w:val="17"/>
          <w:szCs w:val="17"/>
          <w:lang w:eastAsia="en-AU" w:bidi="en-US"/>
        </w:rPr>
        <w:t>.</w:t>
      </w:r>
    </w:p>
    <w:p w:rsidR="00CB4030" w:rsidRPr="00420A51" w:rsidRDefault="00CB4030" w:rsidP="006371CB">
      <w:pPr>
        <w:numPr>
          <w:ilvl w:val="0"/>
          <w:numId w:val="467"/>
        </w:numPr>
        <w:tabs>
          <w:tab w:val="left" w:pos="284"/>
        </w:tabs>
        <w:spacing w:after="120" w:line="240" w:lineRule="auto"/>
        <w:ind w:left="851" w:hanging="425"/>
        <w:jc w:val="left"/>
        <w:rPr>
          <w:rFonts w:ascii="Times New Roman" w:eastAsia="Times New Roman" w:hAnsi="Times New Roman"/>
          <w:spacing w:val="-4"/>
          <w:sz w:val="17"/>
          <w:szCs w:val="17"/>
          <w:lang w:eastAsia="en-AU" w:bidi="en-US"/>
        </w:rPr>
      </w:pPr>
      <w:r w:rsidRPr="00420A51">
        <w:rPr>
          <w:rFonts w:ascii="Times New Roman" w:eastAsia="Times New Roman" w:hAnsi="Times New Roman"/>
          <w:spacing w:val="-4"/>
          <w:sz w:val="17"/>
          <w:szCs w:val="17"/>
          <w:lang w:eastAsia="en-AU" w:bidi="en-US"/>
        </w:rPr>
        <w:t>The Commissioner may vary or revoke a code of practice or a provision of a code of practice by notice in the Government Gazette.</w:t>
      </w:r>
    </w:p>
    <w:p w:rsidR="00CB4030" w:rsidRPr="00420A51" w:rsidRDefault="00CB4030" w:rsidP="006371CB">
      <w:pPr>
        <w:numPr>
          <w:ilvl w:val="0"/>
          <w:numId w:val="467"/>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Commissioner may, at any time, undertake a review of the codes of practice.</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Liability for act or default of agent</w:t>
      </w:r>
    </w:p>
    <w:p w:rsidR="00CB4030" w:rsidRPr="00420A51" w:rsidRDefault="00CB4030" w:rsidP="005551DA">
      <w:pPr>
        <w:tabs>
          <w:tab w:val="left" w:pos="284"/>
          <w:tab w:val="left" w:pos="900"/>
        </w:tabs>
        <w:spacing w:after="120" w:line="240" w:lineRule="auto"/>
        <w:ind w:left="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For the purposes of this code, an act or default of an agent of the gambling provider will be taken to be an act or default of the gambling provider unless the Commissioner is satisfied that the agent acted outside the scope of the agent</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actual, usual and ostensible authority, or in a manner inconsistent with obligations imposed by the gambling provider on the agent.</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Role of peak bodies</w:t>
      </w:r>
    </w:p>
    <w:p w:rsidR="00CB4030" w:rsidRPr="00420A51" w:rsidRDefault="00CB4030" w:rsidP="005551DA">
      <w:pPr>
        <w:tabs>
          <w:tab w:val="left" w:pos="284"/>
          <w:tab w:val="left" w:pos="900"/>
        </w:tabs>
        <w:spacing w:after="120" w:line="240" w:lineRule="auto"/>
        <w:ind w:left="426"/>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may satisfy a code of practice obligation through the actions of a peak body, except in relation to the gambling provider</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obligations in respect to training.</w:t>
      </w:r>
    </w:p>
    <w:p w:rsidR="00CB4030" w:rsidRPr="00420A51" w:rsidRDefault="00CB4030" w:rsidP="005551DA">
      <w:pPr>
        <w:tabs>
          <w:tab w:val="left" w:pos="284"/>
          <w:tab w:val="left" w:pos="900"/>
        </w:tabs>
        <w:spacing w:after="120" w:line="240" w:lineRule="auto"/>
        <w:ind w:left="426"/>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A peak body is a genuine association formed to protect or promote the interests of a section of the gambling industry.</w:t>
      </w:r>
    </w:p>
    <w:p w:rsidR="00CB4030" w:rsidRPr="00420A51" w:rsidRDefault="00CB4030" w:rsidP="005551DA">
      <w:pPr>
        <w:tabs>
          <w:tab w:val="left" w:pos="284"/>
          <w:tab w:val="left" w:pos="900"/>
        </w:tabs>
        <w:spacing w:after="120" w:line="240" w:lineRule="auto"/>
        <w:ind w:left="425"/>
        <w:jc w:val="left"/>
        <w:rPr>
          <w:rFonts w:ascii="Times New Roman" w:eastAsia="Times New Roman" w:hAnsi="Times New Roman"/>
          <w:sz w:val="17"/>
          <w:szCs w:val="17"/>
          <w:lang w:eastAsia="en-AU" w:bidi="en-US"/>
        </w:rPr>
      </w:pPr>
      <w:r w:rsidRPr="00420A51">
        <w:rPr>
          <w:rFonts w:ascii="Times New Roman" w:eastAsia="Times New Roman" w:hAnsi="Times New Roman"/>
          <w:b/>
          <w:i/>
          <w:sz w:val="17"/>
          <w:szCs w:val="17"/>
          <w:lang w:eastAsia="en-AU" w:bidi="en-US"/>
        </w:rPr>
        <w:t>Peak body</w:t>
      </w:r>
      <w:r w:rsidRPr="00420A51">
        <w:rPr>
          <w:rFonts w:ascii="Times New Roman" w:eastAsia="Times New Roman" w:hAnsi="Times New Roman"/>
          <w:sz w:val="17"/>
          <w:szCs w:val="17"/>
          <w:lang w:eastAsia="en-AU" w:bidi="en-US"/>
        </w:rPr>
        <w:t xml:space="preserve"> includes, in relation to a person who is an agent of the gambling provider, the principal in the agency relationship.</w:t>
      </w:r>
      <w:r w:rsidR="00420A51">
        <w:rPr>
          <w:rFonts w:ascii="Times New Roman" w:eastAsia="Times New Roman" w:hAnsi="Times New Roman"/>
          <w:sz w:val="17"/>
          <w:szCs w:val="17"/>
          <w:lang w:eastAsia="en-AU" w:bidi="en-US"/>
        </w:rPr>
        <w:t xml:space="preserve"> </w:t>
      </w:r>
      <w:r w:rsidRPr="00420A51">
        <w:rPr>
          <w:rFonts w:ascii="Times New Roman" w:eastAsia="Times New Roman" w:hAnsi="Times New Roman"/>
          <w:sz w:val="17"/>
          <w:szCs w:val="17"/>
          <w:lang w:eastAsia="en-AU" w:bidi="en-US"/>
        </w:rPr>
        <w:t>In the case of a SA Lotteries agent, the relationship could be established by either Tatts Lotteries SA Pty Ltd (Tatts), as master agent, or the Lotteries Commission itself.</w:t>
      </w:r>
    </w:p>
    <w:p w:rsidR="00CB4030" w:rsidRPr="00184B55" w:rsidRDefault="00CB4030" w:rsidP="005551DA">
      <w:pPr>
        <w:spacing w:after="120" w:line="240" w:lineRule="auto"/>
        <w:jc w:val="left"/>
        <w:rPr>
          <w:rFonts w:ascii="Times New Roman" w:eastAsia="Times New Roman" w:hAnsi="Times New Roman"/>
          <w:b/>
          <w:sz w:val="20"/>
          <w:szCs w:val="17"/>
          <w:lang w:eastAsia="en-AU"/>
        </w:rPr>
      </w:pPr>
      <w:r w:rsidRPr="00184B55">
        <w:rPr>
          <w:rFonts w:ascii="Times New Roman" w:eastAsia="Times New Roman" w:hAnsi="Times New Roman"/>
          <w:b/>
          <w:sz w:val="20"/>
          <w:szCs w:val="17"/>
          <w:lang w:eastAsia="en-AU"/>
        </w:rPr>
        <w:t>Part 2—Required advertising practices</w:t>
      </w:r>
    </w:p>
    <w:p w:rsidR="00CB4030" w:rsidRPr="00420A51" w:rsidRDefault="00CB4030" w:rsidP="007A2756">
      <w:pPr>
        <w:spacing w:after="120" w:line="240" w:lineRule="auto"/>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The gambling provider is to ensure that gambling advertising is conducted in a responsible manner that takes into account the potential adverse impact it may have on the community, particularly minors, people experiencing gambling-related harm or at risk of developing negative consequences associated with their gambling. </w:t>
      </w:r>
    </w:p>
    <w:p w:rsidR="00CB4030" w:rsidRPr="00420A51" w:rsidRDefault="00CB4030" w:rsidP="007A2756">
      <w:pPr>
        <w:spacing w:after="120" w:line="240" w:lineRule="auto"/>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Gambling advertising must be compliant with applicable State and Federal laws and any relevant industry codes of practice.</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Responsible gambling advertising</w:t>
      </w:r>
    </w:p>
    <w:p w:rsidR="00CB4030" w:rsidRPr="00420A51" w:rsidRDefault="00CB4030" w:rsidP="000C61B8">
      <w:pPr>
        <w:numPr>
          <w:ilvl w:val="0"/>
          <w:numId w:val="465"/>
        </w:numPr>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must ensure that gambling advertising—</w:t>
      </w:r>
    </w:p>
    <w:p w:rsidR="00CB4030" w:rsidRPr="007221A4" w:rsidRDefault="00CB4030" w:rsidP="008A02B1">
      <w:pPr>
        <w:pStyle w:val="Codea"/>
        <w:numPr>
          <w:ilvl w:val="0"/>
          <w:numId w:val="474"/>
        </w:numPr>
        <w:ind w:left="1276" w:hanging="425"/>
        <w:rPr>
          <w:lang w:eastAsia="en-AU"/>
        </w:rPr>
      </w:pPr>
      <w:r w:rsidRPr="007221A4">
        <w:rPr>
          <w:lang w:eastAsia="en-AU"/>
        </w:rPr>
        <w:t>does not encourage a breach of law;</w:t>
      </w:r>
    </w:p>
    <w:p w:rsidR="00CB4030" w:rsidRPr="00420A51" w:rsidRDefault="00CB4030" w:rsidP="008A02B1">
      <w:pPr>
        <w:numPr>
          <w:ilvl w:val="0"/>
          <w:numId w:val="474"/>
        </w:numPr>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does not depict children gambling;</w:t>
      </w:r>
    </w:p>
    <w:p w:rsidR="00CB4030" w:rsidRPr="00420A51" w:rsidRDefault="00CB4030" w:rsidP="008A02B1">
      <w:pPr>
        <w:numPr>
          <w:ilvl w:val="0"/>
          <w:numId w:val="474"/>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is not false, misleading or deceptive; </w:t>
      </w:r>
    </w:p>
    <w:p w:rsidR="00CB4030" w:rsidRPr="00420A51" w:rsidRDefault="00CB4030" w:rsidP="008A02B1">
      <w:pPr>
        <w:numPr>
          <w:ilvl w:val="0"/>
          <w:numId w:val="474"/>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does not suggest that winning will be a definite outcome of participating in gambling activities;</w:t>
      </w:r>
    </w:p>
    <w:p w:rsidR="00CB4030" w:rsidRPr="00420A51" w:rsidRDefault="00CB4030" w:rsidP="008A02B1">
      <w:pPr>
        <w:numPr>
          <w:ilvl w:val="0"/>
          <w:numId w:val="474"/>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does not promote the consumption of alcohol while engaging in gambling activities; </w:t>
      </w:r>
    </w:p>
    <w:p w:rsidR="00CB4030" w:rsidRPr="00420A51" w:rsidRDefault="00CB4030" w:rsidP="008A02B1">
      <w:pPr>
        <w:numPr>
          <w:ilvl w:val="0"/>
          <w:numId w:val="474"/>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must be published in accordance with decency, dignity and good taste;</w:t>
      </w:r>
    </w:p>
    <w:p w:rsidR="00CB4030" w:rsidRPr="00420A51" w:rsidRDefault="00CB4030" w:rsidP="008A02B1">
      <w:pPr>
        <w:numPr>
          <w:ilvl w:val="0"/>
          <w:numId w:val="474"/>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does not offer any credit, voucher or reward, as an inducement to participate, or to participate frequently, in any gambling activity (including as an inducement to open a gambling account).</w:t>
      </w:r>
    </w:p>
    <w:p w:rsidR="00CB4030" w:rsidRPr="00420A51" w:rsidRDefault="00CB4030" w:rsidP="008A02B1">
      <w:pPr>
        <w:numPr>
          <w:ilvl w:val="0"/>
          <w:numId w:val="474"/>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does not make claims related to winning or the prizes that can be won that are not based on fact, are unable to be proven or that are exaggerated;</w:t>
      </w:r>
    </w:p>
    <w:p w:rsidR="00CB4030" w:rsidRPr="00420A51" w:rsidRDefault="00CB4030" w:rsidP="008A02B1">
      <w:pPr>
        <w:numPr>
          <w:ilvl w:val="0"/>
          <w:numId w:val="474"/>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does not suggest that a player</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skill can influence the outcome of gambling activity in relation to gambling where a player</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skill cannot influence the outcome of the gambling activity;</w:t>
      </w:r>
    </w:p>
    <w:p w:rsidR="00CB4030" w:rsidRPr="00420A51" w:rsidRDefault="00CB4030" w:rsidP="008A02B1">
      <w:pPr>
        <w:numPr>
          <w:ilvl w:val="0"/>
          <w:numId w:val="474"/>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does not exaggerate the extent to which skill can influence the outcome of gambling activity in relation to gambling where the outcome does not involve an element of lottery;</w:t>
      </w:r>
    </w:p>
    <w:p w:rsidR="00CB4030" w:rsidRPr="00420A51" w:rsidRDefault="00CB4030" w:rsidP="008A02B1">
      <w:pPr>
        <w:numPr>
          <w:ilvl w:val="0"/>
          <w:numId w:val="474"/>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does not include the expressions </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Win</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 xml:space="preserve"> or </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 unless these expressions specifically relate to a prize that has been determined or is payable, or to an estimate of a prize which can be won.</w:t>
      </w:r>
    </w:p>
    <w:p w:rsidR="00CB4030" w:rsidRPr="00420A51" w:rsidRDefault="00CB4030" w:rsidP="000C61B8">
      <w:pPr>
        <w:numPr>
          <w:ilvl w:val="0"/>
          <w:numId w:val="465"/>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For the purposes of this clause, the gambling provider will not be regarded as advertising when— </w:t>
      </w:r>
    </w:p>
    <w:p w:rsidR="00CB4030" w:rsidRPr="007221A4" w:rsidRDefault="00CB4030" w:rsidP="007221A4">
      <w:pPr>
        <w:pStyle w:val="Codea"/>
        <w:numPr>
          <w:ilvl w:val="0"/>
          <w:numId w:val="438"/>
        </w:numPr>
        <w:ind w:left="1276" w:hanging="425"/>
        <w:rPr>
          <w:lang w:eastAsia="en-AU"/>
        </w:rPr>
      </w:pPr>
      <w:r w:rsidRPr="007221A4">
        <w:rPr>
          <w:lang w:eastAsia="en-AU"/>
        </w:rPr>
        <w:t>the gambling provider sends communication direct to a customer;</w:t>
      </w:r>
    </w:p>
    <w:p w:rsidR="00CB4030" w:rsidRPr="00420A51" w:rsidRDefault="00CB4030" w:rsidP="007221A4">
      <w:pPr>
        <w:numPr>
          <w:ilvl w:val="0"/>
          <w:numId w:val="87"/>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draws attention on its website to its gambling products or gambling activities;</w:t>
      </w:r>
    </w:p>
    <w:p w:rsidR="00CB4030" w:rsidRPr="00420A51" w:rsidRDefault="00CB4030" w:rsidP="007221A4">
      <w:pPr>
        <w:numPr>
          <w:ilvl w:val="0"/>
          <w:numId w:val="87"/>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draws attention, in printed point of sale material, to its gambling products or gambling activities;</w:t>
      </w:r>
    </w:p>
    <w:p w:rsidR="00CB4030" w:rsidRPr="00420A51" w:rsidRDefault="00CB4030" w:rsidP="007221A4">
      <w:pPr>
        <w:numPr>
          <w:ilvl w:val="0"/>
          <w:numId w:val="87"/>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lastRenderedPageBreak/>
        <w:t>a person, by use of an internet search engine, an automated indexing system or any like facility, views or retrieves a link or reference to the gambling provider (whether or not the gambling provider has paid for the link to appear or to have greater prominence that it would otherwise).</w:t>
      </w:r>
    </w:p>
    <w:p w:rsidR="00CB4030" w:rsidRPr="00420A51" w:rsidRDefault="00CB4030" w:rsidP="007221A4">
      <w:pPr>
        <w:numPr>
          <w:ilvl w:val="0"/>
          <w:numId w:val="87"/>
        </w:numPr>
        <w:tabs>
          <w:tab w:val="left" w:pos="284"/>
          <w:tab w:val="left" w:pos="709"/>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draws attention to the community benefits of lotteries, rather than to its gambling products or gambling activities.</w:t>
      </w:r>
    </w:p>
    <w:p w:rsidR="00CB4030" w:rsidRPr="00420A51" w:rsidRDefault="00CB4030" w:rsidP="000C61B8">
      <w:pPr>
        <w:numPr>
          <w:ilvl w:val="0"/>
          <w:numId w:val="465"/>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must keep a copy (in print or electronic form) of any gambling advertising, including advertising of acceptable trade promotion lotteries, available for inspection for a period of 12 months following the conclusion of the advertising campaign.</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Prize promotions and advertising</w:t>
      </w:r>
    </w:p>
    <w:p w:rsidR="00CB4030" w:rsidRPr="00420A51" w:rsidRDefault="00CB4030" w:rsidP="000C61B8">
      <w:pPr>
        <w:numPr>
          <w:ilvl w:val="0"/>
          <w:numId w:val="464"/>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Gambling advertising that refers to, or relies on prizes which are available to be won, or the frequency the prize may be won (whether or not the prize is a prize of money)—</w:t>
      </w:r>
    </w:p>
    <w:p w:rsidR="00CB4030" w:rsidRPr="007221A4" w:rsidRDefault="00CB4030" w:rsidP="00E27CB5">
      <w:pPr>
        <w:pStyle w:val="Codea"/>
        <w:numPr>
          <w:ilvl w:val="0"/>
          <w:numId w:val="475"/>
        </w:numPr>
        <w:tabs>
          <w:tab w:val="clear" w:pos="284"/>
          <w:tab w:val="clear" w:pos="709"/>
        </w:tabs>
        <w:ind w:left="1276" w:hanging="425"/>
        <w:rPr>
          <w:lang w:eastAsia="en-AU"/>
        </w:rPr>
      </w:pPr>
      <w:r w:rsidRPr="007221A4">
        <w:rPr>
          <w:lang w:eastAsia="en-AU"/>
        </w:rPr>
        <w:t>must include sufficient information for a reasonable person to understand the overall return to player or odds of winning; and</w:t>
      </w:r>
    </w:p>
    <w:p w:rsidR="00CB4030" w:rsidRPr="00420A51" w:rsidRDefault="00CB4030" w:rsidP="00E27CB5">
      <w:pPr>
        <w:numPr>
          <w:ilvl w:val="0"/>
          <w:numId w:val="475"/>
        </w:numPr>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if intended to encourage a person to gamble during a particular period, include sufficient information for a reasonable person to appreciate how likely it is that the prize will be won by someone during that period.</w:t>
      </w:r>
    </w:p>
    <w:p w:rsidR="00CB4030" w:rsidRPr="00420A51" w:rsidRDefault="00CB4030" w:rsidP="000C61B8">
      <w:pPr>
        <w:numPr>
          <w:ilvl w:val="0"/>
          <w:numId w:val="464"/>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If, in seeking to comply with this clause, the gambling provider—</w:t>
      </w:r>
    </w:p>
    <w:p w:rsidR="00CB4030" w:rsidRPr="007221A4" w:rsidRDefault="00CB4030" w:rsidP="007235E6">
      <w:pPr>
        <w:pStyle w:val="Codea"/>
        <w:numPr>
          <w:ilvl w:val="0"/>
          <w:numId w:val="476"/>
        </w:numPr>
        <w:tabs>
          <w:tab w:val="clear" w:pos="284"/>
          <w:tab w:val="clear" w:pos="709"/>
        </w:tabs>
        <w:ind w:left="1276" w:hanging="425"/>
        <w:rPr>
          <w:lang w:eastAsia="en-AU"/>
        </w:rPr>
      </w:pPr>
      <w:r w:rsidRPr="007221A4">
        <w:rPr>
          <w:lang w:eastAsia="en-AU"/>
        </w:rPr>
        <w:t>calculates the theoretical number, value and frequency of prizes to be won;</w:t>
      </w:r>
    </w:p>
    <w:p w:rsidR="00CB4030" w:rsidRPr="00420A51" w:rsidRDefault="00CB4030" w:rsidP="007235E6">
      <w:pPr>
        <w:numPr>
          <w:ilvl w:val="0"/>
          <w:numId w:val="476"/>
        </w:numPr>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in the advertising suggests an outcome no less favourable to the gambling provider than that theoretical outcome; and</w:t>
      </w:r>
    </w:p>
    <w:p w:rsidR="00CB4030" w:rsidRPr="00420A51" w:rsidRDefault="00CB4030" w:rsidP="007235E6">
      <w:pPr>
        <w:numPr>
          <w:ilvl w:val="0"/>
          <w:numId w:val="476"/>
        </w:numPr>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obtains an actual outcome more favourable </w:t>
      </w:r>
      <w:r w:rsidR="007235E6">
        <w:rPr>
          <w:rFonts w:ascii="Times New Roman" w:eastAsia="Times New Roman" w:hAnsi="Times New Roman"/>
          <w:sz w:val="17"/>
          <w:szCs w:val="17"/>
          <w:lang w:eastAsia="en-AU" w:bidi="en-US"/>
        </w:rPr>
        <w:t>than that which was advertised,</w:t>
      </w:r>
    </w:p>
    <w:p w:rsidR="00CB4030" w:rsidRPr="00420A51" w:rsidRDefault="00CB4030" w:rsidP="005551DA">
      <w:pPr>
        <w:tabs>
          <w:tab w:val="left" w:pos="284"/>
          <w:tab w:val="left" w:pos="709"/>
        </w:tabs>
        <w:spacing w:after="120" w:line="240" w:lineRule="auto"/>
        <w:ind w:left="851"/>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will still be regarded as complying with this clause.</w:t>
      </w:r>
    </w:p>
    <w:p w:rsidR="00CB4030" w:rsidRPr="00420A51" w:rsidRDefault="00CB4030" w:rsidP="000C61B8">
      <w:pPr>
        <w:numPr>
          <w:ilvl w:val="0"/>
          <w:numId w:val="464"/>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Sub-clause (1)(a) does not apply to advertising of a trade promotion lottery offered in conjunction with the purchase of a gambling product if the odds or chance of winning the lottery are affected by the number of entrants, or dependent on similar factors beyond the control of the gambling provider.</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Permissible advertising of loyalty programs, trade promotion lotteries and complimentary gambling products</w:t>
      </w:r>
    </w:p>
    <w:p w:rsidR="00CB4030" w:rsidRPr="00420A51" w:rsidRDefault="00CB4030" w:rsidP="000C61B8">
      <w:pPr>
        <w:numPr>
          <w:ilvl w:val="0"/>
          <w:numId w:val="463"/>
        </w:numPr>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Despite clause 9(1)(g), the gambling provider may advertise an inducement for participation in an acceptable loyalty program by drawing attention to the name of the loyalty program, its availability to customers and the benefits to members of the program, as long as the customer is directed to the program</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full terms, conditions and benefits that are published on a public website, or on signs in or near a gaming area, or in a document available in or near a gaming area.</w:t>
      </w:r>
    </w:p>
    <w:p w:rsidR="00CB4030" w:rsidRPr="00420A51" w:rsidRDefault="00CB4030" w:rsidP="000C61B8">
      <w:pPr>
        <w:numPr>
          <w:ilvl w:val="0"/>
          <w:numId w:val="463"/>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Despite clause 9(1)(g), the gambling provider may advertise an inducement in the form of participation in an acceptable trade promotion lottery by drawing attention to the prizes, or of the offering of a complimentary gambling product.</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Mandatory warning messages</w:t>
      </w:r>
    </w:p>
    <w:p w:rsidR="00CB4030" w:rsidRPr="00420A51" w:rsidRDefault="00CB4030" w:rsidP="000C61B8">
      <w:pPr>
        <w:numPr>
          <w:ilvl w:val="0"/>
          <w:numId w:val="462"/>
        </w:numPr>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Expanded warning messages, as set out in Schedule 1 for the stated periods, must be included in gambling advertising, unless the inclusion of the expanded warning message in that particular advertising would be unreasonable or impracticable.</w:t>
      </w:r>
    </w:p>
    <w:p w:rsidR="00CB4030" w:rsidRPr="00420A51" w:rsidRDefault="00CB4030" w:rsidP="000C61B8">
      <w:pPr>
        <w:numPr>
          <w:ilvl w:val="0"/>
          <w:numId w:val="462"/>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If gambling advertising does not include an expanded warning message, the gambling advertising must include the condensed warning message. </w:t>
      </w:r>
    </w:p>
    <w:p w:rsidR="00CB4030" w:rsidRPr="00420A51" w:rsidRDefault="00CB4030" w:rsidP="000C61B8">
      <w:pPr>
        <w:numPr>
          <w:ilvl w:val="0"/>
          <w:numId w:val="462"/>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When a mandatory warning message is included in gambling advertising, the manner of its inclusion must be consistent with the message being a warning message.</w:t>
      </w:r>
    </w:p>
    <w:p w:rsidR="00CB4030" w:rsidRPr="00420A51" w:rsidRDefault="00CB4030" w:rsidP="000C61B8">
      <w:pPr>
        <w:numPr>
          <w:ilvl w:val="0"/>
          <w:numId w:val="462"/>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Gambling advertising which is a text message, tweet, email or social media posting of less than 160 characters must be concluded with the condensed warning message.</w:t>
      </w:r>
      <w:r w:rsidR="00420A51">
        <w:rPr>
          <w:rFonts w:ascii="Times New Roman" w:eastAsia="Times New Roman" w:hAnsi="Times New Roman"/>
          <w:sz w:val="17"/>
          <w:szCs w:val="17"/>
          <w:lang w:eastAsia="en-AU" w:bidi="en-US"/>
        </w:rPr>
        <w:t xml:space="preserve"> </w:t>
      </w:r>
      <w:r w:rsidRPr="00420A51">
        <w:rPr>
          <w:rFonts w:ascii="Times New Roman" w:eastAsia="Times New Roman" w:hAnsi="Times New Roman"/>
          <w:sz w:val="17"/>
          <w:szCs w:val="17"/>
          <w:lang w:eastAsia="en-AU" w:bidi="en-US"/>
        </w:rPr>
        <w:t>If the text message is more than 160 characters it must be concluded with the condensed warning message and the national gambling helpline number 1800 858 858.</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Advertising on Radio and Television</w:t>
      </w:r>
    </w:p>
    <w:p w:rsidR="00CB4030" w:rsidRPr="00420A51" w:rsidRDefault="00CB4030" w:rsidP="000C61B8">
      <w:pPr>
        <w:numPr>
          <w:ilvl w:val="0"/>
          <w:numId w:val="461"/>
        </w:numPr>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Gambling advertising must not be placed on radio between 6.00am and 8.30am, Monday to Friday (</w:t>
      </w:r>
      <w:r w:rsidRPr="00420A51">
        <w:rPr>
          <w:rFonts w:ascii="Times New Roman" w:eastAsia="Times New Roman" w:hAnsi="Times New Roman"/>
          <w:i/>
          <w:sz w:val="17"/>
          <w:szCs w:val="17"/>
          <w:lang w:eastAsia="en-AU" w:bidi="en-US"/>
        </w:rPr>
        <w:t>both days inclusive</w:t>
      </w:r>
      <w:r w:rsidRPr="00420A51">
        <w:rPr>
          <w:rFonts w:ascii="Times New Roman" w:eastAsia="Times New Roman" w:hAnsi="Times New Roman"/>
          <w:sz w:val="17"/>
          <w:szCs w:val="17"/>
          <w:lang w:eastAsia="en-AU" w:bidi="en-US"/>
        </w:rPr>
        <w:t>).</w:t>
      </w:r>
      <w:r w:rsidR="00420A51">
        <w:rPr>
          <w:rFonts w:ascii="Times New Roman" w:eastAsia="Times New Roman" w:hAnsi="Times New Roman"/>
          <w:sz w:val="17"/>
          <w:szCs w:val="17"/>
          <w:lang w:eastAsia="en-AU" w:bidi="en-US"/>
        </w:rPr>
        <w:t xml:space="preserve"> </w:t>
      </w:r>
    </w:p>
    <w:p w:rsidR="00CB4030" w:rsidRPr="00420A51" w:rsidRDefault="00CB4030" w:rsidP="000C61B8">
      <w:pPr>
        <w:numPr>
          <w:ilvl w:val="0"/>
          <w:numId w:val="461"/>
        </w:numPr>
        <w:tabs>
          <w:tab w:val="left" w:pos="284"/>
        </w:tabs>
        <w:spacing w:after="120" w:line="240" w:lineRule="auto"/>
        <w:ind w:left="851" w:hanging="425"/>
        <w:jc w:val="left"/>
        <w:rPr>
          <w:rFonts w:ascii="Times New Roman" w:eastAsia="Times New Roman" w:hAnsi="Times New Roman"/>
          <w:spacing w:val="-2"/>
          <w:sz w:val="17"/>
          <w:szCs w:val="17"/>
          <w:lang w:eastAsia="en-AU" w:bidi="en-US"/>
        </w:rPr>
      </w:pPr>
      <w:r w:rsidRPr="00420A51">
        <w:rPr>
          <w:rFonts w:ascii="Times New Roman" w:eastAsia="Times New Roman" w:hAnsi="Times New Roman"/>
          <w:spacing w:val="-2"/>
          <w:sz w:val="17"/>
          <w:szCs w:val="17"/>
          <w:lang w:eastAsia="en-AU" w:bidi="en-US"/>
        </w:rPr>
        <w:t>Gambling advertising must not be placed on television between 4.00pm and 7.30pm, Monday to Friday (</w:t>
      </w:r>
      <w:r w:rsidRPr="00420A51">
        <w:rPr>
          <w:rFonts w:ascii="Times New Roman" w:eastAsia="Times New Roman" w:hAnsi="Times New Roman"/>
          <w:i/>
          <w:spacing w:val="-2"/>
          <w:sz w:val="17"/>
          <w:szCs w:val="17"/>
          <w:lang w:eastAsia="en-AU" w:bidi="en-US"/>
        </w:rPr>
        <w:t>both days inclusive</w:t>
      </w:r>
      <w:r w:rsidRPr="00420A51">
        <w:rPr>
          <w:rFonts w:ascii="Times New Roman" w:eastAsia="Times New Roman" w:hAnsi="Times New Roman"/>
          <w:spacing w:val="-2"/>
          <w:sz w:val="17"/>
          <w:szCs w:val="17"/>
          <w:lang w:eastAsia="en-AU" w:bidi="en-US"/>
        </w:rPr>
        <w:t xml:space="preserve">). </w:t>
      </w:r>
    </w:p>
    <w:p w:rsidR="00CB4030" w:rsidRPr="00420A51" w:rsidRDefault="00CB4030" w:rsidP="000C61B8">
      <w:pPr>
        <w:numPr>
          <w:ilvl w:val="0"/>
          <w:numId w:val="461"/>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Despite clause 12, gambling advertising on radio may be accompanied by the condensed warning message and in the case of a plug or commentary, must end with the condensed warning message. </w:t>
      </w:r>
    </w:p>
    <w:p w:rsidR="00CB4030" w:rsidRPr="00420A51" w:rsidRDefault="00CB4030" w:rsidP="000C61B8">
      <w:pPr>
        <w:numPr>
          <w:ilvl w:val="0"/>
          <w:numId w:val="461"/>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Despite clause 12, gambling advertising on television that is longer than 15 seconds, must be accompanied by the expanded warning message and in the case of a plug or commentary, must end with the condensed warning message and the national gambling helpline number 1800 858 858. </w:t>
      </w:r>
    </w:p>
    <w:p w:rsidR="00CB4030" w:rsidRPr="00420A51" w:rsidRDefault="00CB4030" w:rsidP="000C61B8">
      <w:pPr>
        <w:numPr>
          <w:ilvl w:val="0"/>
          <w:numId w:val="461"/>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A mandatory warning message announced on radio or television must be spoken in a neutral tone, at a speed that is clear and easily understood and otherwise presented in a way which reflects the importance of a warning message. </w:t>
      </w:r>
    </w:p>
    <w:p w:rsidR="00CB4030" w:rsidRPr="00420A51" w:rsidRDefault="00CB4030" w:rsidP="000C61B8">
      <w:pPr>
        <w:numPr>
          <w:ilvl w:val="0"/>
          <w:numId w:val="461"/>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must ensure, through instructions about their obligations under this code, that a mandatory warning message is appropriately respected for gambling advertising in live announcements and when mentioned by announcers before or after the broadcast of its gambling advertising.</w:t>
      </w:r>
    </w:p>
    <w:p w:rsidR="00CB4030" w:rsidRPr="00420A51" w:rsidRDefault="00CB4030" w:rsidP="000C61B8">
      <w:pPr>
        <w:numPr>
          <w:ilvl w:val="0"/>
          <w:numId w:val="461"/>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lastRenderedPageBreak/>
        <w:t>In the case of the presence of the gambling provider</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logo on a screen, other than as part of a commercial which includes a mandatory warning message, the logo must include the condensed warning message adjacent to the logo occupying no less space than that occupied by the logo.</w:t>
      </w:r>
      <w:r w:rsidR="00420A51">
        <w:rPr>
          <w:rFonts w:ascii="Times New Roman" w:eastAsia="Times New Roman" w:hAnsi="Times New Roman"/>
          <w:sz w:val="17"/>
          <w:szCs w:val="17"/>
          <w:lang w:eastAsia="en-AU" w:bidi="en-US"/>
        </w:rPr>
        <w:t xml:space="preserve"> </w:t>
      </w:r>
      <w:r w:rsidRPr="00420A51">
        <w:rPr>
          <w:rFonts w:ascii="Times New Roman" w:eastAsia="Times New Roman" w:hAnsi="Times New Roman"/>
          <w:sz w:val="17"/>
          <w:szCs w:val="17"/>
          <w:lang w:eastAsia="en-AU" w:bidi="en-US"/>
        </w:rPr>
        <w:t>This does not include logos on participants</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 xml:space="preserve"> uniforms (</w:t>
      </w:r>
      <w:r w:rsidRPr="00420A51">
        <w:rPr>
          <w:rFonts w:ascii="Times New Roman" w:eastAsia="Times New Roman" w:hAnsi="Times New Roman"/>
          <w:i/>
          <w:iCs/>
          <w:sz w:val="17"/>
          <w:szCs w:val="17"/>
          <w:lang w:eastAsia="en-AU" w:bidi="en-US"/>
        </w:rPr>
        <w:t>see clause 14(7), (8) and (9)</w:t>
      </w:r>
      <w:r w:rsidRPr="00420A51">
        <w:rPr>
          <w:rFonts w:ascii="Times New Roman" w:eastAsia="Times New Roman" w:hAnsi="Times New Roman"/>
          <w:sz w:val="17"/>
          <w:szCs w:val="17"/>
          <w:lang w:eastAsia="en-AU" w:bidi="en-US"/>
        </w:rPr>
        <w:t xml:space="preserve">). </w:t>
      </w:r>
    </w:p>
    <w:p w:rsidR="00CB4030" w:rsidRPr="00420A51" w:rsidRDefault="00CB4030" w:rsidP="000C61B8">
      <w:pPr>
        <w:numPr>
          <w:ilvl w:val="0"/>
          <w:numId w:val="461"/>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A mandatory warning message appearing in gambling advertising on television must occupy at least 25% of the screen area for at least 1/6</w:t>
      </w:r>
      <w:r w:rsidRPr="00420A51">
        <w:rPr>
          <w:rFonts w:ascii="Times New Roman" w:eastAsia="Times New Roman" w:hAnsi="Times New Roman"/>
          <w:sz w:val="17"/>
          <w:szCs w:val="17"/>
          <w:vertAlign w:val="superscript"/>
          <w:lang w:eastAsia="en-AU" w:bidi="en-US"/>
        </w:rPr>
        <w:t>th</w:t>
      </w:r>
      <w:r w:rsidRPr="00420A51">
        <w:rPr>
          <w:rFonts w:ascii="Times New Roman" w:eastAsia="Times New Roman" w:hAnsi="Times New Roman"/>
          <w:sz w:val="17"/>
          <w:szCs w:val="17"/>
          <w:lang w:eastAsia="en-AU" w:bidi="en-US"/>
        </w:rPr>
        <w:t xml:space="preserve"> of the length of the advertisement, or occupy the whole screen area for at least 1/10</w:t>
      </w:r>
      <w:r w:rsidRPr="00420A51">
        <w:rPr>
          <w:rFonts w:ascii="Times New Roman" w:eastAsia="Times New Roman" w:hAnsi="Times New Roman"/>
          <w:sz w:val="17"/>
          <w:szCs w:val="17"/>
          <w:vertAlign w:val="superscript"/>
          <w:lang w:eastAsia="en-AU" w:bidi="en-US"/>
        </w:rPr>
        <w:t>th</w:t>
      </w:r>
      <w:r w:rsidRPr="00420A51">
        <w:rPr>
          <w:rFonts w:ascii="Times New Roman" w:eastAsia="Times New Roman" w:hAnsi="Times New Roman"/>
          <w:sz w:val="17"/>
          <w:szCs w:val="17"/>
          <w:lang w:eastAsia="en-AU" w:bidi="en-US"/>
        </w:rPr>
        <w:t xml:space="preserve"> of the length of the advertisement.</w:t>
      </w:r>
    </w:p>
    <w:p w:rsidR="00CB4030" w:rsidRPr="00420A51" w:rsidRDefault="00CB4030" w:rsidP="000C61B8">
      <w:pPr>
        <w:numPr>
          <w:ilvl w:val="0"/>
          <w:numId w:val="461"/>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mandatory warning message must be spoken at the same time as it appears on a television screen.</w:t>
      </w:r>
    </w:p>
    <w:p w:rsidR="00CB4030" w:rsidRPr="00420A51" w:rsidRDefault="00CB4030" w:rsidP="000C61B8">
      <w:pPr>
        <w:numPr>
          <w:ilvl w:val="0"/>
          <w:numId w:val="461"/>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Clauses 13(6), (7) and (8) do not apply where gambling advertising appears on television only because the broadcast image is of a public event at which the advertising has been placed.</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 xml:space="preserve">Additional requirements for print media, outdoor and other forms of advertising </w:t>
      </w:r>
    </w:p>
    <w:p w:rsidR="00CB4030" w:rsidRPr="00420A51" w:rsidRDefault="00CB4030" w:rsidP="000C61B8">
      <w:pPr>
        <w:numPr>
          <w:ilvl w:val="0"/>
          <w:numId w:val="460"/>
        </w:numPr>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If the condensed warning message is used in advertising to which this clause applies, it must be accompanied by the national gambling helpline number 1800 858 858.</w:t>
      </w:r>
    </w:p>
    <w:p w:rsidR="00CB4030" w:rsidRPr="00420A51" w:rsidRDefault="00CB4030" w:rsidP="000C61B8">
      <w:pPr>
        <w:numPr>
          <w:ilvl w:val="0"/>
          <w:numId w:val="460"/>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In printed gambling advertising, the mandatory warning message must be presented in a font and colour with sufficient contrast as to make it distinct, and must occupy at least 10% of the space occupied by the advertising. </w:t>
      </w:r>
    </w:p>
    <w:p w:rsidR="00CB4030" w:rsidRPr="00420A51" w:rsidRDefault="00CB4030" w:rsidP="000C61B8">
      <w:pPr>
        <w:numPr>
          <w:ilvl w:val="0"/>
          <w:numId w:val="460"/>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In outdoor gambling advertising (other than a permitted external sign) the mandatory warning message must be presented in a font and colour with sufficient contrast as to make it distinct, and must occupy at least 10% of the space occupied by the advertising.</w:t>
      </w:r>
    </w:p>
    <w:p w:rsidR="00CB4030" w:rsidRPr="00420A51" w:rsidRDefault="00CB4030" w:rsidP="000C61B8">
      <w:pPr>
        <w:numPr>
          <w:ilvl w:val="0"/>
          <w:numId w:val="460"/>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Gambling advertising in the form of a permitted external sign need not be accompanied by a mandatory warning message.</w:t>
      </w:r>
      <w:r w:rsidR="00420A51">
        <w:rPr>
          <w:rFonts w:ascii="Times New Roman" w:eastAsia="Times New Roman" w:hAnsi="Times New Roman"/>
          <w:sz w:val="17"/>
          <w:szCs w:val="17"/>
          <w:lang w:eastAsia="en-AU" w:bidi="en-US"/>
        </w:rPr>
        <w:t xml:space="preserve"> </w:t>
      </w:r>
    </w:p>
    <w:p w:rsidR="00CB4030" w:rsidRPr="00420A51" w:rsidRDefault="00CB4030" w:rsidP="000C61B8">
      <w:pPr>
        <w:numPr>
          <w:ilvl w:val="0"/>
          <w:numId w:val="460"/>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An outdoor or indoor display or sign at a venue for any sort of event which is broadcast on television; or for an event on which betting takes place, the mandatory warning message must be presented in a font and colour with sufficient contrast as to make it distinct, and must occupy at least 10% of the space occupied by the advertising.</w:t>
      </w:r>
    </w:p>
    <w:p w:rsidR="00CB4030" w:rsidRPr="00420A51" w:rsidRDefault="00CB4030" w:rsidP="000C61B8">
      <w:pPr>
        <w:numPr>
          <w:ilvl w:val="0"/>
          <w:numId w:val="460"/>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If the gambling advertising referred to in sub-clause (5) is presented by means of a display which is constantly moving, scrolling or changing, or is capable of immediate or scheduled systematic changes, the mandatory warning message must be presented in a font and colour with sufficient contrast as to make it distinct and must occupy at least 25% of the space occupied by the advertising.</w:t>
      </w:r>
    </w:p>
    <w:p w:rsidR="00CB4030" w:rsidRPr="00420A51" w:rsidRDefault="00CB4030" w:rsidP="000C61B8">
      <w:pPr>
        <w:numPr>
          <w:ilvl w:val="0"/>
          <w:numId w:val="460"/>
        </w:numPr>
        <w:tabs>
          <w:tab w:val="left" w:pos="284"/>
        </w:tabs>
        <w:spacing w:after="120" w:line="240" w:lineRule="auto"/>
        <w:ind w:left="851" w:hanging="425"/>
        <w:jc w:val="left"/>
        <w:rPr>
          <w:rFonts w:ascii="Times New Roman" w:eastAsia="Times New Roman" w:hAnsi="Times New Roman"/>
          <w:spacing w:val="-1"/>
          <w:sz w:val="17"/>
          <w:szCs w:val="17"/>
          <w:lang w:eastAsia="en-AU" w:bidi="en-US"/>
        </w:rPr>
      </w:pPr>
      <w:r w:rsidRPr="00420A51">
        <w:rPr>
          <w:rFonts w:ascii="Times New Roman" w:eastAsia="Times New Roman" w:hAnsi="Times New Roman"/>
          <w:spacing w:val="-1"/>
          <w:sz w:val="17"/>
          <w:szCs w:val="17"/>
          <w:lang w:eastAsia="en-AU" w:bidi="en-US"/>
        </w:rPr>
        <w:t>Gambling advertising which is the placement of a logo on the apparel of a participant (including an official) in an event which is broadcast on television in South Australia, or at an event at which gambling takes place, must be accompanied by the placement of the condensed warning message adjacent to the logo, occupying no less than half the space occupied by the logo.</w:t>
      </w:r>
    </w:p>
    <w:p w:rsidR="00CB4030" w:rsidRPr="00420A51" w:rsidRDefault="00CB4030" w:rsidP="000C61B8">
      <w:pPr>
        <w:numPr>
          <w:ilvl w:val="0"/>
          <w:numId w:val="460"/>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Gambling advertising in the form of a small logo (occupying no more than 5400mm² with no linear dimension longer than 180mm) need not be accompanied by a mandatory warning message.</w:t>
      </w:r>
    </w:p>
    <w:p w:rsidR="00CB4030" w:rsidRPr="00420A51" w:rsidRDefault="00CB4030" w:rsidP="000C61B8">
      <w:pPr>
        <w:numPr>
          <w:ilvl w:val="0"/>
          <w:numId w:val="460"/>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Gambling providers must ensure that participants do not wear its logo on occasions when they are engaging solely or mainly with minors.</w:t>
      </w:r>
    </w:p>
    <w:p w:rsidR="00CB4030" w:rsidRPr="00420A51" w:rsidRDefault="00CB4030" w:rsidP="000C61B8">
      <w:pPr>
        <w:numPr>
          <w:ilvl w:val="0"/>
          <w:numId w:val="460"/>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Gambling advertising which is no more than the inclusion in—</w:t>
      </w:r>
    </w:p>
    <w:p w:rsidR="00CB4030" w:rsidRPr="00420A51" w:rsidRDefault="00CB4030" w:rsidP="00691EA2">
      <w:pPr>
        <w:numPr>
          <w:ilvl w:val="0"/>
          <w:numId w:val="441"/>
        </w:numPr>
        <w:tabs>
          <w:tab w:val="left" w:pos="284"/>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the title of an event or the name of a team participating in an event; or </w:t>
      </w:r>
    </w:p>
    <w:p w:rsidR="00CB4030" w:rsidRPr="00420A51" w:rsidRDefault="00CB4030" w:rsidP="00691EA2">
      <w:pPr>
        <w:numPr>
          <w:ilvl w:val="0"/>
          <w:numId w:val="441"/>
        </w:numPr>
        <w:tabs>
          <w:tab w:val="left" w:pos="284"/>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name of a place of a sponsor</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name or brand,</w:t>
      </w:r>
    </w:p>
    <w:p w:rsidR="00CB4030" w:rsidRPr="00420A51" w:rsidRDefault="00CB4030" w:rsidP="003E4DC6">
      <w:pPr>
        <w:spacing w:after="120" w:line="240" w:lineRule="auto"/>
        <w:ind w:left="851"/>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need not be accompanied by a mandatory warning message.</w:t>
      </w:r>
      <w:r w:rsidR="00420A51">
        <w:rPr>
          <w:rFonts w:ascii="Times New Roman" w:eastAsia="Times New Roman" w:hAnsi="Times New Roman"/>
          <w:sz w:val="17"/>
          <w:szCs w:val="17"/>
          <w:lang w:eastAsia="en-AU" w:bidi="en-US"/>
        </w:rPr>
        <w:t xml:space="preserve"> </w:t>
      </w:r>
      <w:r w:rsidRPr="00420A51">
        <w:rPr>
          <w:rFonts w:ascii="Times New Roman" w:eastAsia="Times New Roman" w:hAnsi="Times New Roman"/>
          <w:sz w:val="17"/>
          <w:szCs w:val="17"/>
          <w:lang w:eastAsia="en-AU" w:bidi="en-US"/>
        </w:rPr>
        <w:t xml:space="preserve">This does not apply to gambling advertising in relation to participant uniforms, as set out in sub-clauses (7) and (8). </w:t>
      </w:r>
    </w:p>
    <w:p w:rsidR="00CB4030" w:rsidRPr="00184B55" w:rsidRDefault="00CB4030" w:rsidP="005551DA">
      <w:pPr>
        <w:spacing w:after="120" w:line="240" w:lineRule="auto"/>
        <w:jc w:val="left"/>
        <w:rPr>
          <w:rFonts w:ascii="Times New Roman" w:eastAsia="Times New Roman" w:hAnsi="Times New Roman"/>
          <w:b/>
          <w:sz w:val="20"/>
          <w:szCs w:val="17"/>
          <w:lang w:eastAsia="en-AU"/>
        </w:rPr>
      </w:pPr>
      <w:r w:rsidRPr="00184B55">
        <w:rPr>
          <w:rFonts w:ascii="Times New Roman" w:eastAsia="Times New Roman" w:hAnsi="Times New Roman"/>
          <w:b/>
          <w:sz w:val="20"/>
          <w:szCs w:val="17"/>
          <w:lang w:eastAsia="en-AU"/>
        </w:rPr>
        <w:t>Part 3—Responsible gambling practices</w:t>
      </w:r>
    </w:p>
    <w:p w:rsidR="00CB4030" w:rsidRPr="00420A51" w:rsidRDefault="00CB4030" w:rsidP="003E77A1">
      <w:pPr>
        <w:spacing w:after="120" w:line="240" w:lineRule="auto"/>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must ensure that its general gambling practices are consistent with community expectations that gambling operations will be conducted responsibly and in a manner that minimises the harm caused by gambling, and is socially responsible.</w:t>
      </w:r>
    </w:p>
    <w:p w:rsidR="00CB4030" w:rsidRPr="00420A51" w:rsidRDefault="00CB4030" w:rsidP="003E77A1">
      <w:pPr>
        <w:spacing w:after="120" w:line="240" w:lineRule="auto"/>
        <w:jc w:val="left"/>
        <w:rPr>
          <w:rFonts w:ascii="Times New Roman" w:eastAsia="Times New Roman" w:hAnsi="Times New Roman"/>
          <w:b/>
          <w:sz w:val="17"/>
          <w:szCs w:val="17"/>
          <w:lang w:eastAsia="en-AU"/>
        </w:rPr>
      </w:pPr>
      <w:r w:rsidRPr="00420A51">
        <w:rPr>
          <w:rFonts w:ascii="Times New Roman" w:eastAsia="Times New Roman" w:hAnsi="Times New Roman"/>
          <w:sz w:val="17"/>
          <w:szCs w:val="17"/>
          <w:lang w:eastAsia="en-AU" w:bidi="en-US"/>
        </w:rPr>
        <w:t xml:space="preserve">The gambling provider must conduct its business in accordance with all applicable State and Federal laws and legal requirements, and co-operate with regulatory bodies and government agencies in all matters, including compliance with legal obligations. </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Responsible gambling operations</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must, for all gambling areas, virtual gambling areas, gambling telephone lines and internet sites, through which it provides its gambling products, ensure the existence of a document or documents (whether hard copy or otherwise) detailing—</w:t>
      </w:r>
    </w:p>
    <w:p w:rsidR="00CB4030" w:rsidRPr="00420A51" w:rsidRDefault="00CB4030" w:rsidP="00691EA2">
      <w:pPr>
        <w:numPr>
          <w:ilvl w:val="0"/>
          <w:numId w:val="442"/>
        </w:numPr>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manner in which staff training and measures for interventions with problems gamblers are implemented;</w:t>
      </w:r>
    </w:p>
    <w:p w:rsidR="00CB4030" w:rsidRPr="00420A51" w:rsidRDefault="00CB4030" w:rsidP="00691EA2">
      <w:pPr>
        <w:numPr>
          <w:ilvl w:val="0"/>
          <w:numId w:val="442"/>
        </w:numPr>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roles of staff (by job title) in the implementation of this code.</w:t>
      </w:r>
      <w:r w:rsidR="00420A51">
        <w:rPr>
          <w:rFonts w:ascii="Times New Roman" w:eastAsia="Times New Roman" w:hAnsi="Times New Roman"/>
          <w:sz w:val="17"/>
          <w:szCs w:val="17"/>
          <w:lang w:eastAsia="en-AU" w:bidi="en-US"/>
        </w:rPr>
        <w:t xml:space="preserve"> </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A document required by sub-clause (1) may be incorporated with any other operational document maintained by the gambling provider, but must be made known to and readily available to staff and staff must be trained and ensure compliance with the documents.</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must develop and implement effective policies and procedures that enable staff to—</w:t>
      </w:r>
    </w:p>
    <w:p w:rsidR="00CB4030" w:rsidRPr="00420A51" w:rsidRDefault="00CB4030" w:rsidP="00691EA2">
      <w:pPr>
        <w:numPr>
          <w:ilvl w:val="0"/>
          <w:numId w:val="443"/>
        </w:numPr>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lastRenderedPageBreak/>
        <w:t>identify people displaying signs of gambling harm by, but not limited to, reviewing player accounts for changes in patterns of play (e.g. increase in frequency of gambling, increase in spend), reviewing pre-commitment arrangements (including requests to increase spend and play limits), and reviewing customer communication (written and verbal) that may indicate the person may be experiencing harm; and</w:t>
      </w:r>
    </w:p>
    <w:p w:rsidR="00CB4030" w:rsidRPr="00420A51" w:rsidRDefault="00CB4030" w:rsidP="00691EA2">
      <w:pPr>
        <w:numPr>
          <w:ilvl w:val="0"/>
          <w:numId w:val="443"/>
        </w:numPr>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respond to people displaying signs of gambling harm by engaging in a conversation about their gambling behaviour, offering pre-commitment and barring options, and referring them to a gambling help service; and</w:t>
      </w:r>
    </w:p>
    <w:p w:rsidR="00CB4030" w:rsidRPr="00420A51" w:rsidRDefault="00CB4030" w:rsidP="00691EA2">
      <w:pPr>
        <w:numPr>
          <w:ilvl w:val="0"/>
          <w:numId w:val="443"/>
        </w:numPr>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ensure staff are trained in and carry out their functions in accordance with such policies and procedures.</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must establish a reporting process for the identification of suspected problem gamblers by staff and the recording of their details.</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must ensure they have a system in place to identify and monitor problem gambling indicators, and review the record of suspected problem gamblers at least weekly, including the details of the review and any steps taken to intervene.</w:t>
      </w:r>
      <w:r w:rsidR="00420A51">
        <w:rPr>
          <w:rFonts w:ascii="Times New Roman" w:eastAsia="Times New Roman" w:hAnsi="Times New Roman"/>
          <w:sz w:val="17"/>
          <w:szCs w:val="17"/>
          <w:lang w:eastAsia="en-AU" w:bidi="en-US"/>
        </w:rPr>
        <w:t xml:space="preserve"> </w:t>
      </w:r>
      <w:r w:rsidRPr="00420A51">
        <w:rPr>
          <w:rFonts w:ascii="Times New Roman" w:eastAsia="Times New Roman" w:hAnsi="Times New Roman"/>
          <w:sz w:val="17"/>
          <w:szCs w:val="17"/>
          <w:lang w:eastAsia="en-AU" w:bidi="en-US"/>
        </w:rPr>
        <w:t>Data captured by this system may only be used for the purpose of harm minimisation and no other purpose.</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record of suspected problem gamblers must include sufficient detailed information to enable staff in gambling areas to identify the patron, and must be readily available to staff at any time and the Commissioner upon request.</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If any loyalty program data or account data indicate that a person may be at risk of harm from gambling, the gambling provider must</w:t>
      </w:r>
      <w:r w:rsidR="00420A51">
        <w:rPr>
          <w:rFonts w:ascii="Times New Roman" w:eastAsia="Times New Roman" w:hAnsi="Times New Roman"/>
          <w:sz w:val="17"/>
          <w:szCs w:val="17"/>
          <w:lang w:eastAsia="en-AU" w:bidi="en-US"/>
        </w:rPr>
        <w:t xml:space="preserve"> </w:t>
      </w:r>
      <w:r w:rsidRPr="00420A51">
        <w:rPr>
          <w:rFonts w:ascii="Times New Roman" w:eastAsia="Times New Roman" w:hAnsi="Times New Roman"/>
          <w:sz w:val="17"/>
          <w:szCs w:val="17"/>
          <w:lang w:eastAsia="en-AU" w:bidi="en-US"/>
        </w:rPr>
        <w:t>limit the person</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gambling activities (e.g. by suspending the account) until the customer is able to verify that they are able to sustain an increased level of gambling;</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If a person requests voluntary exclusion, the gambling provider must bar the person forthwith in accordance with Part 6 of the </w:t>
      </w:r>
      <w:r w:rsidRPr="00420A51">
        <w:rPr>
          <w:rFonts w:ascii="Times New Roman" w:eastAsia="Times New Roman" w:hAnsi="Times New Roman"/>
          <w:i/>
          <w:iCs/>
          <w:sz w:val="17"/>
          <w:szCs w:val="17"/>
          <w:lang w:eastAsia="en-AU" w:bidi="en-US"/>
        </w:rPr>
        <w:t>Gambling Administration Act 2019</w:t>
      </w:r>
      <w:r w:rsidRPr="00420A51">
        <w:rPr>
          <w:rFonts w:ascii="Times New Roman" w:eastAsia="Times New Roman" w:hAnsi="Times New Roman"/>
          <w:sz w:val="17"/>
          <w:szCs w:val="17"/>
          <w:lang w:eastAsia="en-AU" w:bidi="en-US"/>
        </w:rPr>
        <w:t>.</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pacing w:val="-4"/>
          <w:sz w:val="17"/>
          <w:szCs w:val="17"/>
          <w:lang w:eastAsia="en-AU" w:bidi="en-US"/>
        </w:rPr>
      </w:pPr>
      <w:r w:rsidRPr="00420A51">
        <w:rPr>
          <w:rFonts w:ascii="Times New Roman" w:eastAsia="Times New Roman" w:hAnsi="Times New Roman"/>
          <w:spacing w:val="-4"/>
          <w:sz w:val="17"/>
          <w:szCs w:val="17"/>
          <w:lang w:eastAsia="en-AU" w:bidi="en-US"/>
        </w:rPr>
        <w:t>If a person requests third party involuntary barring of a gambler, the gambling provider must promptly make a considered decision.</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must document and implement procedures to ensure that enquiries about barring (regardless of who initiates them) and approaches for the making of barring orders, are responded to in a manner that is informative, timely and culturally appropriate, with the aim of dealing with an in-venue approach while the person is in the venue and dealing with telephone enquiries in one call where possible, using an interpretation service if required.</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may make flexible informal arrangements with patrons, only if the arrangements limit, manage or control a gamblers access to gambling and the gambling provider reasonably expects that informal arrangements would be beneficial for the gambler.</w:t>
      </w:r>
      <w:r w:rsidR="00420A51">
        <w:rPr>
          <w:rFonts w:ascii="Times New Roman" w:eastAsia="Times New Roman" w:hAnsi="Times New Roman"/>
          <w:sz w:val="17"/>
          <w:szCs w:val="17"/>
          <w:lang w:eastAsia="en-AU" w:bidi="en-US"/>
        </w:rPr>
        <w:t xml:space="preserve"> </w:t>
      </w:r>
      <w:r w:rsidRPr="00420A51">
        <w:rPr>
          <w:rFonts w:ascii="Times New Roman" w:eastAsia="Times New Roman" w:hAnsi="Times New Roman"/>
          <w:sz w:val="17"/>
          <w:szCs w:val="17"/>
          <w:lang w:eastAsia="en-AU" w:bidi="en-US"/>
        </w:rPr>
        <w:t>This clause does not apply if a person requests a voluntary exclusion.</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must note the details of any informal arrangements, including details of any agreed pre-commitment arrangements, and make them available to the Commissioner upon request.</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All staff involved in selling the gambling provider</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gambling products, or otherwise dealing with customers must log into the barring register each time when on duty, or be provided with a current printed consolidated barring list from the barring register to review any new or updated barring information.</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The gambling provider must ensure that at least one employee has </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Administrator</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 xml:space="preserve"> access for the purpose of updating and registering information into the barring register within the prescribed timeframe.</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must ensure that any loyalty program database, account holders database or any like list identifies a person who is excluded (whether by formal barring order or otherwise) and ensures that person is not sent any marketing communications.</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must take reasonable steps to ensure that staff with a potential or actual gambling problem (involving any sort of gambling) are identified and referred for counselling, support or therapy.</w:t>
      </w:r>
    </w:p>
    <w:p w:rsidR="00CB4030" w:rsidRPr="00420A51" w:rsidRDefault="00CB4030" w:rsidP="008B3A14">
      <w:pPr>
        <w:numPr>
          <w:ilvl w:val="0"/>
          <w:numId w:val="459"/>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The gambling provider must ensure that there is adequate natural or artificial lighting in gambling areas to enable clocks and signs to be easily read and the faces of people within the gambling area to be easily identified. </w:t>
      </w:r>
    </w:p>
    <w:p w:rsidR="00CB4030" w:rsidRPr="00420A51" w:rsidRDefault="00CB4030" w:rsidP="008B3A14">
      <w:pPr>
        <w:numPr>
          <w:ilvl w:val="0"/>
          <w:numId w:val="459"/>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must not permit a second-hand dealer or pawnbroker to conduct business in gambling areas.</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Customer information and signage in gambling areas</w:t>
      </w:r>
    </w:p>
    <w:p w:rsidR="00CB4030" w:rsidRPr="00420A51" w:rsidRDefault="00CB4030" w:rsidP="008B3A14">
      <w:pPr>
        <w:numPr>
          <w:ilvl w:val="0"/>
          <w:numId w:val="458"/>
        </w:numPr>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must—</w:t>
      </w:r>
    </w:p>
    <w:p w:rsidR="00CB4030" w:rsidRPr="00420A51" w:rsidRDefault="00CB4030" w:rsidP="00691EA2">
      <w:pPr>
        <w:numPr>
          <w:ilvl w:val="0"/>
          <w:numId w:val="414"/>
        </w:numPr>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ensure the prominent display of the condensed warning message and the national gambling helpline number 1800 858 858 on or near each point of sale of its gambling product and on any electronic display in a gambling area which is used for displaying venue generated messages in the nature of internal advertising;</w:t>
      </w:r>
    </w:p>
    <w:p w:rsidR="00CB4030" w:rsidRPr="00420A51" w:rsidRDefault="00CB4030" w:rsidP="00691EA2">
      <w:pPr>
        <w:numPr>
          <w:ilvl w:val="0"/>
          <w:numId w:val="414"/>
        </w:numPr>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in each gambling area display prominently a message indicating that gambling operations are governed by a code of practice and ensure that a copy of this code is made available on request;</w:t>
      </w:r>
    </w:p>
    <w:p w:rsidR="00CB4030" w:rsidRPr="00420A51" w:rsidRDefault="00CB4030" w:rsidP="00691EA2">
      <w:pPr>
        <w:numPr>
          <w:ilvl w:val="0"/>
          <w:numId w:val="414"/>
        </w:numPr>
        <w:spacing w:after="120" w:line="240" w:lineRule="auto"/>
        <w:ind w:left="1276" w:hanging="425"/>
        <w:jc w:val="left"/>
        <w:rPr>
          <w:rFonts w:ascii="Times New Roman" w:eastAsia="Times New Roman" w:hAnsi="Times New Roman"/>
          <w:spacing w:val="-2"/>
          <w:sz w:val="17"/>
          <w:szCs w:val="17"/>
          <w:lang w:eastAsia="en-AU" w:bidi="en-US"/>
        </w:rPr>
      </w:pPr>
      <w:r w:rsidRPr="00420A51">
        <w:rPr>
          <w:rFonts w:ascii="Times New Roman" w:eastAsia="Times New Roman" w:hAnsi="Times New Roman"/>
          <w:spacing w:val="-2"/>
          <w:sz w:val="17"/>
          <w:szCs w:val="17"/>
          <w:lang w:eastAsia="en-AU" w:bidi="en-US"/>
        </w:rPr>
        <w:t>ensure that a quantity of helpline cards are available on or near each ATM and other places throughout gambling areas; and</w:t>
      </w:r>
    </w:p>
    <w:p w:rsidR="00CB4030" w:rsidRPr="00420A51" w:rsidRDefault="00CB4030" w:rsidP="00691EA2">
      <w:pPr>
        <w:numPr>
          <w:ilvl w:val="0"/>
          <w:numId w:val="414"/>
        </w:numPr>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ensure that the time of day is prominently displayed and visible throughout gambling areas.</w:t>
      </w:r>
    </w:p>
    <w:p w:rsidR="00CB4030" w:rsidRPr="00420A51" w:rsidRDefault="00CB4030" w:rsidP="008B3A14">
      <w:pPr>
        <w:numPr>
          <w:ilvl w:val="0"/>
          <w:numId w:val="458"/>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gambling provider must—</w:t>
      </w:r>
    </w:p>
    <w:p w:rsidR="00CB4030" w:rsidRPr="00420A51" w:rsidRDefault="00CB4030" w:rsidP="00691EA2">
      <w:pPr>
        <w:numPr>
          <w:ilvl w:val="0"/>
          <w:numId w:val="415"/>
        </w:numPr>
        <w:tabs>
          <w:tab w:val="left" w:pos="284"/>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lastRenderedPageBreak/>
        <w:t>prominently display and renew responsible gambling materials (including a poster and pamphlet) in gambling areas in a form which includes the expanded warning message, or if it is not reasonable or practicable to include the expanded warning message, the condensed warning message; and</w:t>
      </w:r>
    </w:p>
    <w:p w:rsidR="00CB4030" w:rsidRPr="00420A51" w:rsidRDefault="00CB4030" w:rsidP="00691EA2">
      <w:pPr>
        <w:numPr>
          <w:ilvl w:val="0"/>
          <w:numId w:val="415"/>
        </w:numPr>
        <w:tabs>
          <w:tab w:val="left" w:pos="284"/>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make available its responsible gambling poster written in English, Arabic, Chinese, Greek, Italian, Vietnamese, and any other relevant language. </w:t>
      </w:r>
    </w:p>
    <w:p w:rsidR="00CB4030" w:rsidRPr="00420A51" w:rsidRDefault="00CB4030" w:rsidP="008B3A14">
      <w:pPr>
        <w:numPr>
          <w:ilvl w:val="0"/>
          <w:numId w:val="458"/>
        </w:numPr>
        <w:tabs>
          <w:tab w:val="left" w:pos="284"/>
        </w:tabs>
        <w:spacing w:after="120" w:line="240" w:lineRule="auto"/>
        <w:ind w:left="850"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If a gaming machine or casino licensee is also the agent of the Lotteries Commission and has placed additional responsible gambling signage and a multi-lingual sign in areas which are gambling areas for the purposes of the Lotteries Commission, the Lotteries Commission is deemed to have complied with the requirements of sub-clauses (1) and (2).</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Self-service terminals</w:t>
      </w:r>
    </w:p>
    <w:p w:rsidR="00CB4030" w:rsidRPr="00420A51" w:rsidRDefault="00CB4030" w:rsidP="005551DA">
      <w:pPr>
        <w:numPr>
          <w:ilvl w:val="0"/>
          <w:numId w:val="197"/>
        </w:numPr>
        <w:tabs>
          <w:tab w:val="left" w:pos="284"/>
        </w:tabs>
        <w:spacing w:after="120" w:line="240" w:lineRule="auto"/>
        <w:ind w:left="85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If the gambling provider installs, in a place in which it is otherwise authorised to provide its gambling product, a device which allows customers to purchase the gambling product and process winnings without the assistance of an operator, the gambling provider must ensure that—</w:t>
      </w:r>
    </w:p>
    <w:p w:rsidR="00CB4030" w:rsidRPr="00420A51" w:rsidRDefault="00CB4030" w:rsidP="00691EA2">
      <w:pPr>
        <w:numPr>
          <w:ilvl w:val="0"/>
          <w:numId w:val="412"/>
        </w:numPr>
        <w:tabs>
          <w:tab w:val="left" w:pos="284"/>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subject to sub-paragraph (b), the device is configured to allow the gambling product to be purchased using a customer</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gambling account; and</w:t>
      </w:r>
    </w:p>
    <w:p w:rsidR="00CB4030" w:rsidRPr="00420A51" w:rsidRDefault="00CB4030" w:rsidP="00691EA2">
      <w:pPr>
        <w:numPr>
          <w:ilvl w:val="0"/>
          <w:numId w:val="412"/>
        </w:numPr>
        <w:tabs>
          <w:tab w:val="left" w:pos="284"/>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if the device is configured to allow the gambling product to be purchased other than by using a gambling account, enhanced responsible gambling measures approved by the Commissioner in respect of the device (or class of device) are being implemented; and</w:t>
      </w:r>
    </w:p>
    <w:p w:rsidR="00CB4030" w:rsidRPr="00420A51" w:rsidRDefault="00CB4030" w:rsidP="00691EA2">
      <w:pPr>
        <w:numPr>
          <w:ilvl w:val="0"/>
          <w:numId w:val="412"/>
        </w:numPr>
        <w:tabs>
          <w:tab w:val="left" w:pos="284"/>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if the device is able to be operated by the insertion of cash—</w:t>
      </w:r>
    </w:p>
    <w:p w:rsidR="00CB4030" w:rsidRPr="00420A51" w:rsidRDefault="00CB4030" w:rsidP="00F24603">
      <w:pPr>
        <w:numPr>
          <w:ilvl w:val="0"/>
          <w:numId w:val="457"/>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device must have a maximum cash deposit limit of $100; and</w:t>
      </w:r>
    </w:p>
    <w:p w:rsidR="00CB4030" w:rsidRPr="00420A51" w:rsidRDefault="00CB4030" w:rsidP="00F24603">
      <w:pPr>
        <w:numPr>
          <w:ilvl w:val="0"/>
          <w:numId w:val="457"/>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device must have pause functionality if the gambling provider</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staff suspect the customer may be under the age of 18 years old, may be barred, is demonstrating difficulty controlling their gambling or is intoxicated; and</w:t>
      </w:r>
    </w:p>
    <w:p w:rsidR="00CB4030" w:rsidRPr="00420A51" w:rsidRDefault="00CB4030" w:rsidP="00F24603">
      <w:pPr>
        <w:numPr>
          <w:ilvl w:val="0"/>
          <w:numId w:val="457"/>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device must display the relevant expanded warning message on the screen at no more than 10 minute intervals; and</w:t>
      </w:r>
    </w:p>
    <w:p w:rsidR="00CB4030" w:rsidRPr="00420A51" w:rsidRDefault="00CB4030" w:rsidP="00F24603">
      <w:pPr>
        <w:numPr>
          <w:ilvl w:val="0"/>
          <w:numId w:val="457"/>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device must display the relevant expanded warning message alternating with the condensed warning message and the national helpline number 1800 858 858, at the bottom of the screen at all times, at no more than 10 minute intervals; and</w:t>
      </w:r>
    </w:p>
    <w:p w:rsidR="00CB4030" w:rsidRPr="00420A51" w:rsidRDefault="00CB4030" w:rsidP="00F24603">
      <w:pPr>
        <w:numPr>
          <w:ilvl w:val="0"/>
          <w:numId w:val="457"/>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when the device</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screen has been idle for a period of time, the length of which is approved by the Commissioner, a message must be displayed including:</w:t>
      </w:r>
    </w:p>
    <w:p w:rsidR="00CB4030" w:rsidRPr="00420A51" w:rsidRDefault="00CB4030" w:rsidP="00FD45E4">
      <w:pPr>
        <w:numPr>
          <w:ilvl w:val="0"/>
          <w:numId w:val="413"/>
        </w:numPr>
        <w:spacing w:after="120" w:line="240" w:lineRule="auto"/>
        <w:ind w:left="2268" w:hanging="283"/>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a statement that the device is restricted to people aged 18 or more (18+ only)</w:t>
      </w:r>
    </w:p>
    <w:p w:rsidR="00CB4030" w:rsidRPr="00420A51" w:rsidRDefault="00CB4030" w:rsidP="00FD45E4">
      <w:pPr>
        <w:numPr>
          <w:ilvl w:val="0"/>
          <w:numId w:val="413"/>
        </w:numPr>
        <w:spacing w:after="120" w:line="240" w:lineRule="auto"/>
        <w:ind w:left="2268" w:hanging="283"/>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a statement that the device is regulated by state law and codes of practice and that it is subject to inspection by an agency of the State, along with advice as to a telephone number to call to register a complaint; and</w:t>
      </w:r>
    </w:p>
    <w:p w:rsidR="00CB4030" w:rsidRPr="00420A51" w:rsidRDefault="00CB4030" w:rsidP="00691EA2">
      <w:pPr>
        <w:numPr>
          <w:ilvl w:val="0"/>
          <w:numId w:val="412"/>
        </w:numPr>
        <w:tabs>
          <w:tab w:val="left" w:pos="284"/>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device must have the functionality to send high volume alerts, at levels approved by the Commissioner, to the gambling provider</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staff, for the purpose of monitoring patrons who may be demonstrating behaviours indicative of having problems controlling their gambling; and</w:t>
      </w:r>
    </w:p>
    <w:p w:rsidR="00CB4030" w:rsidRPr="00420A51" w:rsidRDefault="00CB4030" w:rsidP="00691EA2">
      <w:pPr>
        <w:numPr>
          <w:ilvl w:val="0"/>
          <w:numId w:val="412"/>
        </w:numPr>
        <w:tabs>
          <w:tab w:val="left" w:pos="284"/>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device must be installed in line of sight of the gambling provider</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staff; and</w:t>
      </w:r>
    </w:p>
    <w:p w:rsidR="00CB4030" w:rsidRPr="00420A51" w:rsidRDefault="00CB4030" w:rsidP="00691EA2">
      <w:pPr>
        <w:numPr>
          <w:ilvl w:val="0"/>
          <w:numId w:val="412"/>
        </w:numPr>
        <w:tabs>
          <w:tab w:val="left" w:pos="284"/>
        </w:tabs>
        <w:spacing w:after="120" w:line="240" w:lineRule="auto"/>
        <w:ind w:left="1276"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there must be electronic surveillance of the device with recordings to be kept for a period of time approved by the Commissioner.</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 xml:space="preserve">Customer information and help information </w:t>
      </w:r>
    </w:p>
    <w:p w:rsidR="00CB4030" w:rsidRPr="00420A51" w:rsidRDefault="00CB4030" w:rsidP="00F24603">
      <w:pPr>
        <w:numPr>
          <w:ilvl w:val="0"/>
          <w:numId w:val="456"/>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 take all reasonable steps to ensure that a patron who demonstrates difficulty in controlling their personal expenditure on gambling products has their attention drawn to the name and telephone number of a widely available gambling help service.</w:t>
      </w:r>
    </w:p>
    <w:p w:rsidR="00CB4030" w:rsidRPr="00420A51" w:rsidRDefault="00CB4030" w:rsidP="00F24603">
      <w:pPr>
        <w:numPr>
          <w:ilvl w:val="0"/>
          <w:numId w:val="456"/>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w:t>
      </w:r>
    </w:p>
    <w:p w:rsidR="00CB4030" w:rsidRPr="00420A51" w:rsidRDefault="00CB4030" w:rsidP="00691EA2">
      <w:pPr>
        <w:numPr>
          <w:ilvl w:val="0"/>
          <w:numId w:val="416"/>
        </w:numPr>
        <w:spacing w:after="120" w:line="240" w:lineRule="auto"/>
        <w:ind w:left="1276" w:hanging="412"/>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identify a gambling rehabilitation agency that their patrons and families can readily access (including the location of the agency and a direct number to a contact person at the agency);</w:t>
      </w:r>
    </w:p>
    <w:p w:rsidR="00CB4030" w:rsidRPr="00420A51" w:rsidRDefault="00CB4030" w:rsidP="00691EA2">
      <w:pPr>
        <w:numPr>
          <w:ilvl w:val="0"/>
          <w:numId w:val="416"/>
        </w:numPr>
        <w:spacing w:after="120" w:line="240" w:lineRule="auto"/>
        <w:ind w:left="1276" w:hanging="412"/>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ensure that staff are sufficiently informed about the identity and location of the gambling rehabilitation agency so as to be able to direct patrons to the agency; and</w:t>
      </w:r>
    </w:p>
    <w:p w:rsidR="00CB4030" w:rsidRPr="00420A51" w:rsidRDefault="00CB4030" w:rsidP="00691EA2">
      <w:pPr>
        <w:numPr>
          <w:ilvl w:val="0"/>
          <w:numId w:val="416"/>
        </w:numPr>
        <w:spacing w:after="120" w:line="240" w:lineRule="auto"/>
        <w:ind w:left="1276" w:hanging="412"/>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ensure that management level contact is established and maintained with the gambling rehabilitation agency about problem gambling matters.</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Account holder information and signage for virtual gambling areas</w:t>
      </w:r>
    </w:p>
    <w:p w:rsidR="00CB4030" w:rsidRPr="00420A51" w:rsidRDefault="00CB4030" w:rsidP="00F24603">
      <w:pPr>
        <w:numPr>
          <w:ilvl w:val="0"/>
          <w:numId w:val="455"/>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 in each virtual gambling area—</w:t>
      </w:r>
    </w:p>
    <w:p w:rsidR="00CB4030" w:rsidRPr="00420A51" w:rsidRDefault="00CB4030" w:rsidP="00691EA2">
      <w:pPr>
        <w:numPr>
          <w:ilvl w:val="0"/>
          <w:numId w:val="417"/>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display prominently a message indicating that its gambling operations are governed by a code of practice; and</w:t>
      </w:r>
    </w:p>
    <w:p w:rsidR="00CB4030" w:rsidRPr="00420A51" w:rsidRDefault="00CB4030" w:rsidP="00691EA2">
      <w:pPr>
        <w:numPr>
          <w:ilvl w:val="0"/>
          <w:numId w:val="417"/>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ensure that a copy of this code is available from the webpage or screen that constitutes the virtual gambling area.</w:t>
      </w:r>
    </w:p>
    <w:p w:rsidR="00CB4030" w:rsidRPr="00420A51" w:rsidRDefault="00CB4030" w:rsidP="00F24603">
      <w:pPr>
        <w:numPr>
          <w:ilvl w:val="0"/>
          <w:numId w:val="455"/>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lastRenderedPageBreak/>
        <w:t>The gambling provider must provide prominent access to its responsible gambling materials on each website which includes a virtual gambling area.</w:t>
      </w:r>
    </w:p>
    <w:p w:rsidR="00CB4030" w:rsidRPr="00420A51" w:rsidRDefault="00CB4030" w:rsidP="00F24603">
      <w:pPr>
        <w:numPr>
          <w:ilvl w:val="0"/>
          <w:numId w:val="455"/>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 ensure the prominent display of the condensed warning message at every point of sale in its virtual gambling areas.</w:t>
      </w:r>
    </w:p>
    <w:p w:rsidR="00CB4030" w:rsidRPr="00420A51" w:rsidRDefault="00CB4030" w:rsidP="00F24603">
      <w:pPr>
        <w:numPr>
          <w:ilvl w:val="0"/>
          <w:numId w:val="455"/>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w:t>
      </w:r>
    </w:p>
    <w:p w:rsidR="00CB4030" w:rsidRPr="00420A51" w:rsidRDefault="00CB4030" w:rsidP="005551DA">
      <w:pPr>
        <w:numPr>
          <w:ilvl w:val="0"/>
          <w:numId w:val="418"/>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at the time of establishing a gambling account indicate that its gambling operations are governed by a code of practice and provide its responsible gambling materials (including a printed or electronic pamphlet) to the account holder; and</w:t>
      </w:r>
    </w:p>
    <w:p w:rsidR="00CB4030" w:rsidRPr="00420A51" w:rsidRDefault="00CB4030" w:rsidP="005551DA">
      <w:pPr>
        <w:numPr>
          <w:ilvl w:val="0"/>
          <w:numId w:val="418"/>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when providing a statement for a gambling account, include a mandatory warning message as part of the statement.</w:t>
      </w:r>
    </w:p>
    <w:p w:rsidR="00CB4030" w:rsidRPr="00420A51" w:rsidRDefault="00CB4030" w:rsidP="00F24603">
      <w:pPr>
        <w:numPr>
          <w:ilvl w:val="0"/>
          <w:numId w:val="455"/>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For the purposes of sub-clauses (2) and (4), the gambling provider must—</w:t>
      </w:r>
    </w:p>
    <w:p w:rsidR="00CB4030" w:rsidRPr="00420A51" w:rsidRDefault="00CB4030" w:rsidP="005551DA">
      <w:pPr>
        <w:numPr>
          <w:ilvl w:val="0"/>
          <w:numId w:val="419"/>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publish its responsible gambling materials in a form which includes the contents of a helpline card and the expanded warning message;</w:t>
      </w:r>
    </w:p>
    <w:p w:rsidR="00CB4030" w:rsidRPr="00420A51" w:rsidRDefault="00CB4030" w:rsidP="005551DA">
      <w:pPr>
        <w:numPr>
          <w:ilvl w:val="0"/>
          <w:numId w:val="419"/>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make available a short form of its responsible gambling materials written in English, Arabic, Chinese, Greek, Italian, Vietnamese and any other language which the gambling provider considers appropriate.</w:t>
      </w:r>
    </w:p>
    <w:p w:rsidR="00CB4030" w:rsidRPr="00420A51" w:rsidRDefault="00CB4030" w:rsidP="00F24603">
      <w:pPr>
        <w:numPr>
          <w:ilvl w:val="0"/>
          <w:numId w:val="455"/>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 take all reasonable steps to ensure that an account holder who demonstrates difficulty in controlling their personal expenditure on gambling products has their attention drawn to the name and telephone number of a widely available gambling help service.</w:t>
      </w:r>
    </w:p>
    <w:p w:rsidR="00CB4030" w:rsidRPr="00420A51" w:rsidRDefault="00CB4030" w:rsidP="00F24603">
      <w:pPr>
        <w:numPr>
          <w:ilvl w:val="0"/>
          <w:numId w:val="455"/>
        </w:numPr>
        <w:spacing w:after="120" w:line="240" w:lineRule="auto"/>
        <w:ind w:left="850"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 reinforce its responsible gambling policy in account holder newsletters and other communications.</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Alcohol and Gambling</w:t>
      </w:r>
    </w:p>
    <w:p w:rsidR="00CB4030" w:rsidRPr="00420A51" w:rsidRDefault="00CB4030" w:rsidP="00F1662B">
      <w:pPr>
        <w:numPr>
          <w:ilvl w:val="0"/>
          <w:numId w:val="454"/>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In gambling areas, the gambling provider must take all practicable steps—</w:t>
      </w:r>
    </w:p>
    <w:p w:rsidR="00CB4030" w:rsidRPr="00420A51" w:rsidRDefault="00CB4030" w:rsidP="00691EA2">
      <w:pPr>
        <w:numPr>
          <w:ilvl w:val="0"/>
          <w:numId w:val="420"/>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to prevent a person from being allowed to gamble if their speech, balance, coordination or behaviour is noticeably affected and it is reasonable to believe that the affected speech, balance, coordination or behaviour is the result of the consumption of liquor or some other substance;</w:t>
      </w:r>
    </w:p>
    <w:p w:rsidR="00CB4030" w:rsidRPr="00420A51" w:rsidRDefault="00CB4030" w:rsidP="00691EA2">
      <w:pPr>
        <w:numPr>
          <w:ilvl w:val="0"/>
          <w:numId w:val="420"/>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to prevent a person entering or remaining in a gambling area if their speech, balance, coordination or behaviour is noticeably affected and it is reasonable to believe that the affected speech, balance, coordination or behaviour is the result of the consumption of liquor or some other substance;</w:t>
      </w:r>
    </w:p>
    <w:p w:rsidR="00CB4030" w:rsidRPr="00420A51" w:rsidRDefault="00CB4030" w:rsidP="00691EA2">
      <w:pPr>
        <w:numPr>
          <w:ilvl w:val="0"/>
          <w:numId w:val="420"/>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to ensure that liquor is not supplied to reward, promote or encourage continued gambling.</w:t>
      </w:r>
    </w:p>
    <w:p w:rsidR="00CB4030" w:rsidRPr="00420A51" w:rsidRDefault="00CB4030" w:rsidP="00F1662B">
      <w:pPr>
        <w:numPr>
          <w:ilvl w:val="0"/>
          <w:numId w:val="454"/>
        </w:numPr>
        <w:spacing w:after="120" w:line="240" w:lineRule="auto"/>
        <w:ind w:left="850"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If the gambling provider is operating a gambling telephone line, the gambling provider must take all practicable steps to prevent a person from being allowed to gamble if the person</w:t>
      </w:r>
      <w:r w:rsidR="00420A51">
        <w:rPr>
          <w:rFonts w:ascii="Times New Roman" w:eastAsia="Times New Roman" w:hAnsi="Times New Roman"/>
          <w:bCs/>
          <w:color w:val="000000"/>
          <w:sz w:val="17"/>
          <w:szCs w:val="17"/>
          <w:lang w:eastAsia="en-AU" w:bidi="en-US"/>
        </w:rPr>
        <w:t>’</w:t>
      </w:r>
      <w:r w:rsidRPr="00420A51">
        <w:rPr>
          <w:rFonts w:ascii="Times New Roman" w:eastAsia="Times New Roman" w:hAnsi="Times New Roman"/>
          <w:bCs/>
          <w:color w:val="000000"/>
          <w:sz w:val="17"/>
          <w:szCs w:val="17"/>
          <w:lang w:eastAsia="en-AU" w:bidi="en-US"/>
        </w:rPr>
        <w:t>s speech, coordination or behaviour is noticeably impaired and it is reasonable to believe that the impairment is the result of the consumption of liquor or some other substance.</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 xml:space="preserve">Inducements </w:t>
      </w:r>
    </w:p>
    <w:p w:rsidR="00CB4030" w:rsidRPr="00420A51" w:rsidRDefault="00CB4030" w:rsidP="00F1662B">
      <w:pPr>
        <w:numPr>
          <w:ilvl w:val="0"/>
          <w:numId w:val="453"/>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 not offer or provide any inducement directed at encouraging a person to gamble.</w:t>
      </w:r>
    </w:p>
    <w:p w:rsidR="00CB4030" w:rsidRPr="00420A51" w:rsidRDefault="00CB4030" w:rsidP="00F1662B">
      <w:pPr>
        <w:numPr>
          <w:ilvl w:val="0"/>
          <w:numId w:val="453"/>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Sub-clause (1) does not apply to—</w:t>
      </w:r>
    </w:p>
    <w:p w:rsidR="00CB4030" w:rsidRPr="00420A51" w:rsidRDefault="00CB4030" w:rsidP="00691EA2">
      <w:pPr>
        <w:numPr>
          <w:ilvl w:val="0"/>
          <w:numId w:val="421"/>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offering or provision of participation in an acceptable loyalty program (</w:t>
      </w:r>
      <w:r w:rsidRPr="00420A51">
        <w:rPr>
          <w:rFonts w:ascii="Times New Roman" w:eastAsia="Times New Roman" w:hAnsi="Times New Roman"/>
          <w:bCs/>
          <w:i/>
          <w:color w:val="000000"/>
          <w:sz w:val="17"/>
          <w:szCs w:val="17"/>
          <w:lang w:eastAsia="en-AU" w:bidi="en-US"/>
        </w:rPr>
        <w:t>see clause 22</w:t>
      </w:r>
      <w:r w:rsidRPr="00420A51">
        <w:rPr>
          <w:rFonts w:ascii="Times New Roman" w:eastAsia="Times New Roman" w:hAnsi="Times New Roman"/>
          <w:bCs/>
          <w:color w:val="000000"/>
          <w:sz w:val="17"/>
          <w:szCs w:val="17"/>
          <w:lang w:eastAsia="en-AU" w:bidi="en-US"/>
        </w:rPr>
        <w:t>);</w:t>
      </w:r>
    </w:p>
    <w:p w:rsidR="00CB4030" w:rsidRPr="00420A51" w:rsidRDefault="00CB4030" w:rsidP="00691EA2">
      <w:pPr>
        <w:numPr>
          <w:ilvl w:val="0"/>
          <w:numId w:val="421"/>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offering or provision of participation in an acceptable trade promotion lottery (</w:t>
      </w:r>
      <w:r w:rsidRPr="00420A51">
        <w:rPr>
          <w:rFonts w:ascii="Times New Roman" w:eastAsia="Times New Roman" w:hAnsi="Times New Roman"/>
          <w:bCs/>
          <w:i/>
          <w:color w:val="000000"/>
          <w:sz w:val="17"/>
          <w:szCs w:val="17"/>
          <w:lang w:eastAsia="en-AU" w:bidi="en-US"/>
        </w:rPr>
        <w:t>see clause 23</w:t>
      </w:r>
      <w:r w:rsidRPr="00420A51">
        <w:rPr>
          <w:rFonts w:ascii="Times New Roman" w:eastAsia="Times New Roman" w:hAnsi="Times New Roman"/>
          <w:bCs/>
          <w:color w:val="000000"/>
          <w:sz w:val="17"/>
          <w:szCs w:val="17"/>
          <w:lang w:eastAsia="en-AU" w:bidi="en-US"/>
        </w:rPr>
        <w:t>), by drawing attention to the prizes;</w:t>
      </w:r>
    </w:p>
    <w:p w:rsidR="00CB4030" w:rsidRPr="00420A51" w:rsidRDefault="00CB4030" w:rsidP="00691EA2">
      <w:pPr>
        <w:numPr>
          <w:ilvl w:val="0"/>
          <w:numId w:val="421"/>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offering or provision of a complimentary gambling product;</w:t>
      </w:r>
    </w:p>
    <w:p w:rsidR="00CB4030" w:rsidRPr="00420A51" w:rsidRDefault="00CB4030" w:rsidP="00691EA2">
      <w:pPr>
        <w:numPr>
          <w:ilvl w:val="0"/>
          <w:numId w:val="421"/>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offering or provision in a gambling area of complimentary non-alcoholic beverages and refreshments of nominal value; or</w:t>
      </w:r>
    </w:p>
    <w:p w:rsidR="00CB4030" w:rsidRPr="00420A51" w:rsidRDefault="00CB4030" w:rsidP="00691EA2">
      <w:pPr>
        <w:numPr>
          <w:ilvl w:val="0"/>
          <w:numId w:val="421"/>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offering or provision of an inducement in respect of a pre-commitment trial approved by the Commissioner, subject to the terms of the approval.</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 xml:space="preserve">Acceptable loyalty programs </w:t>
      </w:r>
    </w:p>
    <w:p w:rsidR="00CB4030" w:rsidRPr="00420A51" w:rsidRDefault="00CB4030" w:rsidP="00F1662B">
      <w:pPr>
        <w:numPr>
          <w:ilvl w:val="0"/>
          <w:numId w:val="451"/>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A loyalty program is an acceptable loyalty program if it is a structured program which—</w:t>
      </w:r>
    </w:p>
    <w:p w:rsidR="00CB4030" w:rsidRPr="00420A51" w:rsidRDefault="00CB4030" w:rsidP="00691EA2">
      <w:pPr>
        <w:numPr>
          <w:ilvl w:val="0"/>
          <w:numId w:val="42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is conducted in accordance with published terms and conditions;</w:t>
      </w:r>
    </w:p>
    <w:p w:rsidR="00CB4030" w:rsidRPr="00420A51" w:rsidRDefault="00CB4030" w:rsidP="00691EA2">
      <w:pPr>
        <w:numPr>
          <w:ilvl w:val="0"/>
          <w:numId w:val="42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is advertised in a manner consistent with the advertising requirements for the gambling providers gambling products;</w:t>
      </w:r>
    </w:p>
    <w:p w:rsidR="00CB4030" w:rsidRPr="00420A51" w:rsidRDefault="00CB4030" w:rsidP="00691EA2">
      <w:pPr>
        <w:numPr>
          <w:ilvl w:val="0"/>
          <w:numId w:val="42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offers rewards proportionate to gambling activity (including non-monetary privileges attached to tiers in a stepped rewards system);</w:t>
      </w:r>
    </w:p>
    <w:p w:rsidR="00CB4030" w:rsidRPr="00420A51" w:rsidRDefault="00CB4030" w:rsidP="00691EA2">
      <w:pPr>
        <w:numPr>
          <w:ilvl w:val="0"/>
          <w:numId w:val="42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 xml:space="preserve">offers regular activity statements; </w:t>
      </w:r>
    </w:p>
    <w:p w:rsidR="00CB4030" w:rsidRPr="00420A51" w:rsidRDefault="00CB4030" w:rsidP="00691EA2">
      <w:pPr>
        <w:numPr>
          <w:ilvl w:val="0"/>
          <w:numId w:val="42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includes a facility for predictive monitoring of the patterns of gamblers</w:t>
      </w:r>
      <w:r w:rsidR="00420A51">
        <w:rPr>
          <w:rFonts w:ascii="Times New Roman" w:eastAsia="Times New Roman" w:hAnsi="Times New Roman"/>
          <w:bCs/>
          <w:color w:val="000000"/>
          <w:sz w:val="17"/>
          <w:szCs w:val="17"/>
          <w:lang w:eastAsia="en-AU" w:bidi="en-US"/>
        </w:rPr>
        <w:t>’</w:t>
      </w:r>
      <w:r w:rsidRPr="00420A51">
        <w:rPr>
          <w:rFonts w:ascii="Times New Roman" w:eastAsia="Times New Roman" w:hAnsi="Times New Roman"/>
          <w:bCs/>
          <w:color w:val="000000"/>
          <w:sz w:val="17"/>
          <w:szCs w:val="17"/>
          <w:lang w:eastAsia="en-AU" w:bidi="en-US"/>
        </w:rPr>
        <w:t xml:space="preserve"> gambling activity, with the purpose of intervening in cases where there is a risk of problem gambling, which provides in respect of each person participating in the loyalty program—</w:t>
      </w:r>
    </w:p>
    <w:p w:rsidR="00CB4030" w:rsidRPr="00420A51" w:rsidRDefault="00CB4030" w:rsidP="00F1662B">
      <w:pPr>
        <w:numPr>
          <w:ilvl w:val="0"/>
          <w:numId w:val="452"/>
        </w:numPr>
        <w:tabs>
          <w:tab w:val="left" w:pos="284"/>
        </w:tabs>
        <w:spacing w:after="120" w:line="240" w:lineRule="auto"/>
        <w:jc w:val="left"/>
        <w:rPr>
          <w:rFonts w:ascii="Times New Roman" w:eastAsia="Times New Roman" w:hAnsi="Times New Roman"/>
          <w:bCs/>
          <w:sz w:val="17"/>
          <w:szCs w:val="17"/>
          <w:lang w:eastAsia="en-AU" w:bidi="en-US"/>
        </w:rPr>
      </w:pPr>
      <w:r w:rsidRPr="00420A51">
        <w:rPr>
          <w:rFonts w:ascii="Times New Roman" w:eastAsia="Times New Roman" w:hAnsi="Times New Roman"/>
          <w:sz w:val="17"/>
          <w:szCs w:val="17"/>
          <w:lang w:eastAsia="en-AU" w:bidi="en-US"/>
        </w:rPr>
        <w:lastRenderedPageBreak/>
        <w:t>the</w:t>
      </w:r>
      <w:r w:rsidRPr="00420A51">
        <w:rPr>
          <w:rFonts w:ascii="Times New Roman" w:eastAsia="Times New Roman" w:hAnsi="Times New Roman"/>
          <w:bCs/>
          <w:sz w:val="17"/>
          <w:szCs w:val="17"/>
          <w:lang w:eastAsia="en-AU" w:bidi="en-US"/>
        </w:rPr>
        <w:t xml:space="preserve"> identification of changes of significance between the most recent month (whether or not a calendar month) and past months of the amount of money spent;</w:t>
      </w:r>
    </w:p>
    <w:p w:rsidR="00CB4030" w:rsidRPr="00420A51" w:rsidRDefault="00CB4030" w:rsidP="00F1662B">
      <w:pPr>
        <w:numPr>
          <w:ilvl w:val="0"/>
          <w:numId w:val="452"/>
        </w:numPr>
        <w:tabs>
          <w:tab w:val="left" w:pos="284"/>
        </w:tabs>
        <w:spacing w:after="120" w:line="240" w:lineRule="auto"/>
        <w:jc w:val="left"/>
        <w:rPr>
          <w:rFonts w:ascii="Times New Roman" w:eastAsia="Times New Roman" w:hAnsi="Times New Roman"/>
          <w:bCs/>
          <w:sz w:val="17"/>
          <w:szCs w:val="17"/>
          <w:lang w:eastAsia="en-AU" w:bidi="en-US"/>
        </w:rPr>
      </w:pPr>
      <w:r w:rsidRPr="00420A51">
        <w:rPr>
          <w:rFonts w:ascii="Times New Roman" w:eastAsia="Times New Roman" w:hAnsi="Times New Roman"/>
          <w:bCs/>
          <w:sz w:val="17"/>
          <w:szCs w:val="17"/>
          <w:lang w:eastAsia="en-AU" w:bidi="en-US"/>
        </w:rPr>
        <w:t>the amount of time spent; and</w:t>
      </w:r>
    </w:p>
    <w:p w:rsidR="00CB4030" w:rsidRPr="00420A51" w:rsidRDefault="00CB4030" w:rsidP="00F1662B">
      <w:pPr>
        <w:numPr>
          <w:ilvl w:val="0"/>
          <w:numId w:val="452"/>
        </w:numPr>
        <w:tabs>
          <w:tab w:val="left" w:pos="284"/>
        </w:tabs>
        <w:spacing w:after="120" w:line="240" w:lineRule="auto"/>
        <w:jc w:val="left"/>
        <w:rPr>
          <w:rFonts w:ascii="Times New Roman" w:eastAsia="Times New Roman" w:hAnsi="Times New Roman"/>
          <w:bCs/>
          <w:sz w:val="17"/>
          <w:szCs w:val="17"/>
          <w:lang w:eastAsia="en-AU" w:bidi="en-US"/>
        </w:rPr>
      </w:pPr>
      <w:r w:rsidRPr="00420A51">
        <w:rPr>
          <w:rFonts w:ascii="Times New Roman" w:eastAsia="Times New Roman" w:hAnsi="Times New Roman"/>
          <w:bCs/>
          <w:sz w:val="17"/>
          <w:szCs w:val="17"/>
          <w:lang w:eastAsia="en-AU" w:bidi="en-US"/>
        </w:rPr>
        <w:t>the intensity of the person</w:t>
      </w:r>
      <w:r w:rsidR="00420A51">
        <w:rPr>
          <w:rFonts w:ascii="Times New Roman" w:eastAsia="Times New Roman" w:hAnsi="Times New Roman"/>
          <w:bCs/>
          <w:sz w:val="17"/>
          <w:szCs w:val="17"/>
          <w:lang w:eastAsia="en-AU" w:bidi="en-US"/>
        </w:rPr>
        <w:t>’</w:t>
      </w:r>
      <w:r w:rsidRPr="00420A51">
        <w:rPr>
          <w:rFonts w:ascii="Times New Roman" w:eastAsia="Times New Roman" w:hAnsi="Times New Roman"/>
          <w:bCs/>
          <w:sz w:val="17"/>
          <w:szCs w:val="17"/>
          <w:lang w:eastAsia="en-AU" w:bidi="en-US"/>
        </w:rPr>
        <w:t>s activity, with parameters which are able to be adjusted to produce a manageable number of cases for consideration of intervention; and</w:t>
      </w:r>
    </w:p>
    <w:p w:rsidR="00CB4030" w:rsidRPr="00420A51" w:rsidRDefault="00CB4030" w:rsidP="00691EA2">
      <w:pPr>
        <w:numPr>
          <w:ilvl w:val="0"/>
          <w:numId w:val="42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 xml:space="preserve">it has been approved by the Commissioner in terms of its rules, conditions, promotions, predictive monitoring processes and the manner in which it is to be advertised and promoted. </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 xml:space="preserve">Acceptable trade promotion lotteries </w:t>
      </w:r>
    </w:p>
    <w:p w:rsidR="00CB4030" w:rsidRPr="00420A51" w:rsidRDefault="00CB4030" w:rsidP="00154729">
      <w:pPr>
        <w:numPr>
          <w:ilvl w:val="0"/>
          <w:numId w:val="450"/>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A lottery is an acceptable trade promotion lottery if—</w:t>
      </w:r>
    </w:p>
    <w:p w:rsidR="00CB4030" w:rsidRPr="00420A51" w:rsidRDefault="00CB4030" w:rsidP="00691EA2">
      <w:pPr>
        <w:numPr>
          <w:ilvl w:val="0"/>
          <w:numId w:val="423"/>
        </w:numPr>
        <w:spacing w:after="120" w:line="240" w:lineRule="auto"/>
        <w:ind w:left="1276" w:hanging="425"/>
        <w:jc w:val="left"/>
        <w:rPr>
          <w:rFonts w:ascii="Times New Roman" w:eastAsia="Times New Roman" w:hAnsi="Times New Roman"/>
          <w:bCs/>
          <w:sz w:val="17"/>
          <w:szCs w:val="17"/>
          <w:lang w:eastAsia="en-AU" w:bidi="en-US"/>
        </w:rPr>
      </w:pPr>
      <w:r w:rsidRPr="00420A51">
        <w:rPr>
          <w:rFonts w:ascii="Times New Roman" w:eastAsia="Times New Roman" w:hAnsi="Times New Roman"/>
          <w:bCs/>
          <w:sz w:val="17"/>
          <w:szCs w:val="17"/>
          <w:lang w:eastAsia="en-AU" w:bidi="en-US"/>
        </w:rPr>
        <w:t xml:space="preserve">being a trade promotion lottery within the meaning of the Lotteries Regulations 2021, it is a licensed lottery or a permitted lottery under the </w:t>
      </w:r>
      <w:r w:rsidRPr="00420A51">
        <w:rPr>
          <w:rFonts w:ascii="Times New Roman" w:eastAsia="Times New Roman" w:hAnsi="Times New Roman"/>
          <w:bCs/>
          <w:i/>
          <w:iCs/>
          <w:sz w:val="17"/>
          <w:szCs w:val="17"/>
          <w:lang w:eastAsia="en-AU" w:bidi="en-US"/>
        </w:rPr>
        <w:t>Lotteries Act 2019</w:t>
      </w:r>
      <w:r w:rsidRPr="00420A51">
        <w:rPr>
          <w:rFonts w:ascii="Times New Roman" w:eastAsia="Times New Roman" w:hAnsi="Times New Roman"/>
          <w:bCs/>
          <w:sz w:val="17"/>
          <w:szCs w:val="17"/>
          <w:lang w:eastAsia="en-AU" w:bidi="en-US"/>
        </w:rPr>
        <w:t>;</w:t>
      </w:r>
    </w:p>
    <w:p w:rsidR="00CB4030" w:rsidRPr="00420A51" w:rsidRDefault="00CB4030" w:rsidP="00691EA2">
      <w:pPr>
        <w:numPr>
          <w:ilvl w:val="0"/>
          <w:numId w:val="423"/>
        </w:numPr>
        <w:spacing w:after="120" w:line="240" w:lineRule="auto"/>
        <w:ind w:left="1276" w:hanging="425"/>
        <w:jc w:val="left"/>
        <w:rPr>
          <w:rFonts w:ascii="Times New Roman" w:eastAsia="Times New Roman" w:hAnsi="Times New Roman"/>
          <w:bCs/>
          <w:sz w:val="17"/>
          <w:szCs w:val="17"/>
          <w:lang w:eastAsia="en-AU" w:bidi="en-US"/>
        </w:rPr>
      </w:pPr>
      <w:r w:rsidRPr="00420A51">
        <w:rPr>
          <w:rFonts w:ascii="Times New Roman" w:eastAsia="Times New Roman" w:hAnsi="Times New Roman"/>
          <w:bCs/>
          <w:sz w:val="17"/>
          <w:szCs w:val="17"/>
          <w:lang w:eastAsia="en-AU" w:bidi="en-US"/>
        </w:rPr>
        <w:t xml:space="preserve">its dominant purpose is to reward or retain existing patrons, rather than attracting new patronage or encouraging patrons to gamble more than they would otherwise; </w:t>
      </w:r>
    </w:p>
    <w:p w:rsidR="00CB4030" w:rsidRPr="00420A51" w:rsidRDefault="00CB4030" w:rsidP="00691EA2">
      <w:pPr>
        <w:numPr>
          <w:ilvl w:val="0"/>
          <w:numId w:val="423"/>
        </w:numPr>
        <w:spacing w:after="120" w:line="240" w:lineRule="auto"/>
        <w:ind w:left="1276" w:hanging="425"/>
        <w:jc w:val="left"/>
        <w:rPr>
          <w:rFonts w:ascii="Times New Roman" w:eastAsia="Times New Roman" w:hAnsi="Times New Roman"/>
          <w:bCs/>
          <w:spacing w:val="-2"/>
          <w:sz w:val="17"/>
          <w:szCs w:val="17"/>
          <w:lang w:eastAsia="en-AU" w:bidi="en-US"/>
        </w:rPr>
      </w:pPr>
      <w:r w:rsidRPr="00420A51">
        <w:rPr>
          <w:rFonts w:ascii="Times New Roman" w:eastAsia="Times New Roman" w:hAnsi="Times New Roman"/>
          <w:bCs/>
          <w:spacing w:val="-2"/>
          <w:sz w:val="17"/>
          <w:szCs w:val="17"/>
          <w:lang w:eastAsia="en-AU" w:bidi="en-US"/>
        </w:rPr>
        <w:t>the advertising is limited to promotion to account holders, on a private webpage on the gambling provider</w:t>
      </w:r>
      <w:r w:rsidR="00420A51">
        <w:rPr>
          <w:rFonts w:ascii="Times New Roman" w:eastAsia="Times New Roman" w:hAnsi="Times New Roman"/>
          <w:bCs/>
          <w:spacing w:val="-2"/>
          <w:sz w:val="17"/>
          <w:szCs w:val="17"/>
          <w:lang w:eastAsia="en-AU" w:bidi="en-US"/>
        </w:rPr>
        <w:t>’</w:t>
      </w:r>
      <w:r w:rsidRPr="00420A51">
        <w:rPr>
          <w:rFonts w:ascii="Times New Roman" w:eastAsia="Times New Roman" w:hAnsi="Times New Roman"/>
          <w:bCs/>
          <w:spacing w:val="-2"/>
          <w:sz w:val="17"/>
          <w:szCs w:val="17"/>
          <w:lang w:eastAsia="en-AU" w:bidi="en-US"/>
        </w:rPr>
        <w:t>s own website, by direct communication to customers that have expressly agreed to receiving advertising and within gambling areas.</w:t>
      </w:r>
    </w:p>
    <w:p w:rsidR="00CB4030" w:rsidRPr="00420A51" w:rsidRDefault="00CB4030" w:rsidP="00691EA2">
      <w:pPr>
        <w:numPr>
          <w:ilvl w:val="0"/>
          <w:numId w:val="423"/>
        </w:numPr>
        <w:spacing w:after="120" w:line="240" w:lineRule="auto"/>
        <w:ind w:left="1276" w:hanging="425"/>
        <w:jc w:val="left"/>
        <w:rPr>
          <w:rFonts w:ascii="Times New Roman" w:eastAsia="Times New Roman" w:hAnsi="Times New Roman"/>
          <w:bCs/>
          <w:spacing w:val="-2"/>
          <w:sz w:val="17"/>
          <w:szCs w:val="17"/>
          <w:lang w:eastAsia="en-AU" w:bidi="en-US"/>
        </w:rPr>
      </w:pPr>
      <w:r w:rsidRPr="00420A51">
        <w:rPr>
          <w:rFonts w:ascii="Times New Roman" w:eastAsia="Times New Roman" w:hAnsi="Times New Roman"/>
          <w:bCs/>
          <w:spacing w:val="-2"/>
          <w:sz w:val="17"/>
          <w:szCs w:val="17"/>
          <w:lang w:eastAsia="en-AU" w:bidi="en-US"/>
        </w:rPr>
        <w:t>the advertising of the promotion draws attention to the prize(s) of the promotion, rather than the gambling product itself;</w:t>
      </w:r>
    </w:p>
    <w:p w:rsidR="00CB4030" w:rsidRPr="00420A51" w:rsidRDefault="00CB4030" w:rsidP="00691EA2">
      <w:pPr>
        <w:numPr>
          <w:ilvl w:val="0"/>
          <w:numId w:val="423"/>
        </w:numPr>
        <w:spacing w:after="120" w:line="240" w:lineRule="auto"/>
        <w:ind w:left="1276" w:hanging="425"/>
        <w:jc w:val="left"/>
        <w:rPr>
          <w:rFonts w:ascii="Times New Roman" w:eastAsia="Times New Roman" w:hAnsi="Times New Roman"/>
          <w:bCs/>
          <w:sz w:val="17"/>
          <w:szCs w:val="17"/>
          <w:lang w:eastAsia="en-AU" w:bidi="en-US"/>
        </w:rPr>
      </w:pPr>
      <w:r w:rsidRPr="00420A51">
        <w:rPr>
          <w:rFonts w:ascii="Times New Roman" w:eastAsia="Times New Roman" w:hAnsi="Times New Roman"/>
          <w:bCs/>
          <w:sz w:val="17"/>
          <w:szCs w:val="17"/>
          <w:lang w:eastAsia="en-AU" w:bidi="en-US"/>
        </w:rPr>
        <w:t>the promotion does not encourage people to gamble for a minimum period or for a minimum amount to qualify for a reward or benefit; and</w:t>
      </w:r>
    </w:p>
    <w:p w:rsidR="00CB4030" w:rsidRPr="00420A51" w:rsidRDefault="00CB4030" w:rsidP="00691EA2">
      <w:pPr>
        <w:numPr>
          <w:ilvl w:val="0"/>
          <w:numId w:val="423"/>
        </w:numPr>
        <w:spacing w:after="120" w:line="240" w:lineRule="auto"/>
        <w:ind w:left="1276" w:hanging="425"/>
        <w:jc w:val="left"/>
        <w:rPr>
          <w:rFonts w:ascii="Times New Roman" w:eastAsia="Times New Roman" w:hAnsi="Times New Roman"/>
          <w:b/>
          <w:bCs/>
          <w:smallCaps/>
          <w:sz w:val="17"/>
          <w:szCs w:val="17"/>
          <w:lang w:eastAsia="en-AU" w:bidi="en-US"/>
        </w:rPr>
      </w:pPr>
      <w:r w:rsidRPr="00420A51">
        <w:rPr>
          <w:rFonts w:ascii="Times New Roman" w:eastAsia="Times New Roman" w:hAnsi="Times New Roman"/>
          <w:bCs/>
          <w:sz w:val="17"/>
          <w:szCs w:val="17"/>
          <w:lang w:eastAsia="en-AU" w:bidi="en-US"/>
        </w:rPr>
        <w:t>in respect of an authorised lottery referred to in (a) above, it has been approved by the Commissioner in terms of its rules, conditions and the manner in which it will be advertised.</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Gambling accounts</w:t>
      </w:r>
    </w:p>
    <w:p w:rsidR="00CB4030" w:rsidRPr="00420A51" w:rsidRDefault="00CB4030" w:rsidP="00154729">
      <w:pPr>
        <w:spacing w:after="120" w:line="240" w:lineRule="auto"/>
        <w:ind w:left="426"/>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Where this clause, and any following clauses makes reference to account holders being able to purchase an entry with the gambling provider by telephone, internet or other electronic means, this is a reference to a means of communicating at a distance by the use of electronic devices.</w:t>
      </w:r>
    </w:p>
    <w:p w:rsidR="00CB4030" w:rsidRPr="00420A51" w:rsidRDefault="00CB4030" w:rsidP="008B2753">
      <w:pPr>
        <w:numPr>
          <w:ilvl w:val="0"/>
          <w:numId w:val="198"/>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 not provide gambling services to a person in South Australia by telephone, internet or other electronic means unless the gambling provider has established a gambling account for the person.</w:t>
      </w:r>
    </w:p>
    <w:p w:rsidR="00CB4030" w:rsidRPr="00420A51" w:rsidRDefault="00CB4030" w:rsidP="008B2753">
      <w:pPr>
        <w:numPr>
          <w:ilvl w:val="0"/>
          <w:numId w:val="198"/>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If the gambling provider has established a gambling account for a person—</w:t>
      </w:r>
    </w:p>
    <w:p w:rsidR="00CB4030" w:rsidRPr="00420A51" w:rsidRDefault="00CB4030" w:rsidP="00691EA2">
      <w:pPr>
        <w:numPr>
          <w:ilvl w:val="0"/>
          <w:numId w:val="424"/>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account—</w:t>
      </w:r>
    </w:p>
    <w:p w:rsidR="00CB4030" w:rsidRPr="00420A51" w:rsidRDefault="00CB4030" w:rsidP="00691EA2">
      <w:pPr>
        <w:numPr>
          <w:ilvl w:val="0"/>
          <w:numId w:val="447"/>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may only be credited with funds deposited by the person, or at the person</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s direction from a third party (not being a person in a close associate relationship with the gambling provider); and</w:t>
      </w:r>
    </w:p>
    <w:p w:rsidR="00CB4030" w:rsidRPr="00420A51" w:rsidRDefault="00CB4030" w:rsidP="00691EA2">
      <w:pPr>
        <w:numPr>
          <w:ilvl w:val="0"/>
          <w:numId w:val="447"/>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must not be allowed to have a negative balance;</w:t>
      </w:r>
    </w:p>
    <w:p w:rsidR="00CB4030" w:rsidRPr="00420A51" w:rsidRDefault="00CB4030" w:rsidP="00691EA2">
      <w:pPr>
        <w:numPr>
          <w:ilvl w:val="0"/>
          <w:numId w:val="424"/>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terms and conditions governing the account must not operate—</w:t>
      </w:r>
    </w:p>
    <w:p w:rsidR="00CB4030" w:rsidRPr="00420A51" w:rsidRDefault="00CB4030" w:rsidP="00691EA2">
      <w:pPr>
        <w:numPr>
          <w:ilvl w:val="0"/>
          <w:numId w:val="446"/>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to impose a waiting period on withdrawals from the account;</w:t>
      </w:r>
    </w:p>
    <w:p w:rsidR="00CB4030" w:rsidRPr="00420A51" w:rsidRDefault="00CB4030" w:rsidP="00691EA2">
      <w:pPr>
        <w:numPr>
          <w:ilvl w:val="0"/>
          <w:numId w:val="446"/>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to allow funds pending withdrawal to be used for gambling; or</w:t>
      </w:r>
    </w:p>
    <w:p w:rsidR="00CB4030" w:rsidRPr="00420A51" w:rsidRDefault="00CB4030" w:rsidP="00691EA2">
      <w:pPr>
        <w:numPr>
          <w:ilvl w:val="0"/>
          <w:numId w:val="446"/>
        </w:numPr>
        <w:tabs>
          <w:tab w:val="left" w:pos="284"/>
        </w:tabs>
        <w:spacing w:after="120" w:line="240" w:lineRule="auto"/>
        <w:ind w:left="1701" w:hanging="425"/>
        <w:jc w:val="left"/>
        <w:rPr>
          <w:rFonts w:ascii="Times New Roman" w:eastAsia="Times New Roman" w:hAnsi="Times New Roman"/>
          <w:spacing w:val="-2"/>
          <w:sz w:val="17"/>
          <w:szCs w:val="17"/>
          <w:lang w:eastAsia="en-AU" w:bidi="en-US"/>
        </w:rPr>
      </w:pPr>
      <w:r w:rsidRPr="00420A51">
        <w:rPr>
          <w:rFonts w:ascii="Times New Roman" w:eastAsia="Times New Roman" w:hAnsi="Times New Roman"/>
          <w:spacing w:val="-2"/>
          <w:sz w:val="17"/>
          <w:szCs w:val="17"/>
          <w:lang w:eastAsia="en-AU" w:bidi="en-US"/>
        </w:rPr>
        <w:t>to require a particular level of gambling, or a particular use of funds in the account, as a condition of withdrawal; and</w:t>
      </w:r>
    </w:p>
    <w:p w:rsidR="00CB4030" w:rsidRPr="00420A51" w:rsidRDefault="00CB4030" w:rsidP="00691EA2">
      <w:pPr>
        <w:numPr>
          <w:ilvl w:val="0"/>
          <w:numId w:val="424"/>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 ensure that its business systems—</w:t>
      </w:r>
    </w:p>
    <w:p w:rsidR="00CB4030" w:rsidRPr="00420A51" w:rsidRDefault="00CB4030" w:rsidP="00691EA2">
      <w:pPr>
        <w:numPr>
          <w:ilvl w:val="0"/>
          <w:numId w:val="445"/>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facilitate withdrawals from the account as soon as practicable; and</w:t>
      </w:r>
    </w:p>
    <w:p w:rsidR="00CB4030" w:rsidRPr="00420A51" w:rsidRDefault="00CB4030" w:rsidP="00691EA2">
      <w:pPr>
        <w:numPr>
          <w:ilvl w:val="0"/>
          <w:numId w:val="445"/>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do not allow funds pending withdrawal to be applied to any purpose other than the withdrawal.</w:t>
      </w:r>
    </w:p>
    <w:p w:rsidR="00CB4030" w:rsidRPr="00420A51" w:rsidRDefault="00CB4030" w:rsidP="0061764B">
      <w:pPr>
        <w:numPr>
          <w:ilvl w:val="0"/>
          <w:numId w:val="198"/>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Sub-clause (2) does not operate—</w:t>
      </w:r>
    </w:p>
    <w:p w:rsidR="00CB4030" w:rsidRPr="00420A51" w:rsidRDefault="00CB4030" w:rsidP="00691EA2">
      <w:pPr>
        <w:numPr>
          <w:ilvl w:val="0"/>
          <w:numId w:val="425"/>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to preclude the following routine transactions on a gambling account—</w:t>
      </w:r>
    </w:p>
    <w:p w:rsidR="00CB4030" w:rsidRPr="00420A51" w:rsidRDefault="00CB4030" w:rsidP="00691EA2">
      <w:pPr>
        <w:numPr>
          <w:ilvl w:val="0"/>
          <w:numId w:val="444"/>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crediting of winnings or prizes, or the making of refunds on the outcome of a protest or like transaction;</w:t>
      </w:r>
    </w:p>
    <w:p w:rsidR="00CB4030" w:rsidRPr="00420A51" w:rsidRDefault="00CB4030" w:rsidP="00691EA2">
      <w:pPr>
        <w:numPr>
          <w:ilvl w:val="0"/>
          <w:numId w:val="444"/>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redemption of rewards as part of the operation of an acceptable loyalty program;</w:t>
      </w:r>
    </w:p>
    <w:p w:rsidR="00CB4030" w:rsidRPr="00420A51" w:rsidRDefault="00CB4030" w:rsidP="00691EA2">
      <w:pPr>
        <w:numPr>
          <w:ilvl w:val="0"/>
          <w:numId w:val="444"/>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the redemption of prizes won in an acceptable trade promotion lottery; and</w:t>
      </w:r>
    </w:p>
    <w:p w:rsidR="00CB4030" w:rsidRPr="00420A51" w:rsidRDefault="00CB4030" w:rsidP="00691EA2">
      <w:pPr>
        <w:numPr>
          <w:ilvl w:val="0"/>
          <w:numId w:val="444"/>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the making of </w:t>
      </w:r>
      <w:r w:rsidRPr="00420A51">
        <w:rPr>
          <w:rFonts w:ascii="Times New Roman" w:eastAsia="Times New Roman" w:hAnsi="Times New Roman"/>
          <w:i/>
          <w:iCs/>
          <w:sz w:val="17"/>
          <w:szCs w:val="17"/>
          <w:lang w:eastAsia="en-AU" w:bidi="en-US"/>
        </w:rPr>
        <w:t>ex gratia</w:t>
      </w:r>
      <w:r w:rsidRPr="00420A51">
        <w:rPr>
          <w:rFonts w:ascii="Times New Roman" w:eastAsia="Times New Roman" w:hAnsi="Times New Roman"/>
          <w:sz w:val="17"/>
          <w:szCs w:val="17"/>
          <w:lang w:eastAsia="en-AU" w:bidi="en-US"/>
        </w:rPr>
        <w:t xml:space="preserve"> payments resolving complaints or disputes;</w:t>
      </w:r>
    </w:p>
    <w:p w:rsidR="00CB4030" w:rsidRPr="00420A51" w:rsidRDefault="00CB4030" w:rsidP="00691EA2">
      <w:pPr>
        <w:numPr>
          <w:ilvl w:val="0"/>
          <w:numId w:val="425"/>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to preclude the gambling provider from implementing—</w:t>
      </w:r>
    </w:p>
    <w:p w:rsidR="00CB4030" w:rsidRPr="00420A51" w:rsidRDefault="00CB4030" w:rsidP="00691EA2">
      <w:pPr>
        <w:numPr>
          <w:ilvl w:val="0"/>
          <w:numId w:val="448"/>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procedures reasonably necessary to ensure compliance with laws relating to the handling of money or the reporting of financial transactions;</w:t>
      </w:r>
    </w:p>
    <w:p w:rsidR="00CB4030" w:rsidRPr="00420A51" w:rsidRDefault="00CB4030" w:rsidP="00691EA2">
      <w:pPr>
        <w:numPr>
          <w:ilvl w:val="0"/>
          <w:numId w:val="448"/>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lastRenderedPageBreak/>
        <w:t>procedures required by or under the licence or other authority authorising the gambling provider to conduct its gambling business;</w:t>
      </w:r>
    </w:p>
    <w:p w:rsidR="00CB4030" w:rsidRPr="00420A51" w:rsidRDefault="00CB4030" w:rsidP="00691EA2">
      <w:pPr>
        <w:numPr>
          <w:ilvl w:val="0"/>
          <w:numId w:val="448"/>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procedures for the holding of a major prize pending identification of those entitled to claim the prize; or</w:t>
      </w:r>
    </w:p>
    <w:p w:rsidR="00CB4030" w:rsidRPr="00420A51" w:rsidRDefault="00CB4030" w:rsidP="00691EA2">
      <w:pPr>
        <w:numPr>
          <w:ilvl w:val="0"/>
          <w:numId w:val="425"/>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to preclude a gambling account having a negative balance as the result of the reversal of an individual transaction.</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Duplicate accounts</w:t>
      </w:r>
    </w:p>
    <w:p w:rsidR="00CB4030" w:rsidRPr="00420A51" w:rsidRDefault="00CB4030" w:rsidP="005551DA">
      <w:pPr>
        <w:numPr>
          <w:ilvl w:val="0"/>
          <w:numId w:val="199"/>
        </w:numPr>
        <w:spacing w:after="120" w:line="240" w:lineRule="auto"/>
        <w:ind w:left="850"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 ensure that each account holder has no more than one gambling account except where—</w:t>
      </w:r>
    </w:p>
    <w:p w:rsidR="00CB4030" w:rsidRPr="00420A51" w:rsidRDefault="00CB4030" w:rsidP="00A6791D">
      <w:pPr>
        <w:numPr>
          <w:ilvl w:val="0"/>
          <w:numId w:val="200"/>
        </w:numPr>
        <w:spacing w:after="120" w:line="240" w:lineRule="auto"/>
        <w:ind w:left="1276" w:hanging="425"/>
        <w:jc w:val="left"/>
        <w:rPr>
          <w:rFonts w:ascii="Times New Roman" w:eastAsia="Times New Roman" w:hAnsi="Times New Roman"/>
          <w:bCs/>
          <w:color w:val="000000"/>
          <w:spacing w:val="-2"/>
          <w:sz w:val="17"/>
          <w:szCs w:val="17"/>
          <w:lang w:eastAsia="en-AU" w:bidi="en-US"/>
        </w:rPr>
      </w:pPr>
      <w:r w:rsidRPr="00420A51">
        <w:rPr>
          <w:rFonts w:ascii="Times New Roman" w:eastAsia="Times New Roman" w:hAnsi="Times New Roman"/>
          <w:bCs/>
          <w:color w:val="000000"/>
          <w:spacing w:val="-2"/>
          <w:sz w:val="17"/>
          <w:szCs w:val="17"/>
          <w:lang w:eastAsia="en-AU" w:bidi="en-US"/>
        </w:rPr>
        <w:t>the account holder has a fortnightly turnover consistent with an annual turnover of more than $1 million and the gambling provider is satisfied that there is good reason for the account holder to have more than one gambling account; or</w:t>
      </w:r>
    </w:p>
    <w:p w:rsidR="00CB4030" w:rsidRPr="00420A51" w:rsidRDefault="00CB4030" w:rsidP="00A6791D">
      <w:pPr>
        <w:numPr>
          <w:ilvl w:val="0"/>
          <w:numId w:val="200"/>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offers only the net losses pre-commitment option referred to in clause 26(2)(b)(1).</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Pre-commitment limits and periods</w:t>
      </w:r>
    </w:p>
    <w:p w:rsidR="00CB4030" w:rsidRPr="00420A51" w:rsidRDefault="00CB4030" w:rsidP="005551DA">
      <w:pPr>
        <w:numPr>
          <w:ilvl w:val="0"/>
          <w:numId w:val="201"/>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 in respect of account based gambling, provide a pre-commitment scheme.</w:t>
      </w:r>
    </w:p>
    <w:p w:rsidR="00CB4030" w:rsidRPr="00420A51" w:rsidRDefault="00CB4030" w:rsidP="005551DA">
      <w:pPr>
        <w:numPr>
          <w:ilvl w:val="0"/>
          <w:numId w:val="201"/>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A pre-commitment scheme referred to in sub-clause (1) must meet the following minimum requirements—</w:t>
      </w:r>
    </w:p>
    <w:p w:rsidR="00CB4030" w:rsidRPr="00420A51" w:rsidRDefault="00CB4030" w:rsidP="00A6791D">
      <w:pPr>
        <w:numPr>
          <w:ilvl w:val="0"/>
          <w:numId w:val="20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 xml:space="preserve">an account holder must be able to set a pre-commitment limit for a fixed period of 7 days (the </w:t>
      </w:r>
      <w:r w:rsidR="00420A51">
        <w:rPr>
          <w:rFonts w:ascii="Times New Roman" w:eastAsia="Times New Roman" w:hAnsi="Times New Roman"/>
          <w:bCs/>
          <w:color w:val="000000"/>
          <w:sz w:val="17"/>
          <w:szCs w:val="17"/>
          <w:lang w:eastAsia="en-AU" w:bidi="en-US"/>
        </w:rPr>
        <w:t>“</w:t>
      </w:r>
      <w:r w:rsidRPr="00420A51">
        <w:rPr>
          <w:rFonts w:ascii="Times New Roman" w:eastAsia="Times New Roman" w:hAnsi="Times New Roman"/>
          <w:bCs/>
          <w:color w:val="000000"/>
          <w:sz w:val="17"/>
          <w:szCs w:val="17"/>
          <w:lang w:eastAsia="en-AU" w:bidi="en-US"/>
        </w:rPr>
        <w:t>relevant period</w:t>
      </w:r>
      <w:r w:rsidR="00420A51">
        <w:rPr>
          <w:rFonts w:ascii="Times New Roman" w:eastAsia="Times New Roman" w:hAnsi="Times New Roman"/>
          <w:bCs/>
          <w:color w:val="000000"/>
          <w:sz w:val="17"/>
          <w:szCs w:val="17"/>
          <w:lang w:eastAsia="en-AU" w:bidi="en-US"/>
        </w:rPr>
        <w:t>”</w:t>
      </w:r>
      <w:r w:rsidRPr="00420A51">
        <w:rPr>
          <w:rFonts w:ascii="Times New Roman" w:eastAsia="Times New Roman" w:hAnsi="Times New Roman"/>
          <w:bCs/>
          <w:color w:val="000000"/>
          <w:sz w:val="17"/>
          <w:szCs w:val="17"/>
          <w:lang w:eastAsia="en-AU" w:bidi="en-US"/>
        </w:rPr>
        <w:t>);</w:t>
      </w:r>
    </w:p>
    <w:p w:rsidR="00CB4030" w:rsidRPr="00420A51" w:rsidRDefault="00CB4030" w:rsidP="00A6791D">
      <w:pPr>
        <w:numPr>
          <w:ilvl w:val="0"/>
          <w:numId w:val="20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pre-commitment limit set by the account holder may apply, at the election of the gambling provider, to—</w:t>
      </w:r>
    </w:p>
    <w:p w:rsidR="00CB4030" w:rsidRPr="00420A51" w:rsidRDefault="00CB4030" w:rsidP="00A6791D">
      <w:pPr>
        <w:numPr>
          <w:ilvl w:val="0"/>
          <w:numId w:val="203"/>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net losses by the account holder (regardless of the number of accounts held) during the relevant period;</w:t>
      </w:r>
    </w:p>
    <w:p w:rsidR="00CB4030" w:rsidRPr="00420A51" w:rsidRDefault="00CB4030" w:rsidP="00A6791D">
      <w:pPr>
        <w:numPr>
          <w:ilvl w:val="0"/>
          <w:numId w:val="203"/>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deposits made to the account during the relevant period; or</w:t>
      </w:r>
    </w:p>
    <w:p w:rsidR="00CB4030" w:rsidRPr="00420A51" w:rsidRDefault="00CB4030" w:rsidP="00A6791D">
      <w:pPr>
        <w:numPr>
          <w:ilvl w:val="0"/>
          <w:numId w:val="203"/>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a combination of both;</w:t>
      </w:r>
    </w:p>
    <w:p w:rsidR="00CB4030" w:rsidRPr="00420A51" w:rsidRDefault="00CB4030" w:rsidP="003D6275">
      <w:pPr>
        <w:numPr>
          <w:ilvl w:val="0"/>
          <w:numId w:val="20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a gambling account must not be able to be used until the account holder has set a pre-commitment limit or chosen not to set a pre-commitment limit;</w:t>
      </w:r>
    </w:p>
    <w:p w:rsidR="00CB4030" w:rsidRPr="00420A51" w:rsidRDefault="00CB4030" w:rsidP="003D6275">
      <w:pPr>
        <w:numPr>
          <w:ilvl w:val="0"/>
          <w:numId w:val="20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at intervals of no less than 2 years, must contact each account holder who has chosen not to set a pre-commitment limit to offer the choice to set a pre-commitment limit;</w:t>
      </w:r>
    </w:p>
    <w:p w:rsidR="00CB4030" w:rsidRPr="00420A51" w:rsidRDefault="00CB4030" w:rsidP="003D6275">
      <w:pPr>
        <w:numPr>
          <w:ilvl w:val="0"/>
          <w:numId w:val="20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a decision by an account holder to—</w:t>
      </w:r>
    </w:p>
    <w:p w:rsidR="00CB4030" w:rsidRPr="00420A51" w:rsidRDefault="00CB4030" w:rsidP="003D6275">
      <w:pPr>
        <w:numPr>
          <w:ilvl w:val="0"/>
          <w:numId w:val="204"/>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increase or revoke a pre-commitment limit; or </w:t>
      </w:r>
    </w:p>
    <w:p w:rsidR="00CB4030" w:rsidRPr="00420A51" w:rsidRDefault="00CB4030" w:rsidP="003D6275">
      <w:pPr>
        <w:numPr>
          <w:ilvl w:val="0"/>
          <w:numId w:val="204"/>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change the start day for the relevant period;</w:t>
      </w:r>
    </w:p>
    <w:p w:rsidR="00CB4030" w:rsidRPr="00420A51" w:rsidRDefault="00CB4030" w:rsidP="00C725D9">
      <w:pPr>
        <w:spacing w:after="120" w:line="240" w:lineRule="auto"/>
        <w:ind w:left="1276"/>
        <w:jc w:val="left"/>
        <w:rPr>
          <w:rFonts w:ascii="Times New Roman" w:eastAsia="Times New Roman" w:hAnsi="Times New Roman"/>
          <w:sz w:val="17"/>
          <w:szCs w:val="17"/>
          <w:lang w:eastAsia="en-AU" w:bidi="en-US"/>
        </w:rPr>
      </w:pPr>
      <w:r w:rsidRPr="00420A51">
        <w:rPr>
          <w:rFonts w:ascii="Times New Roman" w:eastAsia="Times New Roman" w:hAnsi="Times New Roman"/>
          <w:bCs/>
          <w:sz w:val="17"/>
          <w:szCs w:val="17"/>
          <w:lang w:eastAsia="en-AU" w:bidi="en-US"/>
        </w:rPr>
        <w:t>must not come into effect for a period of 7 days;</w:t>
      </w:r>
    </w:p>
    <w:p w:rsidR="00CB4030" w:rsidRPr="00420A51" w:rsidRDefault="00CB4030" w:rsidP="003D6275">
      <w:pPr>
        <w:numPr>
          <w:ilvl w:val="0"/>
          <w:numId w:val="20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a decision by an account holder to decrease a pre-commitment limit must be given effect as soon as practicable.</w:t>
      </w:r>
    </w:p>
    <w:p w:rsidR="00CB4030" w:rsidRPr="00420A51" w:rsidRDefault="00CB4030" w:rsidP="005551DA">
      <w:pPr>
        <w:numPr>
          <w:ilvl w:val="0"/>
          <w:numId w:val="201"/>
        </w:numPr>
        <w:spacing w:after="120" w:line="240" w:lineRule="auto"/>
        <w:ind w:left="850"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A pre-commitment scheme referred to in sub-clause (1) may include additional limits and features so long as they do not conflict with the minimum requirements set out in sub-clause (2).</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Account balances</w:t>
      </w:r>
    </w:p>
    <w:p w:rsidR="00CB4030" w:rsidRPr="00420A51" w:rsidRDefault="00CB4030" w:rsidP="005551DA">
      <w:pPr>
        <w:numPr>
          <w:ilvl w:val="0"/>
          <w:numId w:val="205"/>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 provide an account holder with an account balance—</w:t>
      </w:r>
    </w:p>
    <w:p w:rsidR="00CB4030" w:rsidRPr="00420A51" w:rsidRDefault="00CB4030" w:rsidP="005551DA">
      <w:pPr>
        <w:numPr>
          <w:ilvl w:val="0"/>
          <w:numId w:val="206"/>
        </w:numPr>
        <w:spacing w:after="120" w:line="240" w:lineRule="auto"/>
        <w:ind w:left="1208" w:hanging="357"/>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whenever money is withdrawn (other than for the purchase of a gambling product); and</w:t>
      </w:r>
    </w:p>
    <w:p w:rsidR="00CB4030" w:rsidRPr="00420A51" w:rsidRDefault="00CB4030" w:rsidP="005551DA">
      <w:pPr>
        <w:numPr>
          <w:ilvl w:val="0"/>
          <w:numId w:val="206"/>
        </w:numPr>
        <w:spacing w:after="120" w:line="240" w:lineRule="auto"/>
        <w:ind w:left="1208" w:hanging="357"/>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whenever money is deposited into a gambling account via an online transaction; and</w:t>
      </w:r>
    </w:p>
    <w:p w:rsidR="00CB4030" w:rsidRPr="00420A51" w:rsidRDefault="00CB4030" w:rsidP="005551DA">
      <w:pPr>
        <w:numPr>
          <w:ilvl w:val="0"/>
          <w:numId w:val="206"/>
        </w:numPr>
        <w:spacing w:after="120" w:line="240" w:lineRule="auto"/>
        <w:ind w:left="1208" w:hanging="357"/>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in the case of a purchase placed by internet, whenever a purchase is made from the account; and</w:t>
      </w:r>
    </w:p>
    <w:p w:rsidR="00CB4030" w:rsidRPr="00420A51" w:rsidRDefault="00CB4030" w:rsidP="005551DA">
      <w:pPr>
        <w:numPr>
          <w:ilvl w:val="0"/>
          <w:numId w:val="206"/>
        </w:numPr>
        <w:spacing w:after="120" w:line="240" w:lineRule="auto"/>
        <w:ind w:left="1208" w:hanging="357"/>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upon request by the account holder.</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Pre-commitment to be promoted</w:t>
      </w:r>
    </w:p>
    <w:p w:rsidR="00CB4030" w:rsidRPr="00420A51" w:rsidRDefault="00CB4030" w:rsidP="005551DA">
      <w:pPr>
        <w:numPr>
          <w:ilvl w:val="0"/>
          <w:numId w:val="207"/>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 promote the availability of the pre-commitment scheme—</w:t>
      </w:r>
    </w:p>
    <w:p w:rsidR="00CB4030" w:rsidRPr="00420A51" w:rsidRDefault="00CB4030" w:rsidP="0045195E">
      <w:pPr>
        <w:numPr>
          <w:ilvl w:val="0"/>
          <w:numId w:val="208"/>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on any brochures, pamphlets or marketing information (other than advertising) that provides information on how a gambling account may be established;</w:t>
      </w:r>
    </w:p>
    <w:p w:rsidR="00CB4030" w:rsidRPr="00420A51" w:rsidRDefault="00CB4030" w:rsidP="0045195E">
      <w:pPr>
        <w:numPr>
          <w:ilvl w:val="0"/>
          <w:numId w:val="208"/>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as part of the welcome pack (however described) provided to an account holder upon account establishment;</w:t>
      </w:r>
    </w:p>
    <w:p w:rsidR="00CB4030" w:rsidRPr="00420A51" w:rsidRDefault="00CB4030" w:rsidP="0045195E">
      <w:pPr>
        <w:numPr>
          <w:ilvl w:val="0"/>
          <w:numId w:val="208"/>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on the gambling provider</w:t>
      </w:r>
      <w:r w:rsidR="00420A51">
        <w:rPr>
          <w:rFonts w:ascii="Times New Roman" w:eastAsia="Times New Roman" w:hAnsi="Times New Roman"/>
          <w:bCs/>
          <w:color w:val="000000"/>
          <w:sz w:val="17"/>
          <w:szCs w:val="17"/>
          <w:lang w:eastAsia="en-AU" w:bidi="en-US"/>
        </w:rPr>
        <w:t>’</w:t>
      </w:r>
      <w:r w:rsidRPr="00420A51">
        <w:rPr>
          <w:rFonts w:ascii="Times New Roman" w:eastAsia="Times New Roman" w:hAnsi="Times New Roman"/>
          <w:bCs/>
          <w:color w:val="000000"/>
          <w:sz w:val="17"/>
          <w:szCs w:val="17"/>
          <w:lang w:eastAsia="en-AU" w:bidi="en-US"/>
        </w:rPr>
        <w:t>s website, both on the homepage and on any point of sale page; and</w:t>
      </w:r>
    </w:p>
    <w:p w:rsidR="00CB4030" w:rsidRPr="00420A51" w:rsidRDefault="00CB4030" w:rsidP="0045195E">
      <w:pPr>
        <w:numPr>
          <w:ilvl w:val="0"/>
          <w:numId w:val="208"/>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on account balances (when provided in writing) and activity statements.</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Activity statements</w:t>
      </w:r>
    </w:p>
    <w:p w:rsidR="00CB4030" w:rsidRPr="00420A51" w:rsidRDefault="00CB4030" w:rsidP="005551DA">
      <w:pPr>
        <w:numPr>
          <w:ilvl w:val="0"/>
          <w:numId w:val="209"/>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 send an account holder a routine activity statement—</w:t>
      </w:r>
    </w:p>
    <w:p w:rsidR="00CB4030" w:rsidRPr="00420A51" w:rsidRDefault="00CB4030" w:rsidP="0045195E">
      <w:pPr>
        <w:numPr>
          <w:ilvl w:val="0"/>
          <w:numId w:val="210"/>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for each calendar month in which there are 50 or more transactions conducted on a gambling account; and</w:t>
      </w:r>
    </w:p>
    <w:p w:rsidR="00CB4030" w:rsidRPr="00420A51" w:rsidRDefault="00CB4030" w:rsidP="0045195E">
      <w:pPr>
        <w:numPr>
          <w:ilvl w:val="0"/>
          <w:numId w:val="210"/>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for each period of consecutive calendar months (up to three calendar months) in which more than 40 transactions are conducted on a gambling account (which statement may be combined with a statement required by paragraph (a); and</w:t>
      </w:r>
    </w:p>
    <w:p w:rsidR="00CB4030" w:rsidRPr="00420A51" w:rsidRDefault="00CB4030" w:rsidP="0045195E">
      <w:pPr>
        <w:numPr>
          <w:ilvl w:val="0"/>
          <w:numId w:val="210"/>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lastRenderedPageBreak/>
        <w:t>at least once in each period of 12 months following the provision of an activity statement,</w:t>
      </w:r>
    </w:p>
    <w:p w:rsidR="00CB4030" w:rsidRPr="00420A51" w:rsidRDefault="00CB4030" w:rsidP="005551DA">
      <w:pPr>
        <w:spacing w:after="120" w:line="240" w:lineRule="auto"/>
        <w:ind w:left="851"/>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so as to provide a continuous record of gambling activity.</w:t>
      </w:r>
    </w:p>
    <w:p w:rsidR="00CB4030" w:rsidRPr="00420A51" w:rsidRDefault="00CB4030" w:rsidP="005551DA">
      <w:pPr>
        <w:numPr>
          <w:ilvl w:val="0"/>
          <w:numId w:val="209"/>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 in addition to activity statements required by sub-clause (1), send a special activity statement to an account holder upon request for the period nominated by the account holder.</w:t>
      </w:r>
    </w:p>
    <w:p w:rsidR="00CB4030" w:rsidRPr="00420A51" w:rsidRDefault="00CB4030" w:rsidP="005551DA">
      <w:pPr>
        <w:numPr>
          <w:ilvl w:val="0"/>
          <w:numId w:val="209"/>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Despite sub-clause (1), the gambling provider may meet the requirements for routine activity statements by sending activity statements on a rolling monthly basis (whether or not the statement periods are calendar months).</w:t>
      </w:r>
    </w:p>
    <w:p w:rsidR="00CB4030" w:rsidRPr="00420A51" w:rsidRDefault="00CB4030" w:rsidP="005551DA">
      <w:pPr>
        <w:numPr>
          <w:ilvl w:val="0"/>
          <w:numId w:val="209"/>
        </w:numPr>
        <w:spacing w:after="120" w:line="240" w:lineRule="auto"/>
        <w:ind w:left="851" w:hanging="425"/>
        <w:jc w:val="left"/>
        <w:rPr>
          <w:rFonts w:ascii="Times New Roman" w:eastAsia="Times New Roman" w:hAnsi="Times New Roman"/>
          <w:bCs/>
          <w:color w:val="000000"/>
          <w:spacing w:val="-2"/>
          <w:sz w:val="17"/>
          <w:szCs w:val="17"/>
          <w:lang w:eastAsia="en-AU" w:bidi="en-US"/>
        </w:rPr>
      </w:pPr>
      <w:r w:rsidRPr="00420A51">
        <w:rPr>
          <w:rFonts w:ascii="Times New Roman" w:eastAsia="Times New Roman" w:hAnsi="Times New Roman"/>
          <w:bCs/>
          <w:color w:val="000000"/>
          <w:spacing w:val="-2"/>
          <w:sz w:val="17"/>
          <w:szCs w:val="17"/>
          <w:lang w:eastAsia="en-AU" w:bidi="en-US"/>
        </w:rPr>
        <w:t>Despite sub-clause (1)(c), the gambling provider is not required to send an annual activity statement in respect of an account that has a credit balance of $10 or less at the end of the relevant year and which there has been no gambling activity in that year.</w:t>
      </w:r>
    </w:p>
    <w:p w:rsidR="00CB4030" w:rsidRPr="00420A51" w:rsidRDefault="00CB4030" w:rsidP="005551DA">
      <w:pPr>
        <w:numPr>
          <w:ilvl w:val="0"/>
          <w:numId w:val="209"/>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An activity statement must be sent in writing.</w:t>
      </w:r>
    </w:p>
    <w:p w:rsidR="00CB4030" w:rsidRPr="00420A51" w:rsidRDefault="00CB4030" w:rsidP="005551DA">
      <w:pPr>
        <w:numPr>
          <w:ilvl w:val="0"/>
          <w:numId w:val="209"/>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may satisfy the requirement to send an activity statement in writing by sending the statement, by email if the account holder elects to receive the statement that way, by post or some other form of physical delivery.</w:t>
      </w:r>
    </w:p>
    <w:p w:rsidR="00CB4030" w:rsidRPr="00420A51" w:rsidRDefault="00CB4030" w:rsidP="005551DA">
      <w:pPr>
        <w:numPr>
          <w:ilvl w:val="0"/>
          <w:numId w:val="209"/>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If an account holder elects to receive activity statements by post or some other form of delivery, the gambling provider is not prevented by this code from recovering the additional cost occasioned by the mode of delivery.</w:t>
      </w:r>
    </w:p>
    <w:p w:rsidR="00CB4030" w:rsidRPr="00420A51" w:rsidRDefault="00CB4030" w:rsidP="005551DA">
      <w:pPr>
        <w:numPr>
          <w:ilvl w:val="0"/>
          <w:numId w:val="209"/>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An activity statement must include details of each transaction in the statement period, including the amount, date, time, description of the transaction, and the amount of spotters</w:t>
      </w:r>
      <w:r w:rsidR="00420A51">
        <w:rPr>
          <w:rFonts w:ascii="Times New Roman" w:eastAsia="Times New Roman" w:hAnsi="Times New Roman"/>
          <w:bCs/>
          <w:color w:val="000000"/>
          <w:sz w:val="17"/>
          <w:szCs w:val="17"/>
          <w:lang w:eastAsia="en-AU" w:bidi="en-US"/>
        </w:rPr>
        <w:t>’</w:t>
      </w:r>
      <w:r w:rsidRPr="00420A51">
        <w:rPr>
          <w:rFonts w:ascii="Times New Roman" w:eastAsia="Times New Roman" w:hAnsi="Times New Roman"/>
          <w:bCs/>
          <w:color w:val="000000"/>
          <w:sz w:val="17"/>
          <w:szCs w:val="17"/>
          <w:lang w:eastAsia="en-AU" w:bidi="en-US"/>
        </w:rPr>
        <w:t xml:space="preserve"> fees relating to the account in the statement period.</w:t>
      </w:r>
    </w:p>
    <w:p w:rsidR="00CB4030" w:rsidRPr="00420A51" w:rsidRDefault="00CB4030" w:rsidP="005551DA">
      <w:pPr>
        <w:numPr>
          <w:ilvl w:val="0"/>
          <w:numId w:val="209"/>
        </w:numPr>
        <w:spacing w:after="120" w:line="240" w:lineRule="auto"/>
        <w:ind w:left="850"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If an account holder elects to receive activity statements by email, the statement records 20 or more transactions on any one day during the relevant period and the gambling provider offers a facility for the account holder to view individual transactions online, the gambling provider may provide the statement in a form which aggregates on a daily basis the amounts deposited, withdrawn, bet and won.</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Required training</w:t>
      </w:r>
      <w:r w:rsidR="00420A51">
        <w:rPr>
          <w:rFonts w:ascii="Times New Roman" w:eastAsia="Times New Roman" w:hAnsi="Times New Roman"/>
          <w:b/>
          <w:color w:val="000000"/>
          <w:sz w:val="17"/>
          <w:szCs w:val="17"/>
          <w:lang w:eastAsia="en-AU"/>
        </w:rPr>
        <w:t xml:space="preserve"> </w:t>
      </w:r>
    </w:p>
    <w:p w:rsidR="00CB4030" w:rsidRPr="00420A51" w:rsidRDefault="00CB4030" w:rsidP="005551DA">
      <w:pPr>
        <w:numPr>
          <w:ilvl w:val="0"/>
          <w:numId w:val="211"/>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w:t>
      </w:r>
    </w:p>
    <w:p w:rsidR="00CB4030" w:rsidRPr="00420A51" w:rsidRDefault="00CB4030" w:rsidP="0045195E">
      <w:pPr>
        <w:numPr>
          <w:ilvl w:val="0"/>
          <w:numId w:val="21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ensure that all people involved in selling its gambling products, or otherwise dealing with patrons, receive problem gambling training—</w:t>
      </w:r>
    </w:p>
    <w:p w:rsidR="00CB4030" w:rsidRPr="00420A51" w:rsidRDefault="00CB4030" w:rsidP="0045195E">
      <w:pPr>
        <w:numPr>
          <w:ilvl w:val="0"/>
          <w:numId w:val="213"/>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for all staff at induction – basic training which identifies problem gambling and which explains the role and process of barring and exclusion; and</w:t>
      </w:r>
    </w:p>
    <w:p w:rsidR="00CB4030" w:rsidRPr="00351ACF" w:rsidRDefault="00CB4030" w:rsidP="0045195E">
      <w:pPr>
        <w:numPr>
          <w:ilvl w:val="0"/>
          <w:numId w:val="213"/>
        </w:numPr>
        <w:tabs>
          <w:tab w:val="left" w:pos="284"/>
        </w:tabs>
        <w:spacing w:after="120" w:line="240" w:lineRule="auto"/>
        <w:ind w:left="1701" w:hanging="425"/>
        <w:jc w:val="left"/>
        <w:rPr>
          <w:rFonts w:ascii="Times New Roman" w:eastAsia="Times New Roman" w:hAnsi="Times New Roman"/>
          <w:sz w:val="17"/>
          <w:szCs w:val="17"/>
          <w:lang w:eastAsia="en-AU" w:bidi="en-US"/>
        </w:rPr>
      </w:pPr>
      <w:r w:rsidRPr="00351ACF">
        <w:rPr>
          <w:rFonts w:ascii="Times New Roman" w:eastAsia="Times New Roman" w:hAnsi="Times New Roman"/>
          <w:sz w:val="17"/>
          <w:szCs w:val="17"/>
          <w:lang w:eastAsia="en-AU" w:bidi="en-US"/>
        </w:rPr>
        <w:t>for supervisory and managerial staff (including the person in charge of a call centre, a physical point of sale or a physical gambling area) – advanced training on the identification of, and intervention techniques for, problem gambling;</w:t>
      </w:r>
    </w:p>
    <w:p w:rsidR="00CB4030" w:rsidRPr="00420A51" w:rsidRDefault="00CB4030" w:rsidP="0045195E">
      <w:pPr>
        <w:numPr>
          <w:ilvl w:val="0"/>
          <w:numId w:val="21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provide refresher courses for all staff at least each 2 years;</w:t>
      </w:r>
    </w:p>
    <w:p w:rsidR="00CB4030" w:rsidRPr="00420A51" w:rsidRDefault="00CB4030" w:rsidP="0045195E">
      <w:pPr>
        <w:numPr>
          <w:ilvl w:val="0"/>
          <w:numId w:val="21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 xml:space="preserve">include responsible gambling information in employee newsletters and magazines; </w:t>
      </w:r>
    </w:p>
    <w:p w:rsidR="00CB4030" w:rsidRPr="00420A51" w:rsidRDefault="00CB4030" w:rsidP="0045195E">
      <w:pPr>
        <w:numPr>
          <w:ilvl w:val="0"/>
          <w:numId w:val="21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provide responsible gambling materials in the workplace to remind staff of policies and their responsibilities; and</w:t>
      </w:r>
    </w:p>
    <w:p w:rsidR="00CB4030" w:rsidRPr="00420A51" w:rsidRDefault="00CB4030" w:rsidP="0045195E">
      <w:pPr>
        <w:numPr>
          <w:ilvl w:val="0"/>
          <w:numId w:val="212"/>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if the gambling provider installs, in a place in which it is otherwise authorised to provide its gambling products, a device which allows customers to purchase the gambling product and process winnings without the assistance of an operator and the device is configured to allow the gambling product to be purchased other than by using a gambling account, must have enhanced training for staff to ensure the use of the devices are adequately monitored and additional harm minimisation measures are understood and implemented as required.</w:t>
      </w:r>
    </w:p>
    <w:p w:rsidR="00CB4030" w:rsidRPr="00420A51" w:rsidRDefault="00CB4030" w:rsidP="005551DA">
      <w:pPr>
        <w:numPr>
          <w:ilvl w:val="0"/>
          <w:numId w:val="211"/>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 xml:space="preserve">If the gambling provider uses an external provider for training, that training provider must be a registered training organisation under the </w:t>
      </w:r>
      <w:r w:rsidRPr="00420A51">
        <w:rPr>
          <w:rFonts w:ascii="Times New Roman" w:eastAsia="Times New Roman" w:hAnsi="Times New Roman"/>
          <w:bCs/>
          <w:i/>
          <w:iCs/>
          <w:color w:val="000000"/>
          <w:sz w:val="17"/>
          <w:szCs w:val="17"/>
          <w:lang w:eastAsia="en-AU" w:bidi="en-US"/>
        </w:rPr>
        <w:t>National Vocational Education and Training Regulator Act 2011</w:t>
      </w:r>
      <w:r w:rsidRPr="00420A51">
        <w:rPr>
          <w:rFonts w:ascii="Times New Roman" w:eastAsia="Times New Roman" w:hAnsi="Times New Roman"/>
          <w:bCs/>
          <w:color w:val="000000"/>
          <w:sz w:val="17"/>
          <w:szCs w:val="17"/>
          <w:lang w:eastAsia="en-AU" w:bidi="en-US"/>
        </w:rPr>
        <w:t xml:space="preserve"> (Commonwealth).</w:t>
      </w:r>
    </w:p>
    <w:p w:rsidR="00CB4030" w:rsidRPr="00420A51" w:rsidRDefault="00CB4030" w:rsidP="005551DA">
      <w:pPr>
        <w:numPr>
          <w:ilvl w:val="0"/>
          <w:numId w:val="211"/>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For the purposes of sub-clause (1), basic and advanced training programs must be designed to—</w:t>
      </w:r>
    </w:p>
    <w:p w:rsidR="00CB4030" w:rsidRPr="00420A51" w:rsidRDefault="00CB4030" w:rsidP="0045195E">
      <w:pPr>
        <w:numPr>
          <w:ilvl w:val="0"/>
          <w:numId w:val="214"/>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provide information about the potential effect of gambling on customers;</w:t>
      </w:r>
    </w:p>
    <w:p w:rsidR="00CB4030" w:rsidRPr="00420A51" w:rsidRDefault="00CB4030" w:rsidP="0045195E">
      <w:pPr>
        <w:numPr>
          <w:ilvl w:val="0"/>
          <w:numId w:val="214"/>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include information on the recognition and identification of problem gambling traits; and</w:t>
      </w:r>
    </w:p>
    <w:p w:rsidR="00CB4030" w:rsidRPr="00420A51" w:rsidRDefault="00CB4030" w:rsidP="0045195E">
      <w:pPr>
        <w:numPr>
          <w:ilvl w:val="0"/>
          <w:numId w:val="214"/>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ensure that the processes for approach, intervention, referral and follow-up are clear and well understood.</w:t>
      </w:r>
    </w:p>
    <w:p w:rsidR="00CB4030" w:rsidRPr="00420A51" w:rsidRDefault="00CB4030" w:rsidP="005551DA">
      <w:pPr>
        <w:numPr>
          <w:ilvl w:val="0"/>
          <w:numId w:val="211"/>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gambling provider must—</w:t>
      </w:r>
    </w:p>
    <w:p w:rsidR="00CB4030" w:rsidRPr="00420A51" w:rsidRDefault="00CB4030" w:rsidP="0045195E">
      <w:pPr>
        <w:numPr>
          <w:ilvl w:val="0"/>
          <w:numId w:val="215"/>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make arrangements to ensure that training programs provided to its staff are the subject of an annual review of or audit for their compliance with the requirements of this code; and</w:t>
      </w:r>
    </w:p>
    <w:p w:rsidR="00CB4030" w:rsidRPr="00420A51" w:rsidRDefault="00CB4030" w:rsidP="0045195E">
      <w:pPr>
        <w:numPr>
          <w:ilvl w:val="0"/>
          <w:numId w:val="215"/>
        </w:numPr>
        <w:spacing w:after="120" w:line="240" w:lineRule="auto"/>
        <w:ind w:left="1276"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provide a report of the outcome of each review or audit to the Commissioner within 28 days after completion.</w:t>
      </w:r>
    </w:p>
    <w:p w:rsidR="00CB4030" w:rsidRPr="00420A51" w:rsidRDefault="00CB4030" w:rsidP="005551DA">
      <w:pPr>
        <w:numPr>
          <w:ilvl w:val="0"/>
          <w:numId w:val="211"/>
        </w:numPr>
        <w:spacing w:after="120" w:line="240" w:lineRule="auto"/>
        <w:ind w:left="851"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Commissioner, on the application of a gambling provider or a relevant peak body, may grant exemptions from the operation of this clause in respect to the deferral of training required on induction by up to 3 months.</w:t>
      </w:r>
    </w:p>
    <w:p w:rsidR="00CB4030" w:rsidRPr="00420A51" w:rsidRDefault="00CB4030" w:rsidP="005551DA">
      <w:pPr>
        <w:numPr>
          <w:ilvl w:val="0"/>
          <w:numId w:val="211"/>
        </w:numPr>
        <w:spacing w:after="120" w:line="240" w:lineRule="auto"/>
        <w:ind w:left="850" w:hanging="425"/>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Sub-clauses (1)(a) and (b) do not apply (at the election of the gambling provider) in respect of a person on the staff of an agent which is coincidentally a gaming machine or casino licensee, if that person has received and is current with the training required by their relevant code of practice.</w:t>
      </w:r>
    </w:p>
    <w:p w:rsidR="00CB4030" w:rsidRPr="00420A51" w:rsidRDefault="00CB4030" w:rsidP="00F629F9">
      <w:pPr>
        <w:numPr>
          <w:ilvl w:val="0"/>
          <w:numId w:val="195"/>
        </w:numPr>
        <w:tabs>
          <w:tab w:val="clear" w:pos="360"/>
        </w:tabs>
        <w:spacing w:after="120" w:line="240" w:lineRule="auto"/>
        <w:ind w:left="426" w:hanging="426"/>
        <w:jc w:val="left"/>
        <w:rPr>
          <w:rFonts w:ascii="Times New Roman" w:eastAsia="Times New Roman" w:hAnsi="Times New Roman"/>
          <w:b/>
          <w:color w:val="000000"/>
          <w:sz w:val="17"/>
          <w:szCs w:val="17"/>
          <w:lang w:eastAsia="en-AU"/>
        </w:rPr>
      </w:pPr>
      <w:r w:rsidRPr="00420A51">
        <w:rPr>
          <w:rFonts w:ascii="Times New Roman" w:eastAsia="Times New Roman" w:hAnsi="Times New Roman"/>
          <w:b/>
          <w:color w:val="000000"/>
          <w:sz w:val="17"/>
          <w:szCs w:val="17"/>
          <w:lang w:eastAsia="en-AU"/>
        </w:rPr>
        <w:t>Individual exemptions</w:t>
      </w:r>
    </w:p>
    <w:p w:rsidR="00CB4030" w:rsidRPr="00420A51" w:rsidRDefault="00CB4030" w:rsidP="0045195E">
      <w:pPr>
        <w:numPr>
          <w:ilvl w:val="0"/>
          <w:numId w:val="216"/>
        </w:numPr>
        <w:spacing w:after="120" w:line="240" w:lineRule="auto"/>
        <w:ind w:left="851" w:hanging="426"/>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lastRenderedPageBreak/>
        <w:t>The Commissioner may, on application by a gambling provider, exempt the gambling provider from a specified provision of this code of practice.</w:t>
      </w:r>
    </w:p>
    <w:p w:rsidR="00CB4030" w:rsidRPr="00420A51" w:rsidRDefault="00CB4030" w:rsidP="0045195E">
      <w:pPr>
        <w:numPr>
          <w:ilvl w:val="0"/>
          <w:numId w:val="216"/>
        </w:numPr>
        <w:spacing w:after="120" w:line="240" w:lineRule="auto"/>
        <w:ind w:left="851" w:hanging="426"/>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Commissioner may impose conditions in respect of an exemption.</w:t>
      </w:r>
    </w:p>
    <w:p w:rsidR="00CB4030" w:rsidRPr="00420A51" w:rsidRDefault="00CB4030" w:rsidP="0045195E">
      <w:pPr>
        <w:numPr>
          <w:ilvl w:val="0"/>
          <w:numId w:val="216"/>
        </w:numPr>
        <w:spacing w:after="120" w:line="240" w:lineRule="auto"/>
        <w:ind w:left="851" w:hanging="426"/>
        <w:jc w:val="left"/>
        <w:rPr>
          <w:rFonts w:ascii="Times New Roman" w:eastAsia="Times New Roman" w:hAnsi="Times New Roman"/>
          <w:bCs/>
          <w:color w:val="000000"/>
          <w:sz w:val="17"/>
          <w:szCs w:val="17"/>
          <w:lang w:eastAsia="en-AU" w:bidi="en-US"/>
        </w:rPr>
      </w:pPr>
      <w:r w:rsidRPr="00420A51">
        <w:rPr>
          <w:rFonts w:ascii="Times New Roman" w:eastAsia="Times New Roman" w:hAnsi="Times New Roman"/>
          <w:bCs/>
          <w:color w:val="000000"/>
          <w:sz w:val="17"/>
          <w:szCs w:val="17"/>
          <w:lang w:eastAsia="en-AU" w:bidi="en-US"/>
        </w:rPr>
        <w:t>The Commissioner may on the Commissioner</w:t>
      </w:r>
      <w:r w:rsidR="00420A51">
        <w:rPr>
          <w:rFonts w:ascii="Times New Roman" w:eastAsia="Times New Roman" w:hAnsi="Times New Roman"/>
          <w:bCs/>
          <w:color w:val="000000"/>
          <w:sz w:val="17"/>
          <w:szCs w:val="17"/>
          <w:lang w:eastAsia="en-AU" w:bidi="en-US"/>
        </w:rPr>
        <w:t>’</w:t>
      </w:r>
      <w:r w:rsidRPr="00420A51">
        <w:rPr>
          <w:rFonts w:ascii="Times New Roman" w:eastAsia="Times New Roman" w:hAnsi="Times New Roman"/>
          <w:bCs/>
          <w:color w:val="000000"/>
          <w:sz w:val="17"/>
          <w:szCs w:val="17"/>
          <w:lang w:eastAsia="en-AU" w:bidi="en-US"/>
        </w:rPr>
        <w:t>s own initiative, by written notice to a gambling provider or on application by a gambling provider, vary or revoke an exemption.</w:t>
      </w:r>
    </w:p>
    <w:p w:rsidR="00CB4030" w:rsidRPr="00140C58" w:rsidRDefault="00CB4030" w:rsidP="00140C58">
      <w:pPr>
        <w:spacing w:after="120" w:line="240" w:lineRule="auto"/>
        <w:jc w:val="left"/>
        <w:rPr>
          <w:rFonts w:ascii="Times New Roman" w:eastAsia="Times New Roman" w:hAnsi="Times New Roman"/>
          <w:b/>
          <w:sz w:val="20"/>
          <w:szCs w:val="24"/>
          <w:lang w:eastAsia="en-AU"/>
        </w:rPr>
      </w:pPr>
      <w:r w:rsidRPr="00140C58">
        <w:rPr>
          <w:rFonts w:ascii="Times New Roman" w:eastAsia="Times New Roman" w:hAnsi="Times New Roman"/>
          <w:b/>
          <w:sz w:val="20"/>
          <w:szCs w:val="24"/>
          <w:lang w:eastAsia="en-AU"/>
        </w:rPr>
        <w:t>Schedule 1—</w:t>
      </w:r>
    </w:p>
    <w:p w:rsidR="00CB4030" w:rsidRPr="00420A51" w:rsidRDefault="00CB4030" w:rsidP="00420A51">
      <w:pPr>
        <w:spacing w:after="240" w:line="240" w:lineRule="auto"/>
        <w:jc w:val="left"/>
        <w:rPr>
          <w:rFonts w:ascii="Times New Roman" w:eastAsia="Times New Roman" w:hAnsi="Times New Roman"/>
          <w:i/>
          <w:iCs/>
          <w:sz w:val="17"/>
          <w:szCs w:val="17"/>
          <w:lang w:eastAsia="en-AU"/>
        </w:rPr>
      </w:pPr>
      <w:r w:rsidRPr="00420A51">
        <w:rPr>
          <w:rFonts w:ascii="Times New Roman" w:eastAsia="Times New Roman" w:hAnsi="Times New Roman"/>
          <w:i/>
          <w:iCs/>
          <w:sz w:val="17"/>
          <w:szCs w:val="17"/>
          <w:lang w:eastAsia="en-AU"/>
        </w:rPr>
        <w:t>State Lotteries Act 1966</w:t>
      </w:r>
    </w:p>
    <w:p w:rsidR="00CB4030" w:rsidRPr="00420A51" w:rsidRDefault="00CB4030" w:rsidP="005551DA">
      <w:pPr>
        <w:spacing w:after="120" w:line="240" w:lineRule="auto"/>
        <w:jc w:val="left"/>
        <w:rPr>
          <w:rFonts w:ascii="Times New Roman" w:eastAsia="Times New Roman" w:hAnsi="Times New Roman"/>
          <w:b/>
          <w:sz w:val="17"/>
          <w:szCs w:val="17"/>
          <w:lang w:eastAsia="en-AU"/>
        </w:rPr>
      </w:pPr>
      <w:r w:rsidRPr="00420A51">
        <w:rPr>
          <w:rFonts w:ascii="Times New Roman" w:eastAsia="Times New Roman" w:hAnsi="Times New Roman"/>
          <w:b/>
          <w:sz w:val="17"/>
          <w:szCs w:val="17"/>
          <w:lang w:eastAsia="en-AU"/>
        </w:rPr>
        <w:t>Expanded warning messages</w:t>
      </w:r>
    </w:p>
    <w:p w:rsidR="00CB4030" w:rsidRPr="00420A51" w:rsidRDefault="00CB4030" w:rsidP="00420A51">
      <w:pPr>
        <w:tabs>
          <w:tab w:val="left" w:pos="540"/>
          <w:tab w:val="left" w:pos="900"/>
          <w:tab w:val="left" w:pos="5103"/>
        </w:tabs>
        <w:spacing w:line="240" w:lineRule="auto"/>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Don</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t let the g</w:t>
      </w:r>
      <w:r w:rsidR="003D6A2F" w:rsidRPr="00420A51">
        <w:rPr>
          <w:rFonts w:ascii="Times New Roman" w:eastAsia="Times New Roman" w:hAnsi="Times New Roman"/>
          <w:sz w:val="17"/>
          <w:szCs w:val="17"/>
          <w:lang w:eastAsia="en-AU" w:bidi="en-US"/>
        </w:rPr>
        <w:t xml:space="preserve">ame play you. Stay in control. </w:t>
      </w:r>
      <w:r w:rsidRPr="00420A51">
        <w:rPr>
          <w:rFonts w:ascii="Times New Roman" w:eastAsia="Times New Roman" w:hAnsi="Times New Roman"/>
          <w:sz w:val="17"/>
          <w:szCs w:val="17"/>
          <w:lang w:eastAsia="en-AU" w:bidi="en-US"/>
        </w:rPr>
        <w:t>Gamble responsibly.</w:t>
      </w:r>
      <w:r w:rsidRPr="00420A51">
        <w:rPr>
          <w:rFonts w:ascii="Times New Roman" w:eastAsia="Times New Roman" w:hAnsi="Times New Roman"/>
          <w:sz w:val="17"/>
          <w:szCs w:val="17"/>
          <w:lang w:eastAsia="en-AU" w:bidi="en-US"/>
        </w:rPr>
        <w:tab/>
        <w:t>1 July 2021 to 31 December 2021</w:t>
      </w:r>
    </w:p>
    <w:p w:rsidR="00CB4030" w:rsidRPr="00420A51" w:rsidRDefault="003D6A2F" w:rsidP="00420A51">
      <w:pPr>
        <w:tabs>
          <w:tab w:val="left" w:pos="540"/>
          <w:tab w:val="left" w:pos="900"/>
          <w:tab w:val="left" w:pos="5103"/>
        </w:tabs>
        <w:spacing w:line="240" w:lineRule="auto"/>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 xml:space="preserve">Stay in control. Leave before you lose it. </w:t>
      </w:r>
      <w:r w:rsidR="00CB4030" w:rsidRPr="00420A51">
        <w:rPr>
          <w:rFonts w:ascii="Times New Roman" w:eastAsia="Times New Roman" w:hAnsi="Times New Roman"/>
          <w:sz w:val="17"/>
          <w:szCs w:val="17"/>
          <w:lang w:eastAsia="en-AU" w:bidi="en-US"/>
        </w:rPr>
        <w:t>Gamble responsibly.</w:t>
      </w:r>
      <w:r w:rsidR="00CB4030" w:rsidRPr="00420A51">
        <w:rPr>
          <w:rFonts w:ascii="Times New Roman" w:eastAsia="Times New Roman" w:hAnsi="Times New Roman"/>
          <w:sz w:val="17"/>
          <w:szCs w:val="17"/>
          <w:lang w:eastAsia="en-AU" w:bidi="en-US"/>
        </w:rPr>
        <w:tab/>
        <w:t>1 January 2022 to 30 June 2022</w:t>
      </w:r>
    </w:p>
    <w:p w:rsidR="00CB4030" w:rsidRPr="00420A51" w:rsidRDefault="00CB4030" w:rsidP="00420A51">
      <w:pPr>
        <w:tabs>
          <w:tab w:val="left" w:pos="540"/>
          <w:tab w:val="left" w:pos="900"/>
          <w:tab w:val="left" w:pos="5103"/>
        </w:tabs>
        <w:spacing w:line="240" w:lineRule="auto"/>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You know the score. Stay in control. Gamble responsibly.</w:t>
      </w:r>
      <w:r w:rsidRPr="00420A51">
        <w:rPr>
          <w:rFonts w:ascii="Times New Roman" w:eastAsia="Times New Roman" w:hAnsi="Times New Roman"/>
          <w:sz w:val="17"/>
          <w:szCs w:val="17"/>
          <w:lang w:eastAsia="en-AU" w:bidi="en-US"/>
        </w:rPr>
        <w:tab/>
        <w:t xml:space="preserve">1 July 2022 to 31 December 2022 </w:t>
      </w:r>
    </w:p>
    <w:p w:rsidR="00CB4030" w:rsidRPr="00420A51" w:rsidRDefault="00CB4030" w:rsidP="00420A51">
      <w:pPr>
        <w:tabs>
          <w:tab w:val="left" w:pos="540"/>
          <w:tab w:val="left" w:pos="900"/>
          <w:tab w:val="left" w:pos="5103"/>
        </w:tabs>
        <w:spacing w:line="240" w:lineRule="auto"/>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Know when to stop. Don</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t go over the top. Gamble responsibly.</w:t>
      </w:r>
      <w:r w:rsidRPr="00420A51">
        <w:rPr>
          <w:rFonts w:ascii="Times New Roman" w:eastAsia="Times New Roman" w:hAnsi="Times New Roman"/>
          <w:sz w:val="17"/>
          <w:szCs w:val="17"/>
          <w:lang w:eastAsia="en-AU" w:bidi="en-US"/>
        </w:rPr>
        <w:tab/>
        <w:t>1 January 2023 to 30 June 2023</w:t>
      </w:r>
    </w:p>
    <w:p w:rsidR="00CB4030" w:rsidRPr="00420A51" w:rsidRDefault="00CB4030" w:rsidP="00420A51">
      <w:pPr>
        <w:tabs>
          <w:tab w:val="left" w:pos="540"/>
          <w:tab w:val="left" w:pos="900"/>
          <w:tab w:val="left" w:pos="5103"/>
        </w:tabs>
        <w:spacing w:line="240" w:lineRule="auto"/>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Think of the</w:t>
      </w:r>
      <w:r w:rsidR="003D6A2F" w:rsidRPr="00420A51">
        <w:rPr>
          <w:rFonts w:ascii="Times New Roman" w:eastAsia="Times New Roman" w:hAnsi="Times New Roman"/>
          <w:sz w:val="17"/>
          <w:szCs w:val="17"/>
          <w:lang w:eastAsia="en-AU" w:bidi="en-US"/>
        </w:rPr>
        <w:t xml:space="preserve"> people who need your support. </w:t>
      </w:r>
      <w:r w:rsidRPr="00420A51">
        <w:rPr>
          <w:rFonts w:ascii="Times New Roman" w:eastAsia="Times New Roman" w:hAnsi="Times New Roman"/>
          <w:sz w:val="17"/>
          <w:szCs w:val="17"/>
          <w:lang w:eastAsia="en-AU" w:bidi="en-US"/>
        </w:rPr>
        <w:t>Gamble responsibly.</w:t>
      </w:r>
      <w:r w:rsidRPr="00420A51">
        <w:rPr>
          <w:rFonts w:ascii="Times New Roman" w:eastAsia="Times New Roman" w:hAnsi="Times New Roman"/>
          <w:sz w:val="17"/>
          <w:szCs w:val="17"/>
          <w:lang w:eastAsia="en-AU" w:bidi="en-US"/>
        </w:rPr>
        <w:tab/>
        <w:t>1 July to 31 December 2023</w:t>
      </w:r>
    </w:p>
    <w:p w:rsidR="00CB4030" w:rsidRPr="00420A51" w:rsidRDefault="00CB4030" w:rsidP="00420A51">
      <w:pPr>
        <w:tabs>
          <w:tab w:val="left" w:pos="540"/>
          <w:tab w:val="left" w:pos="900"/>
          <w:tab w:val="left" w:pos="5103"/>
        </w:tabs>
        <w:spacing w:after="120" w:line="240" w:lineRule="auto"/>
        <w:jc w:val="left"/>
        <w:rPr>
          <w:rFonts w:ascii="Times New Roman" w:eastAsia="Times New Roman" w:hAnsi="Times New Roman"/>
          <w:sz w:val="17"/>
          <w:szCs w:val="17"/>
          <w:lang w:eastAsia="en-AU" w:bidi="en-US"/>
        </w:rPr>
      </w:pPr>
      <w:r w:rsidRPr="00420A51">
        <w:rPr>
          <w:rFonts w:ascii="Times New Roman" w:eastAsia="Times New Roman" w:hAnsi="Times New Roman"/>
          <w:sz w:val="17"/>
          <w:szCs w:val="17"/>
          <w:lang w:eastAsia="en-AU" w:bidi="en-US"/>
        </w:rPr>
        <w:t>Don</w:t>
      </w:r>
      <w:r w:rsidR="00420A51">
        <w:rPr>
          <w:rFonts w:ascii="Times New Roman" w:eastAsia="Times New Roman" w:hAnsi="Times New Roman"/>
          <w:sz w:val="17"/>
          <w:szCs w:val="17"/>
          <w:lang w:eastAsia="en-AU" w:bidi="en-US"/>
        </w:rPr>
        <w:t>’</w:t>
      </w:r>
      <w:r w:rsidRPr="00420A51">
        <w:rPr>
          <w:rFonts w:ascii="Times New Roman" w:eastAsia="Times New Roman" w:hAnsi="Times New Roman"/>
          <w:sz w:val="17"/>
          <w:szCs w:val="17"/>
          <w:lang w:eastAsia="en-AU" w:bidi="en-US"/>
        </w:rPr>
        <w:t>t</w:t>
      </w:r>
      <w:r w:rsidR="003D6A2F" w:rsidRPr="00420A51">
        <w:rPr>
          <w:rFonts w:ascii="Times New Roman" w:eastAsia="Times New Roman" w:hAnsi="Times New Roman"/>
          <w:sz w:val="17"/>
          <w:szCs w:val="17"/>
          <w:lang w:eastAsia="en-AU" w:bidi="en-US"/>
        </w:rPr>
        <w:t xml:space="preserve"> chase your losses. Walk away. </w:t>
      </w:r>
      <w:r w:rsidRPr="00420A51">
        <w:rPr>
          <w:rFonts w:ascii="Times New Roman" w:eastAsia="Times New Roman" w:hAnsi="Times New Roman"/>
          <w:sz w:val="17"/>
          <w:szCs w:val="17"/>
          <w:lang w:eastAsia="en-AU" w:bidi="en-US"/>
        </w:rPr>
        <w:t>Gamble responsibly.</w:t>
      </w:r>
      <w:r w:rsidRPr="00420A51">
        <w:rPr>
          <w:rFonts w:ascii="Times New Roman" w:eastAsia="Times New Roman" w:hAnsi="Times New Roman"/>
          <w:sz w:val="17"/>
          <w:szCs w:val="17"/>
          <w:lang w:eastAsia="en-AU" w:bidi="en-US"/>
        </w:rPr>
        <w:tab/>
        <w:t>1 January to 30 June 2024.</w:t>
      </w:r>
    </w:p>
    <w:p w:rsidR="00CB4030" w:rsidRPr="00140C58" w:rsidRDefault="00CB4030" w:rsidP="00420A51">
      <w:pPr>
        <w:spacing w:after="120" w:line="240" w:lineRule="auto"/>
        <w:jc w:val="left"/>
        <w:rPr>
          <w:rFonts w:ascii="Times New Roman" w:eastAsia="Times New Roman" w:hAnsi="Times New Roman"/>
          <w:b/>
          <w:sz w:val="20"/>
          <w:szCs w:val="24"/>
          <w:lang w:eastAsia="en-AU"/>
        </w:rPr>
      </w:pPr>
      <w:r w:rsidRPr="00140C58">
        <w:rPr>
          <w:rFonts w:ascii="Times New Roman" w:eastAsia="Times New Roman" w:hAnsi="Times New Roman"/>
          <w:b/>
          <w:sz w:val="20"/>
          <w:szCs w:val="24"/>
          <w:lang w:eastAsia="en-AU"/>
        </w:rPr>
        <w:t>Schedule 2—</w:t>
      </w:r>
    </w:p>
    <w:p w:rsidR="00CB4030" w:rsidRPr="00420A51" w:rsidRDefault="00CB4030" w:rsidP="00420A51">
      <w:pPr>
        <w:spacing w:after="240" w:line="240" w:lineRule="auto"/>
        <w:jc w:val="left"/>
        <w:rPr>
          <w:rFonts w:ascii="Times New Roman" w:eastAsia="Times New Roman" w:hAnsi="Times New Roman"/>
          <w:i/>
          <w:iCs/>
          <w:sz w:val="17"/>
          <w:szCs w:val="17"/>
          <w:lang w:eastAsia="en-AU"/>
        </w:rPr>
      </w:pPr>
      <w:r w:rsidRPr="00420A51">
        <w:rPr>
          <w:rFonts w:ascii="Times New Roman" w:eastAsia="Times New Roman" w:hAnsi="Times New Roman"/>
          <w:i/>
          <w:iCs/>
          <w:sz w:val="17"/>
          <w:szCs w:val="17"/>
          <w:lang w:eastAsia="en-AU"/>
        </w:rPr>
        <w:t>State Lotteries Act 1966</w:t>
      </w:r>
    </w:p>
    <w:p w:rsidR="00CB4030" w:rsidRPr="00140C58" w:rsidRDefault="00CB4030" w:rsidP="00140C58">
      <w:pPr>
        <w:spacing w:after="120" w:line="240" w:lineRule="auto"/>
        <w:jc w:val="left"/>
        <w:rPr>
          <w:rFonts w:ascii="Times New Roman" w:eastAsia="Times New Roman" w:hAnsi="Times New Roman"/>
          <w:b/>
          <w:sz w:val="20"/>
          <w:szCs w:val="24"/>
          <w:lang w:eastAsia="en-AU"/>
        </w:rPr>
      </w:pPr>
      <w:r w:rsidRPr="00140C58">
        <w:rPr>
          <w:rFonts w:ascii="Times New Roman" w:eastAsia="Times New Roman" w:hAnsi="Times New Roman"/>
          <w:b/>
          <w:sz w:val="20"/>
          <w:szCs w:val="24"/>
          <w:lang w:eastAsia="en-AU"/>
        </w:rPr>
        <w:t>Categories of Offences and Expiations</w:t>
      </w:r>
    </w:p>
    <w:tbl>
      <w:tblPr>
        <w:tblStyle w:val="GridTable1Light2"/>
        <w:tblW w:w="0" w:type="auto"/>
        <w:jc w:val="center"/>
        <w:tbl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2835"/>
        <w:gridCol w:w="2835"/>
        <w:gridCol w:w="2835"/>
      </w:tblGrid>
      <w:tr w:rsidR="00CB4030" w:rsidRPr="00420A51" w:rsidTr="00491D21">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2835" w:type="dxa"/>
            <w:tcBorders>
              <w:bottom w:val="single" w:sz="18" w:space="0" w:color="AEAAAA" w:themeColor="background2" w:themeShade="BF"/>
            </w:tcBorders>
            <w:vAlign w:val="center"/>
          </w:tcPr>
          <w:p w:rsidR="00CB4030" w:rsidRPr="00420A51" w:rsidRDefault="00CB4030" w:rsidP="00420A51">
            <w:pPr>
              <w:tabs>
                <w:tab w:val="left" w:pos="540"/>
                <w:tab w:val="left" w:pos="900"/>
              </w:tabs>
              <w:spacing w:before="20" w:after="20" w:line="240" w:lineRule="auto"/>
              <w:jc w:val="center"/>
              <w:rPr>
                <w:sz w:val="17"/>
                <w:szCs w:val="17"/>
                <w:lang w:eastAsia="en-AU"/>
              </w:rPr>
            </w:pPr>
            <w:r w:rsidRPr="00420A51">
              <w:rPr>
                <w:sz w:val="17"/>
                <w:szCs w:val="17"/>
                <w:lang w:eastAsia="en-AU"/>
              </w:rPr>
              <w:t>Column A</w:t>
            </w:r>
          </w:p>
          <w:p w:rsidR="00CB4030" w:rsidRPr="00420A51" w:rsidRDefault="00CB4030" w:rsidP="00420A51">
            <w:pPr>
              <w:tabs>
                <w:tab w:val="left" w:pos="540"/>
                <w:tab w:val="left" w:pos="900"/>
              </w:tabs>
              <w:spacing w:before="20" w:after="20" w:line="240" w:lineRule="auto"/>
              <w:jc w:val="center"/>
              <w:rPr>
                <w:sz w:val="17"/>
                <w:szCs w:val="17"/>
                <w:lang w:eastAsia="en-AU"/>
              </w:rPr>
            </w:pPr>
            <w:r w:rsidRPr="00420A51">
              <w:rPr>
                <w:sz w:val="17"/>
                <w:szCs w:val="17"/>
                <w:lang w:eastAsia="en-AU"/>
              </w:rPr>
              <w:t>Clause No.</w:t>
            </w:r>
          </w:p>
        </w:tc>
        <w:tc>
          <w:tcPr>
            <w:tcW w:w="2835" w:type="dxa"/>
            <w:tcBorders>
              <w:bottom w:val="single" w:sz="18" w:space="0" w:color="AEAAAA" w:themeColor="background2" w:themeShade="BF"/>
            </w:tcBorders>
            <w:vAlign w:val="center"/>
          </w:tcPr>
          <w:p w:rsidR="00CB4030" w:rsidRPr="00420A51" w:rsidRDefault="00CB4030" w:rsidP="00420A51">
            <w:pPr>
              <w:tabs>
                <w:tab w:val="left" w:pos="540"/>
                <w:tab w:val="left" w:pos="900"/>
              </w:tabs>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7"/>
                <w:szCs w:val="17"/>
                <w:lang w:eastAsia="en-AU"/>
              </w:rPr>
            </w:pPr>
            <w:r w:rsidRPr="00420A51">
              <w:rPr>
                <w:sz w:val="17"/>
                <w:szCs w:val="17"/>
                <w:lang w:eastAsia="en-AU"/>
              </w:rPr>
              <w:t>Column B</w:t>
            </w:r>
          </w:p>
          <w:p w:rsidR="00CB4030" w:rsidRPr="00420A51" w:rsidRDefault="00CB4030" w:rsidP="00420A51">
            <w:pPr>
              <w:tabs>
                <w:tab w:val="left" w:pos="540"/>
                <w:tab w:val="left" w:pos="900"/>
              </w:tabs>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7"/>
                <w:szCs w:val="17"/>
                <w:lang w:eastAsia="en-AU"/>
              </w:rPr>
            </w:pPr>
            <w:r w:rsidRPr="00420A51">
              <w:rPr>
                <w:sz w:val="17"/>
                <w:szCs w:val="17"/>
                <w:lang w:eastAsia="en-AU"/>
              </w:rPr>
              <w:t>Offence category</w:t>
            </w:r>
          </w:p>
        </w:tc>
        <w:tc>
          <w:tcPr>
            <w:tcW w:w="2835" w:type="dxa"/>
            <w:tcBorders>
              <w:bottom w:val="single" w:sz="18" w:space="0" w:color="AEAAAA" w:themeColor="background2" w:themeShade="BF"/>
            </w:tcBorders>
            <w:vAlign w:val="center"/>
          </w:tcPr>
          <w:p w:rsidR="00CB4030" w:rsidRPr="00420A51" w:rsidRDefault="00CB4030" w:rsidP="00420A51">
            <w:pPr>
              <w:tabs>
                <w:tab w:val="left" w:pos="540"/>
                <w:tab w:val="left" w:pos="900"/>
              </w:tabs>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7"/>
                <w:szCs w:val="17"/>
                <w:lang w:eastAsia="en-AU"/>
              </w:rPr>
            </w:pPr>
            <w:r w:rsidRPr="00420A51">
              <w:rPr>
                <w:sz w:val="17"/>
                <w:szCs w:val="17"/>
                <w:lang w:eastAsia="en-AU"/>
              </w:rPr>
              <w:t>Column C</w:t>
            </w:r>
          </w:p>
          <w:p w:rsidR="00CB4030" w:rsidRPr="00420A51" w:rsidRDefault="00CB4030" w:rsidP="00420A51">
            <w:pPr>
              <w:tabs>
                <w:tab w:val="left" w:pos="540"/>
                <w:tab w:val="left" w:pos="900"/>
              </w:tabs>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7"/>
                <w:szCs w:val="17"/>
                <w:lang w:eastAsia="en-AU"/>
              </w:rPr>
            </w:pPr>
            <w:r w:rsidRPr="00420A51">
              <w:rPr>
                <w:sz w:val="17"/>
                <w:szCs w:val="17"/>
                <w:lang w:eastAsia="en-AU"/>
              </w:rPr>
              <w:t>Expiation category</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18" w:space="0" w:color="AEAAAA" w:themeColor="background2" w:themeShade="BF"/>
            </w:tcBorders>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9(1)(a)</w:t>
            </w:r>
          </w:p>
        </w:tc>
        <w:tc>
          <w:tcPr>
            <w:tcW w:w="2835" w:type="dxa"/>
            <w:tcBorders>
              <w:top w:val="single" w:sz="18" w:space="0" w:color="AEAAAA" w:themeColor="background2" w:themeShade="BF"/>
            </w:tcBorders>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A</w:t>
            </w:r>
          </w:p>
        </w:tc>
        <w:tc>
          <w:tcPr>
            <w:tcW w:w="2835" w:type="dxa"/>
            <w:tcBorders>
              <w:top w:val="single" w:sz="18" w:space="0" w:color="AEAAAA" w:themeColor="background2" w:themeShade="BF"/>
            </w:tcBorders>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A</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9(1)(b)</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9(1)(c)</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A</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A</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9(1)(d)</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9(1)(e)</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9(1)(f)</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9(1)(g)</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9(1)(h)</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9(1)(i)</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9(1)(j)</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(9)(1)(k)</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9(3)</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10(1)(a)</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10(1)(b)</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pacing w:val="-2"/>
                <w:sz w:val="17"/>
                <w:szCs w:val="17"/>
                <w:lang w:eastAsia="en-AU"/>
              </w:rPr>
            </w:pPr>
            <w:r w:rsidRPr="003E6384">
              <w:rPr>
                <w:b w:val="0"/>
                <w:spacing w:val="-2"/>
                <w:sz w:val="17"/>
                <w:szCs w:val="17"/>
                <w:lang w:eastAsia="en-AU"/>
              </w:rPr>
              <w:t>12(1)</w:t>
            </w:r>
            <w:r w:rsidRPr="003E6384">
              <w:rPr>
                <w:b w:val="0"/>
                <w:spacing w:val="-2"/>
                <w:sz w:val="17"/>
                <w:szCs w:val="17"/>
                <w:lang w:eastAsia="en-AU"/>
              </w:rPr>
              <w:br/>
              <w:t>This penalty applies where the condensed message is used when the expanded warning message should have been used.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12(2)</w:t>
            </w:r>
            <w:r w:rsidRPr="003E6384">
              <w:rPr>
                <w:b w:val="0"/>
                <w:sz w:val="17"/>
                <w:szCs w:val="17"/>
                <w:lang w:eastAsia="en-AU"/>
              </w:rPr>
              <w:br/>
              <w:t>This penalty applies where no warning message appears.</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12(3)</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12(4)</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13(1)</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13(2)</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13(3)</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13(4)</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13(5)</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13(6)</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13(7)</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13(8)</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13(9)</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lastRenderedPageBreak/>
              <w:t>14(1)</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14(2)</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14(3)</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14(5)</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14(6)</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14(7)</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14(9)</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15(1)</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15(2)</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15(3)</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A</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A</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15(4)</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15(5)</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15(8)</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A</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A</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15(9)</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15(10)</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15(12)</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15(13)</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15(14)</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15(15)</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A</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A</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15(16)</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A</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A</w:t>
            </w:r>
          </w:p>
        </w:tc>
      </w:tr>
      <w:tr w:rsidR="00CB4030" w:rsidRPr="00420A51" w:rsidTr="00491D21">
        <w:trPr>
          <w:trHeight w:val="171"/>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15(17)</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15(18)</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16(1)(a)</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16(1)(b)</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16(1)(c)</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16(1)(d)</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16(2)(a)</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16(2)(b)</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17(1)(b)</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17(1)(c)</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A</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A</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18(1)</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18(2)(a)</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19(1)</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19(2)</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19(3)</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19(4)(a)</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19(4)(b)</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19(5)(a)</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19(5)(b)</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19(6)</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19(7)</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20(1)(a)</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20(1)(b)</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20(1)(c)</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20(2)</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21(1)</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24(1)</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24(2)</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B</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26(1)</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A</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A</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26(2)(a)(b)(c)(d)</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26(2)(e)(f)</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A</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A</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27</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28</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29</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C</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lastRenderedPageBreak/>
              <w:t>30(1)</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r w:rsidR="00CB4030" w:rsidRPr="00420A51" w:rsidTr="00491D21">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B4030" w:rsidRPr="003E6384" w:rsidRDefault="00CB4030" w:rsidP="00420A51">
            <w:pPr>
              <w:tabs>
                <w:tab w:val="left" w:pos="540"/>
                <w:tab w:val="left" w:pos="900"/>
              </w:tabs>
              <w:spacing w:before="20" w:after="20" w:line="240" w:lineRule="auto"/>
              <w:jc w:val="center"/>
              <w:rPr>
                <w:b w:val="0"/>
                <w:sz w:val="17"/>
                <w:szCs w:val="17"/>
                <w:lang w:eastAsia="en-AU"/>
              </w:rPr>
            </w:pPr>
            <w:r w:rsidRPr="003E6384">
              <w:rPr>
                <w:b w:val="0"/>
                <w:sz w:val="17"/>
                <w:szCs w:val="17"/>
                <w:lang w:eastAsia="en-AU"/>
              </w:rPr>
              <w:t>30(4)</w:t>
            </w:r>
          </w:p>
        </w:tc>
        <w:tc>
          <w:tcPr>
            <w:tcW w:w="2835" w:type="dxa"/>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c>
          <w:tcPr>
            <w:tcW w:w="2835" w:type="dxa"/>
            <w:vAlign w:val="center"/>
          </w:tcPr>
          <w:p w:rsidR="00CB4030" w:rsidRPr="00420A51" w:rsidRDefault="00CB4030" w:rsidP="00420A51">
            <w:pPr>
              <w:tabs>
                <w:tab w:val="left" w:pos="540"/>
                <w:tab w:val="left" w:pos="900"/>
              </w:tabs>
              <w:spacing w:before="20" w:after="20" w:line="240" w:lineRule="auto"/>
              <w:jc w:val="center"/>
              <w:cnfStyle w:val="000000000000" w:firstRow="0" w:lastRow="0" w:firstColumn="0" w:lastColumn="0" w:oddVBand="0" w:evenVBand="0" w:oddHBand="0" w:evenHBand="0" w:firstRowFirstColumn="0" w:firstRowLastColumn="0" w:lastRowFirstColumn="0" w:lastRowLastColumn="0"/>
              <w:rPr>
                <w:bCs/>
                <w:sz w:val="17"/>
                <w:szCs w:val="17"/>
                <w:lang w:eastAsia="en-AU"/>
              </w:rPr>
            </w:pPr>
            <w:r w:rsidRPr="00420A51">
              <w:rPr>
                <w:bCs/>
                <w:sz w:val="17"/>
                <w:szCs w:val="17"/>
                <w:lang w:eastAsia="en-AU"/>
              </w:rPr>
              <w:t>D</w:t>
            </w:r>
          </w:p>
        </w:tc>
      </w:tr>
    </w:tbl>
    <w:p w:rsidR="00351ACF" w:rsidRDefault="00351ACF" w:rsidP="00351ACF">
      <w:pPr>
        <w:pBdr>
          <w:top w:val="single" w:sz="4" w:space="1" w:color="auto"/>
        </w:pBdr>
        <w:tabs>
          <w:tab w:val="left" w:pos="540"/>
        </w:tabs>
        <w:spacing w:before="100" w:line="14" w:lineRule="exact"/>
        <w:ind w:left="1080" w:right="1080"/>
        <w:jc w:val="center"/>
        <w:rPr>
          <w:rFonts w:ascii="Times New Roman" w:eastAsia="Times New Roman" w:hAnsi="Times New Roman"/>
          <w:b/>
          <w:bCs/>
          <w:sz w:val="17"/>
          <w:szCs w:val="17"/>
          <w:lang w:eastAsia="en-AU"/>
        </w:rPr>
      </w:pPr>
    </w:p>
    <w:p w:rsidR="00454181" w:rsidRDefault="00454181">
      <w:pPr>
        <w:spacing w:after="0" w:line="240" w:lineRule="auto"/>
        <w:jc w:val="left"/>
        <w:rPr>
          <w:rFonts w:ascii="Times New Roman" w:eastAsia="Times New Roman" w:hAnsi="Times New Roman"/>
          <w:b/>
          <w:bCs/>
          <w:sz w:val="17"/>
          <w:szCs w:val="17"/>
          <w:lang w:eastAsia="en-AU"/>
        </w:rPr>
      </w:pPr>
      <w:r>
        <w:rPr>
          <w:rFonts w:ascii="Times New Roman" w:eastAsia="Times New Roman" w:hAnsi="Times New Roman"/>
          <w:b/>
          <w:bCs/>
          <w:sz w:val="17"/>
          <w:szCs w:val="17"/>
          <w:lang w:eastAsia="en-AU"/>
        </w:rPr>
        <w:br w:type="page"/>
      </w:r>
    </w:p>
    <w:p w:rsidR="00CB4030" w:rsidRPr="00420A51" w:rsidRDefault="00CB4030" w:rsidP="00DF16D7">
      <w:pPr>
        <w:tabs>
          <w:tab w:val="left" w:pos="540"/>
        </w:tabs>
        <w:spacing w:after="120" w:line="240" w:lineRule="auto"/>
        <w:jc w:val="center"/>
        <w:rPr>
          <w:rFonts w:ascii="Times New Roman" w:eastAsia="Times New Roman" w:hAnsi="Times New Roman"/>
          <w:b/>
          <w:bCs/>
          <w:sz w:val="17"/>
          <w:szCs w:val="17"/>
          <w:lang w:eastAsia="en-AU"/>
        </w:rPr>
      </w:pPr>
      <w:r w:rsidRPr="00420A51">
        <w:rPr>
          <w:rFonts w:ascii="Times New Roman" w:eastAsia="Times New Roman" w:hAnsi="Times New Roman"/>
          <w:b/>
          <w:bCs/>
          <w:sz w:val="17"/>
          <w:szCs w:val="17"/>
          <w:lang w:eastAsia="en-AU"/>
        </w:rPr>
        <w:lastRenderedPageBreak/>
        <w:t>NOTES</w:t>
      </w:r>
    </w:p>
    <w:p w:rsidR="00CB4030" w:rsidRPr="00147923" w:rsidRDefault="00CB4030" w:rsidP="009B5180">
      <w:pPr>
        <w:numPr>
          <w:ilvl w:val="0"/>
          <w:numId w:val="473"/>
        </w:numPr>
        <w:spacing w:after="120" w:line="240" w:lineRule="auto"/>
        <w:ind w:left="426" w:right="281" w:hanging="284"/>
        <w:jc w:val="left"/>
        <w:rPr>
          <w:rFonts w:ascii="Times New Roman" w:eastAsia="Times New Roman" w:hAnsi="Times New Roman"/>
          <w:i/>
          <w:iCs/>
          <w:spacing w:val="-2"/>
          <w:sz w:val="17"/>
          <w:szCs w:val="17"/>
          <w:lang w:eastAsia="en-AU"/>
        </w:rPr>
      </w:pPr>
      <w:r w:rsidRPr="00147923">
        <w:rPr>
          <w:rFonts w:ascii="Times New Roman" w:eastAsia="Times New Roman" w:hAnsi="Times New Roman"/>
          <w:i/>
          <w:iCs/>
          <w:spacing w:val="-2"/>
          <w:sz w:val="17"/>
          <w:szCs w:val="17"/>
          <w:lang w:eastAsia="en-AU"/>
        </w:rPr>
        <w:t>The Gambling Codes of Practice Notice 2013 was published in a South Australian Government Gazette on 18 December 2013 (No, 81 of 2013) at pages 4798-4844.</w:t>
      </w:r>
      <w:r w:rsidR="00420A51" w:rsidRPr="00147923">
        <w:rPr>
          <w:rFonts w:ascii="Times New Roman" w:eastAsia="Times New Roman" w:hAnsi="Times New Roman"/>
          <w:i/>
          <w:iCs/>
          <w:spacing w:val="-2"/>
          <w:sz w:val="17"/>
          <w:szCs w:val="17"/>
          <w:lang w:eastAsia="en-AU"/>
        </w:rPr>
        <w:t xml:space="preserve"> </w:t>
      </w:r>
      <w:r w:rsidRPr="00147923">
        <w:rPr>
          <w:rFonts w:ascii="Times New Roman" w:eastAsia="Times New Roman" w:hAnsi="Times New Roman"/>
          <w:i/>
          <w:iCs/>
          <w:spacing w:val="-2"/>
          <w:sz w:val="17"/>
          <w:szCs w:val="17"/>
          <w:lang w:eastAsia="en-AU"/>
        </w:rPr>
        <w:t>This notice was subsequently varied by the Gambling Codes of Practice (General) Variation Notice 2016 published in the South Australian Government Gazette on 9 June 2016 (No, 81 of 2013) at pages 2049-2052.</w:t>
      </w:r>
    </w:p>
    <w:p w:rsidR="00CB4030" w:rsidRPr="00420A51" w:rsidRDefault="00CB4030" w:rsidP="009B5180">
      <w:pPr>
        <w:numPr>
          <w:ilvl w:val="0"/>
          <w:numId w:val="473"/>
        </w:numPr>
        <w:tabs>
          <w:tab w:val="left" w:pos="426"/>
        </w:tabs>
        <w:spacing w:after="120" w:line="240" w:lineRule="auto"/>
        <w:ind w:left="426" w:right="281" w:hanging="284"/>
        <w:jc w:val="left"/>
        <w:rPr>
          <w:rFonts w:ascii="Times New Roman" w:eastAsia="Times New Roman" w:hAnsi="Times New Roman"/>
          <w:i/>
          <w:iCs/>
          <w:sz w:val="17"/>
          <w:szCs w:val="17"/>
          <w:lang w:eastAsia="en-AU"/>
        </w:rPr>
      </w:pPr>
      <w:r w:rsidRPr="00420A51">
        <w:rPr>
          <w:rFonts w:ascii="Times New Roman" w:eastAsia="Times New Roman" w:hAnsi="Times New Roman"/>
          <w:i/>
          <w:iCs/>
          <w:sz w:val="17"/>
          <w:szCs w:val="17"/>
          <w:lang w:eastAsia="en-AU"/>
        </w:rPr>
        <w:t>In accordance with transitional provisions under Schedule 1—clause 3(1) of the Gambling Administration Act 2019, the Gambling Codes of Practice Notice 2013 has, since 3 December 2020, continued in force as if</w:t>
      </w:r>
      <w:r w:rsidR="00147923">
        <w:rPr>
          <w:rFonts w:ascii="Times New Roman" w:eastAsia="Times New Roman" w:hAnsi="Times New Roman"/>
          <w:i/>
          <w:iCs/>
          <w:sz w:val="17"/>
          <w:szCs w:val="17"/>
          <w:lang w:eastAsia="en-AU"/>
        </w:rPr>
        <w:t xml:space="preserve"> it had been made under section </w:t>
      </w:r>
      <w:r w:rsidRPr="00420A51">
        <w:rPr>
          <w:rFonts w:ascii="Times New Roman" w:eastAsia="Times New Roman" w:hAnsi="Times New Roman"/>
          <w:i/>
          <w:iCs/>
          <w:sz w:val="17"/>
          <w:szCs w:val="17"/>
          <w:lang w:eastAsia="en-AU"/>
        </w:rPr>
        <w:t>15 of the Gambling Administration Act 2019.</w:t>
      </w:r>
    </w:p>
    <w:p w:rsidR="00CB4030" w:rsidRPr="00420A51" w:rsidRDefault="00CB4030" w:rsidP="009B5180">
      <w:pPr>
        <w:numPr>
          <w:ilvl w:val="0"/>
          <w:numId w:val="473"/>
        </w:numPr>
        <w:tabs>
          <w:tab w:val="left" w:pos="426"/>
        </w:tabs>
        <w:spacing w:after="120" w:line="240" w:lineRule="auto"/>
        <w:ind w:left="426" w:right="281" w:hanging="284"/>
        <w:jc w:val="left"/>
        <w:rPr>
          <w:rFonts w:ascii="Times New Roman" w:eastAsia="Times New Roman" w:hAnsi="Times New Roman"/>
          <w:i/>
          <w:iCs/>
          <w:sz w:val="17"/>
          <w:szCs w:val="17"/>
          <w:lang w:eastAsia="en-AU"/>
        </w:rPr>
      </w:pPr>
      <w:r w:rsidRPr="00420A51">
        <w:rPr>
          <w:rFonts w:ascii="Times New Roman" w:eastAsia="Times New Roman" w:hAnsi="Times New Roman"/>
          <w:i/>
          <w:iCs/>
          <w:sz w:val="17"/>
          <w:szCs w:val="17"/>
          <w:lang w:eastAsia="en-AU"/>
        </w:rPr>
        <w:t>Notice of intention to prescribe the State Lotteries Gambling Code of Practice by publication in the South Australian Government Gazette was given to the Commission on 16 November 2021.</w:t>
      </w:r>
    </w:p>
    <w:p w:rsidR="00CB4030" w:rsidRPr="00420A51" w:rsidRDefault="00CB4030" w:rsidP="009B5180">
      <w:pPr>
        <w:numPr>
          <w:ilvl w:val="0"/>
          <w:numId w:val="473"/>
        </w:numPr>
        <w:tabs>
          <w:tab w:val="left" w:pos="426"/>
        </w:tabs>
        <w:spacing w:after="120" w:line="240" w:lineRule="auto"/>
        <w:ind w:left="426" w:right="281" w:hanging="284"/>
        <w:jc w:val="left"/>
        <w:rPr>
          <w:rFonts w:ascii="Times New Roman" w:eastAsia="Times New Roman" w:hAnsi="Times New Roman"/>
          <w:i/>
          <w:iCs/>
          <w:sz w:val="17"/>
          <w:szCs w:val="17"/>
          <w:lang w:eastAsia="en-AU"/>
        </w:rPr>
      </w:pPr>
      <w:r w:rsidRPr="00420A51">
        <w:rPr>
          <w:rFonts w:ascii="Times New Roman" w:eastAsia="Times New Roman" w:hAnsi="Times New Roman"/>
          <w:i/>
          <w:iCs/>
          <w:sz w:val="17"/>
          <w:szCs w:val="17"/>
          <w:lang w:eastAsia="en-AU"/>
        </w:rPr>
        <w:t>Following the publication of this notice in the South Australian Gazette on 23 December 2021, the Gambling Codes of Practice Notice 2013 will cease to have affect in relation to the operations of the Lotteries Commission of South Australia.</w:t>
      </w:r>
    </w:p>
    <w:p w:rsidR="00CB4030" w:rsidRPr="00420A51" w:rsidRDefault="00CB4030" w:rsidP="00DF16D7">
      <w:pPr>
        <w:tabs>
          <w:tab w:val="left" w:pos="540"/>
        </w:tabs>
        <w:spacing w:after="120" w:line="240" w:lineRule="auto"/>
        <w:jc w:val="left"/>
        <w:rPr>
          <w:rFonts w:ascii="Times New Roman" w:eastAsia="Times New Roman" w:hAnsi="Times New Roman"/>
          <w:sz w:val="17"/>
          <w:szCs w:val="17"/>
          <w:lang w:eastAsia="en-AU"/>
        </w:rPr>
      </w:pPr>
      <w:r w:rsidRPr="00420A51">
        <w:rPr>
          <w:rFonts w:ascii="Times New Roman" w:eastAsia="Times New Roman" w:hAnsi="Times New Roman"/>
          <w:sz w:val="17"/>
          <w:szCs w:val="17"/>
          <w:lang w:eastAsia="en-AU"/>
        </w:rPr>
        <w:t>Dated 23 December 2021</w:t>
      </w:r>
    </w:p>
    <w:p w:rsidR="00CB4030" w:rsidRPr="00420A51" w:rsidRDefault="00CB4030" w:rsidP="00420A51">
      <w:pPr>
        <w:tabs>
          <w:tab w:val="left" w:pos="540"/>
        </w:tabs>
        <w:spacing w:after="0" w:line="240" w:lineRule="auto"/>
        <w:jc w:val="left"/>
        <w:rPr>
          <w:rFonts w:ascii="Times New Roman" w:eastAsia="Times New Roman" w:hAnsi="Times New Roman"/>
          <w:sz w:val="17"/>
          <w:szCs w:val="17"/>
          <w:lang w:eastAsia="en-AU"/>
        </w:rPr>
      </w:pPr>
      <w:r w:rsidRPr="00420A51">
        <w:rPr>
          <w:rFonts w:ascii="Times New Roman" w:eastAsia="Times New Roman" w:hAnsi="Times New Roman"/>
          <w:sz w:val="17"/>
          <w:szCs w:val="17"/>
          <w:lang w:eastAsia="en-AU"/>
        </w:rPr>
        <w:t>Made by Dini Soulio</w:t>
      </w:r>
    </w:p>
    <w:p w:rsidR="00CB4030" w:rsidRPr="00420A51" w:rsidRDefault="00CB4030" w:rsidP="00420A51">
      <w:pPr>
        <w:tabs>
          <w:tab w:val="left" w:pos="540"/>
        </w:tabs>
        <w:spacing w:after="0" w:line="240" w:lineRule="auto"/>
        <w:jc w:val="left"/>
        <w:rPr>
          <w:rFonts w:ascii="Times New Roman" w:eastAsia="Times New Roman" w:hAnsi="Times New Roman"/>
          <w:sz w:val="17"/>
          <w:szCs w:val="17"/>
          <w:lang w:eastAsia="en-AU"/>
        </w:rPr>
      </w:pPr>
      <w:r w:rsidRPr="00420A51">
        <w:rPr>
          <w:rFonts w:ascii="Times New Roman" w:eastAsia="Times New Roman" w:hAnsi="Times New Roman"/>
          <w:sz w:val="17"/>
          <w:szCs w:val="17"/>
          <w:lang w:eastAsia="en-AU"/>
        </w:rPr>
        <w:t>Liquor and Gambling Commissioner</w:t>
      </w:r>
    </w:p>
    <w:p w:rsidR="007B27B0" w:rsidRDefault="007B27B0" w:rsidP="007B27B0">
      <w:pPr>
        <w:pBdr>
          <w:bottom w:val="single" w:sz="4" w:space="1" w:color="auto"/>
        </w:pBdr>
        <w:spacing w:after="0" w:line="52" w:lineRule="exact"/>
        <w:jc w:val="center"/>
        <w:rPr>
          <w:rFonts w:ascii="Times New Roman" w:eastAsia="Times New Roman" w:hAnsi="Times New Roman"/>
          <w:sz w:val="17"/>
          <w:szCs w:val="20"/>
        </w:rPr>
      </w:pPr>
    </w:p>
    <w:p w:rsidR="007B27B0" w:rsidRDefault="007B27B0" w:rsidP="007B27B0">
      <w:pPr>
        <w:pBdr>
          <w:top w:val="single" w:sz="4" w:space="1" w:color="auto"/>
        </w:pBdr>
        <w:spacing w:before="34" w:after="0" w:line="14" w:lineRule="exact"/>
        <w:jc w:val="center"/>
        <w:rPr>
          <w:rFonts w:ascii="Times New Roman" w:eastAsia="Times New Roman" w:hAnsi="Times New Roman"/>
          <w:sz w:val="17"/>
          <w:szCs w:val="20"/>
        </w:rPr>
      </w:pPr>
    </w:p>
    <w:p w:rsidR="007B27B0" w:rsidRDefault="007B27B0" w:rsidP="007B27B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7B27B0" w:rsidRPr="007B27B0" w:rsidRDefault="007B27B0" w:rsidP="00B069DE">
      <w:pPr>
        <w:pStyle w:val="Heading2"/>
      </w:pPr>
      <w:bookmarkStart w:id="74" w:name="_Toc91161264"/>
      <w:r w:rsidRPr="007B27B0">
        <w:t>Geographical Names Act 1991</w:t>
      </w:r>
      <w:bookmarkEnd w:id="74"/>
    </w:p>
    <w:p w:rsidR="007B27B0" w:rsidRPr="007B27B0" w:rsidRDefault="007B27B0" w:rsidP="007B27B0">
      <w:pPr>
        <w:jc w:val="center"/>
        <w:rPr>
          <w:rFonts w:ascii="Times New Roman" w:hAnsi="Times New Roman"/>
          <w:i/>
          <w:sz w:val="17"/>
          <w:szCs w:val="17"/>
        </w:rPr>
      </w:pPr>
      <w:r w:rsidRPr="007B27B0">
        <w:rPr>
          <w:rFonts w:ascii="Times New Roman" w:hAnsi="Times New Roman"/>
          <w:i/>
          <w:sz w:val="17"/>
          <w:szCs w:val="17"/>
        </w:rPr>
        <w:t>Notice to Alter Boundaries of a Place</w:t>
      </w:r>
    </w:p>
    <w:p w:rsidR="007B27B0" w:rsidRPr="007B27B0" w:rsidRDefault="005E2F0F" w:rsidP="007B27B0">
      <w:pPr>
        <w:rPr>
          <w:rFonts w:ascii="Times New Roman" w:eastAsia="Times New Roman" w:hAnsi="Times New Roman"/>
          <w:sz w:val="17"/>
          <w:szCs w:val="17"/>
        </w:rPr>
      </w:pPr>
      <w:r w:rsidRPr="007B27B0">
        <w:rPr>
          <w:rFonts w:ascii="Times New Roman" w:eastAsia="Times New Roman" w:hAnsi="Times New Roman"/>
          <w:sz w:val="17"/>
          <w:szCs w:val="17"/>
        </w:rPr>
        <w:t>Notice</w:t>
      </w:r>
      <w:r w:rsidR="007B27B0" w:rsidRPr="007B27B0">
        <w:rPr>
          <w:rFonts w:ascii="Times New Roman" w:eastAsia="Times New Roman" w:hAnsi="Times New Roman"/>
          <w:sz w:val="17"/>
          <w:szCs w:val="17"/>
        </w:rPr>
        <w:t xml:space="preserve"> is hereby given pursuant to Section 11B of the </w:t>
      </w:r>
      <w:r w:rsidR="007B27B0" w:rsidRPr="007B27B0">
        <w:rPr>
          <w:rFonts w:ascii="Times New Roman" w:eastAsia="Times New Roman" w:hAnsi="Times New Roman"/>
          <w:i/>
          <w:sz w:val="17"/>
          <w:szCs w:val="17"/>
        </w:rPr>
        <w:t>Geographical Names Act 1991</w:t>
      </w:r>
      <w:r w:rsidR="007B27B0" w:rsidRPr="007B27B0">
        <w:rPr>
          <w:rFonts w:ascii="Times New Roman" w:eastAsia="Times New Roman" w:hAnsi="Times New Roman"/>
          <w:sz w:val="17"/>
          <w:szCs w:val="17"/>
        </w:rPr>
        <w:t xml:space="preserve">, that I, Josh Teague, Minister for Planning and Local Government, Minister of the Crown (exercising the powers and functions of the Attorney-General) to whom the administration of the </w:t>
      </w:r>
      <w:r w:rsidR="007B27B0" w:rsidRPr="007B27B0">
        <w:rPr>
          <w:rFonts w:ascii="Times New Roman" w:eastAsia="Times New Roman" w:hAnsi="Times New Roman"/>
          <w:i/>
          <w:sz w:val="17"/>
          <w:szCs w:val="17"/>
        </w:rPr>
        <w:t>Geographical Names Act 1991</w:t>
      </w:r>
      <w:r w:rsidR="007B27B0" w:rsidRPr="007B27B0">
        <w:rPr>
          <w:rFonts w:ascii="Times New Roman" w:eastAsia="Times New Roman" w:hAnsi="Times New Roman"/>
          <w:sz w:val="17"/>
          <w:szCs w:val="17"/>
        </w:rPr>
        <w:t xml:space="preserve"> is committed, DO HEREBY;</w:t>
      </w:r>
    </w:p>
    <w:p w:rsidR="007B27B0" w:rsidRPr="007B27B0" w:rsidRDefault="007B27B0" w:rsidP="007B27B0">
      <w:pPr>
        <w:rPr>
          <w:rFonts w:ascii="Times New Roman" w:eastAsia="Times New Roman" w:hAnsi="Times New Roman"/>
          <w:sz w:val="17"/>
          <w:szCs w:val="17"/>
        </w:rPr>
      </w:pPr>
      <w:r w:rsidRPr="007B27B0">
        <w:rPr>
          <w:rFonts w:ascii="Times New Roman" w:eastAsia="Times New Roman" w:hAnsi="Times New Roman"/>
          <w:sz w:val="17"/>
          <w:szCs w:val="17"/>
        </w:rPr>
        <w:t>Alter the suburb boundary between Seaford Meadows and Port Noarlunga South to;</w:t>
      </w:r>
    </w:p>
    <w:p w:rsidR="007B27B0" w:rsidRPr="007B27B0" w:rsidRDefault="007B27B0" w:rsidP="00AE26C4">
      <w:pPr>
        <w:numPr>
          <w:ilvl w:val="0"/>
          <w:numId w:val="217"/>
        </w:numPr>
        <w:ind w:left="567"/>
        <w:rPr>
          <w:rFonts w:ascii="Times New Roman" w:eastAsia="Times New Roman" w:hAnsi="Times New Roman"/>
          <w:sz w:val="17"/>
          <w:szCs w:val="17"/>
        </w:rPr>
      </w:pPr>
      <w:r w:rsidRPr="007B27B0">
        <w:rPr>
          <w:rFonts w:ascii="Times New Roman" w:eastAsia="Times New Roman" w:hAnsi="Times New Roman"/>
          <w:sz w:val="17"/>
          <w:szCs w:val="17"/>
        </w:rPr>
        <w:t xml:space="preserve">Exclude from the suburb of </w:t>
      </w:r>
      <w:r w:rsidRPr="007B27B0">
        <w:rPr>
          <w:rFonts w:ascii="Times New Roman" w:eastAsia="Times New Roman" w:hAnsi="Times New Roman"/>
          <w:b/>
          <w:sz w:val="17"/>
          <w:szCs w:val="17"/>
        </w:rPr>
        <w:t>SEAFORD MEADOWS</w:t>
      </w:r>
      <w:r w:rsidRPr="007B27B0">
        <w:rPr>
          <w:rFonts w:ascii="Times New Roman" w:eastAsia="Times New Roman" w:hAnsi="Times New Roman"/>
          <w:sz w:val="17"/>
          <w:szCs w:val="17"/>
        </w:rPr>
        <w:t xml:space="preserve"> that area marked (A) shown highlighted in green and include in the suburb of </w:t>
      </w:r>
      <w:r w:rsidRPr="007B27B0">
        <w:rPr>
          <w:rFonts w:ascii="Times New Roman" w:eastAsia="Times New Roman" w:hAnsi="Times New Roman"/>
          <w:b/>
          <w:sz w:val="17"/>
          <w:szCs w:val="17"/>
        </w:rPr>
        <w:t>PORT NOARLUNGA SOUTH</w:t>
      </w:r>
      <w:r w:rsidRPr="007B27B0">
        <w:rPr>
          <w:rFonts w:ascii="Times New Roman" w:eastAsia="Times New Roman" w:hAnsi="Times New Roman"/>
          <w:sz w:val="17"/>
          <w:szCs w:val="17"/>
        </w:rPr>
        <w:t>.</w:t>
      </w:r>
    </w:p>
    <w:p w:rsidR="007B27B0" w:rsidRPr="007B27B0" w:rsidRDefault="007B27B0" w:rsidP="007B27B0">
      <w:pPr>
        <w:rPr>
          <w:rFonts w:ascii="Times New Roman" w:eastAsia="Times New Roman" w:hAnsi="Times New Roman"/>
          <w:sz w:val="17"/>
          <w:szCs w:val="17"/>
        </w:rPr>
      </w:pPr>
      <w:r w:rsidRPr="007B27B0">
        <w:rPr>
          <w:rFonts w:ascii="Times New Roman" w:eastAsia="Times New Roman" w:hAnsi="Times New Roman"/>
          <w:sz w:val="17"/>
          <w:szCs w:val="17"/>
        </w:rPr>
        <w:t xml:space="preserve">A copy of the plan showing the extent of the altered boundary can be viewed on the Land Boundaries website at: </w:t>
      </w:r>
      <w:hyperlink r:id="rId63" w:history="1">
        <w:r w:rsidRPr="007B27B0">
          <w:rPr>
            <w:rFonts w:ascii="Times New Roman" w:eastAsia="Times New Roman" w:hAnsi="Times New Roman"/>
            <w:color w:val="0000FF"/>
            <w:sz w:val="17"/>
            <w:szCs w:val="17"/>
            <w:u w:val="single"/>
          </w:rPr>
          <w:t>www.sa.gov.au/placenameproposals</w:t>
        </w:r>
      </w:hyperlink>
    </w:p>
    <w:p w:rsidR="007B27B0" w:rsidRPr="007B27B0" w:rsidRDefault="007B27B0" w:rsidP="007B27B0">
      <w:pPr>
        <w:spacing w:after="0"/>
        <w:rPr>
          <w:rFonts w:ascii="Times New Roman" w:eastAsia="Times New Roman" w:hAnsi="Times New Roman"/>
          <w:sz w:val="17"/>
          <w:szCs w:val="17"/>
        </w:rPr>
      </w:pPr>
      <w:r w:rsidRPr="007B27B0">
        <w:rPr>
          <w:rFonts w:ascii="Times New Roman" w:eastAsia="Times New Roman" w:hAnsi="Times New Roman"/>
          <w:sz w:val="17"/>
          <w:szCs w:val="17"/>
        </w:rPr>
        <w:t>Dated: 8 December 2021</w:t>
      </w:r>
    </w:p>
    <w:p w:rsidR="007B27B0" w:rsidRPr="007B27B0" w:rsidRDefault="007B27B0" w:rsidP="007B27B0">
      <w:pPr>
        <w:spacing w:after="0"/>
        <w:jc w:val="right"/>
        <w:rPr>
          <w:rFonts w:ascii="Times New Roman" w:eastAsia="Times New Roman" w:hAnsi="Times New Roman"/>
          <w:smallCaps/>
          <w:sz w:val="17"/>
          <w:szCs w:val="17"/>
        </w:rPr>
      </w:pPr>
      <w:r w:rsidRPr="007B27B0">
        <w:rPr>
          <w:rFonts w:ascii="Times New Roman" w:eastAsia="Times New Roman" w:hAnsi="Times New Roman"/>
          <w:smallCaps/>
          <w:sz w:val="17"/>
          <w:szCs w:val="20"/>
        </w:rPr>
        <w:t xml:space="preserve">Josh Teague </w:t>
      </w:r>
      <w:r w:rsidRPr="007B27B0">
        <w:rPr>
          <w:rFonts w:ascii="Times New Roman" w:eastAsia="Times New Roman" w:hAnsi="Times New Roman"/>
          <w:smallCaps/>
          <w:sz w:val="17"/>
          <w:szCs w:val="17"/>
        </w:rPr>
        <w:t>MP</w:t>
      </w:r>
    </w:p>
    <w:p w:rsidR="007B27B0" w:rsidRPr="007B27B0" w:rsidRDefault="007B27B0" w:rsidP="007B27B0">
      <w:pPr>
        <w:spacing w:after="0" w:line="240" w:lineRule="auto"/>
        <w:jc w:val="right"/>
        <w:rPr>
          <w:rFonts w:ascii="Times New Roman" w:eastAsia="Times New Roman" w:hAnsi="Times New Roman"/>
          <w:sz w:val="17"/>
          <w:szCs w:val="17"/>
        </w:rPr>
      </w:pPr>
      <w:r w:rsidRPr="007B27B0">
        <w:rPr>
          <w:rFonts w:ascii="Times New Roman" w:eastAsia="Times New Roman" w:hAnsi="Times New Roman"/>
          <w:sz w:val="17"/>
          <w:szCs w:val="17"/>
        </w:rPr>
        <w:t>Minister for Planning and Local Government</w:t>
      </w:r>
    </w:p>
    <w:p w:rsidR="007B27B0" w:rsidRPr="007B27B0" w:rsidRDefault="007B27B0" w:rsidP="007B27B0">
      <w:pPr>
        <w:spacing w:after="0" w:line="240" w:lineRule="auto"/>
        <w:jc w:val="right"/>
        <w:rPr>
          <w:rFonts w:ascii="Times New Roman" w:eastAsia="Times New Roman" w:hAnsi="Times New Roman"/>
          <w:sz w:val="17"/>
          <w:szCs w:val="17"/>
        </w:rPr>
      </w:pPr>
      <w:r w:rsidRPr="007B27B0">
        <w:rPr>
          <w:rFonts w:ascii="Times New Roman" w:eastAsia="Times New Roman" w:hAnsi="Times New Roman"/>
          <w:sz w:val="17"/>
          <w:szCs w:val="17"/>
        </w:rPr>
        <w:t>(exercising the powers and functions of the Attorney-General)</w:t>
      </w:r>
    </w:p>
    <w:p w:rsidR="00CB4030" w:rsidRDefault="007B27B0" w:rsidP="007B27B0">
      <w:pPr>
        <w:spacing w:after="0"/>
        <w:rPr>
          <w:rFonts w:ascii="Times New Roman" w:eastAsia="Times New Roman" w:hAnsi="Times New Roman"/>
          <w:sz w:val="17"/>
          <w:szCs w:val="17"/>
        </w:rPr>
      </w:pPr>
      <w:r w:rsidRPr="007B27B0">
        <w:rPr>
          <w:rFonts w:ascii="Times New Roman" w:eastAsia="Times New Roman" w:hAnsi="Times New Roman"/>
          <w:sz w:val="17"/>
          <w:szCs w:val="17"/>
        </w:rPr>
        <w:t>DIT: 2020/19322/01</w:t>
      </w:r>
    </w:p>
    <w:p w:rsidR="007B27B0" w:rsidRDefault="007B27B0" w:rsidP="007B27B0">
      <w:pPr>
        <w:pBdr>
          <w:bottom w:val="single" w:sz="4" w:space="1" w:color="auto"/>
        </w:pBdr>
        <w:spacing w:after="0" w:line="52" w:lineRule="exact"/>
        <w:jc w:val="center"/>
        <w:rPr>
          <w:rFonts w:ascii="Times New Roman" w:eastAsia="Times New Roman" w:hAnsi="Times New Roman"/>
          <w:sz w:val="17"/>
          <w:szCs w:val="20"/>
        </w:rPr>
      </w:pPr>
    </w:p>
    <w:p w:rsidR="007B27B0" w:rsidRDefault="007B27B0" w:rsidP="007B27B0">
      <w:pPr>
        <w:pBdr>
          <w:top w:val="single" w:sz="4" w:space="1" w:color="auto"/>
        </w:pBdr>
        <w:spacing w:before="34" w:after="0" w:line="14" w:lineRule="exact"/>
        <w:jc w:val="center"/>
        <w:rPr>
          <w:rFonts w:ascii="Times New Roman" w:eastAsia="Times New Roman" w:hAnsi="Times New Roman"/>
          <w:sz w:val="17"/>
          <w:szCs w:val="20"/>
        </w:rPr>
      </w:pPr>
    </w:p>
    <w:p w:rsidR="007B27B0" w:rsidRDefault="007B27B0" w:rsidP="007B27B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7B27B0" w:rsidRPr="007B27B0" w:rsidRDefault="007B27B0" w:rsidP="00B069DE">
      <w:pPr>
        <w:pStyle w:val="Heading2"/>
        <w:rPr>
          <w:rFonts w:eastAsia="Times New Roman"/>
        </w:rPr>
      </w:pPr>
      <w:bookmarkStart w:id="75" w:name="_Toc91161265"/>
      <w:r w:rsidRPr="007B27B0">
        <w:t>Housing Improvement Act 2016</w:t>
      </w:r>
      <w:bookmarkEnd w:id="75"/>
    </w:p>
    <w:p w:rsidR="007B27B0" w:rsidRPr="007B27B0" w:rsidRDefault="007B27B0" w:rsidP="002A6DE4">
      <w:pPr>
        <w:spacing w:after="60"/>
        <w:jc w:val="center"/>
        <w:rPr>
          <w:rFonts w:ascii="Times New Roman" w:hAnsi="Times New Roman"/>
          <w:i/>
          <w:sz w:val="17"/>
          <w:szCs w:val="17"/>
          <w:lang w:val="en-US"/>
        </w:rPr>
      </w:pPr>
      <w:r w:rsidRPr="007B27B0">
        <w:rPr>
          <w:rFonts w:ascii="Times New Roman" w:hAnsi="Times New Roman"/>
          <w:i/>
          <w:sz w:val="17"/>
          <w:szCs w:val="17"/>
          <w:lang w:val="en-US"/>
        </w:rPr>
        <w:t>Rent Control</w:t>
      </w:r>
    </w:p>
    <w:p w:rsidR="007B27B0" w:rsidRPr="007B27B0" w:rsidRDefault="007B27B0" w:rsidP="002A6DE4">
      <w:pPr>
        <w:spacing w:after="60"/>
        <w:rPr>
          <w:rFonts w:ascii="Times New Roman" w:eastAsia="Times New Roman" w:hAnsi="Times New Roman"/>
          <w:sz w:val="17"/>
          <w:szCs w:val="17"/>
          <w:lang w:val="en-US"/>
        </w:rPr>
      </w:pPr>
      <w:r w:rsidRPr="007B27B0">
        <w:rPr>
          <w:rFonts w:ascii="Times New Roman" w:eastAsia="Times New Roman" w:hAnsi="Times New Roman"/>
          <w:sz w:val="17"/>
          <w:szCs w:val="17"/>
          <w:lang w:val="en-US"/>
        </w:rPr>
        <w:t xml:space="preserve">The Minister for Human Services Delegate in the exercise of the powers conferred by the </w:t>
      </w:r>
      <w:r w:rsidRPr="007B27B0">
        <w:rPr>
          <w:rFonts w:ascii="Times New Roman" w:eastAsia="Times New Roman" w:hAnsi="Times New Roman"/>
          <w:i/>
          <w:sz w:val="17"/>
          <w:szCs w:val="17"/>
          <w:lang w:val="en-US"/>
        </w:rPr>
        <w:t>Housing Improvement Act 2016</w:t>
      </w:r>
      <w:r w:rsidRPr="007B27B0">
        <w:rPr>
          <w:rFonts w:ascii="Times New Roman" w:eastAsia="Times New Roman" w:hAnsi="Times New Roman"/>
          <w:sz w:val="17"/>
          <w:szCs w:val="17"/>
          <w:lang w:val="en-US"/>
        </w:rPr>
        <w:t xml:space="preserve">, does hereby fix the maximum rental per week which shall be payable subject to Section 55 of the </w:t>
      </w:r>
      <w:r w:rsidRPr="007B27B0">
        <w:rPr>
          <w:rFonts w:ascii="Times New Roman" w:eastAsia="Times New Roman" w:hAnsi="Times New Roman"/>
          <w:i/>
          <w:sz w:val="17"/>
          <w:szCs w:val="17"/>
          <w:lang w:val="en-US"/>
        </w:rPr>
        <w:t>Residential Tenancies Act 1995</w:t>
      </w:r>
      <w:r w:rsidRPr="007B27B0">
        <w:rPr>
          <w:rFonts w:ascii="Times New Roman" w:eastAsia="Times New Roman" w:hAnsi="Times New Roman"/>
          <w:sz w:val="17"/>
          <w:szCs w:val="17"/>
          <w:lang w:val="en-US"/>
        </w:rPr>
        <w:t>, in respect of each house described in the following table. The amount shown in the said table shall come into force on the date of this publication in the Gazette.</w:t>
      </w:r>
    </w:p>
    <w:tbl>
      <w:tblPr>
        <w:tblW w:w="4976" w:type="pct"/>
        <w:tblInd w:w="75" w:type="dxa"/>
        <w:tblLayout w:type="fixed"/>
        <w:tblCellMar>
          <w:left w:w="0" w:type="dxa"/>
          <w:right w:w="0" w:type="dxa"/>
        </w:tblCellMar>
        <w:tblLook w:val="04A0" w:firstRow="1" w:lastRow="0" w:firstColumn="1" w:lastColumn="0" w:noHBand="0" w:noVBand="1"/>
      </w:tblPr>
      <w:tblGrid>
        <w:gridCol w:w="3078"/>
        <w:gridCol w:w="3356"/>
        <w:gridCol w:w="1463"/>
        <w:gridCol w:w="1418"/>
      </w:tblGrid>
      <w:tr w:rsidR="007B27B0" w:rsidRPr="007B27B0" w:rsidTr="005B075D">
        <w:trPr>
          <w:cantSplit/>
          <w:trHeight w:val="20"/>
        </w:trPr>
        <w:tc>
          <w:tcPr>
            <w:tcW w:w="3078" w:type="dxa"/>
            <w:tcBorders>
              <w:top w:val="single" w:sz="4" w:space="0" w:color="auto"/>
              <w:bottom w:val="single" w:sz="4" w:space="0" w:color="auto"/>
            </w:tcBorders>
            <w:tcMar>
              <w:top w:w="0" w:type="dxa"/>
              <w:left w:w="0" w:type="dxa"/>
              <w:bottom w:w="0" w:type="dxa"/>
              <w:right w:w="0" w:type="dxa"/>
            </w:tcMar>
            <w:vAlign w:val="center"/>
          </w:tcPr>
          <w:p w:rsidR="007B27B0" w:rsidRPr="007B27B0" w:rsidRDefault="007B27B0" w:rsidP="003B5EF1">
            <w:pPr>
              <w:spacing w:before="40" w:after="40"/>
              <w:jc w:val="center"/>
              <w:rPr>
                <w:rFonts w:ascii="Times New Roman" w:eastAsia="Times New Roman" w:hAnsi="Times New Roman"/>
                <w:b/>
                <w:sz w:val="17"/>
                <w:szCs w:val="17"/>
                <w:lang w:val="en-US"/>
              </w:rPr>
            </w:pPr>
            <w:r w:rsidRPr="007B27B0">
              <w:rPr>
                <w:rFonts w:ascii="Times New Roman" w:eastAsia="Times New Roman" w:hAnsi="Times New Roman"/>
                <w:b/>
                <w:sz w:val="17"/>
                <w:szCs w:val="17"/>
                <w:lang w:val="en-US"/>
              </w:rPr>
              <w:t>Address of Premises</w:t>
            </w:r>
          </w:p>
        </w:tc>
        <w:tc>
          <w:tcPr>
            <w:tcW w:w="3356" w:type="dxa"/>
            <w:tcBorders>
              <w:top w:val="single" w:sz="4" w:space="0" w:color="auto"/>
              <w:bottom w:val="single" w:sz="4" w:space="0" w:color="auto"/>
            </w:tcBorders>
            <w:tcMar>
              <w:top w:w="0" w:type="dxa"/>
              <w:left w:w="0" w:type="dxa"/>
              <w:bottom w:w="0" w:type="dxa"/>
              <w:right w:w="0" w:type="dxa"/>
            </w:tcMar>
            <w:vAlign w:val="center"/>
          </w:tcPr>
          <w:p w:rsidR="007B27B0" w:rsidRPr="007B27B0" w:rsidRDefault="007B27B0" w:rsidP="003B5EF1">
            <w:pPr>
              <w:spacing w:before="40" w:after="40"/>
              <w:jc w:val="center"/>
              <w:rPr>
                <w:rFonts w:ascii="Times New Roman" w:eastAsia="Times New Roman" w:hAnsi="Times New Roman"/>
                <w:b/>
                <w:sz w:val="17"/>
                <w:szCs w:val="17"/>
                <w:lang w:val="en-US"/>
              </w:rPr>
            </w:pPr>
            <w:r w:rsidRPr="007B27B0">
              <w:rPr>
                <w:rFonts w:ascii="Times New Roman" w:eastAsia="Times New Roman" w:hAnsi="Times New Roman"/>
                <w:b/>
                <w:sz w:val="17"/>
                <w:szCs w:val="17"/>
                <w:lang w:val="en-US"/>
              </w:rPr>
              <w:t xml:space="preserve">Allotment </w:t>
            </w:r>
            <w:r w:rsidRPr="007B27B0">
              <w:rPr>
                <w:rFonts w:ascii="Times New Roman" w:eastAsia="Times New Roman" w:hAnsi="Times New Roman"/>
                <w:b/>
                <w:sz w:val="17"/>
                <w:szCs w:val="17"/>
                <w:lang w:val="en-US"/>
              </w:rPr>
              <w:br/>
              <w:t>Section</w:t>
            </w:r>
          </w:p>
        </w:tc>
        <w:tc>
          <w:tcPr>
            <w:tcW w:w="1463" w:type="dxa"/>
            <w:tcBorders>
              <w:top w:val="single" w:sz="4" w:space="0" w:color="auto"/>
              <w:bottom w:val="single" w:sz="4" w:space="0" w:color="auto"/>
            </w:tcBorders>
            <w:tcMar>
              <w:top w:w="0" w:type="dxa"/>
              <w:left w:w="0" w:type="dxa"/>
              <w:bottom w:w="0" w:type="dxa"/>
              <w:right w:w="0" w:type="dxa"/>
            </w:tcMar>
            <w:vAlign w:val="center"/>
          </w:tcPr>
          <w:p w:rsidR="007B27B0" w:rsidRPr="007B27B0" w:rsidRDefault="007B27B0" w:rsidP="003B5EF1">
            <w:pPr>
              <w:spacing w:before="40" w:after="40"/>
              <w:jc w:val="center"/>
              <w:rPr>
                <w:rFonts w:ascii="Times New Roman" w:eastAsia="Times New Roman" w:hAnsi="Times New Roman"/>
                <w:b/>
                <w:sz w:val="17"/>
                <w:szCs w:val="17"/>
                <w:u w:val="single"/>
                <w:lang w:val="en-US"/>
              </w:rPr>
            </w:pPr>
            <w:r w:rsidRPr="007B27B0">
              <w:rPr>
                <w:rFonts w:ascii="Times New Roman" w:eastAsia="Times New Roman" w:hAnsi="Times New Roman"/>
                <w:b/>
                <w:sz w:val="17"/>
                <w:szCs w:val="17"/>
                <w:u w:val="single"/>
                <w:lang w:val="en-US"/>
              </w:rPr>
              <w:t>Certificate of Title</w:t>
            </w:r>
            <w:r w:rsidRPr="007B27B0">
              <w:rPr>
                <w:rFonts w:ascii="Times New Roman" w:eastAsia="Times New Roman" w:hAnsi="Times New Roman"/>
                <w:b/>
                <w:sz w:val="17"/>
                <w:szCs w:val="17"/>
                <w:u w:val="single"/>
                <w:lang w:val="en-US"/>
              </w:rPr>
              <w:br/>
            </w:r>
            <w:r w:rsidRPr="007B27B0">
              <w:rPr>
                <w:rFonts w:ascii="Times New Roman" w:eastAsia="Times New Roman" w:hAnsi="Times New Roman"/>
                <w:b/>
                <w:sz w:val="17"/>
                <w:szCs w:val="17"/>
                <w:lang w:val="en-US"/>
              </w:rPr>
              <w:t>Volume Folio</w:t>
            </w:r>
          </w:p>
        </w:tc>
        <w:tc>
          <w:tcPr>
            <w:tcW w:w="1418" w:type="dxa"/>
            <w:tcBorders>
              <w:top w:val="single" w:sz="4" w:space="0" w:color="auto"/>
              <w:bottom w:val="single" w:sz="4" w:space="0" w:color="auto"/>
            </w:tcBorders>
            <w:tcMar>
              <w:top w:w="0" w:type="dxa"/>
              <w:left w:w="0" w:type="dxa"/>
              <w:bottom w:w="0" w:type="dxa"/>
              <w:right w:w="0" w:type="dxa"/>
            </w:tcMar>
            <w:vAlign w:val="center"/>
          </w:tcPr>
          <w:p w:rsidR="007B27B0" w:rsidRPr="007B27B0" w:rsidRDefault="007B27B0" w:rsidP="003B5EF1">
            <w:pPr>
              <w:spacing w:before="40" w:after="40"/>
              <w:jc w:val="center"/>
              <w:rPr>
                <w:rFonts w:ascii="Times New Roman" w:eastAsia="Times New Roman" w:hAnsi="Times New Roman"/>
                <w:b/>
                <w:sz w:val="17"/>
                <w:szCs w:val="17"/>
                <w:lang w:val="en-US"/>
              </w:rPr>
            </w:pPr>
            <w:r w:rsidRPr="007B27B0">
              <w:rPr>
                <w:rFonts w:ascii="Times New Roman" w:eastAsia="Times New Roman" w:hAnsi="Times New Roman"/>
                <w:b/>
                <w:sz w:val="17"/>
                <w:szCs w:val="17"/>
                <w:lang w:val="en-US"/>
              </w:rPr>
              <w:t xml:space="preserve">Maximum Rental </w:t>
            </w:r>
            <w:r w:rsidRPr="007B27B0">
              <w:rPr>
                <w:rFonts w:ascii="Times New Roman" w:eastAsia="Times New Roman" w:hAnsi="Times New Roman"/>
                <w:b/>
                <w:sz w:val="17"/>
                <w:szCs w:val="17"/>
                <w:lang w:val="en-US"/>
              </w:rPr>
              <w:br/>
              <w:t>per week payable</w:t>
            </w:r>
          </w:p>
        </w:tc>
      </w:tr>
      <w:tr w:rsidR="007B27B0" w:rsidRPr="007B27B0" w:rsidTr="005B075D">
        <w:trPr>
          <w:cantSplit/>
          <w:trHeight w:val="20"/>
        </w:trPr>
        <w:tc>
          <w:tcPr>
            <w:tcW w:w="3078" w:type="dxa"/>
            <w:tcMar>
              <w:top w:w="0" w:type="dxa"/>
              <w:left w:w="0" w:type="dxa"/>
              <w:bottom w:w="0" w:type="dxa"/>
              <w:right w:w="0" w:type="dxa"/>
            </w:tcMar>
          </w:tcPr>
          <w:p w:rsidR="007B27B0" w:rsidRPr="007B27B0" w:rsidRDefault="007B27B0" w:rsidP="005B075D">
            <w:pPr>
              <w:spacing w:before="40" w:after="0"/>
              <w:jc w:val="left"/>
              <w:rPr>
                <w:rFonts w:ascii="Times New Roman" w:eastAsia="Times New Roman" w:hAnsi="Times New Roman"/>
                <w:sz w:val="17"/>
                <w:szCs w:val="17"/>
                <w:lang w:val="en-US"/>
              </w:rPr>
            </w:pPr>
            <w:r w:rsidRPr="007B27B0">
              <w:rPr>
                <w:rFonts w:ascii="Times New Roman" w:eastAsia="Times New Roman" w:hAnsi="Times New Roman"/>
                <w:sz w:val="17"/>
                <w:szCs w:val="17"/>
              </w:rPr>
              <w:t>269 G</w:t>
            </w:r>
            <w:r w:rsidR="005B075D">
              <w:rPr>
                <w:rFonts w:ascii="Times New Roman" w:eastAsia="Times New Roman" w:hAnsi="Times New Roman"/>
                <w:sz w:val="17"/>
                <w:szCs w:val="17"/>
              </w:rPr>
              <w:t>ilbert Street, Adelaide SA 5000</w:t>
            </w:r>
          </w:p>
        </w:tc>
        <w:tc>
          <w:tcPr>
            <w:tcW w:w="3356" w:type="dxa"/>
            <w:tcMar>
              <w:top w:w="0" w:type="dxa"/>
              <w:left w:w="0" w:type="dxa"/>
              <w:bottom w:w="0" w:type="dxa"/>
              <w:right w:w="0" w:type="dxa"/>
            </w:tcMar>
          </w:tcPr>
          <w:p w:rsidR="007B27B0" w:rsidRPr="005B075D" w:rsidRDefault="007B27B0" w:rsidP="005B075D">
            <w:pPr>
              <w:spacing w:before="40" w:after="0"/>
              <w:ind w:left="391"/>
              <w:jc w:val="left"/>
              <w:rPr>
                <w:rFonts w:ascii="Times New Roman" w:eastAsia="Times New Roman" w:hAnsi="Times New Roman"/>
                <w:sz w:val="17"/>
                <w:szCs w:val="17"/>
              </w:rPr>
            </w:pPr>
            <w:r w:rsidRPr="007B27B0">
              <w:rPr>
                <w:rFonts w:ascii="Times New Roman" w:eastAsia="Times New Roman" w:hAnsi="Times New Roman"/>
                <w:sz w:val="17"/>
                <w:szCs w:val="17"/>
              </w:rPr>
              <w:t xml:space="preserve">Allotment 3 Deposited Plan 448 </w:t>
            </w:r>
            <w:r w:rsidR="005B075D">
              <w:rPr>
                <w:rFonts w:ascii="Times New Roman" w:eastAsia="Times New Roman" w:hAnsi="Times New Roman"/>
                <w:sz w:val="17"/>
                <w:szCs w:val="17"/>
              </w:rPr>
              <w:br/>
            </w:r>
            <w:r w:rsidRPr="007B27B0">
              <w:rPr>
                <w:rFonts w:ascii="Times New Roman" w:eastAsia="Times New Roman" w:hAnsi="Times New Roman"/>
                <w:sz w:val="17"/>
                <w:szCs w:val="17"/>
              </w:rPr>
              <w:t>Hundred of Adelaide</w:t>
            </w:r>
          </w:p>
        </w:tc>
        <w:tc>
          <w:tcPr>
            <w:tcW w:w="1463" w:type="dxa"/>
            <w:tcMar>
              <w:top w:w="0" w:type="dxa"/>
              <w:left w:w="0" w:type="dxa"/>
              <w:bottom w:w="0" w:type="dxa"/>
              <w:right w:w="0" w:type="dxa"/>
            </w:tcMar>
          </w:tcPr>
          <w:p w:rsidR="007B27B0" w:rsidRPr="007B27B0" w:rsidRDefault="007B27B0" w:rsidP="003B5EF1">
            <w:pPr>
              <w:spacing w:before="40" w:after="0"/>
              <w:jc w:val="center"/>
              <w:rPr>
                <w:rFonts w:ascii="Times New Roman" w:eastAsia="Times New Roman" w:hAnsi="Times New Roman"/>
                <w:sz w:val="17"/>
                <w:szCs w:val="17"/>
                <w:lang w:val="en-US"/>
              </w:rPr>
            </w:pPr>
            <w:r w:rsidRPr="007B27B0">
              <w:rPr>
                <w:rFonts w:ascii="Times New Roman" w:eastAsia="Times New Roman" w:hAnsi="Times New Roman"/>
                <w:sz w:val="17"/>
                <w:szCs w:val="17"/>
              </w:rPr>
              <w:t>CT 6093/417</w:t>
            </w:r>
          </w:p>
        </w:tc>
        <w:tc>
          <w:tcPr>
            <w:tcW w:w="1418" w:type="dxa"/>
            <w:tcMar>
              <w:top w:w="0" w:type="dxa"/>
              <w:left w:w="0" w:type="dxa"/>
              <w:bottom w:w="0" w:type="dxa"/>
              <w:right w:w="0" w:type="dxa"/>
            </w:tcMar>
          </w:tcPr>
          <w:p w:rsidR="007B27B0" w:rsidRPr="007B27B0" w:rsidRDefault="007B27B0" w:rsidP="003B5EF1">
            <w:pPr>
              <w:spacing w:before="40" w:after="0"/>
              <w:jc w:val="center"/>
              <w:rPr>
                <w:rFonts w:ascii="Times New Roman" w:eastAsia="Times New Roman" w:hAnsi="Times New Roman"/>
                <w:sz w:val="17"/>
                <w:szCs w:val="17"/>
                <w:lang w:val="en-US"/>
              </w:rPr>
            </w:pPr>
            <w:r w:rsidRPr="007B27B0">
              <w:rPr>
                <w:rFonts w:ascii="Times New Roman" w:eastAsia="Times New Roman" w:hAnsi="Times New Roman"/>
                <w:sz w:val="17"/>
                <w:szCs w:val="17"/>
              </w:rPr>
              <w:t>$600.00</w:t>
            </w:r>
          </w:p>
        </w:tc>
      </w:tr>
      <w:tr w:rsidR="007B27B0" w:rsidRPr="007B27B0" w:rsidTr="005B075D">
        <w:trPr>
          <w:cantSplit/>
          <w:trHeight w:val="20"/>
        </w:trPr>
        <w:tc>
          <w:tcPr>
            <w:tcW w:w="3078" w:type="dxa"/>
            <w:tcBorders>
              <w:bottom w:val="single" w:sz="4" w:space="0" w:color="auto"/>
            </w:tcBorders>
            <w:tcMar>
              <w:top w:w="0" w:type="dxa"/>
              <w:left w:w="0" w:type="dxa"/>
              <w:bottom w:w="0" w:type="dxa"/>
              <w:right w:w="0" w:type="dxa"/>
            </w:tcMar>
          </w:tcPr>
          <w:p w:rsidR="007B27B0" w:rsidRPr="007B27B0" w:rsidRDefault="007B27B0" w:rsidP="005B075D">
            <w:pPr>
              <w:spacing w:after="40"/>
              <w:jc w:val="left"/>
              <w:rPr>
                <w:rFonts w:ascii="Times New Roman" w:eastAsia="Times New Roman" w:hAnsi="Times New Roman"/>
                <w:sz w:val="17"/>
                <w:szCs w:val="17"/>
                <w:lang w:val="en-US"/>
              </w:rPr>
            </w:pPr>
            <w:r w:rsidRPr="007B27B0">
              <w:rPr>
                <w:rFonts w:ascii="Times New Roman" w:eastAsia="Times New Roman" w:hAnsi="Times New Roman"/>
                <w:sz w:val="17"/>
                <w:szCs w:val="17"/>
              </w:rPr>
              <w:t>32 Wilkin</w:t>
            </w:r>
            <w:r w:rsidR="005B075D">
              <w:rPr>
                <w:rFonts w:ascii="Times New Roman" w:eastAsia="Times New Roman" w:hAnsi="Times New Roman"/>
                <w:sz w:val="17"/>
                <w:szCs w:val="17"/>
              </w:rPr>
              <w:t>s Road, Elizabeth Downs SA 5113</w:t>
            </w:r>
          </w:p>
        </w:tc>
        <w:tc>
          <w:tcPr>
            <w:tcW w:w="3356" w:type="dxa"/>
            <w:tcBorders>
              <w:bottom w:val="single" w:sz="4" w:space="0" w:color="auto"/>
            </w:tcBorders>
            <w:tcMar>
              <w:top w:w="0" w:type="dxa"/>
              <w:left w:w="0" w:type="dxa"/>
              <w:bottom w:w="0" w:type="dxa"/>
              <w:right w:w="0" w:type="dxa"/>
            </w:tcMar>
          </w:tcPr>
          <w:p w:rsidR="007B27B0" w:rsidRPr="005B075D" w:rsidRDefault="007B27B0" w:rsidP="005B075D">
            <w:pPr>
              <w:spacing w:after="40"/>
              <w:ind w:left="391"/>
              <w:jc w:val="left"/>
              <w:rPr>
                <w:rFonts w:ascii="Times New Roman" w:eastAsia="Times New Roman" w:hAnsi="Times New Roman"/>
                <w:sz w:val="17"/>
                <w:szCs w:val="17"/>
              </w:rPr>
            </w:pPr>
            <w:r w:rsidRPr="007B27B0">
              <w:rPr>
                <w:rFonts w:ascii="Times New Roman" w:eastAsia="Times New Roman" w:hAnsi="Times New Roman"/>
                <w:sz w:val="17"/>
                <w:szCs w:val="17"/>
              </w:rPr>
              <w:t xml:space="preserve">Allotment 33 Deposited Plan 53536 </w:t>
            </w:r>
            <w:r w:rsidR="005B075D">
              <w:rPr>
                <w:rFonts w:ascii="Times New Roman" w:eastAsia="Times New Roman" w:hAnsi="Times New Roman"/>
                <w:sz w:val="17"/>
                <w:szCs w:val="17"/>
              </w:rPr>
              <w:br/>
            </w:r>
            <w:r w:rsidRPr="007B27B0">
              <w:rPr>
                <w:rFonts w:ascii="Times New Roman" w:eastAsia="Times New Roman" w:hAnsi="Times New Roman"/>
                <w:sz w:val="17"/>
                <w:szCs w:val="17"/>
              </w:rPr>
              <w:t>Hundred of Munno Para</w:t>
            </w:r>
          </w:p>
        </w:tc>
        <w:tc>
          <w:tcPr>
            <w:tcW w:w="1463" w:type="dxa"/>
            <w:tcBorders>
              <w:bottom w:val="single" w:sz="4" w:space="0" w:color="auto"/>
            </w:tcBorders>
            <w:tcMar>
              <w:top w:w="0" w:type="dxa"/>
              <w:left w:w="0" w:type="dxa"/>
              <w:bottom w:w="0" w:type="dxa"/>
              <w:right w:w="0" w:type="dxa"/>
            </w:tcMar>
          </w:tcPr>
          <w:p w:rsidR="007B27B0" w:rsidRPr="007B27B0" w:rsidRDefault="007B27B0" w:rsidP="003B5EF1">
            <w:pPr>
              <w:spacing w:after="40"/>
              <w:jc w:val="center"/>
              <w:rPr>
                <w:rFonts w:ascii="Times New Roman" w:eastAsia="Times New Roman" w:hAnsi="Times New Roman"/>
                <w:sz w:val="17"/>
                <w:szCs w:val="17"/>
                <w:lang w:val="en-US"/>
              </w:rPr>
            </w:pPr>
            <w:r w:rsidRPr="007B27B0">
              <w:rPr>
                <w:rFonts w:ascii="Times New Roman" w:eastAsia="Times New Roman" w:hAnsi="Times New Roman"/>
                <w:sz w:val="17"/>
                <w:szCs w:val="17"/>
              </w:rPr>
              <w:t>CT5729/346</w:t>
            </w:r>
          </w:p>
        </w:tc>
        <w:tc>
          <w:tcPr>
            <w:tcW w:w="1418" w:type="dxa"/>
            <w:tcBorders>
              <w:bottom w:val="single" w:sz="4" w:space="0" w:color="auto"/>
            </w:tcBorders>
            <w:tcMar>
              <w:top w:w="0" w:type="dxa"/>
              <w:left w:w="0" w:type="dxa"/>
              <w:bottom w:w="0" w:type="dxa"/>
              <w:right w:w="0" w:type="dxa"/>
            </w:tcMar>
          </w:tcPr>
          <w:p w:rsidR="007B27B0" w:rsidRPr="007B27B0" w:rsidRDefault="007B27B0" w:rsidP="003B5EF1">
            <w:pPr>
              <w:spacing w:after="40"/>
              <w:jc w:val="center"/>
              <w:rPr>
                <w:rFonts w:ascii="Times New Roman" w:eastAsia="Times New Roman" w:hAnsi="Times New Roman"/>
                <w:sz w:val="17"/>
                <w:szCs w:val="17"/>
                <w:lang w:val="en-US"/>
              </w:rPr>
            </w:pPr>
            <w:r w:rsidRPr="007B27B0">
              <w:rPr>
                <w:rFonts w:ascii="Times New Roman" w:eastAsia="Times New Roman" w:hAnsi="Times New Roman"/>
                <w:sz w:val="17"/>
                <w:szCs w:val="17"/>
              </w:rPr>
              <w:t>$110.00</w:t>
            </w:r>
          </w:p>
        </w:tc>
      </w:tr>
    </w:tbl>
    <w:p w:rsidR="007B27B0" w:rsidRPr="007B27B0" w:rsidRDefault="007B27B0" w:rsidP="007B27B0">
      <w:pPr>
        <w:spacing w:before="80" w:after="0"/>
        <w:rPr>
          <w:rFonts w:ascii="Times New Roman" w:eastAsia="Times New Roman" w:hAnsi="Times New Roman"/>
          <w:sz w:val="17"/>
          <w:szCs w:val="17"/>
        </w:rPr>
      </w:pPr>
      <w:r w:rsidRPr="007B27B0">
        <w:rPr>
          <w:rFonts w:ascii="Times New Roman" w:eastAsia="Times New Roman" w:hAnsi="Times New Roman"/>
          <w:sz w:val="17"/>
          <w:szCs w:val="17"/>
        </w:rPr>
        <w:t>Dated: 23 December 2021</w:t>
      </w:r>
    </w:p>
    <w:p w:rsidR="007B27B0" w:rsidRPr="007B27B0" w:rsidRDefault="007B27B0" w:rsidP="007B27B0">
      <w:pPr>
        <w:spacing w:after="0"/>
        <w:jc w:val="right"/>
        <w:rPr>
          <w:rFonts w:ascii="Times New Roman" w:eastAsia="Times New Roman" w:hAnsi="Times New Roman"/>
          <w:smallCaps/>
          <w:sz w:val="17"/>
          <w:szCs w:val="17"/>
          <w:lang w:val="en-US"/>
        </w:rPr>
      </w:pPr>
      <w:r w:rsidRPr="007B27B0">
        <w:rPr>
          <w:rFonts w:ascii="Times New Roman" w:eastAsia="Times New Roman" w:hAnsi="Times New Roman"/>
          <w:smallCaps/>
          <w:sz w:val="17"/>
          <w:szCs w:val="20"/>
          <w:lang w:val="en-US"/>
        </w:rPr>
        <w:t>Craig Thompson</w:t>
      </w:r>
    </w:p>
    <w:p w:rsidR="007B27B0" w:rsidRPr="007B27B0" w:rsidRDefault="007B27B0" w:rsidP="005B075D">
      <w:pPr>
        <w:pStyle w:val="GG-Signature"/>
        <w:rPr>
          <w:lang w:val="en-US"/>
        </w:rPr>
      </w:pPr>
      <w:r w:rsidRPr="007B27B0">
        <w:rPr>
          <w:lang w:val="en-US"/>
        </w:rPr>
        <w:t>Housing Regulator and Registrar</w:t>
      </w:r>
    </w:p>
    <w:p w:rsidR="007B27B0" w:rsidRPr="007B27B0" w:rsidRDefault="007B27B0" w:rsidP="005B075D">
      <w:pPr>
        <w:pStyle w:val="GG-Signature"/>
        <w:rPr>
          <w:lang w:val="en-US"/>
        </w:rPr>
      </w:pPr>
      <w:r w:rsidRPr="007B27B0">
        <w:rPr>
          <w:lang w:val="en-US"/>
        </w:rPr>
        <w:t>Housing Safety Authority, SAHA</w:t>
      </w:r>
    </w:p>
    <w:p w:rsidR="007B27B0" w:rsidRPr="007B27B0" w:rsidRDefault="007B27B0" w:rsidP="005B075D">
      <w:pPr>
        <w:pStyle w:val="GG-Signature"/>
        <w:rPr>
          <w:lang w:val="en-US"/>
        </w:rPr>
      </w:pPr>
      <w:r w:rsidRPr="007B27B0">
        <w:rPr>
          <w:lang w:val="en-US"/>
        </w:rPr>
        <w:t>Delegate of Minister for Human Services</w:t>
      </w:r>
    </w:p>
    <w:p w:rsidR="007B27B0" w:rsidRPr="007B27B0" w:rsidRDefault="007B27B0" w:rsidP="007B27B0">
      <w:pPr>
        <w:pBdr>
          <w:top w:val="single" w:sz="4" w:space="1" w:color="auto"/>
        </w:pBdr>
        <w:spacing w:before="100" w:after="0" w:line="14" w:lineRule="exact"/>
        <w:jc w:val="center"/>
        <w:rPr>
          <w:rFonts w:ascii="Times New Roman" w:eastAsia="Times New Roman" w:hAnsi="Times New Roman"/>
          <w:sz w:val="17"/>
          <w:szCs w:val="17"/>
          <w:lang w:val="en-US"/>
        </w:rPr>
      </w:pPr>
    </w:p>
    <w:p w:rsidR="007B27B0" w:rsidRDefault="007B27B0" w:rsidP="003E70F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2E6ACC" w:rsidRPr="002E6ACC" w:rsidRDefault="002E6ACC" w:rsidP="002E6ACC">
      <w:pPr>
        <w:jc w:val="center"/>
        <w:rPr>
          <w:rFonts w:ascii="Times New Roman" w:eastAsia="Times New Roman" w:hAnsi="Times New Roman"/>
          <w:caps/>
          <w:sz w:val="17"/>
          <w:szCs w:val="17"/>
          <w:lang w:val="en-US"/>
        </w:rPr>
      </w:pPr>
      <w:r w:rsidRPr="002E6ACC">
        <w:rPr>
          <w:rFonts w:ascii="Times New Roman" w:hAnsi="Times New Roman"/>
          <w:caps/>
          <w:sz w:val="17"/>
          <w:szCs w:val="17"/>
          <w:lang w:val="en-US"/>
        </w:rPr>
        <w:t>Housing Improvement Act 2016</w:t>
      </w:r>
    </w:p>
    <w:p w:rsidR="002E6ACC" w:rsidRPr="002E6ACC" w:rsidRDefault="002E6ACC" w:rsidP="002E6ACC">
      <w:pPr>
        <w:jc w:val="center"/>
        <w:rPr>
          <w:rFonts w:ascii="Times New Roman" w:hAnsi="Times New Roman"/>
          <w:i/>
          <w:sz w:val="17"/>
          <w:szCs w:val="17"/>
          <w:lang w:val="en-US"/>
        </w:rPr>
      </w:pPr>
      <w:r w:rsidRPr="002E6ACC">
        <w:rPr>
          <w:rFonts w:ascii="Times New Roman" w:hAnsi="Times New Roman"/>
          <w:i/>
          <w:sz w:val="17"/>
          <w:szCs w:val="17"/>
          <w:lang w:val="en-US"/>
        </w:rPr>
        <w:t>Rent Control Revocations</w:t>
      </w:r>
    </w:p>
    <w:p w:rsidR="002E6ACC" w:rsidRPr="00845735" w:rsidRDefault="002E6ACC" w:rsidP="002E6ACC">
      <w:pPr>
        <w:rPr>
          <w:rFonts w:ascii="Times New Roman" w:eastAsia="Times New Roman" w:hAnsi="Times New Roman"/>
          <w:spacing w:val="-2"/>
          <w:sz w:val="17"/>
          <w:szCs w:val="17"/>
          <w:lang w:val="en-US"/>
        </w:rPr>
      </w:pPr>
      <w:r w:rsidRPr="00845735">
        <w:rPr>
          <w:rFonts w:ascii="Times New Roman" w:eastAsia="Times New Roman" w:hAnsi="Times New Roman"/>
          <w:spacing w:val="-2"/>
          <w:sz w:val="17"/>
          <w:szCs w:val="17"/>
          <w:lang w:val="en-US"/>
        </w:rPr>
        <w:t xml:space="preserve">Whereas the Minister for Human Services Delegate is satisfied that each of the houses described hereunder has ceased to be unsafe or unsuitable for human habitation for the purposes of the </w:t>
      </w:r>
      <w:r w:rsidRPr="00845735">
        <w:rPr>
          <w:rFonts w:ascii="Times New Roman" w:eastAsia="Times New Roman" w:hAnsi="Times New Roman"/>
          <w:i/>
          <w:spacing w:val="-2"/>
          <w:sz w:val="17"/>
          <w:szCs w:val="17"/>
          <w:lang w:val="en-US"/>
        </w:rPr>
        <w:t>Housing Improvement Act 2016</w:t>
      </w:r>
      <w:r w:rsidRPr="00845735">
        <w:rPr>
          <w:rFonts w:ascii="Times New Roman" w:eastAsia="Times New Roman" w:hAnsi="Times New Roman"/>
          <w:spacing w:val="-2"/>
          <w:sz w:val="17"/>
          <w:szCs w:val="17"/>
          <w:lang w:val="en-US"/>
        </w:rPr>
        <w:t>, notice is hereby given that, in exercise of the powers conferred by the said Act, the Minister for Human Services Delegate does hereby revoke the said Rent Contr</w:t>
      </w:r>
      <w:r w:rsidR="003E70F0" w:rsidRPr="00845735">
        <w:rPr>
          <w:rFonts w:ascii="Times New Roman" w:eastAsia="Times New Roman" w:hAnsi="Times New Roman"/>
          <w:spacing w:val="-2"/>
          <w:sz w:val="17"/>
          <w:szCs w:val="17"/>
          <w:lang w:val="en-US"/>
        </w:rPr>
        <w:t>ol in respect of each property.</w:t>
      </w:r>
    </w:p>
    <w:tbl>
      <w:tblPr>
        <w:tblW w:w="4976" w:type="pct"/>
        <w:tblInd w:w="75" w:type="dxa"/>
        <w:tblLayout w:type="fixed"/>
        <w:tblCellMar>
          <w:left w:w="0" w:type="dxa"/>
          <w:right w:w="0" w:type="dxa"/>
        </w:tblCellMar>
        <w:tblLook w:val="04A0" w:firstRow="1" w:lastRow="0" w:firstColumn="1" w:lastColumn="0" w:noHBand="0" w:noVBand="1"/>
      </w:tblPr>
      <w:tblGrid>
        <w:gridCol w:w="3220"/>
        <w:gridCol w:w="4110"/>
        <w:gridCol w:w="1985"/>
      </w:tblGrid>
      <w:tr w:rsidR="002E6ACC" w:rsidRPr="002E6ACC" w:rsidTr="003B5EF1">
        <w:trPr>
          <w:trHeight w:val="20"/>
        </w:trPr>
        <w:tc>
          <w:tcPr>
            <w:tcW w:w="3220" w:type="dxa"/>
            <w:tcBorders>
              <w:top w:val="single" w:sz="4" w:space="0" w:color="auto"/>
              <w:bottom w:val="single" w:sz="4" w:space="0" w:color="auto"/>
            </w:tcBorders>
            <w:tcMar>
              <w:top w:w="0" w:type="dxa"/>
              <w:left w:w="0" w:type="dxa"/>
              <w:bottom w:w="0" w:type="dxa"/>
              <w:right w:w="0" w:type="dxa"/>
            </w:tcMar>
            <w:vAlign w:val="center"/>
          </w:tcPr>
          <w:p w:rsidR="002E6ACC" w:rsidRPr="002E6ACC" w:rsidRDefault="002E6ACC" w:rsidP="003B5EF1">
            <w:pPr>
              <w:spacing w:before="40" w:after="40"/>
              <w:jc w:val="center"/>
              <w:rPr>
                <w:rFonts w:ascii="Times New Roman" w:eastAsia="Times New Roman" w:hAnsi="Times New Roman"/>
                <w:b/>
                <w:sz w:val="17"/>
                <w:szCs w:val="17"/>
                <w:lang w:val="en-US"/>
              </w:rPr>
            </w:pPr>
            <w:r w:rsidRPr="002E6ACC">
              <w:rPr>
                <w:rFonts w:ascii="Times New Roman" w:eastAsia="Times New Roman" w:hAnsi="Times New Roman"/>
                <w:b/>
                <w:sz w:val="17"/>
                <w:szCs w:val="17"/>
                <w:lang w:val="en-US"/>
              </w:rPr>
              <w:t>Address of Premises</w:t>
            </w:r>
          </w:p>
        </w:tc>
        <w:tc>
          <w:tcPr>
            <w:tcW w:w="4110" w:type="dxa"/>
            <w:tcBorders>
              <w:top w:val="single" w:sz="4" w:space="0" w:color="auto"/>
              <w:bottom w:val="single" w:sz="4" w:space="0" w:color="auto"/>
            </w:tcBorders>
            <w:tcMar>
              <w:top w:w="0" w:type="dxa"/>
              <w:left w:w="0" w:type="dxa"/>
              <w:bottom w:w="0" w:type="dxa"/>
              <w:right w:w="0" w:type="dxa"/>
            </w:tcMar>
            <w:vAlign w:val="center"/>
          </w:tcPr>
          <w:p w:rsidR="002E6ACC" w:rsidRPr="002E6ACC" w:rsidRDefault="002E6ACC" w:rsidP="003B5EF1">
            <w:pPr>
              <w:spacing w:before="40" w:after="40"/>
              <w:jc w:val="center"/>
              <w:rPr>
                <w:rFonts w:ascii="Times New Roman" w:eastAsia="Times New Roman" w:hAnsi="Times New Roman"/>
                <w:b/>
                <w:sz w:val="17"/>
                <w:szCs w:val="17"/>
                <w:lang w:val="en-US"/>
              </w:rPr>
            </w:pPr>
            <w:r w:rsidRPr="002E6ACC">
              <w:rPr>
                <w:rFonts w:ascii="Times New Roman" w:eastAsia="Times New Roman" w:hAnsi="Times New Roman"/>
                <w:b/>
                <w:sz w:val="17"/>
                <w:szCs w:val="17"/>
                <w:lang w:val="en-US"/>
              </w:rPr>
              <w:t xml:space="preserve">Allotment </w:t>
            </w:r>
            <w:r w:rsidRPr="002E6ACC">
              <w:rPr>
                <w:rFonts w:ascii="Times New Roman" w:eastAsia="Times New Roman" w:hAnsi="Times New Roman"/>
                <w:b/>
                <w:sz w:val="17"/>
                <w:szCs w:val="17"/>
                <w:lang w:val="en-US"/>
              </w:rPr>
              <w:br/>
              <w:t>Section</w:t>
            </w:r>
          </w:p>
        </w:tc>
        <w:tc>
          <w:tcPr>
            <w:tcW w:w="1985" w:type="dxa"/>
            <w:tcBorders>
              <w:top w:val="single" w:sz="4" w:space="0" w:color="auto"/>
              <w:bottom w:val="single" w:sz="4" w:space="0" w:color="auto"/>
            </w:tcBorders>
            <w:tcMar>
              <w:top w:w="0" w:type="dxa"/>
              <w:left w:w="0" w:type="dxa"/>
              <w:bottom w:w="0" w:type="dxa"/>
              <w:right w:w="0" w:type="dxa"/>
            </w:tcMar>
            <w:vAlign w:val="center"/>
          </w:tcPr>
          <w:p w:rsidR="002E6ACC" w:rsidRPr="002E6ACC" w:rsidRDefault="002E6ACC" w:rsidP="003B5EF1">
            <w:pPr>
              <w:spacing w:before="40" w:after="40"/>
              <w:jc w:val="center"/>
              <w:rPr>
                <w:rFonts w:ascii="Times New Roman" w:eastAsia="Times New Roman" w:hAnsi="Times New Roman"/>
                <w:b/>
                <w:sz w:val="17"/>
                <w:szCs w:val="17"/>
                <w:u w:val="single"/>
                <w:lang w:val="en-US"/>
              </w:rPr>
            </w:pPr>
            <w:r w:rsidRPr="002E6ACC">
              <w:rPr>
                <w:rFonts w:ascii="Times New Roman" w:eastAsia="Times New Roman" w:hAnsi="Times New Roman"/>
                <w:b/>
                <w:sz w:val="17"/>
                <w:szCs w:val="17"/>
                <w:u w:val="single"/>
                <w:lang w:val="en-US"/>
              </w:rPr>
              <w:t>Certificate of Title</w:t>
            </w:r>
            <w:r w:rsidRPr="002E6ACC">
              <w:rPr>
                <w:rFonts w:ascii="Times New Roman" w:eastAsia="Times New Roman" w:hAnsi="Times New Roman"/>
                <w:b/>
                <w:sz w:val="17"/>
                <w:szCs w:val="17"/>
                <w:u w:val="single"/>
                <w:lang w:val="en-US"/>
              </w:rPr>
              <w:br/>
            </w:r>
            <w:r w:rsidRPr="002E6ACC">
              <w:rPr>
                <w:rFonts w:ascii="Times New Roman" w:eastAsia="Times New Roman" w:hAnsi="Times New Roman"/>
                <w:b/>
                <w:sz w:val="17"/>
                <w:szCs w:val="17"/>
                <w:lang w:val="en-US"/>
              </w:rPr>
              <w:t>Volume Folio</w:t>
            </w:r>
          </w:p>
        </w:tc>
      </w:tr>
      <w:tr w:rsidR="002E6ACC" w:rsidRPr="002E6ACC" w:rsidTr="003B5EF1">
        <w:trPr>
          <w:trHeight w:val="20"/>
        </w:trPr>
        <w:tc>
          <w:tcPr>
            <w:tcW w:w="3220" w:type="dxa"/>
            <w:tcMar>
              <w:top w:w="0" w:type="dxa"/>
              <w:left w:w="0" w:type="dxa"/>
              <w:bottom w:w="0" w:type="dxa"/>
              <w:right w:w="0" w:type="dxa"/>
            </w:tcMar>
          </w:tcPr>
          <w:p w:rsidR="002E6ACC" w:rsidRPr="002E6ACC" w:rsidRDefault="002E6ACC" w:rsidP="003B5EF1">
            <w:pPr>
              <w:spacing w:before="40" w:after="0"/>
              <w:rPr>
                <w:rFonts w:ascii="Times New Roman" w:hAnsi="Times New Roman"/>
                <w:sz w:val="17"/>
                <w:szCs w:val="17"/>
              </w:rPr>
            </w:pPr>
            <w:r w:rsidRPr="002E6ACC">
              <w:rPr>
                <w:rFonts w:ascii="Times New Roman" w:hAnsi="Times New Roman"/>
                <w:sz w:val="17"/>
                <w:szCs w:val="17"/>
              </w:rPr>
              <w:t xml:space="preserve">32 Randall Street, Port Mannum SA 5238 </w:t>
            </w:r>
          </w:p>
        </w:tc>
        <w:tc>
          <w:tcPr>
            <w:tcW w:w="4110" w:type="dxa"/>
            <w:tcMar>
              <w:top w:w="0" w:type="dxa"/>
              <w:left w:w="0" w:type="dxa"/>
              <w:bottom w:w="0" w:type="dxa"/>
              <w:right w:w="0" w:type="dxa"/>
            </w:tcMar>
          </w:tcPr>
          <w:p w:rsidR="002E6ACC" w:rsidRPr="002E6ACC" w:rsidRDefault="002E6ACC" w:rsidP="003B5EF1">
            <w:pPr>
              <w:spacing w:before="40" w:after="0"/>
              <w:rPr>
                <w:rFonts w:ascii="Times New Roman" w:hAnsi="Times New Roman"/>
                <w:sz w:val="17"/>
                <w:szCs w:val="17"/>
              </w:rPr>
            </w:pPr>
            <w:r w:rsidRPr="002E6ACC">
              <w:rPr>
                <w:rFonts w:ascii="Times New Roman" w:hAnsi="Times New Roman"/>
                <w:sz w:val="17"/>
                <w:szCs w:val="17"/>
              </w:rPr>
              <w:t>Allotment 43 Township Plan 170302 Hundred of Finnis</w:t>
            </w:r>
          </w:p>
        </w:tc>
        <w:tc>
          <w:tcPr>
            <w:tcW w:w="1985" w:type="dxa"/>
            <w:tcMar>
              <w:top w:w="0" w:type="dxa"/>
              <w:left w:w="0" w:type="dxa"/>
              <w:bottom w:w="0" w:type="dxa"/>
              <w:right w:w="0" w:type="dxa"/>
            </w:tcMar>
          </w:tcPr>
          <w:p w:rsidR="002E6ACC" w:rsidRPr="002E6ACC" w:rsidRDefault="002E6ACC" w:rsidP="003B5EF1">
            <w:pPr>
              <w:spacing w:before="40" w:after="0"/>
              <w:jc w:val="center"/>
              <w:rPr>
                <w:rFonts w:ascii="Times New Roman" w:hAnsi="Times New Roman"/>
                <w:sz w:val="17"/>
                <w:szCs w:val="17"/>
              </w:rPr>
            </w:pPr>
            <w:r w:rsidRPr="002E6ACC">
              <w:rPr>
                <w:rFonts w:ascii="Times New Roman" w:hAnsi="Times New Roman"/>
                <w:sz w:val="17"/>
                <w:szCs w:val="17"/>
              </w:rPr>
              <w:t>CT5312/873</w:t>
            </w:r>
          </w:p>
        </w:tc>
      </w:tr>
      <w:tr w:rsidR="002E6ACC" w:rsidRPr="002E6ACC" w:rsidTr="003B5EF1">
        <w:trPr>
          <w:trHeight w:val="20"/>
        </w:trPr>
        <w:tc>
          <w:tcPr>
            <w:tcW w:w="3220" w:type="dxa"/>
            <w:tcBorders>
              <w:bottom w:val="single" w:sz="4" w:space="0" w:color="auto"/>
            </w:tcBorders>
            <w:tcMar>
              <w:top w:w="0" w:type="dxa"/>
              <w:left w:w="0" w:type="dxa"/>
              <w:bottom w:w="0" w:type="dxa"/>
              <w:right w:w="0" w:type="dxa"/>
            </w:tcMar>
          </w:tcPr>
          <w:p w:rsidR="002E6ACC" w:rsidRPr="002E6ACC" w:rsidRDefault="002E6ACC" w:rsidP="003B5EF1">
            <w:pPr>
              <w:spacing w:after="40"/>
              <w:rPr>
                <w:rFonts w:ascii="Times New Roman" w:hAnsi="Times New Roman"/>
                <w:sz w:val="17"/>
                <w:szCs w:val="17"/>
              </w:rPr>
            </w:pPr>
            <w:r w:rsidRPr="002E6ACC">
              <w:rPr>
                <w:rFonts w:ascii="Times New Roman" w:hAnsi="Times New Roman"/>
                <w:sz w:val="17"/>
                <w:szCs w:val="17"/>
              </w:rPr>
              <w:t xml:space="preserve">11 Berrin Road, Morphett Vale SA 5162 </w:t>
            </w:r>
          </w:p>
        </w:tc>
        <w:tc>
          <w:tcPr>
            <w:tcW w:w="4110" w:type="dxa"/>
            <w:tcBorders>
              <w:bottom w:val="single" w:sz="4" w:space="0" w:color="auto"/>
            </w:tcBorders>
            <w:tcMar>
              <w:top w:w="0" w:type="dxa"/>
              <w:left w:w="0" w:type="dxa"/>
              <w:bottom w:w="0" w:type="dxa"/>
              <w:right w:w="0" w:type="dxa"/>
            </w:tcMar>
          </w:tcPr>
          <w:p w:rsidR="002E6ACC" w:rsidRPr="002E6ACC" w:rsidRDefault="002E6ACC" w:rsidP="003B5EF1">
            <w:pPr>
              <w:spacing w:after="40"/>
              <w:rPr>
                <w:rFonts w:ascii="Times New Roman" w:hAnsi="Times New Roman"/>
                <w:sz w:val="17"/>
                <w:szCs w:val="17"/>
              </w:rPr>
            </w:pPr>
            <w:r w:rsidRPr="002E6ACC">
              <w:rPr>
                <w:rFonts w:ascii="Times New Roman" w:hAnsi="Times New Roman"/>
                <w:sz w:val="17"/>
                <w:szCs w:val="17"/>
              </w:rPr>
              <w:t>Allotment 515 Deposited Plan 6691 Hundred of Noarlunga</w:t>
            </w:r>
          </w:p>
        </w:tc>
        <w:tc>
          <w:tcPr>
            <w:tcW w:w="1985" w:type="dxa"/>
            <w:tcBorders>
              <w:bottom w:val="single" w:sz="4" w:space="0" w:color="auto"/>
            </w:tcBorders>
            <w:tcMar>
              <w:top w:w="0" w:type="dxa"/>
              <w:left w:w="0" w:type="dxa"/>
              <w:bottom w:w="0" w:type="dxa"/>
              <w:right w:w="0" w:type="dxa"/>
            </w:tcMar>
          </w:tcPr>
          <w:p w:rsidR="002E6ACC" w:rsidRPr="002E6ACC" w:rsidRDefault="002E6ACC" w:rsidP="003B5EF1">
            <w:pPr>
              <w:spacing w:after="40"/>
              <w:jc w:val="center"/>
              <w:rPr>
                <w:rFonts w:ascii="Times New Roman" w:hAnsi="Times New Roman"/>
                <w:sz w:val="17"/>
                <w:szCs w:val="17"/>
              </w:rPr>
            </w:pPr>
            <w:r w:rsidRPr="002E6ACC">
              <w:rPr>
                <w:rFonts w:ascii="Times New Roman" w:hAnsi="Times New Roman"/>
                <w:sz w:val="17"/>
                <w:szCs w:val="17"/>
              </w:rPr>
              <w:t>CT5232/132</w:t>
            </w:r>
          </w:p>
        </w:tc>
      </w:tr>
    </w:tbl>
    <w:p w:rsidR="002E6ACC" w:rsidRPr="002E6ACC" w:rsidRDefault="002E6ACC" w:rsidP="002E6ACC">
      <w:pPr>
        <w:spacing w:before="80" w:after="0"/>
        <w:rPr>
          <w:rFonts w:ascii="Times New Roman" w:eastAsia="Times New Roman" w:hAnsi="Times New Roman"/>
          <w:sz w:val="17"/>
          <w:szCs w:val="17"/>
        </w:rPr>
      </w:pPr>
      <w:r w:rsidRPr="002E6ACC">
        <w:rPr>
          <w:rFonts w:ascii="Times New Roman" w:eastAsia="Times New Roman" w:hAnsi="Times New Roman"/>
          <w:sz w:val="17"/>
          <w:szCs w:val="17"/>
        </w:rPr>
        <w:t>Dated: 23 December 2021</w:t>
      </w:r>
    </w:p>
    <w:p w:rsidR="002E6ACC" w:rsidRPr="002E6ACC" w:rsidRDefault="002E6ACC" w:rsidP="002E6ACC">
      <w:pPr>
        <w:spacing w:after="0"/>
        <w:jc w:val="right"/>
        <w:rPr>
          <w:rFonts w:ascii="Times New Roman" w:eastAsia="Times New Roman" w:hAnsi="Times New Roman"/>
          <w:smallCaps/>
          <w:sz w:val="17"/>
          <w:szCs w:val="17"/>
          <w:lang w:val="en-US"/>
        </w:rPr>
      </w:pPr>
      <w:r w:rsidRPr="002E6ACC">
        <w:rPr>
          <w:rFonts w:ascii="Times New Roman" w:eastAsia="Times New Roman" w:hAnsi="Times New Roman"/>
          <w:smallCaps/>
          <w:sz w:val="17"/>
          <w:szCs w:val="20"/>
          <w:lang w:val="en-US"/>
        </w:rPr>
        <w:t>Craig Thompson</w:t>
      </w:r>
    </w:p>
    <w:p w:rsidR="002E6ACC" w:rsidRPr="002E6ACC" w:rsidRDefault="002E6ACC" w:rsidP="005B075D">
      <w:pPr>
        <w:pStyle w:val="GG-Signature"/>
        <w:rPr>
          <w:lang w:val="en-US"/>
        </w:rPr>
      </w:pPr>
      <w:r w:rsidRPr="002E6ACC">
        <w:rPr>
          <w:lang w:val="en-US"/>
        </w:rPr>
        <w:t>Housing Regulator and Registrar</w:t>
      </w:r>
    </w:p>
    <w:p w:rsidR="002E6ACC" w:rsidRPr="002E6ACC" w:rsidRDefault="002E6ACC" w:rsidP="005B075D">
      <w:pPr>
        <w:pStyle w:val="GG-Signature"/>
        <w:rPr>
          <w:lang w:val="en-US"/>
        </w:rPr>
      </w:pPr>
      <w:r w:rsidRPr="002E6ACC">
        <w:rPr>
          <w:lang w:val="en-US"/>
        </w:rPr>
        <w:t>Housing Safety Authority, SAHA</w:t>
      </w:r>
    </w:p>
    <w:p w:rsidR="002E6ACC" w:rsidRDefault="002E6ACC" w:rsidP="005B075D">
      <w:pPr>
        <w:pStyle w:val="GG-Signature"/>
        <w:rPr>
          <w:lang w:val="en-US"/>
        </w:rPr>
      </w:pPr>
      <w:r w:rsidRPr="002E6ACC">
        <w:rPr>
          <w:lang w:val="en-US"/>
        </w:rPr>
        <w:t>Delegate of Minister for Human Services</w:t>
      </w:r>
    </w:p>
    <w:p w:rsidR="002E6ACC" w:rsidRDefault="002E6ACC" w:rsidP="002E6ACC">
      <w:pPr>
        <w:pBdr>
          <w:bottom w:val="single" w:sz="4" w:space="1" w:color="auto"/>
        </w:pBdr>
        <w:spacing w:after="0" w:line="52" w:lineRule="exact"/>
        <w:jc w:val="center"/>
        <w:rPr>
          <w:rFonts w:ascii="Times New Roman" w:eastAsia="Times New Roman" w:hAnsi="Times New Roman"/>
          <w:sz w:val="17"/>
          <w:szCs w:val="20"/>
        </w:rPr>
      </w:pPr>
    </w:p>
    <w:p w:rsidR="002E6ACC" w:rsidRDefault="002E6ACC" w:rsidP="002E6ACC">
      <w:pPr>
        <w:pBdr>
          <w:top w:val="single" w:sz="4" w:space="1" w:color="auto"/>
        </w:pBdr>
        <w:spacing w:before="34" w:after="0" w:line="14" w:lineRule="exact"/>
        <w:jc w:val="center"/>
        <w:rPr>
          <w:rFonts w:ascii="Times New Roman" w:eastAsia="Times New Roman" w:hAnsi="Times New Roman"/>
          <w:sz w:val="17"/>
          <w:szCs w:val="20"/>
        </w:rPr>
      </w:pPr>
    </w:p>
    <w:p w:rsidR="002C280C" w:rsidRDefault="002C280C">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lastRenderedPageBreak/>
        <w:br w:type="page"/>
      </w:r>
    </w:p>
    <w:p w:rsidR="001966A7" w:rsidRPr="001966A7" w:rsidRDefault="001966A7" w:rsidP="00B069DE">
      <w:pPr>
        <w:pStyle w:val="Heading2"/>
        <w:rPr>
          <w:rFonts w:eastAsia="Times New Roman"/>
        </w:rPr>
      </w:pPr>
      <w:bookmarkStart w:id="76" w:name="_Toc91161266"/>
      <w:r w:rsidRPr="001966A7">
        <w:lastRenderedPageBreak/>
        <w:t>Landscape South Australia Act 2019</w:t>
      </w:r>
      <w:bookmarkEnd w:id="76"/>
    </w:p>
    <w:p w:rsidR="001966A7" w:rsidRPr="001966A7" w:rsidRDefault="001966A7" w:rsidP="001966A7">
      <w:pPr>
        <w:jc w:val="center"/>
        <w:rPr>
          <w:rFonts w:ascii="Times New Roman" w:hAnsi="Times New Roman"/>
          <w:i/>
          <w:sz w:val="17"/>
          <w:szCs w:val="17"/>
        </w:rPr>
      </w:pPr>
      <w:r w:rsidRPr="001966A7">
        <w:rPr>
          <w:rFonts w:ascii="Times New Roman" w:hAnsi="Times New Roman"/>
          <w:i/>
          <w:sz w:val="17"/>
          <w:szCs w:val="17"/>
        </w:rPr>
        <w:t>Declaration of Penalty in Relation to the Unauthorised or Unlawful Taking of Water</w:t>
      </w:r>
    </w:p>
    <w:p w:rsidR="001966A7" w:rsidRPr="001966A7" w:rsidRDefault="002C280C" w:rsidP="001966A7">
      <w:pPr>
        <w:rPr>
          <w:rFonts w:ascii="Times New Roman" w:eastAsia="Times New Roman" w:hAnsi="Times New Roman"/>
          <w:sz w:val="17"/>
          <w:szCs w:val="17"/>
        </w:rPr>
      </w:pPr>
      <w:r w:rsidRPr="001966A7">
        <w:rPr>
          <w:rFonts w:ascii="Times New Roman" w:eastAsia="Times New Roman" w:hAnsi="Times New Roman"/>
          <w:sz w:val="17"/>
          <w:szCs w:val="17"/>
        </w:rPr>
        <w:t xml:space="preserve">Pursuant </w:t>
      </w:r>
      <w:r w:rsidR="001966A7" w:rsidRPr="001966A7">
        <w:rPr>
          <w:rFonts w:ascii="Times New Roman" w:eastAsia="Times New Roman" w:hAnsi="Times New Roman"/>
          <w:sz w:val="17"/>
          <w:szCs w:val="17"/>
        </w:rPr>
        <w:t xml:space="preserve">to Section 88 of the </w:t>
      </w:r>
      <w:r w:rsidR="001966A7" w:rsidRPr="001966A7">
        <w:rPr>
          <w:rFonts w:ascii="Times New Roman" w:eastAsia="Times New Roman" w:hAnsi="Times New Roman"/>
          <w:i/>
          <w:sz w:val="17"/>
          <w:szCs w:val="17"/>
        </w:rPr>
        <w:t>Landscape South Australia Act 2019</w:t>
      </w:r>
      <w:r w:rsidR="001966A7" w:rsidRPr="001966A7">
        <w:rPr>
          <w:rFonts w:ascii="Times New Roman" w:eastAsia="Times New Roman" w:hAnsi="Times New Roman"/>
          <w:sz w:val="17"/>
          <w:szCs w:val="17"/>
        </w:rPr>
        <w:t xml:space="preserve"> (the Act), I, Ben Bruce, delegate of the Minister for Environment and Water to whom the Act is committed, hereby declare that the following penalties are payable in relation to the unauthorised or unlawful taking of water during the consumption period that corresponds to the accounting period 1 July 2021 to 30 June 2022 inclusive:</w:t>
      </w:r>
    </w:p>
    <w:p w:rsidR="001966A7" w:rsidRPr="001966A7" w:rsidRDefault="001966A7" w:rsidP="001966A7">
      <w:pPr>
        <w:numPr>
          <w:ilvl w:val="0"/>
          <w:numId w:val="218"/>
        </w:numPr>
        <w:rPr>
          <w:rFonts w:ascii="Times New Roman" w:eastAsia="Times New Roman" w:hAnsi="Times New Roman"/>
          <w:sz w:val="17"/>
          <w:szCs w:val="17"/>
        </w:rPr>
      </w:pPr>
      <w:r w:rsidRPr="001966A7">
        <w:rPr>
          <w:rFonts w:ascii="Times New Roman" w:eastAsia="Times New Roman" w:hAnsi="Times New Roman"/>
          <w:sz w:val="17"/>
          <w:szCs w:val="17"/>
        </w:rPr>
        <w:t>Where a person who is the holder of a water allocation (other than a water allocation pursuant to</w:t>
      </w:r>
      <w:r w:rsidR="00734685">
        <w:rPr>
          <w:rFonts w:ascii="Times New Roman" w:eastAsia="Times New Roman" w:hAnsi="Times New Roman"/>
          <w:sz w:val="17"/>
          <w:szCs w:val="17"/>
        </w:rPr>
        <w:t xml:space="preserve"> an authorisation under Section </w:t>
      </w:r>
      <w:r w:rsidRPr="001966A7">
        <w:rPr>
          <w:rFonts w:ascii="Times New Roman" w:eastAsia="Times New Roman" w:hAnsi="Times New Roman"/>
          <w:sz w:val="17"/>
          <w:szCs w:val="17"/>
        </w:rPr>
        <w:t>105 of the Act) takes water from a prescribed water resource listed in column one of the table in Schedule 1 to this notice, which is in excess of the amount available under the allocation, the penalty declared pursuant to Section 88(1)(a) is the corresponding rate in column two of the table in Schedule 1 per kilolitre of water taken in excess of the amount available under the allocation, as determined or assessed to have been taken in accordance with Section 79 of the Act.</w:t>
      </w:r>
    </w:p>
    <w:p w:rsidR="001966A7" w:rsidRPr="001966A7" w:rsidRDefault="001966A7" w:rsidP="001966A7">
      <w:pPr>
        <w:numPr>
          <w:ilvl w:val="0"/>
          <w:numId w:val="218"/>
        </w:numPr>
        <w:rPr>
          <w:rFonts w:ascii="Times New Roman" w:eastAsia="Times New Roman" w:hAnsi="Times New Roman"/>
          <w:sz w:val="17"/>
          <w:szCs w:val="17"/>
        </w:rPr>
      </w:pPr>
      <w:r w:rsidRPr="001966A7">
        <w:rPr>
          <w:rFonts w:ascii="Times New Roman" w:eastAsia="Times New Roman" w:hAnsi="Times New Roman"/>
          <w:sz w:val="17"/>
          <w:szCs w:val="17"/>
        </w:rPr>
        <w:t>Where a person who is the holder of a water allocation pursuant to an authorisation under Section 105 of the Act takes water from a prescribed water resource listed in column one of the table in Schedule 2 to this notice, which is in excess of the amount available under the allocation, the penalty declared pursuant to Section 88(1)(a) is the corresponding rate in column two of the table in Schedule 2 per kilolitre of water taken in excess of the amount available under the allocation, as determined or assessed to have been taken in accordance with Section 79 of the Act.</w:t>
      </w:r>
    </w:p>
    <w:p w:rsidR="001966A7" w:rsidRPr="001966A7" w:rsidRDefault="001966A7" w:rsidP="001966A7">
      <w:pPr>
        <w:numPr>
          <w:ilvl w:val="0"/>
          <w:numId w:val="218"/>
        </w:numPr>
        <w:rPr>
          <w:rFonts w:ascii="Times New Roman" w:eastAsia="Times New Roman" w:hAnsi="Times New Roman"/>
          <w:sz w:val="17"/>
          <w:szCs w:val="17"/>
        </w:rPr>
      </w:pPr>
      <w:r w:rsidRPr="001966A7">
        <w:rPr>
          <w:rFonts w:ascii="Times New Roman" w:eastAsia="Times New Roman" w:hAnsi="Times New Roman"/>
          <w:sz w:val="17"/>
          <w:szCs w:val="17"/>
        </w:rPr>
        <w:t>Where a person takes water from a prescribed water resource in column one of the table in Schedule 1 to this notice and is not authorised under section 105 or as part of a water allocation to take that water, and so acts in contravention of the Act, the penalty declared under Section 88(1)(e) is the corresponding rate in column three of the table in Schedule 1 per kilolitre of water, as determined or assessed to have been taken in accordance with Section 79 of the Act.</w:t>
      </w:r>
    </w:p>
    <w:p w:rsidR="001966A7" w:rsidRPr="001966A7" w:rsidRDefault="001966A7" w:rsidP="001966A7">
      <w:pPr>
        <w:numPr>
          <w:ilvl w:val="0"/>
          <w:numId w:val="218"/>
        </w:numPr>
        <w:rPr>
          <w:rFonts w:ascii="Times New Roman" w:eastAsia="Times New Roman" w:hAnsi="Times New Roman"/>
          <w:spacing w:val="-1"/>
          <w:sz w:val="17"/>
          <w:szCs w:val="17"/>
        </w:rPr>
      </w:pPr>
      <w:r w:rsidRPr="001966A7">
        <w:rPr>
          <w:rFonts w:ascii="Times New Roman" w:eastAsia="Times New Roman" w:hAnsi="Times New Roman"/>
          <w:spacing w:val="-1"/>
          <w:sz w:val="17"/>
          <w:szCs w:val="17"/>
        </w:rPr>
        <w:t xml:space="preserve">Where a person who is authorised to take water by or under a notice under Section 109 of the Act takes water from a prescribed water resource described in column one of the table in Schedule 1 to this notice which is in excess of the amount authorised for take by or under the notice under Section 109 of the Act, and so acts in contravention of the notice, the penalty </w:t>
      </w:r>
      <w:r w:rsidR="00301AC7">
        <w:rPr>
          <w:rFonts w:ascii="Times New Roman" w:eastAsia="Times New Roman" w:hAnsi="Times New Roman"/>
          <w:spacing w:val="-1"/>
          <w:sz w:val="17"/>
          <w:szCs w:val="17"/>
        </w:rPr>
        <w:t>declared pursuant to Section 88</w:t>
      </w:r>
      <w:r w:rsidRPr="001966A7">
        <w:rPr>
          <w:rFonts w:ascii="Times New Roman" w:eastAsia="Times New Roman" w:hAnsi="Times New Roman"/>
          <w:spacing w:val="-1"/>
          <w:sz w:val="17"/>
          <w:szCs w:val="17"/>
        </w:rPr>
        <w:t>(1)(f) is the corresponding rate in column two of the table in Schedule 1 per kilolitre of water taken in excess of the amount authorised for take by or under the notice, as determined or assessed to have been taken in accordance with Section 79 of the Act.</w:t>
      </w:r>
    </w:p>
    <w:p w:rsidR="001966A7" w:rsidRPr="001966A7" w:rsidRDefault="001966A7" w:rsidP="001966A7">
      <w:pPr>
        <w:numPr>
          <w:ilvl w:val="0"/>
          <w:numId w:val="218"/>
        </w:numPr>
        <w:rPr>
          <w:rFonts w:ascii="Times New Roman" w:eastAsia="Times New Roman" w:hAnsi="Times New Roman"/>
          <w:sz w:val="17"/>
          <w:szCs w:val="17"/>
        </w:rPr>
      </w:pPr>
      <w:r w:rsidRPr="001966A7">
        <w:rPr>
          <w:rFonts w:ascii="Times New Roman" w:eastAsia="Times New Roman" w:hAnsi="Times New Roman"/>
          <w:sz w:val="17"/>
          <w:szCs w:val="17"/>
        </w:rPr>
        <w:t>Where a person who is not authorised to take water by or under a notice under Section 109 of the Act takes water from a prescribed water resource described in column one of the table in Schedule 1 to this notice in contravention of the notice under Section 109 of the Act, the penalty declared under Section 88 (1)(f) is the corresponding rate in column three of the table in Schedule 1, per kilolitre of water, as determined or assessed to have been taken in accordance with Section 79 of the Act.</w:t>
      </w:r>
    </w:p>
    <w:p w:rsidR="001966A7" w:rsidRPr="001966A7" w:rsidRDefault="001966A7" w:rsidP="001966A7">
      <w:pPr>
        <w:numPr>
          <w:ilvl w:val="0"/>
          <w:numId w:val="218"/>
        </w:numPr>
        <w:rPr>
          <w:rFonts w:ascii="Times New Roman" w:eastAsia="Times New Roman" w:hAnsi="Times New Roman"/>
          <w:sz w:val="17"/>
          <w:szCs w:val="17"/>
        </w:rPr>
      </w:pPr>
      <w:r w:rsidRPr="001966A7">
        <w:rPr>
          <w:rFonts w:ascii="Times New Roman" w:eastAsia="Times New Roman" w:hAnsi="Times New Roman"/>
          <w:sz w:val="17"/>
          <w:szCs w:val="17"/>
        </w:rPr>
        <w:t>Where a person may be subject to more than one penalty under Section 88 in respect of the same conduct, the penalty that is the greater shall be imposed.</w:t>
      </w:r>
    </w:p>
    <w:p w:rsidR="001966A7" w:rsidRPr="001966A7" w:rsidRDefault="001966A7" w:rsidP="001966A7">
      <w:pPr>
        <w:rPr>
          <w:rFonts w:ascii="Times New Roman" w:eastAsia="Times New Roman" w:hAnsi="Times New Roman"/>
          <w:sz w:val="17"/>
          <w:szCs w:val="17"/>
        </w:rPr>
      </w:pPr>
      <w:r w:rsidRPr="001966A7">
        <w:rPr>
          <w:rFonts w:ascii="Times New Roman" w:eastAsia="Times New Roman" w:hAnsi="Times New Roman"/>
          <w:sz w:val="17"/>
          <w:szCs w:val="17"/>
        </w:rPr>
        <w:t>In this notice:</w:t>
      </w:r>
    </w:p>
    <w:p w:rsidR="001966A7" w:rsidRPr="001966A7" w:rsidRDefault="001966A7" w:rsidP="001966A7">
      <w:pPr>
        <w:ind w:left="160"/>
        <w:rPr>
          <w:rFonts w:ascii="Times New Roman" w:eastAsia="Times New Roman" w:hAnsi="Times New Roman"/>
          <w:spacing w:val="-1"/>
          <w:sz w:val="17"/>
          <w:szCs w:val="17"/>
        </w:rPr>
      </w:pPr>
      <w:r w:rsidRPr="001966A7">
        <w:rPr>
          <w:rFonts w:ascii="Times New Roman" w:eastAsia="Times New Roman" w:hAnsi="Times New Roman"/>
          <w:spacing w:val="-1"/>
          <w:sz w:val="17"/>
          <w:szCs w:val="17"/>
        </w:rPr>
        <w:t xml:space="preserve">‘the Northern Adelaide Plains Prescribed Wells Area’ means the area declared to be the Northern Adelaide Plains Proclaimed Region by proclamation under Section 41 of the </w:t>
      </w:r>
      <w:r w:rsidRPr="001966A7">
        <w:rPr>
          <w:rFonts w:ascii="Times New Roman" w:eastAsia="Times New Roman" w:hAnsi="Times New Roman"/>
          <w:i/>
          <w:spacing w:val="-1"/>
          <w:sz w:val="17"/>
          <w:szCs w:val="17"/>
        </w:rPr>
        <w:t>Water Resources Act 1976</w:t>
      </w:r>
      <w:r w:rsidRPr="001966A7">
        <w:rPr>
          <w:rFonts w:ascii="Times New Roman" w:eastAsia="Times New Roman" w:hAnsi="Times New Roman"/>
          <w:spacing w:val="-1"/>
          <w:sz w:val="17"/>
          <w:szCs w:val="17"/>
        </w:rPr>
        <w:t xml:space="preserve"> (see </w:t>
      </w:r>
      <w:r w:rsidRPr="001966A7">
        <w:rPr>
          <w:rFonts w:ascii="Times New Roman" w:eastAsia="Times New Roman" w:hAnsi="Times New Roman"/>
          <w:i/>
          <w:spacing w:val="-1"/>
          <w:sz w:val="17"/>
          <w:szCs w:val="17"/>
        </w:rPr>
        <w:t>Government</w:t>
      </w:r>
      <w:r w:rsidRPr="001966A7">
        <w:rPr>
          <w:rFonts w:ascii="Times New Roman" w:eastAsia="Times New Roman" w:hAnsi="Times New Roman"/>
          <w:spacing w:val="-1"/>
          <w:sz w:val="17"/>
          <w:szCs w:val="17"/>
        </w:rPr>
        <w:t xml:space="preserve"> </w:t>
      </w:r>
      <w:r w:rsidRPr="001966A7">
        <w:rPr>
          <w:rFonts w:ascii="Times New Roman" w:eastAsia="Times New Roman" w:hAnsi="Times New Roman"/>
          <w:i/>
          <w:spacing w:val="-1"/>
          <w:sz w:val="17"/>
          <w:szCs w:val="17"/>
        </w:rPr>
        <w:t>Gazette</w:t>
      </w:r>
      <w:r w:rsidRPr="001966A7">
        <w:rPr>
          <w:rFonts w:ascii="Times New Roman" w:eastAsia="Times New Roman" w:hAnsi="Times New Roman"/>
          <w:spacing w:val="-1"/>
          <w:sz w:val="17"/>
          <w:szCs w:val="17"/>
        </w:rPr>
        <w:t xml:space="preserve"> 13 May 1976 page 2459), and as further declared by regulation under Section 125 of the </w:t>
      </w:r>
      <w:r w:rsidRPr="001966A7">
        <w:rPr>
          <w:rFonts w:ascii="Times New Roman" w:eastAsia="Times New Roman" w:hAnsi="Times New Roman"/>
          <w:i/>
          <w:spacing w:val="-1"/>
          <w:sz w:val="17"/>
          <w:szCs w:val="17"/>
        </w:rPr>
        <w:t>Natural Resources Management Act 2004</w:t>
      </w:r>
      <w:r w:rsidRPr="001966A7">
        <w:rPr>
          <w:rFonts w:ascii="Times New Roman" w:eastAsia="Times New Roman" w:hAnsi="Times New Roman"/>
          <w:spacing w:val="-1"/>
          <w:sz w:val="17"/>
          <w:szCs w:val="17"/>
        </w:rPr>
        <w:t xml:space="preserve"> (see </w:t>
      </w:r>
      <w:r w:rsidRPr="001966A7">
        <w:rPr>
          <w:rFonts w:ascii="Times New Roman" w:eastAsia="Times New Roman" w:hAnsi="Times New Roman"/>
          <w:i/>
          <w:spacing w:val="-1"/>
          <w:sz w:val="17"/>
          <w:szCs w:val="17"/>
        </w:rPr>
        <w:t>Government Gazette</w:t>
      </w:r>
      <w:r w:rsidRPr="001966A7">
        <w:rPr>
          <w:rFonts w:ascii="Times New Roman" w:eastAsia="Times New Roman" w:hAnsi="Times New Roman"/>
          <w:spacing w:val="-1"/>
          <w:sz w:val="17"/>
          <w:szCs w:val="17"/>
        </w:rPr>
        <w:t xml:space="preserve"> 22 July 2004, p. 2600);</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 xml:space="preserve">‘the Central Adelaide Prescribed Wells Area’ means the area which includes the wells declared by regulation under section 125 of the </w:t>
      </w:r>
      <w:r w:rsidRPr="001966A7">
        <w:rPr>
          <w:rFonts w:ascii="Times New Roman" w:eastAsia="Times New Roman" w:hAnsi="Times New Roman"/>
          <w:i/>
          <w:sz w:val="17"/>
          <w:szCs w:val="17"/>
        </w:rPr>
        <w:t>Natural Resources Management Act 2004</w:t>
      </w:r>
      <w:r w:rsidRPr="001966A7">
        <w:rPr>
          <w:rFonts w:ascii="Times New Roman" w:eastAsia="Times New Roman" w:hAnsi="Times New Roman"/>
          <w:sz w:val="17"/>
          <w:szCs w:val="17"/>
        </w:rPr>
        <w:t xml:space="preserve"> (</w:t>
      </w:r>
      <w:r w:rsidRPr="001966A7">
        <w:rPr>
          <w:rFonts w:ascii="Times New Roman" w:eastAsia="Times New Roman" w:hAnsi="Times New Roman"/>
          <w:i/>
          <w:sz w:val="17"/>
          <w:szCs w:val="17"/>
        </w:rPr>
        <w:t>Natural Resources Management (Central Adelaide – Prescribed Wells Area) Regulations 2007</w:t>
      </w:r>
      <w:r w:rsidRPr="001966A7">
        <w:rPr>
          <w:rFonts w:ascii="Times New Roman" w:eastAsia="Times New Roman" w:hAnsi="Times New Roman"/>
          <w:sz w:val="17"/>
          <w:szCs w:val="17"/>
        </w:rPr>
        <w:t xml:space="preserve">) (see </w:t>
      </w:r>
      <w:r w:rsidRPr="001966A7">
        <w:rPr>
          <w:rFonts w:ascii="Times New Roman" w:eastAsia="Times New Roman" w:hAnsi="Times New Roman"/>
          <w:i/>
          <w:sz w:val="17"/>
          <w:szCs w:val="17"/>
        </w:rPr>
        <w:t>Government Gazette</w:t>
      </w:r>
      <w:r w:rsidRPr="001966A7">
        <w:rPr>
          <w:rFonts w:ascii="Times New Roman" w:eastAsia="Times New Roman" w:hAnsi="Times New Roman"/>
          <w:sz w:val="17"/>
          <w:szCs w:val="17"/>
        </w:rPr>
        <w:t xml:space="preserve"> 7 June 2007, pp.2573-2574);</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 xml:space="preserve">‘the Dry Creek Prescribed Wells Area’ means the area declared to be the Dry Creek Proclaimed Wells Area by proclamation under Section 33(2) of the </w:t>
      </w:r>
      <w:r w:rsidRPr="001966A7">
        <w:rPr>
          <w:rFonts w:ascii="Times New Roman" w:eastAsia="Times New Roman" w:hAnsi="Times New Roman"/>
          <w:i/>
          <w:sz w:val="17"/>
          <w:szCs w:val="17"/>
        </w:rPr>
        <w:t>Water Resources Act 1990</w:t>
      </w:r>
      <w:r w:rsidRPr="001966A7">
        <w:rPr>
          <w:rFonts w:ascii="Times New Roman" w:eastAsia="Times New Roman" w:hAnsi="Times New Roman"/>
          <w:sz w:val="17"/>
          <w:szCs w:val="17"/>
        </w:rPr>
        <w:t xml:space="preserve"> (see </w:t>
      </w:r>
      <w:r w:rsidRPr="001966A7">
        <w:rPr>
          <w:rFonts w:ascii="Times New Roman" w:eastAsia="Times New Roman" w:hAnsi="Times New Roman"/>
          <w:i/>
          <w:sz w:val="17"/>
          <w:szCs w:val="17"/>
        </w:rPr>
        <w:t>Government Gazette</w:t>
      </w:r>
      <w:r w:rsidRPr="001966A7">
        <w:rPr>
          <w:rFonts w:ascii="Times New Roman" w:eastAsia="Times New Roman" w:hAnsi="Times New Roman"/>
          <w:sz w:val="17"/>
          <w:szCs w:val="17"/>
        </w:rPr>
        <w:t xml:space="preserve"> 11 July 1996 p. 76, and as further varied by </w:t>
      </w:r>
      <w:r w:rsidRPr="001966A7">
        <w:rPr>
          <w:rFonts w:ascii="Times New Roman" w:eastAsia="Times New Roman" w:hAnsi="Times New Roman"/>
          <w:i/>
          <w:sz w:val="17"/>
          <w:szCs w:val="17"/>
        </w:rPr>
        <w:t>Government Gazette</w:t>
      </w:r>
      <w:r w:rsidRPr="001966A7">
        <w:rPr>
          <w:rFonts w:ascii="Times New Roman" w:eastAsia="Times New Roman" w:hAnsi="Times New Roman"/>
          <w:sz w:val="17"/>
          <w:szCs w:val="17"/>
        </w:rPr>
        <w:t xml:space="preserve"> 28 November 1996, p. 1747)’;</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 xml:space="preserve">‘the Angas-Bremer Prescribed Wells Area’ means the area declared to be the Angas-Bremer Proclaimed Region by  proclamation under Section 41 of the </w:t>
      </w:r>
      <w:r w:rsidRPr="001966A7">
        <w:rPr>
          <w:rFonts w:ascii="Times New Roman" w:eastAsia="Times New Roman" w:hAnsi="Times New Roman"/>
          <w:i/>
          <w:sz w:val="17"/>
          <w:szCs w:val="17"/>
        </w:rPr>
        <w:t>Water Resources Act 1976</w:t>
      </w:r>
      <w:r w:rsidRPr="001966A7">
        <w:rPr>
          <w:rFonts w:ascii="Times New Roman" w:eastAsia="Times New Roman" w:hAnsi="Times New Roman"/>
          <w:sz w:val="17"/>
          <w:szCs w:val="17"/>
        </w:rPr>
        <w:t xml:space="preserve"> (see </w:t>
      </w:r>
      <w:r w:rsidRPr="001966A7">
        <w:rPr>
          <w:rFonts w:ascii="Times New Roman" w:eastAsia="Times New Roman" w:hAnsi="Times New Roman"/>
          <w:i/>
          <w:sz w:val="17"/>
          <w:szCs w:val="17"/>
        </w:rPr>
        <w:t>Government Gazette</w:t>
      </w:r>
      <w:r w:rsidRPr="001966A7">
        <w:rPr>
          <w:rFonts w:ascii="Times New Roman" w:eastAsia="Times New Roman" w:hAnsi="Times New Roman"/>
          <w:sz w:val="17"/>
          <w:szCs w:val="17"/>
        </w:rPr>
        <w:t xml:space="preserve"> 23 October 1980 p. 1192);</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 xml:space="preserve">‘the Peake, Roby and Sherlock Prescribed Wells Area’ means the area declared by regulation under Section 125 of the </w:t>
      </w:r>
      <w:r w:rsidRPr="001966A7">
        <w:rPr>
          <w:rFonts w:ascii="Times New Roman" w:eastAsia="Times New Roman" w:hAnsi="Times New Roman"/>
          <w:i/>
          <w:sz w:val="17"/>
          <w:szCs w:val="17"/>
        </w:rPr>
        <w:t>Natural Resources Management Act 2004 (Natural Resources Management (Peake, Roby and Sherlock Prescribed Wells Area) Regulations 2005)</w:t>
      </w:r>
      <w:r w:rsidRPr="001966A7">
        <w:rPr>
          <w:rFonts w:ascii="Times New Roman" w:eastAsia="Times New Roman" w:hAnsi="Times New Roman"/>
          <w:sz w:val="17"/>
          <w:szCs w:val="17"/>
        </w:rPr>
        <w:t xml:space="preserve"> (see</w:t>
      </w:r>
      <w:r w:rsidRPr="001966A7">
        <w:rPr>
          <w:rFonts w:ascii="Times New Roman" w:eastAsia="Times New Roman" w:hAnsi="Times New Roman"/>
          <w:i/>
          <w:sz w:val="17"/>
          <w:szCs w:val="17"/>
        </w:rPr>
        <w:t xml:space="preserve"> Government Gazette</w:t>
      </w:r>
      <w:r w:rsidRPr="001966A7">
        <w:rPr>
          <w:rFonts w:ascii="Times New Roman" w:eastAsia="Times New Roman" w:hAnsi="Times New Roman"/>
          <w:sz w:val="17"/>
          <w:szCs w:val="17"/>
        </w:rPr>
        <w:t xml:space="preserve"> 27 October 2005 p. 3836);</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 xml:space="preserve">‘the Marne Saunders Prescribed Water Resources Area’ means the area declared by regulation  under Section 125 of the </w:t>
      </w:r>
      <w:r w:rsidRPr="001966A7">
        <w:rPr>
          <w:rFonts w:ascii="Times New Roman" w:eastAsia="Times New Roman" w:hAnsi="Times New Roman"/>
          <w:i/>
          <w:sz w:val="17"/>
          <w:szCs w:val="17"/>
        </w:rPr>
        <w:t>Natural Resources Management Act 2004</w:t>
      </w:r>
      <w:r w:rsidRPr="001966A7">
        <w:rPr>
          <w:rFonts w:ascii="Times New Roman" w:eastAsia="Times New Roman" w:hAnsi="Times New Roman"/>
          <w:sz w:val="17"/>
          <w:szCs w:val="17"/>
        </w:rPr>
        <w:t xml:space="preserve"> (see</w:t>
      </w:r>
      <w:r w:rsidRPr="001966A7">
        <w:rPr>
          <w:rFonts w:ascii="Times New Roman" w:eastAsia="Times New Roman" w:hAnsi="Times New Roman"/>
          <w:i/>
          <w:sz w:val="17"/>
          <w:szCs w:val="17"/>
        </w:rPr>
        <w:t xml:space="preserve"> Government Gazette</w:t>
      </w:r>
      <w:r w:rsidRPr="001966A7">
        <w:rPr>
          <w:rFonts w:ascii="Times New Roman" w:eastAsia="Times New Roman" w:hAnsi="Times New Roman"/>
          <w:sz w:val="17"/>
          <w:szCs w:val="17"/>
        </w:rPr>
        <w:t xml:space="preserve"> 20 March 2003, p. 1111);</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 xml:space="preserve">‘the Clare Valley Prescribed Water Resources Area’ means the area declared by regulation to be the Clare Valley Prescribed Wells Area and Watercourses under section 8 of the </w:t>
      </w:r>
      <w:r w:rsidRPr="001966A7">
        <w:rPr>
          <w:rFonts w:ascii="Times New Roman" w:eastAsia="Times New Roman" w:hAnsi="Times New Roman"/>
          <w:i/>
          <w:sz w:val="17"/>
          <w:szCs w:val="17"/>
        </w:rPr>
        <w:t>Water Resources Act 1997</w:t>
      </w:r>
      <w:r w:rsidRPr="001966A7">
        <w:rPr>
          <w:rFonts w:ascii="Times New Roman" w:eastAsia="Times New Roman" w:hAnsi="Times New Roman"/>
          <w:sz w:val="17"/>
          <w:szCs w:val="17"/>
        </w:rPr>
        <w:t xml:space="preserve"> (see</w:t>
      </w:r>
      <w:r w:rsidRPr="001966A7">
        <w:rPr>
          <w:rFonts w:ascii="Times New Roman" w:eastAsia="Times New Roman" w:hAnsi="Times New Roman"/>
          <w:i/>
          <w:sz w:val="17"/>
          <w:szCs w:val="17"/>
        </w:rPr>
        <w:t xml:space="preserve"> Government Gazette</w:t>
      </w:r>
      <w:r w:rsidRPr="001966A7">
        <w:rPr>
          <w:rFonts w:ascii="Times New Roman" w:eastAsia="Times New Roman" w:hAnsi="Times New Roman"/>
          <w:sz w:val="17"/>
          <w:szCs w:val="17"/>
        </w:rPr>
        <w:t xml:space="preserve"> 25 July 1996 p.171) and the area declared by regulation to be the Clare Valley Prescribed Surface Water Area under Section 8 of the </w:t>
      </w:r>
      <w:r w:rsidRPr="001966A7">
        <w:rPr>
          <w:rFonts w:ascii="Times New Roman" w:eastAsia="Times New Roman" w:hAnsi="Times New Roman"/>
          <w:i/>
          <w:sz w:val="17"/>
          <w:szCs w:val="17"/>
        </w:rPr>
        <w:t>Water Resources Act 1997</w:t>
      </w:r>
      <w:r w:rsidRPr="001966A7">
        <w:rPr>
          <w:rFonts w:ascii="Times New Roman" w:eastAsia="Times New Roman" w:hAnsi="Times New Roman"/>
          <w:sz w:val="17"/>
          <w:szCs w:val="17"/>
        </w:rPr>
        <w:t xml:space="preserve"> (see</w:t>
      </w:r>
      <w:r w:rsidRPr="001966A7">
        <w:rPr>
          <w:rFonts w:ascii="Times New Roman" w:eastAsia="Times New Roman" w:hAnsi="Times New Roman"/>
          <w:i/>
          <w:sz w:val="17"/>
          <w:szCs w:val="17"/>
        </w:rPr>
        <w:t xml:space="preserve"> Government Gazette</w:t>
      </w:r>
      <w:r w:rsidRPr="001966A7">
        <w:rPr>
          <w:rFonts w:ascii="Times New Roman" w:eastAsia="Times New Roman" w:hAnsi="Times New Roman"/>
          <w:sz w:val="17"/>
          <w:szCs w:val="17"/>
        </w:rPr>
        <w:t xml:space="preserve"> 28 October 1999 p.2127);</w:t>
      </w:r>
    </w:p>
    <w:p w:rsidR="001966A7" w:rsidRPr="001966A7" w:rsidRDefault="001966A7" w:rsidP="001966A7">
      <w:pPr>
        <w:ind w:left="160"/>
        <w:rPr>
          <w:rFonts w:ascii="Times New Roman" w:eastAsia="Times New Roman" w:hAnsi="Times New Roman"/>
          <w:spacing w:val="-3"/>
          <w:sz w:val="17"/>
          <w:szCs w:val="17"/>
        </w:rPr>
      </w:pPr>
      <w:r w:rsidRPr="001966A7">
        <w:rPr>
          <w:rFonts w:ascii="Times New Roman" w:eastAsia="Times New Roman" w:hAnsi="Times New Roman"/>
          <w:spacing w:val="-3"/>
          <w:sz w:val="17"/>
          <w:szCs w:val="17"/>
        </w:rPr>
        <w:t xml:space="preserve">‘the Mallee Prescribed Wells Area’ means the area declared to be the Mallee Prescribed Wells Area by proclamation under Section 41 of the </w:t>
      </w:r>
      <w:r w:rsidRPr="001966A7">
        <w:rPr>
          <w:rFonts w:ascii="Times New Roman" w:eastAsia="Times New Roman" w:hAnsi="Times New Roman"/>
          <w:i/>
          <w:spacing w:val="-3"/>
          <w:sz w:val="17"/>
          <w:szCs w:val="17"/>
        </w:rPr>
        <w:t>Water Resources Act 1976</w:t>
      </w:r>
      <w:r w:rsidRPr="001966A7">
        <w:rPr>
          <w:rFonts w:ascii="Times New Roman" w:eastAsia="Times New Roman" w:hAnsi="Times New Roman"/>
          <w:spacing w:val="-3"/>
          <w:sz w:val="17"/>
          <w:szCs w:val="17"/>
        </w:rPr>
        <w:t xml:space="preserve"> (See</w:t>
      </w:r>
      <w:r w:rsidRPr="001966A7">
        <w:rPr>
          <w:rFonts w:ascii="Times New Roman" w:eastAsia="Times New Roman" w:hAnsi="Times New Roman"/>
          <w:i/>
          <w:spacing w:val="-3"/>
          <w:sz w:val="17"/>
          <w:szCs w:val="17"/>
        </w:rPr>
        <w:t xml:space="preserve"> Government Gazette</w:t>
      </w:r>
      <w:r w:rsidRPr="001966A7">
        <w:rPr>
          <w:rFonts w:ascii="Times New Roman" w:eastAsia="Times New Roman" w:hAnsi="Times New Roman"/>
          <w:spacing w:val="-3"/>
          <w:sz w:val="17"/>
          <w:szCs w:val="17"/>
        </w:rPr>
        <w:t xml:space="preserve"> 28 July 1983, page 205 and varied on 9 January 1986, page 19) and as further declared by regulation under Section 125 of the </w:t>
      </w:r>
      <w:r w:rsidRPr="001966A7">
        <w:rPr>
          <w:rFonts w:ascii="Times New Roman" w:eastAsia="Times New Roman" w:hAnsi="Times New Roman"/>
          <w:i/>
          <w:spacing w:val="-3"/>
          <w:sz w:val="17"/>
          <w:szCs w:val="17"/>
        </w:rPr>
        <w:t>Natural Resources Management Act 2004</w:t>
      </w:r>
      <w:r w:rsidRPr="001966A7">
        <w:rPr>
          <w:rFonts w:ascii="Times New Roman" w:eastAsia="Times New Roman" w:hAnsi="Times New Roman"/>
          <w:spacing w:val="-3"/>
          <w:sz w:val="17"/>
          <w:szCs w:val="17"/>
        </w:rPr>
        <w:t xml:space="preserve"> (see</w:t>
      </w:r>
      <w:r w:rsidRPr="001966A7">
        <w:rPr>
          <w:rFonts w:ascii="Times New Roman" w:eastAsia="Times New Roman" w:hAnsi="Times New Roman"/>
          <w:i/>
          <w:spacing w:val="-3"/>
          <w:sz w:val="17"/>
          <w:szCs w:val="17"/>
        </w:rPr>
        <w:t xml:space="preserve"> Government Gazette</w:t>
      </w:r>
      <w:r w:rsidRPr="001966A7">
        <w:rPr>
          <w:rFonts w:ascii="Times New Roman" w:eastAsia="Times New Roman" w:hAnsi="Times New Roman"/>
          <w:spacing w:val="-3"/>
          <w:sz w:val="17"/>
          <w:szCs w:val="17"/>
        </w:rPr>
        <w:t xml:space="preserve"> 27 October 2005, p. 3833);</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 xml:space="preserve">‘the Southern Basins Prescribed Wells Area’ means the area declared to be the Southern Basins Proclaimed Region by proclamation under Section 41 of the </w:t>
      </w:r>
      <w:r w:rsidRPr="001966A7">
        <w:rPr>
          <w:rFonts w:ascii="Times New Roman" w:eastAsia="Times New Roman" w:hAnsi="Times New Roman"/>
          <w:i/>
          <w:sz w:val="17"/>
          <w:szCs w:val="17"/>
        </w:rPr>
        <w:t>Water Resources Act 1976</w:t>
      </w:r>
      <w:r w:rsidRPr="001966A7">
        <w:rPr>
          <w:rFonts w:ascii="Times New Roman" w:eastAsia="Times New Roman" w:hAnsi="Times New Roman"/>
          <w:sz w:val="17"/>
          <w:szCs w:val="17"/>
        </w:rPr>
        <w:t xml:space="preserve"> (see</w:t>
      </w:r>
      <w:r w:rsidRPr="001966A7">
        <w:rPr>
          <w:rFonts w:ascii="Times New Roman" w:eastAsia="Times New Roman" w:hAnsi="Times New Roman"/>
          <w:i/>
          <w:sz w:val="17"/>
          <w:szCs w:val="17"/>
        </w:rPr>
        <w:t xml:space="preserve"> Government Gazette</w:t>
      </w:r>
      <w:r w:rsidRPr="001966A7">
        <w:rPr>
          <w:rFonts w:ascii="Times New Roman" w:eastAsia="Times New Roman" w:hAnsi="Times New Roman"/>
          <w:sz w:val="17"/>
          <w:szCs w:val="17"/>
        </w:rPr>
        <w:t xml:space="preserve"> 12 March 1987 p. 596);</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 xml:space="preserve">‘the Musgrave Prescribed Wells Area’ means the area declared to be the Musgrave Proclaimed Region by proclamation under Section 41 of the </w:t>
      </w:r>
      <w:r w:rsidRPr="001966A7">
        <w:rPr>
          <w:rFonts w:ascii="Times New Roman" w:eastAsia="Times New Roman" w:hAnsi="Times New Roman"/>
          <w:i/>
          <w:sz w:val="17"/>
          <w:szCs w:val="17"/>
        </w:rPr>
        <w:t>Water Resources Act 1976</w:t>
      </w:r>
      <w:r w:rsidRPr="001966A7">
        <w:rPr>
          <w:rFonts w:ascii="Times New Roman" w:eastAsia="Times New Roman" w:hAnsi="Times New Roman"/>
          <w:sz w:val="17"/>
          <w:szCs w:val="17"/>
        </w:rPr>
        <w:t xml:space="preserve"> (see</w:t>
      </w:r>
      <w:r w:rsidRPr="001966A7">
        <w:rPr>
          <w:rFonts w:ascii="Times New Roman" w:eastAsia="Times New Roman" w:hAnsi="Times New Roman"/>
          <w:i/>
          <w:sz w:val="17"/>
          <w:szCs w:val="17"/>
        </w:rPr>
        <w:t xml:space="preserve"> Government Gazette</w:t>
      </w:r>
      <w:r w:rsidRPr="001966A7">
        <w:rPr>
          <w:rFonts w:ascii="Times New Roman" w:eastAsia="Times New Roman" w:hAnsi="Times New Roman"/>
          <w:sz w:val="17"/>
          <w:szCs w:val="17"/>
        </w:rPr>
        <w:t xml:space="preserve"> 12 March 1987 p. 596);</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 xml:space="preserve">‘the Far North Prescribed Wells Area’ means the area declared to be the Far North Prescribed Wells Area by regulation under Section 8 of the </w:t>
      </w:r>
      <w:r w:rsidRPr="001966A7">
        <w:rPr>
          <w:rFonts w:ascii="Times New Roman" w:eastAsia="Times New Roman" w:hAnsi="Times New Roman"/>
          <w:i/>
          <w:sz w:val="17"/>
          <w:szCs w:val="17"/>
        </w:rPr>
        <w:t>Water Resources Act 1997</w:t>
      </w:r>
      <w:r w:rsidRPr="001966A7">
        <w:rPr>
          <w:rFonts w:ascii="Times New Roman" w:eastAsia="Times New Roman" w:hAnsi="Times New Roman"/>
          <w:sz w:val="17"/>
          <w:szCs w:val="17"/>
        </w:rPr>
        <w:t xml:space="preserve"> (see</w:t>
      </w:r>
      <w:r w:rsidRPr="001966A7">
        <w:rPr>
          <w:rFonts w:ascii="Times New Roman" w:eastAsia="Times New Roman" w:hAnsi="Times New Roman"/>
          <w:i/>
          <w:sz w:val="17"/>
          <w:szCs w:val="17"/>
        </w:rPr>
        <w:t xml:space="preserve"> Government Gazette</w:t>
      </w:r>
      <w:r w:rsidRPr="001966A7">
        <w:rPr>
          <w:rFonts w:ascii="Times New Roman" w:eastAsia="Times New Roman" w:hAnsi="Times New Roman"/>
          <w:sz w:val="17"/>
          <w:szCs w:val="17"/>
        </w:rPr>
        <w:t xml:space="preserve"> 27 March 2003 p. 1250);</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 xml:space="preserve">‘the Barossa Prescribed Water Resources Area’ means the area declared by regulation under Section 8 of the </w:t>
      </w:r>
      <w:r w:rsidRPr="001966A7">
        <w:rPr>
          <w:rFonts w:ascii="Times New Roman" w:eastAsia="Times New Roman" w:hAnsi="Times New Roman"/>
          <w:i/>
          <w:sz w:val="17"/>
          <w:szCs w:val="17"/>
        </w:rPr>
        <w:t>Water Resources Act 1997</w:t>
      </w:r>
      <w:r w:rsidRPr="001966A7">
        <w:rPr>
          <w:rFonts w:ascii="Times New Roman" w:eastAsia="Times New Roman" w:hAnsi="Times New Roman"/>
          <w:sz w:val="17"/>
          <w:szCs w:val="17"/>
        </w:rPr>
        <w:t xml:space="preserve"> (see</w:t>
      </w:r>
      <w:r w:rsidRPr="001966A7">
        <w:rPr>
          <w:rFonts w:ascii="Times New Roman" w:eastAsia="Times New Roman" w:hAnsi="Times New Roman"/>
          <w:i/>
          <w:sz w:val="17"/>
          <w:szCs w:val="17"/>
        </w:rPr>
        <w:t xml:space="preserve"> Government Gazette</w:t>
      </w:r>
      <w:r w:rsidRPr="001966A7">
        <w:rPr>
          <w:rFonts w:ascii="Times New Roman" w:eastAsia="Times New Roman" w:hAnsi="Times New Roman"/>
          <w:sz w:val="17"/>
          <w:szCs w:val="17"/>
        </w:rPr>
        <w:t xml:space="preserve"> 19 May 2005, p. 1295);</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 xml:space="preserve">‘the McLaren Vale Prescribed Wells Area’ means the area gazetted on 7 January 1999 page 13, under the provisions of the  </w:t>
      </w:r>
      <w:r w:rsidRPr="001966A7">
        <w:rPr>
          <w:rFonts w:ascii="Times New Roman" w:eastAsia="Times New Roman" w:hAnsi="Times New Roman"/>
          <w:i/>
          <w:sz w:val="17"/>
          <w:szCs w:val="17"/>
        </w:rPr>
        <w:t>Water Resources Act 1997</w:t>
      </w:r>
      <w:r w:rsidRPr="001966A7">
        <w:rPr>
          <w:rFonts w:ascii="Times New Roman" w:eastAsia="Times New Roman" w:hAnsi="Times New Roman"/>
          <w:sz w:val="17"/>
          <w:szCs w:val="17"/>
        </w:rPr>
        <w:t>;</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‘the Western Mount Lofty Ranges Prescribed Water Resources Area’ means that area which includes:</w:t>
      </w:r>
    </w:p>
    <w:p w:rsidR="001966A7" w:rsidRPr="001966A7" w:rsidRDefault="001966A7" w:rsidP="001966A7">
      <w:pPr>
        <w:ind w:left="320"/>
        <w:rPr>
          <w:rFonts w:ascii="Times New Roman" w:eastAsia="Times New Roman" w:hAnsi="Times New Roman"/>
          <w:sz w:val="17"/>
          <w:szCs w:val="17"/>
        </w:rPr>
      </w:pPr>
      <w:r w:rsidRPr="001966A7">
        <w:rPr>
          <w:rFonts w:ascii="Times New Roman" w:eastAsia="Times New Roman" w:hAnsi="Times New Roman"/>
          <w:sz w:val="17"/>
          <w:szCs w:val="17"/>
        </w:rPr>
        <w:t xml:space="preserve">the watercourses declared by regulation under section 125 of the </w:t>
      </w:r>
      <w:r w:rsidRPr="001966A7">
        <w:rPr>
          <w:rFonts w:ascii="Times New Roman" w:eastAsia="Times New Roman" w:hAnsi="Times New Roman"/>
          <w:i/>
          <w:sz w:val="17"/>
          <w:szCs w:val="17"/>
        </w:rPr>
        <w:t>Natural Resources Management Act 2004</w:t>
      </w:r>
      <w:r w:rsidRPr="001966A7">
        <w:rPr>
          <w:rFonts w:ascii="Times New Roman" w:eastAsia="Times New Roman" w:hAnsi="Times New Roman"/>
          <w:sz w:val="17"/>
          <w:szCs w:val="17"/>
        </w:rPr>
        <w:t xml:space="preserve"> (</w:t>
      </w:r>
      <w:r w:rsidRPr="001966A7">
        <w:rPr>
          <w:rFonts w:ascii="Times New Roman" w:eastAsia="Times New Roman" w:hAnsi="Times New Roman"/>
          <w:i/>
          <w:sz w:val="17"/>
          <w:szCs w:val="17"/>
        </w:rPr>
        <w:t>Natural Resources Management (Western Mount Lofty Ranges -- Prescribed Watercourses) Regulations 2005</w:t>
      </w:r>
      <w:r w:rsidRPr="001966A7">
        <w:rPr>
          <w:rFonts w:ascii="Times New Roman" w:eastAsia="Times New Roman" w:hAnsi="Times New Roman"/>
          <w:sz w:val="17"/>
          <w:szCs w:val="17"/>
        </w:rPr>
        <w:t xml:space="preserve">) (see </w:t>
      </w:r>
      <w:r w:rsidRPr="001966A7">
        <w:rPr>
          <w:rFonts w:ascii="Times New Roman" w:eastAsia="Times New Roman" w:hAnsi="Times New Roman"/>
          <w:i/>
          <w:sz w:val="17"/>
          <w:szCs w:val="17"/>
        </w:rPr>
        <w:t>Government Gazette</w:t>
      </w:r>
      <w:r w:rsidRPr="001966A7">
        <w:rPr>
          <w:rFonts w:ascii="Times New Roman" w:eastAsia="Times New Roman" w:hAnsi="Times New Roman"/>
          <w:sz w:val="17"/>
          <w:szCs w:val="17"/>
        </w:rPr>
        <w:t xml:space="preserve"> 20 October 2005, pp. 3791-3792); and</w:t>
      </w:r>
    </w:p>
    <w:p w:rsidR="001966A7" w:rsidRPr="001966A7" w:rsidRDefault="001966A7" w:rsidP="001966A7">
      <w:pPr>
        <w:ind w:left="320"/>
        <w:rPr>
          <w:rFonts w:ascii="Times New Roman" w:eastAsia="Times New Roman" w:hAnsi="Times New Roman"/>
          <w:spacing w:val="-2"/>
          <w:sz w:val="17"/>
          <w:szCs w:val="17"/>
        </w:rPr>
      </w:pPr>
      <w:r w:rsidRPr="001966A7">
        <w:rPr>
          <w:rFonts w:ascii="Times New Roman" w:eastAsia="Times New Roman" w:hAnsi="Times New Roman"/>
          <w:spacing w:val="-2"/>
          <w:sz w:val="17"/>
          <w:szCs w:val="17"/>
        </w:rPr>
        <w:lastRenderedPageBreak/>
        <w:t xml:space="preserve">the wells declared by regulation under section 125 of the </w:t>
      </w:r>
      <w:r w:rsidRPr="001966A7">
        <w:rPr>
          <w:rFonts w:ascii="Times New Roman" w:eastAsia="Times New Roman" w:hAnsi="Times New Roman"/>
          <w:i/>
          <w:spacing w:val="-2"/>
          <w:sz w:val="17"/>
          <w:szCs w:val="17"/>
        </w:rPr>
        <w:t xml:space="preserve">Natural Resources Management Act 2004 </w:t>
      </w:r>
      <w:r w:rsidRPr="001966A7">
        <w:rPr>
          <w:rFonts w:ascii="Times New Roman" w:eastAsia="Times New Roman" w:hAnsi="Times New Roman"/>
          <w:spacing w:val="-2"/>
          <w:sz w:val="17"/>
          <w:szCs w:val="17"/>
        </w:rPr>
        <w:t>(</w:t>
      </w:r>
      <w:r w:rsidRPr="001966A7">
        <w:rPr>
          <w:rFonts w:ascii="Times New Roman" w:eastAsia="Times New Roman" w:hAnsi="Times New Roman"/>
          <w:i/>
          <w:spacing w:val="-2"/>
          <w:sz w:val="17"/>
          <w:szCs w:val="17"/>
        </w:rPr>
        <w:t>Natural Resources Management (Western Mont Lofty Ranges – Prescribed Wells Area) Regulations 2005</w:t>
      </w:r>
      <w:r w:rsidRPr="001966A7">
        <w:rPr>
          <w:rFonts w:ascii="Times New Roman" w:eastAsia="Times New Roman" w:hAnsi="Times New Roman"/>
          <w:spacing w:val="-2"/>
          <w:sz w:val="17"/>
          <w:szCs w:val="17"/>
        </w:rPr>
        <w:t xml:space="preserve">) (see </w:t>
      </w:r>
      <w:r w:rsidRPr="001966A7">
        <w:rPr>
          <w:rFonts w:ascii="Times New Roman" w:eastAsia="Times New Roman" w:hAnsi="Times New Roman"/>
          <w:i/>
          <w:spacing w:val="-2"/>
          <w:sz w:val="17"/>
          <w:szCs w:val="17"/>
        </w:rPr>
        <w:t>Government Gazette</w:t>
      </w:r>
      <w:r w:rsidRPr="001966A7">
        <w:rPr>
          <w:rFonts w:ascii="Times New Roman" w:eastAsia="Times New Roman" w:hAnsi="Times New Roman"/>
          <w:spacing w:val="-2"/>
          <w:sz w:val="17"/>
          <w:szCs w:val="17"/>
        </w:rPr>
        <w:t xml:space="preserve"> 20 October 2005, pp.3793-3794); and</w:t>
      </w:r>
    </w:p>
    <w:p w:rsidR="001966A7" w:rsidRPr="001966A7" w:rsidRDefault="001966A7" w:rsidP="001966A7">
      <w:pPr>
        <w:ind w:left="320"/>
        <w:rPr>
          <w:rFonts w:ascii="Times New Roman" w:eastAsia="Times New Roman" w:hAnsi="Times New Roman"/>
          <w:sz w:val="17"/>
          <w:szCs w:val="17"/>
        </w:rPr>
      </w:pPr>
      <w:r w:rsidRPr="001966A7">
        <w:rPr>
          <w:rFonts w:ascii="Times New Roman" w:eastAsia="Times New Roman" w:hAnsi="Times New Roman"/>
          <w:sz w:val="17"/>
          <w:szCs w:val="17"/>
        </w:rPr>
        <w:t xml:space="preserve">the surface water area declared by regulation under section 125 of the </w:t>
      </w:r>
      <w:r w:rsidRPr="001966A7">
        <w:rPr>
          <w:rFonts w:ascii="Times New Roman" w:eastAsia="Times New Roman" w:hAnsi="Times New Roman"/>
          <w:i/>
          <w:sz w:val="17"/>
          <w:szCs w:val="17"/>
        </w:rPr>
        <w:t>Natural Resources Management Act 2004</w:t>
      </w:r>
      <w:r w:rsidRPr="001966A7">
        <w:rPr>
          <w:rFonts w:ascii="Times New Roman" w:eastAsia="Times New Roman" w:hAnsi="Times New Roman"/>
          <w:sz w:val="17"/>
          <w:szCs w:val="17"/>
        </w:rPr>
        <w:t xml:space="preserve"> (</w:t>
      </w:r>
      <w:r w:rsidRPr="001966A7">
        <w:rPr>
          <w:rFonts w:ascii="Times New Roman" w:eastAsia="Times New Roman" w:hAnsi="Times New Roman"/>
          <w:i/>
          <w:sz w:val="17"/>
          <w:szCs w:val="17"/>
        </w:rPr>
        <w:t>Natural Resources Management (Western Mount Lofty Ranges -  Surface Water Prescribed Area) Regulation 2005</w:t>
      </w:r>
      <w:r w:rsidRPr="001966A7">
        <w:rPr>
          <w:rFonts w:ascii="Times New Roman" w:eastAsia="Times New Roman" w:hAnsi="Times New Roman"/>
          <w:sz w:val="17"/>
          <w:szCs w:val="17"/>
        </w:rPr>
        <w:t xml:space="preserve">) (see </w:t>
      </w:r>
      <w:r w:rsidRPr="001966A7">
        <w:rPr>
          <w:rFonts w:ascii="Times New Roman" w:eastAsia="Times New Roman" w:hAnsi="Times New Roman"/>
          <w:i/>
          <w:sz w:val="17"/>
          <w:szCs w:val="17"/>
        </w:rPr>
        <w:t>Government Gazette</w:t>
      </w:r>
      <w:r w:rsidRPr="001966A7">
        <w:rPr>
          <w:rFonts w:ascii="Times New Roman" w:eastAsia="Times New Roman" w:hAnsi="Times New Roman"/>
          <w:sz w:val="17"/>
          <w:szCs w:val="17"/>
        </w:rPr>
        <w:t xml:space="preserve"> 20 October 2005, pp. 3795-3796);</w:t>
      </w:r>
    </w:p>
    <w:p w:rsidR="001966A7" w:rsidRPr="001966A7" w:rsidRDefault="001966A7" w:rsidP="001966A7">
      <w:pPr>
        <w:ind w:firstLine="160"/>
        <w:rPr>
          <w:rFonts w:ascii="Times New Roman" w:eastAsia="Times New Roman" w:hAnsi="Times New Roman"/>
          <w:sz w:val="17"/>
          <w:szCs w:val="17"/>
        </w:rPr>
      </w:pPr>
      <w:r w:rsidRPr="001966A7">
        <w:rPr>
          <w:rFonts w:ascii="Times New Roman" w:eastAsia="Times New Roman" w:hAnsi="Times New Roman"/>
          <w:sz w:val="17"/>
          <w:szCs w:val="17"/>
        </w:rPr>
        <w:t>‘the Eastern Mount Lofty Ranges Prescribed Resources Area’ means that area which includes:</w:t>
      </w:r>
    </w:p>
    <w:p w:rsidR="001966A7" w:rsidRPr="001966A7" w:rsidRDefault="001966A7" w:rsidP="001966A7">
      <w:pPr>
        <w:ind w:left="320"/>
        <w:rPr>
          <w:rFonts w:ascii="Times New Roman" w:eastAsia="Times New Roman" w:hAnsi="Times New Roman"/>
          <w:sz w:val="17"/>
          <w:szCs w:val="17"/>
        </w:rPr>
      </w:pPr>
      <w:r w:rsidRPr="001966A7">
        <w:rPr>
          <w:rFonts w:ascii="Times New Roman" w:eastAsia="Times New Roman" w:hAnsi="Times New Roman"/>
          <w:sz w:val="17"/>
          <w:szCs w:val="17"/>
        </w:rPr>
        <w:t xml:space="preserve">the watercourses and surface water area declared by regulation under section 125 of the </w:t>
      </w:r>
      <w:r w:rsidRPr="001966A7">
        <w:rPr>
          <w:rFonts w:ascii="Times New Roman" w:eastAsia="Times New Roman" w:hAnsi="Times New Roman"/>
          <w:i/>
          <w:sz w:val="17"/>
          <w:szCs w:val="17"/>
        </w:rPr>
        <w:t>Natural Resources Management Act 2004</w:t>
      </w:r>
      <w:r w:rsidRPr="001966A7">
        <w:rPr>
          <w:rFonts w:ascii="Times New Roman" w:eastAsia="Times New Roman" w:hAnsi="Times New Roman"/>
          <w:sz w:val="17"/>
          <w:szCs w:val="17"/>
        </w:rPr>
        <w:t xml:space="preserve"> (</w:t>
      </w:r>
      <w:r w:rsidRPr="001966A7">
        <w:rPr>
          <w:rFonts w:ascii="Times New Roman" w:eastAsia="Times New Roman" w:hAnsi="Times New Roman"/>
          <w:i/>
          <w:sz w:val="17"/>
          <w:szCs w:val="17"/>
        </w:rPr>
        <w:t>Natural Resources Management (Eastern Mount Lofty Ranges - Prescribed Watercourses and Surface Water Prescribed Area) Regulations 2005</w:t>
      </w:r>
      <w:r w:rsidRPr="001966A7">
        <w:rPr>
          <w:rFonts w:ascii="Times New Roman" w:eastAsia="Times New Roman" w:hAnsi="Times New Roman"/>
          <w:sz w:val="17"/>
          <w:szCs w:val="17"/>
        </w:rPr>
        <w:t xml:space="preserve">) (see </w:t>
      </w:r>
      <w:r w:rsidRPr="001966A7">
        <w:rPr>
          <w:rFonts w:ascii="Times New Roman" w:eastAsia="Times New Roman" w:hAnsi="Times New Roman"/>
          <w:i/>
          <w:sz w:val="17"/>
          <w:szCs w:val="17"/>
        </w:rPr>
        <w:t>Government Gazette</w:t>
      </w:r>
      <w:r w:rsidRPr="001966A7">
        <w:rPr>
          <w:rFonts w:ascii="Times New Roman" w:eastAsia="Times New Roman" w:hAnsi="Times New Roman"/>
          <w:sz w:val="17"/>
          <w:szCs w:val="17"/>
        </w:rPr>
        <w:t xml:space="preserve"> 8 September 2005, pp.3292-3293); and </w:t>
      </w:r>
    </w:p>
    <w:p w:rsidR="001966A7" w:rsidRPr="001966A7" w:rsidRDefault="001966A7" w:rsidP="001966A7">
      <w:pPr>
        <w:ind w:left="320"/>
        <w:rPr>
          <w:rFonts w:ascii="Times New Roman" w:eastAsia="Times New Roman" w:hAnsi="Times New Roman"/>
          <w:spacing w:val="-2"/>
          <w:sz w:val="17"/>
          <w:szCs w:val="17"/>
        </w:rPr>
      </w:pPr>
      <w:r w:rsidRPr="001966A7">
        <w:rPr>
          <w:rFonts w:ascii="Times New Roman" w:eastAsia="Times New Roman" w:hAnsi="Times New Roman"/>
          <w:spacing w:val="-2"/>
          <w:sz w:val="17"/>
          <w:szCs w:val="17"/>
        </w:rPr>
        <w:t xml:space="preserve">the wells declared by regulation under section 125 of the </w:t>
      </w:r>
      <w:r w:rsidRPr="001966A7">
        <w:rPr>
          <w:rFonts w:ascii="Times New Roman" w:eastAsia="Times New Roman" w:hAnsi="Times New Roman"/>
          <w:i/>
          <w:spacing w:val="-2"/>
          <w:sz w:val="17"/>
          <w:szCs w:val="17"/>
        </w:rPr>
        <w:t>Natural Resources Management Act 2004</w:t>
      </w:r>
      <w:r w:rsidRPr="001966A7">
        <w:rPr>
          <w:rFonts w:ascii="Times New Roman" w:eastAsia="Times New Roman" w:hAnsi="Times New Roman"/>
          <w:spacing w:val="-2"/>
          <w:sz w:val="17"/>
          <w:szCs w:val="17"/>
        </w:rPr>
        <w:t xml:space="preserve"> (</w:t>
      </w:r>
      <w:r w:rsidRPr="001966A7">
        <w:rPr>
          <w:rFonts w:ascii="Times New Roman" w:eastAsia="Times New Roman" w:hAnsi="Times New Roman"/>
          <w:i/>
          <w:spacing w:val="-2"/>
          <w:sz w:val="17"/>
          <w:szCs w:val="17"/>
        </w:rPr>
        <w:t>Natural Resources Management (Eastern Mount Lofty Ranges – Prescribed Wells Area) Regulations 2005</w:t>
      </w:r>
      <w:r w:rsidRPr="001966A7">
        <w:rPr>
          <w:rFonts w:ascii="Times New Roman" w:eastAsia="Times New Roman" w:hAnsi="Times New Roman"/>
          <w:spacing w:val="-2"/>
          <w:sz w:val="17"/>
          <w:szCs w:val="17"/>
        </w:rPr>
        <w:t xml:space="preserve">) (see </w:t>
      </w:r>
      <w:r w:rsidRPr="001966A7">
        <w:rPr>
          <w:rFonts w:ascii="Times New Roman" w:eastAsia="Times New Roman" w:hAnsi="Times New Roman"/>
          <w:i/>
          <w:spacing w:val="-2"/>
          <w:sz w:val="17"/>
          <w:szCs w:val="17"/>
        </w:rPr>
        <w:t>Government Gazette</w:t>
      </w:r>
      <w:r w:rsidRPr="001966A7">
        <w:rPr>
          <w:rFonts w:ascii="Times New Roman" w:eastAsia="Times New Roman" w:hAnsi="Times New Roman"/>
          <w:spacing w:val="-2"/>
          <w:sz w:val="17"/>
          <w:szCs w:val="17"/>
        </w:rPr>
        <w:t xml:space="preserve"> 8 September 2005, pp.3294-3295);</w:t>
      </w:r>
    </w:p>
    <w:p w:rsidR="001966A7" w:rsidRPr="001966A7" w:rsidRDefault="001966A7" w:rsidP="001966A7">
      <w:pPr>
        <w:ind w:firstLine="160"/>
        <w:rPr>
          <w:rFonts w:ascii="Times New Roman" w:eastAsia="Times New Roman" w:hAnsi="Times New Roman"/>
          <w:sz w:val="17"/>
          <w:szCs w:val="17"/>
        </w:rPr>
      </w:pPr>
      <w:r w:rsidRPr="001966A7">
        <w:rPr>
          <w:rFonts w:ascii="Times New Roman" w:eastAsia="Times New Roman" w:hAnsi="Times New Roman"/>
          <w:sz w:val="17"/>
          <w:szCs w:val="17"/>
        </w:rPr>
        <w:t>‘the Morambro Creek Prescribed Watercourse and Prescribed Surface Water Area’ means that area which includes:</w:t>
      </w:r>
    </w:p>
    <w:p w:rsidR="001966A7" w:rsidRPr="001966A7" w:rsidRDefault="001966A7" w:rsidP="001966A7">
      <w:pPr>
        <w:ind w:left="320"/>
        <w:rPr>
          <w:rFonts w:ascii="Times New Roman" w:eastAsia="Times New Roman" w:hAnsi="Times New Roman"/>
          <w:sz w:val="17"/>
          <w:szCs w:val="17"/>
        </w:rPr>
      </w:pPr>
      <w:r w:rsidRPr="001966A7">
        <w:rPr>
          <w:rFonts w:ascii="Times New Roman" w:eastAsia="Times New Roman" w:hAnsi="Times New Roman"/>
          <w:sz w:val="17"/>
          <w:szCs w:val="17"/>
        </w:rPr>
        <w:t xml:space="preserve">the watercourse declared by regulation under section 8 of the </w:t>
      </w:r>
      <w:r w:rsidRPr="001966A7">
        <w:rPr>
          <w:rFonts w:ascii="Times New Roman" w:eastAsia="Times New Roman" w:hAnsi="Times New Roman"/>
          <w:i/>
          <w:sz w:val="17"/>
          <w:szCs w:val="17"/>
        </w:rPr>
        <w:t>Water Resources Act 1997</w:t>
      </w:r>
      <w:r w:rsidRPr="001966A7">
        <w:rPr>
          <w:rFonts w:ascii="Times New Roman" w:eastAsia="Times New Roman" w:hAnsi="Times New Roman"/>
          <w:sz w:val="17"/>
          <w:szCs w:val="17"/>
        </w:rPr>
        <w:t xml:space="preserve"> (</w:t>
      </w:r>
      <w:r w:rsidRPr="001966A7">
        <w:rPr>
          <w:rFonts w:ascii="Times New Roman" w:eastAsia="Times New Roman" w:hAnsi="Times New Roman"/>
          <w:i/>
          <w:sz w:val="17"/>
          <w:szCs w:val="17"/>
        </w:rPr>
        <w:t>Water Resources (Morambro Creek) Regulations 2001</w:t>
      </w:r>
      <w:r w:rsidRPr="001966A7">
        <w:rPr>
          <w:rFonts w:ascii="Times New Roman" w:eastAsia="Times New Roman" w:hAnsi="Times New Roman"/>
          <w:sz w:val="17"/>
          <w:szCs w:val="17"/>
        </w:rPr>
        <w:t xml:space="preserve">) (see </w:t>
      </w:r>
      <w:r w:rsidRPr="001966A7">
        <w:rPr>
          <w:rFonts w:ascii="Times New Roman" w:eastAsia="Times New Roman" w:hAnsi="Times New Roman"/>
          <w:i/>
          <w:sz w:val="17"/>
          <w:szCs w:val="17"/>
        </w:rPr>
        <w:t>Government Gazette</w:t>
      </w:r>
      <w:r w:rsidRPr="001966A7">
        <w:rPr>
          <w:rFonts w:ascii="Times New Roman" w:eastAsia="Times New Roman" w:hAnsi="Times New Roman"/>
          <w:sz w:val="17"/>
          <w:szCs w:val="17"/>
        </w:rPr>
        <w:t xml:space="preserve"> 12 April 2001, p.1605); and</w:t>
      </w:r>
    </w:p>
    <w:p w:rsidR="001966A7" w:rsidRPr="001966A7" w:rsidRDefault="001966A7" w:rsidP="001966A7">
      <w:pPr>
        <w:ind w:left="320"/>
        <w:rPr>
          <w:rFonts w:ascii="Times New Roman" w:eastAsia="Times New Roman" w:hAnsi="Times New Roman"/>
          <w:sz w:val="17"/>
          <w:szCs w:val="17"/>
        </w:rPr>
      </w:pPr>
      <w:r w:rsidRPr="001966A7">
        <w:rPr>
          <w:rFonts w:ascii="Times New Roman" w:eastAsia="Times New Roman" w:hAnsi="Times New Roman"/>
          <w:sz w:val="17"/>
          <w:szCs w:val="17"/>
        </w:rPr>
        <w:t xml:space="preserve">the surface water prescribed area declared by regulation under section 8 of the </w:t>
      </w:r>
      <w:r w:rsidRPr="001966A7">
        <w:rPr>
          <w:rFonts w:ascii="Times New Roman" w:eastAsia="Times New Roman" w:hAnsi="Times New Roman"/>
          <w:i/>
          <w:sz w:val="17"/>
          <w:szCs w:val="17"/>
        </w:rPr>
        <w:t>Water Resources Act 1997</w:t>
      </w:r>
      <w:r w:rsidRPr="001966A7">
        <w:rPr>
          <w:rFonts w:ascii="Times New Roman" w:eastAsia="Times New Roman" w:hAnsi="Times New Roman"/>
          <w:sz w:val="17"/>
          <w:szCs w:val="17"/>
        </w:rPr>
        <w:t xml:space="preserve"> (</w:t>
      </w:r>
      <w:r w:rsidRPr="001966A7">
        <w:rPr>
          <w:rFonts w:ascii="Times New Roman" w:eastAsia="Times New Roman" w:hAnsi="Times New Roman"/>
          <w:i/>
          <w:sz w:val="17"/>
          <w:szCs w:val="17"/>
        </w:rPr>
        <w:t>Water Resources (Surface Water Prescribed Area – Morambro Catchment) Regulations 2001</w:t>
      </w:r>
      <w:r w:rsidRPr="001966A7">
        <w:rPr>
          <w:rFonts w:ascii="Times New Roman" w:eastAsia="Times New Roman" w:hAnsi="Times New Roman"/>
          <w:sz w:val="17"/>
          <w:szCs w:val="17"/>
        </w:rPr>
        <w:t>);</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 xml:space="preserve">‘the Lower Limestone Coast Prescribed Wells Area’ means the area declared by regulation under section 8 of </w:t>
      </w:r>
      <w:r w:rsidRPr="001966A7">
        <w:rPr>
          <w:rFonts w:ascii="Times New Roman" w:eastAsia="Times New Roman" w:hAnsi="Times New Roman"/>
          <w:i/>
          <w:sz w:val="17"/>
          <w:szCs w:val="17"/>
        </w:rPr>
        <w:t>Water Resource Act 1997</w:t>
      </w:r>
      <w:r w:rsidRPr="001966A7">
        <w:rPr>
          <w:rFonts w:ascii="Times New Roman" w:eastAsia="Times New Roman" w:hAnsi="Times New Roman"/>
          <w:sz w:val="17"/>
          <w:szCs w:val="17"/>
        </w:rPr>
        <w:t xml:space="preserve"> (see </w:t>
      </w:r>
      <w:r w:rsidRPr="001966A7">
        <w:rPr>
          <w:rFonts w:ascii="Times New Roman" w:eastAsia="Times New Roman" w:hAnsi="Times New Roman"/>
          <w:i/>
          <w:sz w:val="17"/>
          <w:szCs w:val="17"/>
        </w:rPr>
        <w:t>Government Gazette</w:t>
      </w:r>
      <w:r w:rsidRPr="001966A7">
        <w:rPr>
          <w:rFonts w:ascii="Times New Roman" w:eastAsia="Times New Roman" w:hAnsi="Times New Roman"/>
          <w:sz w:val="17"/>
          <w:szCs w:val="17"/>
        </w:rPr>
        <w:t xml:space="preserve"> 02 December 2004, p. 4462-4464);</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 xml:space="preserve">‘the Padthaway Prescribed Wells Area’ means the area declared by proclamation under section 25 of the </w:t>
      </w:r>
      <w:r w:rsidRPr="001966A7">
        <w:rPr>
          <w:rFonts w:ascii="Times New Roman" w:eastAsia="Times New Roman" w:hAnsi="Times New Roman"/>
          <w:i/>
          <w:sz w:val="17"/>
          <w:szCs w:val="17"/>
        </w:rPr>
        <w:t>Water Resources Act 1976</w:t>
      </w:r>
      <w:r w:rsidRPr="001966A7">
        <w:rPr>
          <w:rFonts w:ascii="Times New Roman" w:eastAsia="Times New Roman" w:hAnsi="Times New Roman"/>
          <w:sz w:val="17"/>
          <w:szCs w:val="17"/>
        </w:rPr>
        <w:t xml:space="preserve"> (see </w:t>
      </w:r>
      <w:r w:rsidRPr="001966A7">
        <w:rPr>
          <w:rFonts w:ascii="Times New Roman" w:eastAsia="Times New Roman" w:hAnsi="Times New Roman"/>
          <w:i/>
          <w:sz w:val="17"/>
          <w:szCs w:val="17"/>
        </w:rPr>
        <w:t>Government Gazette</w:t>
      </w:r>
      <w:r w:rsidRPr="001966A7">
        <w:rPr>
          <w:rFonts w:ascii="Times New Roman" w:eastAsia="Times New Roman" w:hAnsi="Times New Roman"/>
          <w:sz w:val="17"/>
          <w:szCs w:val="17"/>
        </w:rPr>
        <w:t xml:space="preserve"> 13 May 1976, p. 2459);</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 xml:space="preserve">‘the Tatiara Prescribed Wells Area’ means the area declared to be the Tatiara Prescribed Area by proclamation under Section 41 of the </w:t>
      </w:r>
      <w:r w:rsidRPr="001966A7">
        <w:rPr>
          <w:rFonts w:ascii="Times New Roman" w:eastAsia="Times New Roman" w:hAnsi="Times New Roman"/>
          <w:i/>
          <w:sz w:val="17"/>
          <w:szCs w:val="17"/>
        </w:rPr>
        <w:t>Water Resources Act 1976</w:t>
      </w:r>
      <w:r w:rsidRPr="001966A7">
        <w:rPr>
          <w:rFonts w:ascii="Times New Roman" w:eastAsia="Times New Roman" w:hAnsi="Times New Roman"/>
          <w:sz w:val="17"/>
          <w:szCs w:val="17"/>
        </w:rPr>
        <w:t xml:space="preserve"> (See </w:t>
      </w:r>
      <w:r w:rsidRPr="001966A7">
        <w:rPr>
          <w:rFonts w:ascii="Times New Roman" w:eastAsia="Times New Roman" w:hAnsi="Times New Roman"/>
          <w:i/>
          <w:sz w:val="17"/>
          <w:szCs w:val="17"/>
        </w:rPr>
        <w:t>Government Gazette</w:t>
      </w:r>
      <w:r w:rsidRPr="001966A7">
        <w:rPr>
          <w:rFonts w:ascii="Times New Roman" w:eastAsia="Times New Roman" w:hAnsi="Times New Roman"/>
          <w:sz w:val="17"/>
          <w:szCs w:val="17"/>
        </w:rPr>
        <w:t xml:space="preserve"> 12 July 1984, p. 134) and further revoked and varied (see </w:t>
      </w:r>
      <w:r w:rsidRPr="001966A7">
        <w:rPr>
          <w:rFonts w:ascii="Times New Roman" w:eastAsia="Times New Roman" w:hAnsi="Times New Roman"/>
          <w:i/>
          <w:sz w:val="17"/>
          <w:szCs w:val="17"/>
        </w:rPr>
        <w:t>Government Gazette</w:t>
      </w:r>
      <w:r w:rsidRPr="001966A7">
        <w:rPr>
          <w:rFonts w:ascii="Times New Roman" w:eastAsia="Times New Roman" w:hAnsi="Times New Roman"/>
          <w:sz w:val="17"/>
          <w:szCs w:val="17"/>
        </w:rPr>
        <w:t xml:space="preserve"> 30 January 1986, p. 206);</w:t>
      </w:r>
    </w:p>
    <w:p w:rsidR="001966A7" w:rsidRPr="001966A7" w:rsidRDefault="001966A7" w:rsidP="001966A7">
      <w:pPr>
        <w:ind w:left="160"/>
        <w:rPr>
          <w:rFonts w:ascii="Times New Roman" w:eastAsia="Times New Roman" w:hAnsi="Times New Roman"/>
          <w:sz w:val="17"/>
          <w:szCs w:val="17"/>
        </w:rPr>
      </w:pPr>
      <w:r w:rsidRPr="001966A7">
        <w:rPr>
          <w:rFonts w:ascii="Times New Roman" w:eastAsia="Times New Roman" w:hAnsi="Times New Roman"/>
          <w:sz w:val="17"/>
          <w:szCs w:val="17"/>
        </w:rPr>
        <w:t xml:space="preserve">‘the Tintinara-Coonalpyn Prescribed Wells Area’ means the area prescribed under Section 8 of the </w:t>
      </w:r>
      <w:r w:rsidRPr="001966A7">
        <w:rPr>
          <w:rFonts w:ascii="Times New Roman" w:eastAsia="Times New Roman" w:hAnsi="Times New Roman"/>
          <w:i/>
          <w:sz w:val="17"/>
          <w:szCs w:val="17"/>
        </w:rPr>
        <w:t>Water Resource Act 1997</w:t>
      </w:r>
      <w:r w:rsidRPr="001966A7">
        <w:rPr>
          <w:rFonts w:ascii="Times New Roman" w:eastAsia="Times New Roman" w:hAnsi="Times New Roman"/>
          <w:sz w:val="17"/>
          <w:szCs w:val="17"/>
        </w:rPr>
        <w:t xml:space="preserve"> (</w:t>
      </w:r>
      <w:r w:rsidRPr="001966A7">
        <w:rPr>
          <w:rFonts w:ascii="Times New Roman" w:eastAsia="Times New Roman" w:hAnsi="Times New Roman"/>
          <w:i/>
          <w:sz w:val="17"/>
          <w:szCs w:val="17"/>
        </w:rPr>
        <w:t>Water Resources (Tintinara Coonalpyn Prescribed Wells Area) Regulations 2000</w:t>
      </w:r>
      <w:r w:rsidRPr="001966A7">
        <w:rPr>
          <w:rFonts w:ascii="Times New Roman" w:eastAsia="Times New Roman" w:hAnsi="Times New Roman"/>
          <w:sz w:val="17"/>
          <w:szCs w:val="17"/>
        </w:rPr>
        <w:t xml:space="preserve">) (see </w:t>
      </w:r>
      <w:r w:rsidRPr="001966A7">
        <w:rPr>
          <w:rFonts w:ascii="Times New Roman" w:eastAsia="Times New Roman" w:hAnsi="Times New Roman"/>
          <w:i/>
          <w:sz w:val="17"/>
          <w:szCs w:val="17"/>
        </w:rPr>
        <w:t>Government Gazette</w:t>
      </w:r>
      <w:r w:rsidRPr="001966A7">
        <w:rPr>
          <w:rFonts w:ascii="Times New Roman" w:eastAsia="Times New Roman" w:hAnsi="Times New Roman"/>
          <w:sz w:val="17"/>
          <w:szCs w:val="17"/>
        </w:rPr>
        <w:t xml:space="preserve"> 02 November 2000, p.2933).</w:t>
      </w:r>
    </w:p>
    <w:p w:rsidR="001966A7" w:rsidRPr="001966A7" w:rsidRDefault="001966A7" w:rsidP="001966A7">
      <w:pPr>
        <w:jc w:val="center"/>
        <w:rPr>
          <w:rFonts w:ascii="Times New Roman" w:hAnsi="Times New Roman"/>
          <w:smallCaps/>
          <w:sz w:val="17"/>
          <w:szCs w:val="17"/>
        </w:rPr>
      </w:pPr>
      <w:r w:rsidRPr="001966A7">
        <w:rPr>
          <w:rFonts w:ascii="Times New Roman" w:hAnsi="Times New Roman"/>
          <w:smallCaps/>
          <w:sz w:val="17"/>
          <w:szCs w:val="17"/>
        </w:rPr>
        <w:t>Schedule 1</w:t>
      </w:r>
    </w:p>
    <w:p w:rsidR="001966A7" w:rsidRPr="001966A7" w:rsidRDefault="001966A7" w:rsidP="001966A7">
      <w:pPr>
        <w:rPr>
          <w:rFonts w:ascii="Times New Roman" w:eastAsia="Times New Roman" w:hAnsi="Times New Roman"/>
          <w:sz w:val="17"/>
          <w:szCs w:val="17"/>
        </w:rPr>
      </w:pPr>
      <w:r w:rsidRPr="001966A7">
        <w:rPr>
          <w:rFonts w:ascii="Times New Roman" w:eastAsia="Times New Roman" w:hAnsi="Times New Roman"/>
          <w:sz w:val="17"/>
          <w:szCs w:val="17"/>
        </w:rPr>
        <w:t>Penalties for unauthorised or unlawful take from a prescribed water resource 2021 - 2022:</w:t>
      </w:r>
    </w:p>
    <w:tbl>
      <w:tblPr>
        <w:tblW w:w="5000" w:type="pct"/>
        <w:tblBorders>
          <w:top w:val="single" w:sz="4" w:space="0" w:color="auto"/>
          <w:bottom w:val="single" w:sz="4" w:space="0" w:color="auto"/>
        </w:tblBorders>
        <w:tblLook w:val="04A0" w:firstRow="1" w:lastRow="0" w:firstColumn="1" w:lastColumn="0" w:noHBand="0" w:noVBand="1"/>
      </w:tblPr>
      <w:tblGrid>
        <w:gridCol w:w="5586"/>
        <w:gridCol w:w="2057"/>
        <w:gridCol w:w="1717"/>
      </w:tblGrid>
      <w:tr w:rsidR="001966A7" w:rsidRPr="001966A7" w:rsidTr="00491D21">
        <w:trPr>
          <w:trHeight w:val="20"/>
        </w:trPr>
        <w:tc>
          <w:tcPr>
            <w:tcW w:w="2984" w:type="pct"/>
            <w:tcBorders>
              <w:top w:val="single" w:sz="4" w:space="0" w:color="auto"/>
              <w:bottom w:val="single" w:sz="4" w:space="0" w:color="auto"/>
            </w:tcBorders>
            <w:shd w:val="clear" w:color="auto" w:fill="auto"/>
            <w:noWrap/>
            <w:vAlign w:val="center"/>
            <w:hideMark/>
          </w:tcPr>
          <w:p w:rsidR="001966A7" w:rsidRPr="001966A7" w:rsidRDefault="001966A7" w:rsidP="001966A7">
            <w:pPr>
              <w:spacing w:before="20" w:after="20"/>
              <w:jc w:val="center"/>
              <w:rPr>
                <w:rFonts w:ascii="Times New Roman" w:eastAsia="Times New Roman" w:hAnsi="Times New Roman"/>
                <w:b/>
                <w:bCs/>
                <w:sz w:val="17"/>
                <w:szCs w:val="17"/>
              </w:rPr>
            </w:pPr>
            <w:r w:rsidRPr="001966A7">
              <w:rPr>
                <w:rFonts w:ascii="Times New Roman" w:eastAsia="Times New Roman" w:hAnsi="Times New Roman"/>
                <w:b/>
                <w:bCs/>
                <w:sz w:val="17"/>
                <w:szCs w:val="17"/>
              </w:rPr>
              <w:t>Column 1</w:t>
            </w:r>
          </w:p>
        </w:tc>
        <w:tc>
          <w:tcPr>
            <w:tcW w:w="1099" w:type="pct"/>
            <w:tcBorders>
              <w:top w:val="single" w:sz="4" w:space="0" w:color="auto"/>
              <w:bottom w:val="single" w:sz="4" w:space="0" w:color="auto"/>
            </w:tcBorders>
            <w:shd w:val="clear" w:color="auto" w:fill="auto"/>
            <w:vAlign w:val="center"/>
            <w:hideMark/>
          </w:tcPr>
          <w:p w:rsidR="001966A7" w:rsidRPr="001966A7" w:rsidRDefault="001966A7" w:rsidP="001966A7">
            <w:pPr>
              <w:spacing w:before="20" w:after="20"/>
              <w:jc w:val="center"/>
              <w:rPr>
                <w:rFonts w:ascii="Times New Roman" w:eastAsia="Times New Roman" w:hAnsi="Times New Roman"/>
                <w:b/>
                <w:bCs/>
                <w:sz w:val="17"/>
                <w:szCs w:val="17"/>
              </w:rPr>
            </w:pPr>
            <w:r w:rsidRPr="001966A7">
              <w:rPr>
                <w:rFonts w:ascii="Times New Roman" w:eastAsia="Times New Roman" w:hAnsi="Times New Roman"/>
                <w:b/>
                <w:bCs/>
                <w:sz w:val="17"/>
                <w:szCs w:val="17"/>
              </w:rPr>
              <w:t>Column 2</w:t>
            </w:r>
          </w:p>
        </w:tc>
        <w:tc>
          <w:tcPr>
            <w:tcW w:w="917" w:type="pct"/>
            <w:tcBorders>
              <w:top w:val="single" w:sz="4" w:space="0" w:color="auto"/>
              <w:bottom w:val="single" w:sz="4" w:space="0" w:color="auto"/>
            </w:tcBorders>
          </w:tcPr>
          <w:p w:rsidR="001966A7" w:rsidRPr="001966A7" w:rsidRDefault="001966A7" w:rsidP="001966A7">
            <w:pPr>
              <w:spacing w:before="20" w:after="20"/>
              <w:jc w:val="center"/>
              <w:rPr>
                <w:rFonts w:ascii="Times New Roman" w:eastAsia="Times New Roman" w:hAnsi="Times New Roman"/>
                <w:b/>
                <w:bCs/>
                <w:sz w:val="17"/>
                <w:szCs w:val="17"/>
              </w:rPr>
            </w:pPr>
            <w:r w:rsidRPr="001966A7">
              <w:rPr>
                <w:rFonts w:ascii="Times New Roman" w:eastAsia="Times New Roman" w:hAnsi="Times New Roman"/>
                <w:b/>
                <w:bCs/>
                <w:sz w:val="17"/>
                <w:szCs w:val="17"/>
              </w:rPr>
              <w:t>Column 3</w:t>
            </w:r>
          </w:p>
        </w:tc>
      </w:tr>
      <w:tr w:rsidR="001966A7" w:rsidRPr="001966A7" w:rsidTr="00491D21">
        <w:trPr>
          <w:trHeight w:val="20"/>
        </w:trPr>
        <w:tc>
          <w:tcPr>
            <w:tcW w:w="2984" w:type="pct"/>
            <w:tcBorders>
              <w:top w:val="single" w:sz="4" w:space="0" w:color="auto"/>
            </w:tcBorders>
            <w:shd w:val="clear" w:color="auto" w:fill="auto"/>
            <w:noWrap/>
            <w:vAlign w:val="center"/>
            <w:hideMark/>
          </w:tcPr>
          <w:p w:rsidR="001966A7" w:rsidRPr="001966A7" w:rsidRDefault="001966A7" w:rsidP="001966A7">
            <w:pPr>
              <w:spacing w:before="20" w:after="20"/>
              <w:jc w:val="center"/>
              <w:rPr>
                <w:rFonts w:ascii="Times New Roman" w:eastAsia="Times New Roman" w:hAnsi="Times New Roman"/>
                <w:b/>
                <w:bCs/>
                <w:sz w:val="17"/>
                <w:szCs w:val="17"/>
              </w:rPr>
            </w:pPr>
            <w:r w:rsidRPr="001966A7">
              <w:rPr>
                <w:rFonts w:ascii="Times New Roman" w:eastAsia="Times New Roman" w:hAnsi="Times New Roman"/>
                <w:b/>
                <w:bCs/>
                <w:sz w:val="17"/>
                <w:szCs w:val="17"/>
              </w:rPr>
              <w:t>Prescribed Water Resource</w:t>
            </w:r>
          </w:p>
        </w:tc>
        <w:tc>
          <w:tcPr>
            <w:tcW w:w="1099" w:type="pct"/>
            <w:tcBorders>
              <w:top w:val="single" w:sz="4" w:space="0" w:color="auto"/>
            </w:tcBorders>
            <w:shd w:val="clear" w:color="auto" w:fill="auto"/>
            <w:vAlign w:val="center"/>
            <w:hideMark/>
          </w:tcPr>
          <w:p w:rsidR="001966A7" w:rsidRPr="001966A7" w:rsidRDefault="001966A7" w:rsidP="001966A7">
            <w:pPr>
              <w:spacing w:before="20" w:after="20"/>
              <w:jc w:val="center"/>
              <w:rPr>
                <w:rFonts w:ascii="Times New Roman" w:eastAsia="Times New Roman" w:hAnsi="Times New Roman"/>
                <w:b/>
                <w:bCs/>
                <w:sz w:val="17"/>
                <w:szCs w:val="17"/>
              </w:rPr>
            </w:pPr>
            <w:r w:rsidRPr="001966A7">
              <w:rPr>
                <w:rFonts w:ascii="Times New Roman" w:eastAsia="Times New Roman" w:hAnsi="Times New Roman"/>
                <w:b/>
                <w:bCs/>
                <w:sz w:val="17"/>
                <w:szCs w:val="17"/>
              </w:rPr>
              <w:t>Penalty for unauthorised take of water</w:t>
            </w:r>
          </w:p>
        </w:tc>
        <w:tc>
          <w:tcPr>
            <w:tcW w:w="917" w:type="pct"/>
            <w:tcBorders>
              <w:top w:val="single" w:sz="4" w:space="0" w:color="auto"/>
            </w:tcBorders>
          </w:tcPr>
          <w:p w:rsidR="001966A7" w:rsidRPr="001966A7" w:rsidRDefault="001966A7" w:rsidP="001966A7">
            <w:pPr>
              <w:spacing w:before="20" w:after="20"/>
              <w:jc w:val="center"/>
              <w:rPr>
                <w:rFonts w:ascii="Times New Roman" w:eastAsia="Times New Roman" w:hAnsi="Times New Roman"/>
                <w:b/>
                <w:bCs/>
                <w:sz w:val="17"/>
                <w:szCs w:val="17"/>
              </w:rPr>
            </w:pPr>
            <w:r w:rsidRPr="001966A7">
              <w:rPr>
                <w:rFonts w:ascii="Times New Roman" w:eastAsia="Times New Roman" w:hAnsi="Times New Roman"/>
                <w:b/>
                <w:bCs/>
                <w:sz w:val="17"/>
                <w:szCs w:val="17"/>
              </w:rPr>
              <w:t>Penalty for unlawful take of water</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Angas Bremer Prescribed Wells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$0.69/kL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$0.92/kL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Barossa Prescribed Water Resources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$2.25/kL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$3.00/kL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Clare Valley Prescribed Water Resources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$0.69/kL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$0.92/kL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Dry Creek Prescribed Wells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$0.69/kL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$0.92/kL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Eastern Mt Lofty Ranges Prescribed Water Resources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$1.20/kL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$1.60/kL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Far North Prescribed Wells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$0.69/kL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$0.92/kL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Lower Limestone Coast Prescribed Wells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$1.14/kL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$1.52/kL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Mallee Prescribed Wells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$1.49/kL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$1.98/kL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Marne Saunders Prescribed Water Resources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$0.69/kL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$0.92/kL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McLaren Vale Prescribed Wells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$3.90/kL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$5.20/kL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Morambro Creek Prescribed Watercourse and Prescribed Surface Water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$0.69/kL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$0.92/kL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Musgrave Prescribed Wells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$0.69/kL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$0.92/kL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Northern Adelaide Plains Prescribed Wells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$1.88/kL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$2.50/kL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Padthaway Prescribed Wells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$0.69/kL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$0.92/kL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Peake, Roby and Sherlock Prescribed Wells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$0.69/kL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$0.92/kL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Southern Basins Prescribed Wells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$0.69/kL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$0.92/kL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Tatiara Prescribed Wells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$0.69/kL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$0.92/kL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Tintinara Coonalpyn Prescribed Wells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$0.69/kL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$0.92/kL</w:t>
            </w:r>
          </w:p>
        </w:tc>
      </w:tr>
      <w:tr w:rsidR="001966A7" w:rsidRPr="001966A7" w:rsidTr="00491D21">
        <w:trPr>
          <w:trHeight w:val="20"/>
        </w:trPr>
        <w:tc>
          <w:tcPr>
            <w:tcW w:w="2984"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Western Mt Lofty Ranges Prescribed Water Resources Area</w:t>
            </w:r>
          </w:p>
        </w:tc>
        <w:tc>
          <w:tcPr>
            <w:tcW w:w="1099"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$0.97/kL</w:t>
            </w:r>
          </w:p>
        </w:tc>
        <w:tc>
          <w:tcPr>
            <w:tcW w:w="917" w:type="pct"/>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$1.30/kL</w:t>
            </w:r>
          </w:p>
        </w:tc>
      </w:tr>
    </w:tbl>
    <w:p w:rsidR="001966A7" w:rsidRPr="001966A7" w:rsidRDefault="001966A7" w:rsidP="001966A7">
      <w:pPr>
        <w:spacing w:before="80" w:after="0"/>
        <w:rPr>
          <w:rFonts w:ascii="Times New Roman" w:eastAsia="Times New Roman" w:hAnsi="Times New Roman"/>
          <w:sz w:val="17"/>
          <w:szCs w:val="17"/>
        </w:rPr>
      </w:pPr>
      <w:r w:rsidRPr="001966A7">
        <w:rPr>
          <w:rFonts w:ascii="Times New Roman" w:eastAsia="Times New Roman" w:hAnsi="Times New Roman"/>
          <w:sz w:val="17"/>
          <w:szCs w:val="17"/>
        </w:rPr>
        <w:t>Unit of measure kL is the abbreviation of kilolitre.</w:t>
      </w:r>
    </w:p>
    <w:p w:rsidR="001966A7" w:rsidRPr="001966A7" w:rsidRDefault="001966A7" w:rsidP="001966A7">
      <w:pPr>
        <w:jc w:val="center"/>
        <w:rPr>
          <w:rFonts w:ascii="Times New Roman" w:hAnsi="Times New Roman"/>
          <w:smallCaps/>
          <w:sz w:val="17"/>
          <w:szCs w:val="17"/>
        </w:rPr>
      </w:pPr>
      <w:r w:rsidRPr="001966A7">
        <w:rPr>
          <w:rFonts w:ascii="Times New Roman" w:hAnsi="Times New Roman"/>
          <w:smallCaps/>
          <w:sz w:val="17"/>
          <w:szCs w:val="17"/>
        </w:rPr>
        <w:t>Schedule 2</w:t>
      </w:r>
    </w:p>
    <w:p w:rsidR="001966A7" w:rsidRPr="001966A7" w:rsidRDefault="001966A7" w:rsidP="001966A7">
      <w:pPr>
        <w:rPr>
          <w:rFonts w:ascii="Times New Roman" w:eastAsia="Times New Roman" w:hAnsi="Times New Roman"/>
          <w:spacing w:val="-2"/>
          <w:sz w:val="17"/>
          <w:szCs w:val="17"/>
        </w:rPr>
      </w:pPr>
      <w:r w:rsidRPr="001966A7">
        <w:rPr>
          <w:rFonts w:ascii="Times New Roman" w:eastAsia="Times New Roman" w:hAnsi="Times New Roman"/>
          <w:spacing w:val="-2"/>
          <w:sz w:val="17"/>
          <w:szCs w:val="17"/>
        </w:rPr>
        <w:t>Penalties for unauthorised take from a prescribed water resource, taken in association with an authorisation pursuant to section 105 of the Act:</w:t>
      </w:r>
    </w:p>
    <w:tbl>
      <w:tblPr>
        <w:tblW w:w="4467" w:type="pct"/>
        <w:tblInd w:w="709" w:type="dxa"/>
        <w:tblBorders>
          <w:top w:val="single" w:sz="4" w:space="0" w:color="auto"/>
          <w:bottom w:val="single" w:sz="4" w:space="0" w:color="auto"/>
        </w:tblBorders>
        <w:tblLook w:val="04A0" w:firstRow="1" w:lastRow="0" w:firstColumn="1" w:lastColumn="0" w:noHBand="0" w:noVBand="1"/>
      </w:tblPr>
      <w:tblGrid>
        <w:gridCol w:w="4934"/>
        <w:gridCol w:w="3428"/>
      </w:tblGrid>
      <w:tr w:rsidR="001966A7" w:rsidRPr="001966A7" w:rsidTr="00491D21">
        <w:trPr>
          <w:trHeight w:val="20"/>
        </w:trPr>
        <w:tc>
          <w:tcPr>
            <w:tcW w:w="2950" w:type="pct"/>
            <w:tcBorders>
              <w:top w:val="single" w:sz="4" w:space="0" w:color="auto"/>
              <w:bottom w:val="nil"/>
            </w:tcBorders>
            <w:shd w:val="clear" w:color="auto" w:fill="auto"/>
            <w:noWrap/>
            <w:vAlign w:val="center"/>
            <w:hideMark/>
          </w:tcPr>
          <w:p w:rsidR="001966A7" w:rsidRPr="001966A7" w:rsidRDefault="001966A7" w:rsidP="001966A7">
            <w:pPr>
              <w:spacing w:before="20" w:after="20"/>
              <w:jc w:val="center"/>
              <w:rPr>
                <w:rFonts w:ascii="Times New Roman" w:eastAsia="Times New Roman" w:hAnsi="Times New Roman"/>
                <w:b/>
                <w:bCs/>
                <w:sz w:val="17"/>
                <w:szCs w:val="17"/>
              </w:rPr>
            </w:pPr>
            <w:r w:rsidRPr="001966A7">
              <w:rPr>
                <w:rFonts w:ascii="Times New Roman" w:eastAsia="Times New Roman" w:hAnsi="Times New Roman"/>
                <w:b/>
                <w:bCs/>
                <w:sz w:val="17"/>
                <w:szCs w:val="17"/>
              </w:rPr>
              <w:t>Column 1</w:t>
            </w:r>
          </w:p>
        </w:tc>
        <w:tc>
          <w:tcPr>
            <w:tcW w:w="2050" w:type="pct"/>
            <w:tcBorders>
              <w:top w:val="single" w:sz="4" w:space="0" w:color="auto"/>
              <w:bottom w:val="nil"/>
            </w:tcBorders>
            <w:shd w:val="clear" w:color="auto" w:fill="auto"/>
            <w:vAlign w:val="center"/>
            <w:hideMark/>
          </w:tcPr>
          <w:p w:rsidR="001966A7" w:rsidRPr="001966A7" w:rsidRDefault="001966A7" w:rsidP="001966A7">
            <w:pPr>
              <w:spacing w:before="20" w:after="20"/>
              <w:jc w:val="center"/>
              <w:rPr>
                <w:rFonts w:ascii="Times New Roman" w:eastAsia="Times New Roman" w:hAnsi="Times New Roman"/>
                <w:b/>
                <w:bCs/>
                <w:sz w:val="17"/>
                <w:szCs w:val="17"/>
              </w:rPr>
            </w:pPr>
            <w:r w:rsidRPr="001966A7">
              <w:rPr>
                <w:rFonts w:ascii="Times New Roman" w:eastAsia="Times New Roman" w:hAnsi="Times New Roman"/>
                <w:b/>
                <w:bCs/>
                <w:sz w:val="17"/>
                <w:szCs w:val="17"/>
              </w:rPr>
              <w:t>Column 2</w:t>
            </w:r>
          </w:p>
        </w:tc>
      </w:tr>
      <w:tr w:rsidR="001966A7" w:rsidRPr="001966A7" w:rsidTr="00491D21">
        <w:trPr>
          <w:trHeight w:val="20"/>
        </w:trPr>
        <w:tc>
          <w:tcPr>
            <w:tcW w:w="2950" w:type="pct"/>
            <w:tcBorders>
              <w:top w:val="nil"/>
              <w:bottom w:val="single" w:sz="4" w:space="0" w:color="auto"/>
            </w:tcBorders>
            <w:shd w:val="clear" w:color="auto" w:fill="auto"/>
            <w:noWrap/>
            <w:vAlign w:val="center"/>
            <w:hideMark/>
          </w:tcPr>
          <w:p w:rsidR="001966A7" w:rsidRPr="001966A7" w:rsidRDefault="001966A7" w:rsidP="001966A7">
            <w:pPr>
              <w:spacing w:before="20" w:after="20"/>
              <w:jc w:val="center"/>
              <w:rPr>
                <w:rFonts w:ascii="Times New Roman" w:eastAsia="Times New Roman" w:hAnsi="Times New Roman"/>
                <w:b/>
                <w:bCs/>
                <w:sz w:val="17"/>
                <w:szCs w:val="17"/>
              </w:rPr>
            </w:pPr>
            <w:r w:rsidRPr="001966A7">
              <w:rPr>
                <w:rFonts w:ascii="Times New Roman" w:eastAsia="Times New Roman" w:hAnsi="Times New Roman"/>
                <w:b/>
                <w:bCs/>
                <w:sz w:val="17"/>
                <w:szCs w:val="17"/>
              </w:rPr>
              <w:t>Prescribed Water Resource</w:t>
            </w:r>
          </w:p>
        </w:tc>
        <w:tc>
          <w:tcPr>
            <w:tcW w:w="2050" w:type="pct"/>
            <w:tcBorders>
              <w:top w:val="nil"/>
              <w:bottom w:val="single" w:sz="4" w:space="0" w:color="auto"/>
            </w:tcBorders>
            <w:shd w:val="clear" w:color="auto" w:fill="auto"/>
            <w:vAlign w:val="center"/>
            <w:hideMark/>
          </w:tcPr>
          <w:p w:rsidR="001966A7" w:rsidRPr="001966A7" w:rsidRDefault="001966A7" w:rsidP="001966A7">
            <w:pPr>
              <w:spacing w:before="20" w:after="20"/>
              <w:jc w:val="center"/>
              <w:rPr>
                <w:rFonts w:ascii="Times New Roman" w:eastAsia="Times New Roman" w:hAnsi="Times New Roman"/>
                <w:b/>
                <w:bCs/>
                <w:sz w:val="17"/>
                <w:szCs w:val="17"/>
              </w:rPr>
            </w:pPr>
            <w:r w:rsidRPr="001966A7">
              <w:rPr>
                <w:rFonts w:ascii="Times New Roman" w:eastAsia="Times New Roman" w:hAnsi="Times New Roman"/>
                <w:b/>
                <w:bCs/>
                <w:sz w:val="17"/>
                <w:szCs w:val="17"/>
              </w:rPr>
              <w:t>Penalty for unauthorised take of water</w:t>
            </w:r>
          </w:p>
        </w:tc>
      </w:tr>
      <w:tr w:rsidR="001966A7" w:rsidRPr="001966A7" w:rsidTr="00491D21">
        <w:trPr>
          <w:trHeight w:val="20"/>
        </w:trPr>
        <w:tc>
          <w:tcPr>
            <w:tcW w:w="2950" w:type="pct"/>
            <w:tcBorders>
              <w:top w:val="single" w:sz="4" w:space="0" w:color="auto"/>
            </w:tcBorders>
            <w:shd w:val="clear" w:color="auto" w:fill="auto"/>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Central Adelaide Prescribed Wells Area</w:t>
            </w:r>
          </w:p>
        </w:tc>
        <w:tc>
          <w:tcPr>
            <w:tcW w:w="2050" w:type="pct"/>
            <w:tcBorders>
              <w:top w:val="single" w:sz="4" w:space="0" w:color="auto"/>
            </w:tcBorders>
            <w:shd w:val="clear" w:color="auto" w:fill="auto"/>
            <w:noWrap/>
            <w:vAlign w:val="center"/>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$0.69/kL</w:t>
            </w:r>
          </w:p>
        </w:tc>
      </w:tr>
      <w:tr w:rsidR="001966A7" w:rsidRPr="001966A7" w:rsidTr="00491D21">
        <w:trPr>
          <w:trHeight w:val="20"/>
        </w:trPr>
        <w:tc>
          <w:tcPr>
            <w:tcW w:w="2950" w:type="pct"/>
            <w:shd w:val="clear" w:color="auto" w:fill="auto"/>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Western Mount Lofty Ranges Prescribed Water Resources Area</w:t>
            </w:r>
          </w:p>
        </w:tc>
        <w:tc>
          <w:tcPr>
            <w:tcW w:w="2050" w:type="pct"/>
            <w:shd w:val="clear" w:color="auto" w:fill="auto"/>
            <w:noWrap/>
            <w:vAlign w:val="center"/>
            <w:hideMark/>
          </w:tcPr>
          <w:p w:rsidR="001966A7" w:rsidRPr="001966A7" w:rsidRDefault="001966A7" w:rsidP="001966A7">
            <w:pPr>
              <w:spacing w:before="20" w:after="20"/>
              <w:rPr>
                <w:rFonts w:ascii="Times New Roman" w:eastAsia="Times New Roman" w:hAnsi="Times New Roman"/>
                <w:sz w:val="17"/>
                <w:szCs w:val="17"/>
              </w:rPr>
            </w:pPr>
            <w:r w:rsidRPr="001966A7">
              <w:rPr>
                <w:rFonts w:ascii="Times New Roman" w:eastAsia="Times New Roman" w:hAnsi="Times New Roman"/>
                <w:sz w:val="17"/>
                <w:szCs w:val="17"/>
              </w:rPr>
              <w:t>$0.97/kL</w:t>
            </w:r>
          </w:p>
        </w:tc>
      </w:tr>
    </w:tbl>
    <w:p w:rsidR="001966A7" w:rsidRPr="001966A7" w:rsidRDefault="001966A7" w:rsidP="001966A7">
      <w:pPr>
        <w:spacing w:before="80"/>
        <w:rPr>
          <w:rFonts w:ascii="Times New Roman" w:eastAsia="Times New Roman" w:hAnsi="Times New Roman"/>
          <w:sz w:val="17"/>
          <w:szCs w:val="17"/>
        </w:rPr>
      </w:pPr>
      <w:r w:rsidRPr="001966A7">
        <w:rPr>
          <w:rFonts w:ascii="Times New Roman" w:eastAsia="Times New Roman" w:hAnsi="Times New Roman"/>
          <w:sz w:val="17"/>
          <w:szCs w:val="17"/>
        </w:rPr>
        <w:t>Unit of measure kL is the abbreviation of kilolitre.</w:t>
      </w:r>
    </w:p>
    <w:p w:rsidR="001966A7" w:rsidRPr="001966A7" w:rsidRDefault="001966A7" w:rsidP="001966A7">
      <w:pPr>
        <w:spacing w:after="0"/>
        <w:rPr>
          <w:rFonts w:ascii="Times New Roman" w:eastAsia="Times New Roman" w:hAnsi="Times New Roman"/>
          <w:sz w:val="17"/>
          <w:szCs w:val="17"/>
        </w:rPr>
      </w:pPr>
      <w:r w:rsidRPr="001966A7">
        <w:rPr>
          <w:rFonts w:ascii="Times New Roman" w:eastAsia="Times New Roman" w:hAnsi="Times New Roman"/>
          <w:sz w:val="17"/>
          <w:szCs w:val="17"/>
        </w:rPr>
        <w:t>Dated: 21 December 2021</w:t>
      </w:r>
    </w:p>
    <w:p w:rsidR="001966A7" w:rsidRPr="001966A7" w:rsidRDefault="001966A7" w:rsidP="001966A7">
      <w:pPr>
        <w:spacing w:after="0"/>
        <w:jc w:val="right"/>
        <w:rPr>
          <w:rFonts w:ascii="Times New Roman" w:eastAsia="Times New Roman" w:hAnsi="Times New Roman"/>
          <w:smallCaps/>
          <w:sz w:val="17"/>
          <w:szCs w:val="17"/>
        </w:rPr>
      </w:pPr>
      <w:r w:rsidRPr="001966A7">
        <w:rPr>
          <w:rFonts w:ascii="Times New Roman" w:eastAsia="Times New Roman" w:hAnsi="Times New Roman"/>
          <w:smallCaps/>
          <w:sz w:val="17"/>
          <w:szCs w:val="20"/>
        </w:rPr>
        <w:t>Ben Bruce</w:t>
      </w:r>
    </w:p>
    <w:p w:rsidR="001966A7" w:rsidRPr="001966A7" w:rsidRDefault="001966A7" w:rsidP="001966A7">
      <w:pPr>
        <w:spacing w:after="0" w:line="240" w:lineRule="auto"/>
        <w:jc w:val="right"/>
        <w:rPr>
          <w:rFonts w:ascii="Times New Roman" w:eastAsia="Times New Roman" w:hAnsi="Times New Roman"/>
          <w:sz w:val="17"/>
          <w:szCs w:val="17"/>
        </w:rPr>
      </w:pPr>
      <w:r w:rsidRPr="001966A7">
        <w:rPr>
          <w:rFonts w:ascii="Times New Roman" w:eastAsia="Times New Roman" w:hAnsi="Times New Roman"/>
          <w:sz w:val="17"/>
          <w:szCs w:val="17"/>
        </w:rPr>
        <w:t>Executive Director, Water and River Murray</w:t>
      </w:r>
    </w:p>
    <w:p w:rsidR="001966A7" w:rsidRPr="001966A7" w:rsidRDefault="001966A7" w:rsidP="001966A7">
      <w:pPr>
        <w:spacing w:after="0" w:line="240" w:lineRule="auto"/>
        <w:jc w:val="right"/>
        <w:rPr>
          <w:rFonts w:ascii="Times New Roman" w:eastAsia="Times New Roman" w:hAnsi="Times New Roman"/>
          <w:sz w:val="17"/>
          <w:szCs w:val="17"/>
        </w:rPr>
      </w:pPr>
      <w:r w:rsidRPr="001966A7">
        <w:rPr>
          <w:rFonts w:ascii="Times New Roman" w:eastAsia="Times New Roman" w:hAnsi="Times New Roman"/>
          <w:sz w:val="17"/>
          <w:szCs w:val="17"/>
        </w:rPr>
        <w:t>Department for Environment and Water</w:t>
      </w:r>
    </w:p>
    <w:p w:rsidR="002E6ACC" w:rsidRDefault="001966A7" w:rsidP="001966A7">
      <w:pPr>
        <w:spacing w:after="0" w:line="240" w:lineRule="auto"/>
        <w:jc w:val="right"/>
        <w:rPr>
          <w:rFonts w:ascii="Times New Roman" w:eastAsia="Times New Roman" w:hAnsi="Times New Roman"/>
          <w:sz w:val="17"/>
          <w:szCs w:val="17"/>
        </w:rPr>
      </w:pPr>
      <w:r w:rsidRPr="001966A7">
        <w:rPr>
          <w:rFonts w:ascii="Times New Roman" w:eastAsia="Times New Roman" w:hAnsi="Times New Roman"/>
          <w:sz w:val="17"/>
          <w:szCs w:val="17"/>
        </w:rPr>
        <w:t>Delegate of the Minister for Environment and Water</w:t>
      </w:r>
    </w:p>
    <w:p w:rsidR="001966A7" w:rsidRDefault="001966A7" w:rsidP="001966A7">
      <w:pPr>
        <w:pBdr>
          <w:bottom w:val="single" w:sz="4" w:space="1" w:color="auto"/>
        </w:pBdr>
        <w:spacing w:after="0" w:line="52" w:lineRule="exact"/>
        <w:jc w:val="center"/>
        <w:rPr>
          <w:rFonts w:ascii="Times New Roman" w:eastAsia="Times New Roman" w:hAnsi="Times New Roman"/>
          <w:sz w:val="17"/>
          <w:szCs w:val="20"/>
        </w:rPr>
      </w:pPr>
    </w:p>
    <w:p w:rsidR="001966A7" w:rsidRDefault="001966A7" w:rsidP="001966A7">
      <w:pPr>
        <w:pBdr>
          <w:top w:val="single" w:sz="4" w:space="1" w:color="auto"/>
        </w:pBdr>
        <w:spacing w:before="34" w:after="0" w:line="14" w:lineRule="exact"/>
        <w:jc w:val="center"/>
        <w:rPr>
          <w:rFonts w:ascii="Times New Roman" w:eastAsia="Times New Roman" w:hAnsi="Times New Roman"/>
          <w:sz w:val="17"/>
          <w:szCs w:val="20"/>
        </w:rPr>
      </w:pPr>
    </w:p>
    <w:p w:rsidR="001966A7" w:rsidRDefault="001966A7" w:rsidP="001966A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892085" w:rsidRDefault="00892085">
      <w:pPr>
        <w:spacing w:after="0" w:line="240" w:lineRule="auto"/>
        <w:jc w:val="left"/>
        <w:rPr>
          <w:rFonts w:ascii="Times New Roman" w:hAnsi="Times New Roman"/>
          <w:caps/>
          <w:sz w:val="17"/>
          <w:szCs w:val="17"/>
          <w:lang w:eastAsia="en-AU"/>
        </w:rPr>
      </w:pPr>
      <w:r>
        <w:rPr>
          <w:lang w:eastAsia="en-AU"/>
        </w:rPr>
        <w:br w:type="page"/>
      </w:r>
    </w:p>
    <w:p w:rsidR="00130B02" w:rsidRDefault="00130B02" w:rsidP="00B069DE">
      <w:pPr>
        <w:pStyle w:val="Heading2"/>
        <w:rPr>
          <w:sz w:val="28"/>
          <w:szCs w:val="28"/>
          <w:lang w:eastAsia="en-AU"/>
        </w:rPr>
      </w:pPr>
      <w:bookmarkStart w:id="77" w:name="_Toc91161267"/>
      <w:r w:rsidRPr="00680F48">
        <w:rPr>
          <w:lang w:eastAsia="en-AU"/>
        </w:rPr>
        <w:lastRenderedPageBreak/>
        <w:t>Liquor Licensing Act 1997</w:t>
      </w:r>
      <w:bookmarkEnd w:id="77"/>
    </w:p>
    <w:p w:rsidR="00130B02" w:rsidRPr="00680F48" w:rsidRDefault="00130B02" w:rsidP="00130B02">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680F48">
        <w:rPr>
          <w:rFonts w:ascii="Times New Roman" w:eastAsia="Times New Roman" w:hAnsi="Times New Roman"/>
          <w:color w:val="000000"/>
          <w:sz w:val="28"/>
          <w:szCs w:val="28"/>
          <w:lang w:eastAsia="en-AU"/>
        </w:rPr>
        <w:t>South Australia</w:t>
      </w:r>
    </w:p>
    <w:p w:rsidR="00130B02" w:rsidRPr="00680F48" w:rsidRDefault="00130B02" w:rsidP="00130B02">
      <w:pPr>
        <w:keepLines/>
        <w:autoSpaceDE w:val="0"/>
        <w:autoSpaceDN w:val="0"/>
        <w:adjustRightInd w:val="0"/>
        <w:spacing w:before="120" w:after="200" w:line="240" w:lineRule="auto"/>
        <w:jc w:val="left"/>
        <w:rPr>
          <w:rFonts w:ascii="Times New Roman" w:eastAsia="Times New Roman" w:hAnsi="Times New Roman"/>
          <w:b/>
          <w:bCs/>
          <w:color w:val="000000"/>
          <w:sz w:val="36"/>
          <w:szCs w:val="36"/>
          <w:lang w:eastAsia="en-AU"/>
        </w:rPr>
      </w:pPr>
      <w:r w:rsidRPr="00680F48">
        <w:rPr>
          <w:rFonts w:ascii="Times New Roman" w:eastAsia="Times New Roman" w:hAnsi="Times New Roman"/>
          <w:b/>
          <w:bCs/>
          <w:color w:val="000000"/>
          <w:sz w:val="36"/>
          <w:szCs w:val="36"/>
          <w:lang w:eastAsia="en-AU"/>
        </w:rPr>
        <w:t>Liquor Licensing (Dry Areas) Notice 2021</w:t>
      </w:r>
    </w:p>
    <w:p w:rsidR="00130B02" w:rsidRPr="00680F48" w:rsidRDefault="00130B02" w:rsidP="00130B0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360" w:line="240" w:lineRule="auto"/>
        <w:rPr>
          <w:rFonts w:ascii="Times New Roman" w:eastAsia="Times New Roman" w:hAnsi="Times New Roman"/>
          <w:i/>
          <w:iCs/>
          <w:color w:val="000000"/>
          <w:sz w:val="24"/>
          <w:szCs w:val="24"/>
          <w:lang w:eastAsia="en-AU"/>
        </w:rPr>
      </w:pPr>
      <w:r w:rsidRPr="00680F48">
        <w:rPr>
          <w:rFonts w:ascii="Times New Roman" w:eastAsia="Times New Roman" w:hAnsi="Times New Roman"/>
          <w:color w:val="000000"/>
          <w:sz w:val="24"/>
          <w:szCs w:val="24"/>
          <w:lang w:eastAsia="en-AU"/>
        </w:rPr>
        <w:t xml:space="preserve">under section 131(1a) of the </w:t>
      </w:r>
      <w:r w:rsidRPr="00680F48">
        <w:rPr>
          <w:rFonts w:ascii="Times New Roman" w:eastAsia="Times New Roman" w:hAnsi="Times New Roman"/>
          <w:i/>
          <w:iCs/>
          <w:color w:val="000000"/>
          <w:sz w:val="24"/>
          <w:szCs w:val="24"/>
          <w:lang w:eastAsia="en-AU"/>
        </w:rPr>
        <w:t>Liquor Licensing Act 1997</w:t>
      </w:r>
    </w:p>
    <w:p w:rsidR="00130B02" w:rsidRPr="00680F48" w:rsidRDefault="00130B02" w:rsidP="00130B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80F48">
        <w:rPr>
          <w:rFonts w:ascii="Times New Roman" w:eastAsia="Times New Roman" w:hAnsi="Times New Roman"/>
          <w:b/>
          <w:bCs/>
          <w:color w:val="000000"/>
          <w:sz w:val="26"/>
          <w:szCs w:val="26"/>
          <w:lang w:eastAsia="en-AU"/>
        </w:rPr>
        <w:t>1—Short title</w:t>
      </w:r>
    </w:p>
    <w:p w:rsidR="00130B02" w:rsidRPr="00680F48" w:rsidRDefault="00130B02" w:rsidP="00130B0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80F48">
        <w:rPr>
          <w:rFonts w:ascii="Times New Roman" w:eastAsia="Times New Roman" w:hAnsi="Times New Roman"/>
          <w:color w:val="000000"/>
          <w:sz w:val="23"/>
          <w:szCs w:val="23"/>
          <w:lang w:eastAsia="en-AU"/>
        </w:rPr>
        <w:t xml:space="preserve">This notice may be cited as the </w:t>
      </w:r>
      <w:hyperlink r:id="rId64" w:history="1">
        <w:r w:rsidRPr="00680F48">
          <w:rPr>
            <w:rFonts w:ascii="Times New Roman" w:eastAsia="Times New Roman" w:hAnsi="Times New Roman"/>
            <w:i/>
            <w:iCs/>
            <w:color w:val="000000"/>
            <w:sz w:val="23"/>
            <w:szCs w:val="23"/>
            <w:lang w:eastAsia="en-AU"/>
          </w:rPr>
          <w:t xml:space="preserve">Liquor Licensing (Dry Areas) Notice </w:t>
        </w:r>
      </w:hyperlink>
      <w:r w:rsidRPr="00680F48">
        <w:rPr>
          <w:rFonts w:ascii="Times New Roman" w:eastAsia="Times New Roman" w:hAnsi="Times New Roman"/>
          <w:i/>
          <w:iCs/>
          <w:color w:val="000000"/>
          <w:sz w:val="23"/>
          <w:szCs w:val="23"/>
          <w:lang w:eastAsia="en-AU"/>
        </w:rPr>
        <w:t>2021</w:t>
      </w:r>
      <w:r w:rsidRPr="00680F48">
        <w:rPr>
          <w:rFonts w:ascii="Times New Roman" w:eastAsia="Times New Roman" w:hAnsi="Times New Roman"/>
          <w:color w:val="000000"/>
          <w:sz w:val="23"/>
          <w:szCs w:val="23"/>
          <w:lang w:eastAsia="en-AU"/>
        </w:rPr>
        <w:t>.</w:t>
      </w:r>
    </w:p>
    <w:p w:rsidR="00130B02" w:rsidRPr="00680F48" w:rsidRDefault="00130B02" w:rsidP="00130B0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
    <w:p w:rsidR="00130B02" w:rsidRPr="00680F48" w:rsidRDefault="00130B02" w:rsidP="00130B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80F48">
        <w:rPr>
          <w:rFonts w:ascii="Times New Roman" w:eastAsia="Times New Roman" w:hAnsi="Times New Roman"/>
          <w:b/>
          <w:bCs/>
          <w:color w:val="000000"/>
          <w:sz w:val="26"/>
          <w:szCs w:val="26"/>
          <w:lang w:eastAsia="en-AU"/>
        </w:rPr>
        <w:t>2—Commencement</w:t>
      </w:r>
    </w:p>
    <w:p w:rsidR="00130B02" w:rsidRPr="00680F48" w:rsidRDefault="00130B02" w:rsidP="00130B0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80F48">
        <w:rPr>
          <w:rFonts w:ascii="Times New Roman" w:eastAsia="Times New Roman" w:hAnsi="Times New Roman"/>
          <w:color w:val="000000"/>
          <w:sz w:val="23"/>
          <w:szCs w:val="23"/>
          <w:lang w:eastAsia="en-AU"/>
        </w:rPr>
        <w:t xml:space="preserve">This notice comes into operation on </w:t>
      </w:r>
      <w:r w:rsidRPr="00680F48">
        <w:rPr>
          <w:rFonts w:ascii="Times New Roman" w:eastAsia="Times New Roman" w:hAnsi="Times New Roman"/>
          <w:color w:val="000000"/>
          <w:sz w:val="23"/>
          <w:szCs w:val="23"/>
        </w:rPr>
        <w:t>30</w:t>
      </w:r>
      <w:r w:rsidRPr="00680F48">
        <w:rPr>
          <w:rFonts w:ascii="Times New Roman" w:eastAsia="Times New Roman" w:hAnsi="Times New Roman"/>
          <w:sz w:val="23"/>
          <w:szCs w:val="23"/>
        </w:rPr>
        <w:t xml:space="preserve"> December 2021</w:t>
      </w:r>
      <w:r>
        <w:rPr>
          <w:rFonts w:ascii="Times New Roman" w:eastAsia="Times New Roman" w:hAnsi="Times New Roman"/>
          <w:sz w:val="23"/>
          <w:szCs w:val="23"/>
        </w:rPr>
        <w:t>.</w:t>
      </w:r>
    </w:p>
    <w:p w:rsidR="00130B02" w:rsidRPr="00680F48" w:rsidRDefault="00130B02" w:rsidP="00130B0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
    <w:p w:rsidR="00130B02" w:rsidRPr="00680F48" w:rsidRDefault="00130B02" w:rsidP="00130B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80F48">
        <w:rPr>
          <w:rFonts w:ascii="Times New Roman" w:eastAsia="Times New Roman" w:hAnsi="Times New Roman"/>
          <w:b/>
          <w:bCs/>
          <w:color w:val="000000"/>
          <w:sz w:val="26"/>
          <w:szCs w:val="26"/>
          <w:lang w:eastAsia="en-AU"/>
        </w:rPr>
        <w:t>3—Interpretation</w:t>
      </w:r>
    </w:p>
    <w:p w:rsidR="00130B02" w:rsidRPr="00680F48" w:rsidRDefault="00130B02" w:rsidP="00130B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80F48">
        <w:rPr>
          <w:rFonts w:ascii="Times New Roman" w:eastAsia="Times New Roman" w:hAnsi="Times New Roman"/>
          <w:color w:val="000000"/>
          <w:sz w:val="23"/>
          <w:szCs w:val="23"/>
          <w:lang w:eastAsia="en-AU"/>
        </w:rPr>
        <w:tab/>
        <w:t>(1)</w:t>
      </w:r>
      <w:r w:rsidRPr="00680F48">
        <w:rPr>
          <w:rFonts w:ascii="Times New Roman" w:eastAsia="Times New Roman" w:hAnsi="Times New Roman"/>
          <w:color w:val="000000"/>
          <w:sz w:val="23"/>
          <w:szCs w:val="23"/>
          <w:lang w:eastAsia="en-AU"/>
        </w:rPr>
        <w:tab/>
        <w:t>In this notice—</w:t>
      </w:r>
    </w:p>
    <w:p w:rsidR="00130B02" w:rsidRPr="00680F48" w:rsidRDefault="00130B02" w:rsidP="00130B0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80F48">
        <w:rPr>
          <w:rFonts w:ascii="Times New Roman" w:eastAsia="Times New Roman" w:hAnsi="Times New Roman"/>
          <w:b/>
          <w:bCs/>
          <w:i/>
          <w:iCs/>
          <w:color w:val="000000"/>
          <w:sz w:val="23"/>
          <w:szCs w:val="23"/>
          <w:lang w:eastAsia="en-AU"/>
        </w:rPr>
        <w:t>principal notice</w:t>
      </w:r>
      <w:r w:rsidRPr="00680F48">
        <w:rPr>
          <w:rFonts w:ascii="Times New Roman" w:eastAsia="Times New Roman" w:hAnsi="Times New Roman"/>
          <w:color w:val="000000"/>
          <w:sz w:val="23"/>
          <w:szCs w:val="23"/>
          <w:lang w:eastAsia="en-AU"/>
        </w:rPr>
        <w:t xml:space="preserve"> means the </w:t>
      </w:r>
      <w:hyperlink r:id="rId65" w:history="1">
        <w:r w:rsidRPr="00680F48">
          <w:rPr>
            <w:rFonts w:ascii="Times New Roman" w:eastAsia="Times New Roman" w:hAnsi="Times New Roman"/>
            <w:i/>
            <w:iCs/>
            <w:color w:val="000000"/>
            <w:sz w:val="23"/>
            <w:szCs w:val="23"/>
            <w:lang w:eastAsia="en-AU"/>
          </w:rPr>
          <w:t>Liquor Licensing (Dry Areas) Notice 2015</w:t>
        </w:r>
      </w:hyperlink>
      <w:r w:rsidRPr="00680F48">
        <w:rPr>
          <w:rFonts w:ascii="Times New Roman" w:eastAsia="Times New Roman" w:hAnsi="Times New Roman"/>
          <w:color w:val="000000"/>
          <w:sz w:val="23"/>
          <w:szCs w:val="23"/>
          <w:lang w:eastAsia="en-AU"/>
        </w:rPr>
        <w:t xml:space="preserve"> published in the Gazette on 5.1.15, as in force from time to time.</w:t>
      </w:r>
    </w:p>
    <w:p w:rsidR="00130B02" w:rsidRPr="00680F48" w:rsidRDefault="00130B02" w:rsidP="00130B02">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80F48">
        <w:rPr>
          <w:rFonts w:ascii="Times New Roman" w:eastAsia="Times New Roman" w:hAnsi="Times New Roman"/>
          <w:color w:val="000000"/>
          <w:sz w:val="23"/>
          <w:szCs w:val="23"/>
          <w:lang w:eastAsia="en-AU"/>
        </w:rPr>
        <w:tab/>
        <w:t>(2)</w:t>
      </w:r>
      <w:r w:rsidRPr="00680F48">
        <w:rPr>
          <w:rFonts w:ascii="Times New Roman" w:eastAsia="Times New Roman" w:hAnsi="Times New Roman"/>
          <w:color w:val="000000"/>
          <w:sz w:val="23"/>
          <w:szCs w:val="23"/>
          <w:lang w:eastAsia="en-AU"/>
        </w:rPr>
        <w:tab/>
        <w:t>Clause 3 of the principal notice applies to this notice as if it were the principal notice.</w:t>
      </w:r>
    </w:p>
    <w:p w:rsidR="00130B02" w:rsidRPr="00680F48" w:rsidRDefault="00130B02" w:rsidP="00130B02">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p>
    <w:p w:rsidR="00130B02" w:rsidRPr="00680F48" w:rsidRDefault="00130B02" w:rsidP="00130B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8" w:name="idad8a963f_d8ce_41c7_9f91_4e3b2596ed1d_9"/>
      <w:r w:rsidRPr="00680F48">
        <w:rPr>
          <w:rFonts w:ascii="Times New Roman" w:eastAsia="Times New Roman" w:hAnsi="Times New Roman"/>
          <w:b/>
          <w:bCs/>
          <w:color w:val="000000"/>
          <w:sz w:val="26"/>
          <w:szCs w:val="26"/>
          <w:lang w:eastAsia="en-AU"/>
        </w:rPr>
        <w:t>4—Consumption etc of liquor prohibited in dry areas</w:t>
      </w:r>
      <w:bookmarkEnd w:id="78"/>
    </w:p>
    <w:p w:rsidR="00130B02" w:rsidRPr="00680F48" w:rsidRDefault="00130B02" w:rsidP="00130B02">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80F48">
        <w:rPr>
          <w:rFonts w:ascii="Times New Roman" w:eastAsia="Times New Roman" w:hAnsi="Times New Roman"/>
          <w:color w:val="000000"/>
          <w:sz w:val="23"/>
          <w:szCs w:val="23"/>
          <w:lang w:eastAsia="en-AU"/>
        </w:rPr>
        <w:tab/>
        <w:t>(1)</w:t>
      </w:r>
      <w:r w:rsidRPr="00680F48">
        <w:rPr>
          <w:rFonts w:ascii="Times New Roman" w:eastAsia="Times New Roman" w:hAnsi="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130B02" w:rsidRPr="00680F48" w:rsidRDefault="00130B02" w:rsidP="00130B02">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80F48">
        <w:rPr>
          <w:rFonts w:ascii="Times New Roman" w:eastAsia="Times New Roman" w:hAnsi="Times New Roman"/>
          <w:color w:val="000000"/>
          <w:sz w:val="23"/>
          <w:szCs w:val="23"/>
          <w:lang w:eastAsia="en-AU"/>
        </w:rPr>
        <w:tab/>
        <w:t>(2)</w:t>
      </w:r>
      <w:r w:rsidRPr="00680F48">
        <w:rPr>
          <w:rFonts w:ascii="Times New Roman" w:eastAsia="Times New Roman" w:hAnsi="Times New Roman"/>
          <w:color w:val="000000"/>
          <w:sz w:val="23"/>
          <w:szCs w:val="23"/>
          <w:lang w:eastAsia="en-AU"/>
        </w:rPr>
        <w:tab/>
        <w:t>The prohibition has effect during the periods specified in the Schedule.</w:t>
      </w:r>
    </w:p>
    <w:p w:rsidR="00130B02" w:rsidRPr="00680F48" w:rsidRDefault="00130B02" w:rsidP="00130B02">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79" w:name="id0360abe6_b82b_4f1b_9fcc_04ef4d766f3d_b"/>
      <w:r w:rsidRPr="00680F48">
        <w:rPr>
          <w:rFonts w:ascii="Times New Roman" w:eastAsia="Times New Roman" w:hAnsi="Times New Roman"/>
          <w:color w:val="000000"/>
          <w:sz w:val="23"/>
          <w:szCs w:val="23"/>
          <w:lang w:eastAsia="en-AU"/>
        </w:rPr>
        <w:tab/>
        <w:t>(3)</w:t>
      </w:r>
      <w:r w:rsidRPr="00680F48">
        <w:rPr>
          <w:rFonts w:ascii="Times New Roman" w:eastAsia="Times New Roman" w:hAnsi="Times New Roman"/>
          <w:color w:val="000000"/>
          <w:sz w:val="23"/>
          <w:szCs w:val="23"/>
          <w:lang w:eastAsia="en-AU"/>
        </w:rPr>
        <w:tab/>
        <w:t>The prohibition does not extend to private land in the area described in the Schedule.</w:t>
      </w:r>
      <w:bookmarkEnd w:id="79"/>
    </w:p>
    <w:p w:rsidR="00130B02" w:rsidRPr="00680F48" w:rsidRDefault="00130B02" w:rsidP="00130B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80" w:name="id83667c64_d9ad_4285_8aa7_1227a7c6636a_7"/>
      <w:r w:rsidRPr="00680F48">
        <w:rPr>
          <w:rFonts w:ascii="Times New Roman" w:eastAsia="Times New Roman" w:hAnsi="Times New Roman"/>
          <w:color w:val="000000"/>
          <w:sz w:val="23"/>
          <w:szCs w:val="23"/>
          <w:lang w:eastAsia="en-AU"/>
        </w:rPr>
        <w:tab/>
        <w:t>(4)</w:t>
      </w:r>
      <w:r w:rsidRPr="00680F48">
        <w:rPr>
          <w:rFonts w:ascii="Times New Roman" w:eastAsia="Times New Roman" w:hAnsi="Times New Roman"/>
          <w:color w:val="000000"/>
          <w:sz w:val="23"/>
          <w:szCs w:val="23"/>
          <w:lang w:eastAsia="en-AU"/>
        </w:rPr>
        <w:tab/>
        <w:t>Unless the contrary intention appears, the prohibition of the possession of liquor in the area does not extend to—</w:t>
      </w:r>
      <w:bookmarkEnd w:id="80"/>
    </w:p>
    <w:p w:rsidR="00130B02" w:rsidRPr="00680F48" w:rsidRDefault="00130B02" w:rsidP="00130B02">
      <w:pPr>
        <w:keepLines/>
        <w:tabs>
          <w:tab w:val="center" w:pos="1191"/>
          <w:tab w:val="left" w:pos="1588"/>
        </w:tabs>
        <w:autoSpaceDE w:val="0"/>
        <w:autoSpaceDN w:val="0"/>
        <w:adjustRightInd w:val="0"/>
        <w:spacing w:before="120" w:after="0" w:line="240" w:lineRule="auto"/>
        <w:ind w:left="1588" w:hanging="794"/>
        <w:rPr>
          <w:rFonts w:ascii="Times New Roman" w:eastAsia="Times New Roman" w:hAnsi="Times New Roman"/>
          <w:color w:val="000000"/>
          <w:sz w:val="23"/>
          <w:szCs w:val="23"/>
        </w:rPr>
      </w:pPr>
      <w:bookmarkStart w:id="81" w:name="ide3819bcf_6993_4b9e_8e62_334ccadf6192_4"/>
      <w:r w:rsidRPr="00680F48">
        <w:rPr>
          <w:rFonts w:ascii="Times New Roman" w:eastAsia="Times New Roman" w:hAnsi="Times New Roman"/>
          <w:color w:val="000000"/>
          <w:sz w:val="23"/>
          <w:szCs w:val="23"/>
        </w:rPr>
        <w:tab/>
        <w:t>(a)</w:t>
      </w:r>
      <w:r w:rsidRPr="00680F48">
        <w:rPr>
          <w:rFonts w:ascii="Times New Roman" w:eastAsia="Times New Roman" w:hAnsi="Times New Roman"/>
          <w:color w:val="000000"/>
          <w:sz w:val="23"/>
          <w:szCs w:val="23"/>
        </w:rPr>
        <w:tab/>
        <w:t>a person who is genuinely passing through the place if—</w:t>
      </w:r>
    </w:p>
    <w:p w:rsidR="00130B02" w:rsidRPr="00680F48" w:rsidRDefault="00130B02" w:rsidP="00130B02">
      <w:pPr>
        <w:keepLines/>
        <w:tabs>
          <w:tab w:val="center" w:pos="1985"/>
          <w:tab w:val="left" w:pos="2382"/>
        </w:tabs>
        <w:autoSpaceDE w:val="0"/>
        <w:autoSpaceDN w:val="0"/>
        <w:adjustRightInd w:val="0"/>
        <w:spacing w:before="120" w:after="0" w:line="240" w:lineRule="auto"/>
        <w:ind w:left="2382" w:hanging="794"/>
        <w:rPr>
          <w:rFonts w:ascii="Times New Roman" w:eastAsia="Times New Roman" w:hAnsi="Times New Roman"/>
          <w:color w:val="000000"/>
          <w:sz w:val="23"/>
          <w:szCs w:val="23"/>
        </w:rPr>
      </w:pPr>
      <w:r w:rsidRPr="00680F48">
        <w:rPr>
          <w:rFonts w:ascii="Times New Roman" w:eastAsia="Times New Roman" w:hAnsi="Times New Roman"/>
          <w:color w:val="000000"/>
          <w:sz w:val="23"/>
          <w:szCs w:val="23"/>
        </w:rPr>
        <w:tab/>
        <w:t>(i)</w:t>
      </w:r>
      <w:r w:rsidRPr="00680F48">
        <w:rPr>
          <w:rFonts w:ascii="Times New Roman" w:eastAsia="Times New Roman" w:hAnsi="Times New Roman"/>
          <w:color w:val="000000"/>
          <w:sz w:val="23"/>
          <w:szCs w:val="23"/>
        </w:rPr>
        <w:tab/>
        <w:t>the liquor is in the original container in which it was purchased from licensed premises; and</w:t>
      </w:r>
    </w:p>
    <w:p w:rsidR="00130B02" w:rsidRPr="00680F48" w:rsidRDefault="00130B02" w:rsidP="00130B02">
      <w:pPr>
        <w:keepLines/>
        <w:tabs>
          <w:tab w:val="center" w:pos="1985"/>
          <w:tab w:val="left" w:pos="2382"/>
        </w:tabs>
        <w:autoSpaceDE w:val="0"/>
        <w:autoSpaceDN w:val="0"/>
        <w:adjustRightInd w:val="0"/>
        <w:spacing w:before="120" w:after="0" w:line="240" w:lineRule="auto"/>
        <w:ind w:left="2382" w:hanging="794"/>
        <w:rPr>
          <w:rFonts w:ascii="Times New Roman" w:eastAsia="Times New Roman" w:hAnsi="Times New Roman"/>
          <w:color w:val="000000"/>
          <w:sz w:val="23"/>
          <w:szCs w:val="23"/>
        </w:rPr>
      </w:pPr>
      <w:r w:rsidRPr="00680F48">
        <w:rPr>
          <w:rFonts w:ascii="Times New Roman" w:eastAsia="Times New Roman" w:hAnsi="Times New Roman"/>
          <w:color w:val="000000"/>
          <w:sz w:val="23"/>
          <w:szCs w:val="23"/>
        </w:rPr>
        <w:tab/>
        <w:t>(ii)</w:t>
      </w:r>
      <w:r w:rsidRPr="00680F48">
        <w:rPr>
          <w:rFonts w:ascii="Times New Roman" w:eastAsia="Times New Roman" w:hAnsi="Times New Roman"/>
          <w:color w:val="000000"/>
          <w:sz w:val="23"/>
          <w:szCs w:val="23"/>
        </w:rPr>
        <w:tab/>
        <w:t>the container has not been opened; or</w:t>
      </w:r>
    </w:p>
    <w:p w:rsidR="00130B02" w:rsidRPr="00680F48" w:rsidRDefault="00130B02" w:rsidP="00130B02">
      <w:pPr>
        <w:keepLines/>
        <w:tabs>
          <w:tab w:val="center" w:pos="1191"/>
          <w:tab w:val="left" w:pos="1588"/>
        </w:tabs>
        <w:autoSpaceDE w:val="0"/>
        <w:autoSpaceDN w:val="0"/>
        <w:adjustRightInd w:val="0"/>
        <w:spacing w:before="120" w:after="0" w:line="240" w:lineRule="auto"/>
        <w:ind w:left="1588" w:hanging="794"/>
        <w:rPr>
          <w:rFonts w:ascii="Times New Roman" w:eastAsia="Times New Roman" w:hAnsi="Times New Roman"/>
          <w:color w:val="000000"/>
          <w:sz w:val="23"/>
          <w:szCs w:val="23"/>
        </w:rPr>
      </w:pPr>
      <w:r w:rsidRPr="00680F48">
        <w:rPr>
          <w:rFonts w:ascii="Times New Roman" w:eastAsia="Times New Roman" w:hAnsi="Times New Roman"/>
          <w:color w:val="000000"/>
          <w:sz w:val="23"/>
          <w:szCs w:val="23"/>
        </w:rPr>
        <w:tab/>
        <w:t>(b)</w:t>
      </w:r>
      <w:r w:rsidRPr="00680F48">
        <w:rPr>
          <w:rFonts w:ascii="Times New Roman" w:eastAsia="Times New Roman" w:hAnsi="Times New Roman"/>
          <w:color w:val="000000"/>
          <w:sz w:val="23"/>
          <w:szCs w:val="23"/>
        </w:rPr>
        <w:tab/>
        <w:t>a person who has possession of the liquor in the course of carrying on a business or in the course of their employment by another person in the course of carrying on a business; or</w:t>
      </w:r>
    </w:p>
    <w:p w:rsidR="00130B02" w:rsidRPr="00680F48" w:rsidRDefault="00130B02" w:rsidP="00130B02">
      <w:pPr>
        <w:keepLines/>
        <w:tabs>
          <w:tab w:val="center" w:pos="1191"/>
          <w:tab w:val="left" w:pos="1588"/>
        </w:tabs>
        <w:autoSpaceDE w:val="0"/>
        <w:autoSpaceDN w:val="0"/>
        <w:adjustRightInd w:val="0"/>
        <w:spacing w:before="120" w:after="0" w:line="240" w:lineRule="auto"/>
        <w:ind w:left="1588" w:hanging="794"/>
        <w:rPr>
          <w:rFonts w:ascii="Times New Roman" w:eastAsia="Times New Roman" w:hAnsi="Times New Roman"/>
          <w:color w:val="000000"/>
          <w:sz w:val="23"/>
          <w:szCs w:val="23"/>
        </w:rPr>
      </w:pPr>
      <w:r w:rsidRPr="00680F48">
        <w:rPr>
          <w:rFonts w:ascii="Times New Roman" w:eastAsia="Times New Roman" w:hAnsi="Times New Roman"/>
          <w:color w:val="000000"/>
          <w:sz w:val="23"/>
          <w:szCs w:val="23"/>
        </w:rPr>
        <w:tab/>
        <w:t>(c)</w:t>
      </w:r>
      <w:r w:rsidRPr="00680F48">
        <w:rPr>
          <w:rFonts w:ascii="Times New Roman" w:eastAsia="Times New Roman" w:hAnsi="Times New Roman"/>
          <w:color w:val="000000"/>
          <w:sz w:val="23"/>
          <w:szCs w:val="23"/>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rsidR="00130B02" w:rsidRPr="00680F48" w:rsidRDefault="00130B02" w:rsidP="00130B02">
      <w:pPr>
        <w:keepLines/>
        <w:tabs>
          <w:tab w:val="center" w:pos="1191"/>
          <w:tab w:val="left" w:pos="1588"/>
        </w:tabs>
        <w:autoSpaceDE w:val="0"/>
        <w:autoSpaceDN w:val="0"/>
        <w:adjustRightInd w:val="0"/>
        <w:spacing w:before="120" w:after="0" w:line="240" w:lineRule="auto"/>
        <w:ind w:left="1588" w:hanging="794"/>
        <w:rPr>
          <w:rFonts w:ascii="Times New Roman" w:eastAsia="Times New Roman" w:hAnsi="Times New Roman"/>
          <w:color w:val="000000"/>
          <w:sz w:val="23"/>
          <w:szCs w:val="23"/>
        </w:rPr>
      </w:pPr>
      <w:r w:rsidRPr="00680F48">
        <w:rPr>
          <w:rFonts w:ascii="Times New Roman" w:eastAsia="Times New Roman" w:hAnsi="Times New Roman"/>
          <w:color w:val="000000"/>
          <w:sz w:val="23"/>
          <w:szCs w:val="23"/>
        </w:rPr>
        <w:tab/>
        <w:t>(d)</w:t>
      </w:r>
      <w:r w:rsidRPr="00680F48">
        <w:rPr>
          <w:rFonts w:ascii="Times New Roman" w:eastAsia="Times New Roman" w:hAnsi="Times New Roman"/>
          <w:color w:val="000000"/>
          <w:sz w:val="23"/>
          <w:szCs w:val="23"/>
        </w:rPr>
        <w:tab/>
        <w:t>a person who possesses or consumes the liquor for sacramental or other similar religious purposes.</w:t>
      </w:r>
    </w:p>
    <w:bookmarkEnd w:id="81"/>
    <w:p w:rsidR="00130B02" w:rsidRPr="00680F48" w:rsidRDefault="00130B02" w:rsidP="00130B02">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80F48">
        <w:rPr>
          <w:rFonts w:ascii="Times New Roman" w:eastAsia="Times New Roman" w:hAnsi="Times New Roman"/>
          <w:color w:val="000000"/>
          <w:sz w:val="23"/>
          <w:szCs w:val="23"/>
          <w:lang w:eastAsia="en-AU"/>
        </w:rPr>
        <w:br w:type="page"/>
      </w:r>
    </w:p>
    <w:p w:rsidR="00130B02" w:rsidRPr="00680F48" w:rsidRDefault="00130B02" w:rsidP="00130B02">
      <w:pPr>
        <w:keepLines/>
        <w:tabs>
          <w:tab w:val="center" w:pos="1191"/>
          <w:tab w:val="left" w:pos="1588"/>
        </w:tab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680F48">
        <w:rPr>
          <w:rFonts w:ascii="Times New Roman" w:eastAsia="Times New Roman" w:hAnsi="Times New Roman"/>
          <w:b/>
          <w:bCs/>
          <w:color w:val="000000"/>
          <w:sz w:val="32"/>
          <w:szCs w:val="32"/>
          <w:lang w:eastAsia="en-AU"/>
        </w:rPr>
        <w:lastRenderedPageBreak/>
        <w:t>Schedule 1</w:t>
      </w:r>
      <w:r>
        <w:rPr>
          <w:rFonts w:ascii="Times New Roman" w:eastAsia="Times New Roman" w:hAnsi="Times New Roman"/>
          <w:b/>
          <w:bCs/>
          <w:color w:val="000000"/>
          <w:sz w:val="32"/>
          <w:szCs w:val="32"/>
          <w:lang w:eastAsia="en-AU"/>
        </w:rPr>
        <w:t>—</w:t>
      </w:r>
      <w:r w:rsidRPr="00680F48">
        <w:rPr>
          <w:rFonts w:ascii="Times New Roman" w:eastAsia="Times New Roman" w:hAnsi="Times New Roman"/>
          <w:b/>
          <w:sz w:val="28"/>
          <w:szCs w:val="28"/>
        </w:rPr>
        <w:t>Chiton Rocks Car Park Area 1</w:t>
      </w:r>
    </w:p>
    <w:p w:rsidR="00130B02" w:rsidRPr="00680F48" w:rsidRDefault="00130B02" w:rsidP="00130B02">
      <w:pPr>
        <w:keepNext/>
        <w:keepLines/>
        <w:autoSpaceDE w:val="0"/>
        <w:autoSpaceDN w:val="0"/>
        <w:adjustRightInd w:val="0"/>
        <w:spacing w:before="120" w:after="0" w:line="240" w:lineRule="auto"/>
        <w:jc w:val="left"/>
        <w:rPr>
          <w:rFonts w:ascii="Times New Roman" w:eastAsia="Times New Roman" w:hAnsi="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4"/>
        <w:gridCol w:w="8021"/>
      </w:tblGrid>
      <w:tr w:rsidR="00130B02" w:rsidRPr="00680F48" w:rsidTr="00491D21">
        <w:trPr>
          <w:trHeight w:val="449"/>
        </w:trPr>
        <w:tc>
          <w:tcPr>
            <w:tcW w:w="8725" w:type="dxa"/>
            <w:gridSpan w:val="2"/>
            <w:tcBorders>
              <w:top w:val="nil"/>
              <w:left w:val="nil"/>
              <w:bottom w:val="nil"/>
              <w:right w:val="nil"/>
            </w:tcBorders>
            <w:vAlign w:val="center"/>
          </w:tcPr>
          <w:p w:rsidR="00130B02" w:rsidRPr="00680F48" w:rsidRDefault="00130B02" w:rsidP="00491D2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80F48">
              <w:rPr>
                <w:rFonts w:ascii="Times New Roman" w:eastAsia="Times New Roman" w:hAnsi="Times New Roman"/>
                <w:b/>
                <w:bCs/>
                <w:color w:val="000000"/>
                <w:sz w:val="23"/>
                <w:szCs w:val="23"/>
                <w:lang w:eastAsia="en-AU"/>
              </w:rPr>
              <w:t>1—Extent of prohibition</w:t>
            </w:r>
          </w:p>
        </w:tc>
      </w:tr>
      <w:tr w:rsidR="00130B02" w:rsidRPr="00680F48" w:rsidTr="00491D21">
        <w:trPr>
          <w:trHeight w:val="461"/>
        </w:trPr>
        <w:tc>
          <w:tcPr>
            <w:tcW w:w="704" w:type="dxa"/>
            <w:tcBorders>
              <w:top w:val="nil"/>
              <w:left w:val="nil"/>
              <w:bottom w:val="nil"/>
              <w:right w:val="nil"/>
            </w:tcBorders>
            <w:vAlign w:val="center"/>
          </w:tcPr>
          <w:p w:rsidR="00130B02" w:rsidRPr="00680F48" w:rsidRDefault="00130B02" w:rsidP="00491D2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
        </w:tc>
        <w:tc>
          <w:tcPr>
            <w:tcW w:w="8021" w:type="dxa"/>
            <w:tcBorders>
              <w:top w:val="nil"/>
              <w:left w:val="nil"/>
              <w:bottom w:val="nil"/>
              <w:right w:val="nil"/>
            </w:tcBorders>
            <w:vAlign w:val="center"/>
          </w:tcPr>
          <w:p w:rsidR="00130B02" w:rsidRPr="00680F48" w:rsidRDefault="00130B02" w:rsidP="00491D2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80F48">
              <w:rPr>
                <w:rFonts w:ascii="Times New Roman" w:eastAsia="Times New Roman" w:hAnsi="Times New Roman"/>
                <w:color w:val="000000"/>
                <w:sz w:val="23"/>
                <w:szCs w:val="23"/>
                <w:lang w:eastAsia="en-AU"/>
              </w:rPr>
              <w:t>The consumption of liquor is prohibited and the possession of liquor is prohibited.</w:t>
            </w:r>
          </w:p>
        </w:tc>
      </w:tr>
      <w:tr w:rsidR="00130B02" w:rsidRPr="00680F48" w:rsidTr="00491D21">
        <w:trPr>
          <w:trHeight w:val="449"/>
        </w:trPr>
        <w:tc>
          <w:tcPr>
            <w:tcW w:w="8725" w:type="dxa"/>
            <w:gridSpan w:val="2"/>
            <w:tcBorders>
              <w:top w:val="nil"/>
              <w:left w:val="nil"/>
              <w:bottom w:val="nil"/>
              <w:right w:val="nil"/>
            </w:tcBorders>
            <w:vAlign w:val="center"/>
          </w:tcPr>
          <w:p w:rsidR="00130B02" w:rsidRPr="00680F48" w:rsidRDefault="00130B02" w:rsidP="00491D2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80F48">
              <w:rPr>
                <w:rFonts w:ascii="Times New Roman" w:eastAsia="Times New Roman" w:hAnsi="Times New Roman"/>
                <w:b/>
                <w:bCs/>
                <w:color w:val="000000"/>
                <w:sz w:val="23"/>
                <w:szCs w:val="23"/>
                <w:lang w:eastAsia="en-AU"/>
              </w:rPr>
              <w:t>2—Period of prohibition</w:t>
            </w:r>
          </w:p>
        </w:tc>
      </w:tr>
      <w:tr w:rsidR="00130B02" w:rsidRPr="00680F48" w:rsidTr="00491D21">
        <w:trPr>
          <w:trHeight w:val="461"/>
        </w:trPr>
        <w:tc>
          <w:tcPr>
            <w:tcW w:w="704" w:type="dxa"/>
            <w:tcBorders>
              <w:top w:val="nil"/>
              <w:left w:val="nil"/>
              <w:bottom w:val="nil"/>
              <w:right w:val="nil"/>
            </w:tcBorders>
            <w:vAlign w:val="center"/>
          </w:tcPr>
          <w:p w:rsidR="00130B02" w:rsidRPr="00680F48" w:rsidRDefault="00130B02" w:rsidP="00491D2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
        </w:tc>
        <w:tc>
          <w:tcPr>
            <w:tcW w:w="8021" w:type="dxa"/>
            <w:tcBorders>
              <w:top w:val="nil"/>
              <w:left w:val="nil"/>
              <w:bottom w:val="nil"/>
              <w:right w:val="nil"/>
            </w:tcBorders>
            <w:vAlign w:val="center"/>
          </w:tcPr>
          <w:p w:rsidR="00130B02" w:rsidRPr="00680F48" w:rsidRDefault="00130B02" w:rsidP="00491D2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80F48">
              <w:rPr>
                <w:rFonts w:ascii="Times New Roman" w:eastAsia="Times New Roman" w:hAnsi="Times New Roman"/>
                <w:color w:val="000000"/>
                <w:sz w:val="23"/>
                <w:szCs w:val="23"/>
                <w:lang w:eastAsia="en-AU"/>
              </w:rPr>
              <w:t>From 6.00pm on 30 December 2021 – 6.00am on 2 January 2022</w:t>
            </w:r>
            <w:r>
              <w:rPr>
                <w:rFonts w:ascii="Times New Roman" w:eastAsia="Times New Roman" w:hAnsi="Times New Roman"/>
                <w:color w:val="000000"/>
                <w:sz w:val="23"/>
                <w:szCs w:val="23"/>
                <w:lang w:eastAsia="en-AU"/>
              </w:rPr>
              <w:t>.</w:t>
            </w:r>
          </w:p>
        </w:tc>
      </w:tr>
      <w:tr w:rsidR="00130B02" w:rsidRPr="00680F48" w:rsidTr="00491D21">
        <w:trPr>
          <w:trHeight w:val="449"/>
        </w:trPr>
        <w:tc>
          <w:tcPr>
            <w:tcW w:w="8725" w:type="dxa"/>
            <w:gridSpan w:val="2"/>
            <w:tcBorders>
              <w:top w:val="nil"/>
              <w:left w:val="nil"/>
              <w:bottom w:val="nil"/>
              <w:right w:val="nil"/>
            </w:tcBorders>
            <w:vAlign w:val="center"/>
          </w:tcPr>
          <w:p w:rsidR="00130B02" w:rsidRPr="00680F48" w:rsidRDefault="00130B02" w:rsidP="00491D2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80F48">
              <w:rPr>
                <w:rFonts w:ascii="Times New Roman" w:eastAsia="Times New Roman" w:hAnsi="Times New Roman"/>
                <w:b/>
                <w:bCs/>
                <w:color w:val="000000"/>
                <w:sz w:val="23"/>
                <w:szCs w:val="23"/>
                <w:lang w:eastAsia="en-AU"/>
              </w:rPr>
              <w:t>3—Description of area</w:t>
            </w:r>
          </w:p>
        </w:tc>
      </w:tr>
      <w:tr w:rsidR="00130B02" w:rsidRPr="00680F48" w:rsidTr="00491D21">
        <w:trPr>
          <w:trHeight w:val="2330"/>
        </w:trPr>
        <w:tc>
          <w:tcPr>
            <w:tcW w:w="704" w:type="dxa"/>
            <w:tcBorders>
              <w:top w:val="nil"/>
              <w:left w:val="nil"/>
              <w:bottom w:val="nil"/>
              <w:right w:val="nil"/>
            </w:tcBorders>
            <w:vAlign w:val="center"/>
          </w:tcPr>
          <w:p w:rsidR="00130B02" w:rsidRPr="00680F48" w:rsidRDefault="00130B02" w:rsidP="00491D21">
            <w:pPr>
              <w:keepLines/>
              <w:autoSpaceDE w:val="0"/>
              <w:autoSpaceDN w:val="0"/>
              <w:adjustRightInd w:val="0"/>
              <w:spacing w:before="120" w:after="0" w:line="240" w:lineRule="auto"/>
              <w:rPr>
                <w:rFonts w:ascii="Times New Roman" w:eastAsia="Times New Roman" w:hAnsi="Times New Roman"/>
                <w:color w:val="000000"/>
                <w:sz w:val="23"/>
                <w:szCs w:val="23"/>
                <w:lang w:eastAsia="en-AU"/>
              </w:rPr>
            </w:pPr>
          </w:p>
        </w:tc>
        <w:tc>
          <w:tcPr>
            <w:tcW w:w="8021" w:type="dxa"/>
            <w:tcBorders>
              <w:top w:val="nil"/>
              <w:left w:val="nil"/>
              <w:bottom w:val="nil"/>
              <w:right w:val="nil"/>
            </w:tcBorders>
            <w:vAlign w:val="center"/>
          </w:tcPr>
          <w:p w:rsidR="00130B02" w:rsidRPr="00680F48" w:rsidRDefault="00130B02" w:rsidP="00491D21">
            <w:pPr>
              <w:keepLines/>
              <w:tabs>
                <w:tab w:val="center" w:pos="397"/>
                <w:tab w:val="left" w:pos="794"/>
              </w:tabs>
              <w:autoSpaceDE w:val="0"/>
              <w:autoSpaceDN w:val="0"/>
              <w:adjustRightInd w:val="0"/>
              <w:spacing w:before="120" w:after="0" w:line="240" w:lineRule="auto"/>
              <w:rPr>
                <w:rFonts w:ascii="Times New Roman" w:eastAsia="Times New Roman" w:hAnsi="Times New Roman"/>
                <w:color w:val="000000"/>
                <w:sz w:val="23"/>
                <w:szCs w:val="23"/>
                <w:lang w:eastAsia="en-AU"/>
              </w:rPr>
            </w:pPr>
            <w:r w:rsidRPr="00680F48">
              <w:rPr>
                <w:rFonts w:ascii="Times New Roman" w:eastAsia="Times New Roman" w:hAnsi="Times New Roman"/>
                <w:color w:val="000000"/>
                <w:sz w:val="23"/>
                <w:szCs w:val="23"/>
                <w:lang w:eastAsia="en-AU"/>
              </w:rPr>
              <w:t>Chiton Rocks Surf Life Saving Club - car park area and adjacent beach area to the low water mark.  The area adjacent to Victor Harbor generally known as the Chiton Rocks Surf Lifesaving Club car park and the adjacent beach, being the area bounded on the north by the northern boundaries of Lot 469 DP 3482 and Lot 440 DP 3207, on the west by the prolongation in a straight line of the western boundary of Lot 433 DP 3207, on the south by the low water mark on Encounter Bay and on the east by the prolongation in a straight line of the eastern boundary of Lot 463 DP 3482.</w:t>
            </w:r>
          </w:p>
        </w:tc>
      </w:tr>
    </w:tbl>
    <w:p w:rsidR="00130B02" w:rsidRPr="00680F48" w:rsidRDefault="00130B02" w:rsidP="00130B02">
      <w:pPr>
        <w:rPr>
          <w:rFonts w:ascii="Times New Roman" w:eastAsia="Times New Roman" w:hAnsi="Times New Roman"/>
          <w:sz w:val="17"/>
          <w:szCs w:val="20"/>
          <w:lang w:eastAsia="en-AU"/>
        </w:rPr>
      </w:pPr>
      <w:r w:rsidRPr="00680F48">
        <w:rPr>
          <w:rFonts w:ascii="Times New Roman" w:eastAsia="Times New Roman" w:hAnsi="Times New Roman"/>
          <w:noProof/>
          <w:sz w:val="17"/>
          <w:szCs w:val="24"/>
          <w:lang w:eastAsia="en-AU"/>
        </w:rPr>
        <w:drawing>
          <wp:anchor distT="0" distB="0" distL="114300" distR="114300" simplePos="0" relativeHeight="251664896" behindDoc="0" locked="0" layoutInCell="1" allowOverlap="1" wp14:anchorId="514FB693" wp14:editId="7A1C0455">
            <wp:simplePos x="0" y="0"/>
            <wp:positionH relativeFrom="margin">
              <wp:posOffset>250190</wp:posOffset>
            </wp:positionH>
            <wp:positionV relativeFrom="margin">
              <wp:posOffset>3251835</wp:posOffset>
            </wp:positionV>
            <wp:extent cx="5422900" cy="3710305"/>
            <wp:effectExtent l="0" t="0" r="635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22900" cy="3710305"/>
                    </a:xfrm>
                    <a:prstGeom prst="rect">
                      <a:avLst/>
                    </a:prstGeom>
                  </pic:spPr>
                </pic:pic>
              </a:graphicData>
            </a:graphic>
            <wp14:sizeRelH relativeFrom="page">
              <wp14:pctWidth>0</wp14:pctWidth>
            </wp14:sizeRelH>
            <wp14:sizeRelV relativeFrom="page">
              <wp14:pctHeight>0</wp14:pctHeight>
            </wp14:sizeRelV>
          </wp:anchor>
        </w:drawing>
      </w:r>
    </w:p>
    <w:p w:rsidR="00130B02" w:rsidRDefault="00130B02" w:rsidP="00130B02">
      <w:pPr>
        <w:spacing w:after="0" w:line="240" w:lineRule="auto"/>
        <w:jc w:val="left"/>
        <w:rPr>
          <w:rFonts w:ascii="Times New Roman" w:eastAsia="Times New Roman" w:hAnsi="Times New Roman"/>
          <w:sz w:val="17"/>
          <w:szCs w:val="20"/>
          <w:lang w:eastAsia="en-AU"/>
        </w:rPr>
      </w:pPr>
      <w:r>
        <w:rPr>
          <w:rFonts w:ascii="Times New Roman" w:eastAsia="Times New Roman" w:hAnsi="Times New Roman"/>
          <w:sz w:val="17"/>
          <w:szCs w:val="20"/>
          <w:lang w:eastAsia="en-AU"/>
        </w:rPr>
        <w:br w:type="page"/>
      </w:r>
    </w:p>
    <w:p w:rsidR="00130B02" w:rsidRPr="00680F48" w:rsidRDefault="00130B02" w:rsidP="00130B02">
      <w:pPr>
        <w:keepLines/>
        <w:tabs>
          <w:tab w:val="center" w:pos="1191"/>
          <w:tab w:val="left" w:pos="1588"/>
        </w:tab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680F48">
        <w:rPr>
          <w:rFonts w:ascii="Times New Roman" w:eastAsia="Times New Roman" w:hAnsi="Times New Roman"/>
          <w:b/>
          <w:bCs/>
          <w:color w:val="000000"/>
          <w:sz w:val="32"/>
          <w:szCs w:val="32"/>
          <w:lang w:eastAsia="en-AU"/>
        </w:rPr>
        <w:lastRenderedPageBreak/>
        <w:t>Schedule 2</w:t>
      </w:r>
      <w:r>
        <w:rPr>
          <w:rFonts w:ascii="Times New Roman" w:eastAsia="Times New Roman" w:hAnsi="Times New Roman"/>
          <w:b/>
          <w:bCs/>
          <w:color w:val="000000"/>
          <w:sz w:val="32"/>
          <w:szCs w:val="32"/>
          <w:lang w:eastAsia="en-AU"/>
        </w:rPr>
        <w:t>—</w:t>
      </w:r>
      <w:r w:rsidRPr="00680F48">
        <w:rPr>
          <w:rFonts w:ascii="Times New Roman" w:eastAsia="Times New Roman" w:hAnsi="Times New Roman"/>
          <w:b/>
          <w:sz w:val="28"/>
          <w:szCs w:val="28"/>
        </w:rPr>
        <w:t>Port Elliot Area 2</w:t>
      </w:r>
    </w:p>
    <w:p w:rsidR="00130B02" w:rsidRPr="00680F48" w:rsidRDefault="00130B02" w:rsidP="00130B02">
      <w:pPr>
        <w:keepNext/>
        <w:keepLines/>
        <w:autoSpaceDE w:val="0"/>
        <w:autoSpaceDN w:val="0"/>
        <w:adjustRightInd w:val="0"/>
        <w:spacing w:before="120" w:after="0" w:line="240" w:lineRule="auto"/>
        <w:jc w:val="left"/>
        <w:rPr>
          <w:rFonts w:ascii="Times New Roman" w:eastAsia="Times New Roman" w:hAnsi="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130B02" w:rsidRPr="00680F48" w:rsidTr="00491D21">
        <w:tc>
          <w:tcPr>
            <w:tcW w:w="8786" w:type="dxa"/>
            <w:gridSpan w:val="2"/>
            <w:tcBorders>
              <w:top w:val="nil"/>
              <w:left w:val="nil"/>
              <w:bottom w:val="nil"/>
              <w:right w:val="nil"/>
            </w:tcBorders>
            <w:vAlign w:val="center"/>
          </w:tcPr>
          <w:p w:rsidR="00130B02" w:rsidRPr="00680F48" w:rsidRDefault="00130B02" w:rsidP="00491D2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80F48">
              <w:rPr>
                <w:rFonts w:ascii="Times New Roman" w:eastAsia="Times New Roman" w:hAnsi="Times New Roman"/>
                <w:b/>
                <w:bCs/>
                <w:color w:val="000000"/>
                <w:sz w:val="23"/>
                <w:szCs w:val="23"/>
                <w:lang w:eastAsia="en-AU"/>
              </w:rPr>
              <w:t>1—Extent of prohibition</w:t>
            </w:r>
          </w:p>
        </w:tc>
      </w:tr>
      <w:tr w:rsidR="00130B02" w:rsidRPr="00680F48" w:rsidTr="00491D21">
        <w:tc>
          <w:tcPr>
            <w:tcW w:w="709" w:type="dxa"/>
            <w:tcBorders>
              <w:top w:val="nil"/>
              <w:left w:val="nil"/>
              <w:bottom w:val="nil"/>
              <w:right w:val="nil"/>
            </w:tcBorders>
            <w:vAlign w:val="center"/>
          </w:tcPr>
          <w:p w:rsidR="00130B02" w:rsidRPr="00680F48" w:rsidRDefault="00130B02" w:rsidP="00491D2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
        </w:tc>
        <w:tc>
          <w:tcPr>
            <w:tcW w:w="8077" w:type="dxa"/>
            <w:tcBorders>
              <w:top w:val="nil"/>
              <w:left w:val="nil"/>
              <w:bottom w:val="nil"/>
              <w:right w:val="nil"/>
            </w:tcBorders>
            <w:vAlign w:val="center"/>
          </w:tcPr>
          <w:p w:rsidR="00130B02" w:rsidRPr="00680F48" w:rsidRDefault="00130B02" w:rsidP="00491D2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80F48">
              <w:rPr>
                <w:rFonts w:ascii="Times New Roman" w:eastAsia="Times New Roman" w:hAnsi="Times New Roman"/>
                <w:color w:val="000000"/>
                <w:sz w:val="23"/>
                <w:szCs w:val="23"/>
                <w:lang w:eastAsia="en-AU"/>
              </w:rPr>
              <w:t>The consumption of liquor is prohibited and the possession of liquor is prohibited.</w:t>
            </w:r>
          </w:p>
        </w:tc>
      </w:tr>
      <w:tr w:rsidR="00130B02" w:rsidRPr="00680F48" w:rsidTr="00491D21">
        <w:tc>
          <w:tcPr>
            <w:tcW w:w="8786" w:type="dxa"/>
            <w:gridSpan w:val="2"/>
            <w:tcBorders>
              <w:top w:val="nil"/>
              <w:left w:val="nil"/>
              <w:bottom w:val="nil"/>
              <w:right w:val="nil"/>
            </w:tcBorders>
            <w:vAlign w:val="center"/>
          </w:tcPr>
          <w:p w:rsidR="00130B02" w:rsidRPr="00680F48" w:rsidRDefault="00130B02" w:rsidP="00491D2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80F48">
              <w:rPr>
                <w:rFonts w:ascii="Times New Roman" w:eastAsia="Times New Roman" w:hAnsi="Times New Roman"/>
                <w:b/>
                <w:bCs/>
                <w:color w:val="000000"/>
                <w:sz w:val="23"/>
                <w:szCs w:val="23"/>
                <w:lang w:eastAsia="en-AU"/>
              </w:rPr>
              <w:t>2—Period of prohibition</w:t>
            </w:r>
          </w:p>
        </w:tc>
      </w:tr>
      <w:tr w:rsidR="00130B02" w:rsidRPr="00680F48" w:rsidTr="00491D21">
        <w:tc>
          <w:tcPr>
            <w:tcW w:w="709" w:type="dxa"/>
            <w:tcBorders>
              <w:top w:val="nil"/>
              <w:left w:val="nil"/>
              <w:bottom w:val="nil"/>
              <w:right w:val="nil"/>
            </w:tcBorders>
            <w:vAlign w:val="center"/>
          </w:tcPr>
          <w:p w:rsidR="00130B02" w:rsidRPr="00680F48" w:rsidRDefault="00130B02" w:rsidP="00491D2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
        </w:tc>
        <w:tc>
          <w:tcPr>
            <w:tcW w:w="8077" w:type="dxa"/>
            <w:tcBorders>
              <w:top w:val="nil"/>
              <w:left w:val="nil"/>
              <w:bottom w:val="nil"/>
              <w:right w:val="nil"/>
            </w:tcBorders>
            <w:vAlign w:val="center"/>
          </w:tcPr>
          <w:p w:rsidR="00130B02" w:rsidRPr="00680F48" w:rsidRDefault="00130B02" w:rsidP="00491D2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80F48">
              <w:rPr>
                <w:rFonts w:ascii="Times New Roman" w:eastAsia="Times New Roman" w:hAnsi="Times New Roman"/>
                <w:color w:val="000000"/>
                <w:sz w:val="23"/>
                <w:szCs w:val="23"/>
                <w:lang w:eastAsia="en-AU"/>
              </w:rPr>
              <w:t>From 6.00pm on 30 December 2021 – 6.00am on 2 January 2022</w:t>
            </w:r>
            <w:r>
              <w:rPr>
                <w:rFonts w:ascii="Times New Roman" w:eastAsia="Times New Roman" w:hAnsi="Times New Roman"/>
                <w:color w:val="000000"/>
                <w:sz w:val="23"/>
                <w:szCs w:val="23"/>
                <w:lang w:eastAsia="en-AU"/>
              </w:rPr>
              <w:t>.</w:t>
            </w:r>
          </w:p>
        </w:tc>
      </w:tr>
      <w:tr w:rsidR="00130B02" w:rsidRPr="00680F48" w:rsidTr="00491D21">
        <w:tc>
          <w:tcPr>
            <w:tcW w:w="8786" w:type="dxa"/>
            <w:gridSpan w:val="2"/>
            <w:tcBorders>
              <w:top w:val="nil"/>
              <w:left w:val="nil"/>
              <w:bottom w:val="nil"/>
              <w:right w:val="nil"/>
            </w:tcBorders>
            <w:vAlign w:val="center"/>
          </w:tcPr>
          <w:p w:rsidR="00130B02" w:rsidRPr="00680F48" w:rsidRDefault="00130B02" w:rsidP="00491D2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80F48">
              <w:rPr>
                <w:rFonts w:ascii="Times New Roman" w:eastAsia="Times New Roman" w:hAnsi="Times New Roman"/>
                <w:b/>
                <w:bCs/>
                <w:color w:val="000000"/>
                <w:sz w:val="23"/>
                <w:szCs w:val="23"/>
                <w:lang w:eastAsia="en-AU"/>
              </w:rPr>
              <w:t>3—Description of area</w:t>
            </w:r>
          </w:p>
        </w:tc>
      </w:tr>
      <w:tr w:rsidR="00130B02" w:rsidRPr="00680F48" w:rsidTr="00491D21">
        <w:tc>
          <w:tcPr>
            <w:tcW w:w="709" w:type="dxa"/>
            <w:tcBorders>
              <w:top w:val="nil"/>
              <w:left w:val="nil"/>
              <w:bottom w:val="nil"/>
              <w:right w:val="nil"/>
            </w:tcBorders>
            <w:vAlign w:val="center"/>
          </w:tcPr>
          <w:p w:rsidR="00130B02" w:rsidRPr="00680F48" w:rsidRDefault="00130B02" w:rsidP="00491D21">
            <w:pPr>
              <w:keepLines/>
              <w:autoSpaceDE w:val="0"/>
              <w:autoSpaceDN w:val="0"/>
              <w:adjustRightInd w:val="0"/>
              <w:spacing w:before="120" w:after="0" w:line="240" w:lineRule="auto"/>
              <w:rPr>
                <w:rFonts w:ascii="Times New Roman" w:eastAsia="Times New Roman" w:hAnsi="Times New Roman"/>
                <w:color w:val="000000"/>
                <w:sz w:val="23"/>
                <w:szCs w:val="23"/>
                <w:lang w:eastAsia="en-AU"/>
              </w:rPr>
            </w:pPr>
          </w:p>
        </w:tc>
        <w:tc>
          <w:tcPr>
            <w:tcW w:w="8077" w:type="dxa"/>
            <w:tcBorders>
              <w:top w:val="nil"/>
              <w:left w:val="nil"/>
              <w:bottom w:val="nil"/>
              <w:right w:val="nil"/>
            </w:tcBorders>
            <w:vAlign w:val="center"/>
          </w:tcPr>
          <w:p w:rsidR="00130B02" w:rsidRPr="00680F48" w:rsidRDefault="00130B02" w:rsidP="00491D21">
            <w:pPr>
              <w:keepLines/>
              <w:tabs>
                <w:tab w:val="center" w:pos="397"/>
                <w:tab w:val="left" w:pos="794"/>
              </w:tabs>
              <w:autoSpaceDE w:val="0"/>
              <w:autoSpaceDN w:val="0"/>
              <w:adjustRightInd w:val="0"/>
              <w:spacing w:before="120" w:after="0" w:line="240" w:lineRule="auto"/>
              <w:rPr>
                <w:rFonts w:ascii="Times New Roman" w:eastAsia="Times New Roman" w:hAnsi="Times New Roman"/>
                <w:color w:val="000000"/>
                <w:sz w:val="23"/>
                <w:szCs w:val="23"/>
                <w:lang w:eastAsia="en-AU"/>
              </w:rPr>
            </w:pPr>
            <w:r w:rsidRPr="00680F48">
              <w:rPr>
                <w:rFonts w:ascii="Times New Roman" w:eastAsia="Times New Roman" w:hAnsi="Times New Roman"/>
                <w:color w:val="000000"/>
                <w:sz w:val="23"/>
                <w:szCs w:val="23"/>
                <w:lang w:eastAsia="en-AU"/>
              </w:rPr>
              <w:t>The area in and adjacent to Port Elliot bounded as follows: commencing at the point at which the eastern boundary of Lot 26 of DP 74300 meets the northern boundary of Railway Terrace (approximately 50 metres west of the western boundary of Bennett Road), then easterly along the northern boundary of Railway Terrace to the western boundary of Carfax Street, then northerly along that boundary of Carfax Street to the point at which it is intersected by the prolongation in a straight line of the northern boundary of Battunga Avenue, then generally easterly, south easterly and easterly along that prolongation and boundary of Battunga Avenue and the prolongation in a straight line of that boundary to the eastern boundary of Rosetta Terrace, then southerly along that boundary of Rosetta Terrace to the northern boundary of Barbara Street, then easterly along that boundary of Barbara Street to the point at which it intersects the eastern boundary of Hutton Street, then southerly along that boundary of Hutton Street to the northern boundary of Merrilli Place, then easterly along that boundary of Merrilli Place to the point at which it is intersected by the prolongation in a straight line of the eastern boundary of The Esplanade, then south easterly along that prolongation and boundary of The Esplanade to the western boundary of Lot 101 of DP 46201, then south easterly and easterly along the western and southern boundaries of Lot 101 and the southern boundaries of the adjoining Lots to the western boundary of The Strand, then northerly along that boundary of The Strand to the point at which it intersects the southern boundary of Torrens Street, then in a straight line by the shortest route (across The Strand) to the point at which the southern boundary of Murray Place meets the eastern boundary of The Strand, then easterly and north easterly along that boundary of Murray Place to the point at which it meets the prolongation in a straight line of the southern boundary of Freeling Street, then north easterly along that prolongation of the southern boundary of Freeling Street to the point at which it intersects the low water mark of Horseshoe Bay, then generally south westerly, south easterly, south westerly and westerly along the low water mark to the point at which the low water mark is intersected by the prolongation in a straight line of the eastern boundary of Lot 26 of DP 74300, then northerly along that prolongation of the eastern boundary of Lot 26 to the point of commencement. The area includes the whole of any wharf, jetty, boat ramp, breakwater or other structure that projects below the low water mark from within the area described above (as well as any area beneath such a structure).</w:t>
            </w:r>
          </w:p>
        </w:tc>
      </w:tr>
    </w:tbl>
    <w:p w:rsidR="00130B02" w:rsidRDefault="00130B02" w:rsidP="00130B02">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jc w:val="left"/>
        <w:rPr>
          <w:rFonts w:ascii="Times New Roman" w:eastAsia="Times New Roman" w:hAnsi="Times New Roman"/>
          <w:i/>
          <w:iCs/>
          <w:color w:val="000000"/>
          <w:sz w:val="24"/>
          <w:szCs w:val="24"/>
          <w:lang w:eastAsia="en-AU"/>
        </w:rPr>
      </w:pPr>
    </w:p>
    <w:p w:rsidR="00130B02" w:rsidRDefault="00130B02" w:rsidP="00130B02">
      <w:pPr>
        <w:spacing w:after="0" w:line="240" w:lineRule="auto"/>
        <w:jc w:val="left"/>
        <w:rPr>
          <w:rFonts w:ascii="Times New Roman" w:eastAsia="Times New Roman" w:hAnsi="Times New Roman"/>
          <w:i/>
          <w:iCs/>
          <w:color w:val="000000"/>
          <w:sz w:val="24"/>
          <w:szCs w:val="24"/>
          <w:lang w:eastAsia="en-AU"/>
        </w:rPr>
      </w:pPr>
      <w:r>
        <w:rPr>
          <w:rFonts w:ascii="Times New Roman" w:eastAsia="Times New Roman" w:hAnsi="Times New Roman"/>
          <w:i/>
          <w:iCs/>
          <w:color w:val="000000"/>
          <w:sz w:val="24"/>
          <w:szCs w:val="24"/>
          <w:lang w:eastAsia="en-AU"/>
        </w:rPr>
        <w:br w:type="page"/>
      </w:r>
    </w:p>
    <w:p w:rsidR="00130B02" w:rsidRDefault="00130B02" w:rsidP="00130B02">
      <w:pPr>
        <w:tabs>
          <w:tab w:val="left" w:pos="160"/>
          <w:tab w:val="left" w:pos="320"/>
          <w:tab w:val="left" w:pos="480"/>
          <w:tab w:val="left" w:pos="960"/>
          <w:tab w:val="left" w:pos="1120"/>
          <w:tab w:val="left" w:pos="1280"/>
          <w:tab w:val="left" w:pos="1440"/>
          <w:tab w:val="left" w:pos="1600"/>
          <w:tab w:val="left" w:pos="1760"/>
          <w:tab w:val="left" w:pos="1920"/>
          <w:tab w:val="left" w:pos="2080"/>
          <w:tab w:val="left" w:pos="2240"/>
        </w:tabs>
        <w:spacing w:before="120" w:after="0" w:line="240" w:lineRule="auto"/>
        <w:jc w:val="center"/>
        <w:rPr>
          <w:rFonts w:ascii="Times New Roman" w:eastAsia="Times New Roman" w:hAnsi="Times New Roman"/>
          <w:i/>
          <w:iCs/>
          <w:color w:val="000000"/>
          <w:sz w:val="24"/>
          <w:szCs w:val="24"/>
          <w:lang w:eastAsia="en-AU"/>
        </w:rPr>
      </w:pPr>
      <w:r w:rsidRPr="00057255">
        <w:rPr>
          <w:noProof/>
          <w:lang w:eastAsia="en-AU"/>
        </w:rPr>
        <w:lastRenderedPageBreak/>
        <w:drawing>
          <wp:inline distT="0" distB="0" distL="0" distR="0" wp14:anchorId="1FDF3667" wp14:editId="5136DB45">
            <wp:extent cx="5731510" cy="3921760"/>
            <wp:effectExtent l="0" t="0" r="2540" b="254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3921760"/>
                    </a:xfrm>
                    <a:prstGeom prst="rect">
                      <a:avLst/>
                    </a:prstGeom>
                  </pic:spPr>
                </pic:pic>
              </a:graphicData>
            </a:graphic>
          </wp:inline>
        </w:drawing>
      </w:r>
    </w:p>
    <w:p w:rsidR="00130B02" w:rsidRDefault="00130B02" w:rsidP="00130B02">
      <w:pPr>
        <w:pStyle w:val="GG-body"/>
        <w:rPr>
          <w:lang w:eastAsia="en-AU"/>
        </w:rPr>
      </w:pPr>
    </w:p>
    <w:p w:rsidR="00130B02" w:rsidRDefault="00130B02" w:rsidP="00130B02">
      <w:pPr>
        <w:spacing w:after="0" w:line="240" w:lineRule="auto"/>
        <w:jc w:val="left"/>
        <w:rPr>
          <w:rFonts w:ascii="Times New Roman" w:eastAsia="Times New Roman" w:hAnsi="Times New Roman"/>
          <w:b/>
          <w:sz w:val="28"/>
          <w:szCs w:val="28"/>
          <w:lang w:eastAsia="en-AU"/>
        </w:rPr>
      </w:pPr>
      <w:r>
        <w:rPr>
          <w:rFonts w:ascii="Times New Roman" w:eastAsia="Times New Roman" w:hAnsi="Times New Roman"/>
          <w:b/>
          <w:sz w:val="28"/>
          <w:szCs w:val="28"/>
          <w:lang w:eastAsia="en-AU"/>
        </w:rPr>
        <w:br w:type="page"/>
      </w:r>
    </w:p>
    <w:p w:rsidR="00130B02" w:rsidRPr="00680F48" w:rsidRDefault="00130B02" w:rsidP="00130B02">
      <w:pPr>
        <w:spacing w:after="200" w:line="276" w:lineRule="auto"/>
        <w:jc w:val="left"/>
        <w:rPr>
          <w:rFonts w:ascii="Times New Roman" w:eastAsia="Times New Roman" w:hAnsi="Times New Roman"/>
          <w:b/>
          <w:sz w:val="28"/>
          <w:szCs w:val="28"/>
          <w:lang w:eastAsia="en-AU"/>
        </w:rPr>
      </w:pPr>
      <w:r w:rsidRPr="00680F48">
        <w:rPr>
          <w:rFonts w:ascii="Times New Roman" w:eastAsia="Times New Roman" w:hAnsi="Times New Roman"/>
          <w:b/>
          <w:sz w:val="28"/>
          <w:szCs w:val="28"/>
          <w:lang w:eastAsia="en-AU"/>
        </w:rPr>
        <w:lastRenderedPageBreak/>
        <w:t>Schedule 3</w:t>
      </w:r>
      <w:r>
        <w:rPr>
          <w:rFonts w:ascii="Times New Roman" w:eastAsia="Times New Roman" w:hAnsi="Times New Roman"/>
          <w:b/>
          <w:sz w:val="28"/>
          <w:szCs w:val="28"/>
          <w:lang w:eastAsia="en-AU"/>
        </w:rPr>
        <w:t>—</w:t>
      </w:r>
      <w:r w:rsidRPr="00680F48">
        <w:rPr>
          <w:rFonts w:ascii="Times New Roman" w:eastAsia="Times New Roman" w:hAnsi="Times New Roman"/>
          <w:b/>
          <w:sz w:val="28"/>
          <w:szCs w:val="28"/>
          <w:lang w:eastAsia="en-AU"/>
        </w:rPr>
        <w:t>Middleton Point Foreshore Area, Middleton Beach</w:t>
      </w:r>
    </w:p>
    <w:p w:rsidR="00130B02" w:rsidRPr="00680F48" w:rsidRDefault="00130B02" w:rsidP="00130B02">
      <w:pPr>
        <w:spacing w:after="200" w:line="276" w:lineRule="auto"/>
        <w:jc w:val="left"/>
        <w:rPr>
          <w:rFonts w:ascii="Times New Roman" w:eastAsia="Times New Roman" w:hAnsi="Times New Roman"/>
          <w:b/>
          <w:sz w:val="23"/>
          <w:szCs w:val="23"/>
          <w:lang w:eastAsia="en-AU"/>
        </w:rPr>
      </w:pPr>
      <w:r w:rsidRPr="00680F48">
        <w:rPr>
          <w:rFonts w:ascii="Times New Roman" w:eastAsia="Times New Roman" w:hAnsi="Times New Roman"/>
          <w:b/>
          <w:sz w:val="23"/>
          <w:szCs w:val="23"/>
          <w:lang w:eastAsia="en-AU"/>
        </w:rPr>
        <w:t>1</w:t>
      </w:r>
      <w:r>
        <w:rPr>
          <w:rFonts w:ascii="Times New Roman" w:eastAsia="Times New Roman" w:hAnsi="Times New Roman"/>
          <w:b/>
          <w:sz w:val="23"/>
          <w:szCs w:val="23"/>
          <w:lang w:eastAsia="en-AU"/>
        </w:rPr>
        <w:t>—</w:t>
      </w:r>
      <w:r w:rsidRPr="00680F48">
        <w:rPr>
          <w:rFonts w:ascii="Times New Roman" w:eastAsia="Times New Roman" w:hAnsi="Times New Roman"/>
          <w:b/>
          <w:sz w:val="23"/>
          <w:szCs w:val="23"/>
          <w:lang w:eastAsia="en-AU"/>
        </w:rPr>
        <w:t>Extent of prohibition</w:t>
      </w:r>
    </w:p>
    <w:p w:rsidR="00130B02" w:rsidRPr="00680F48" w:rsidRDefault="00130B02" w:rsidP="00130B02">
      <w:pPr>
        <w:tabs>
          <w:tab w:val="left" w:pos="284"/>
        </w:tabs>
        <w:spacing w:after="200" w:line="276" w:lineRule="auto"/>
        <w:jc w:val="left"/>
        <w:rPr>
          <w:rFonts w:ascii="Times New Roman" w:eastAsia="Times New Roman" w:hAnsi="Times New Roman"/>
          <w:sz w:val="23"/>
          <w:szCs w:val="23"/>
          <w:lang w:eastAsia="en-AU"/>
        </w:rPr>
      </w:pPr>
      <w:r w:rsidRPr="00680F48">
        <w:rPr>
          <w:rFonts w:ascii="Times New Roman" w:eastAsia="Times New Roman" w:hAnsi="Times New Roman"/>
          <w:sz w:val="23"/>
          <w:szCs w:val="23"/>
          <w:lang w:eastAsia="en-AU"/>
        </w:rPr>
        <w:t>The consumption of liquor is prohibited and the possession of liquor is prohibited.</w:t>
      </w:r>
    </w:p>
    <w:p w:rsidR="00130B02" w:rsidRPr="00680F48" w:rsidRDefault="00130B02" w:rsidP="00130B02">
      <w:pPr>
        <w:tabs>
          <w:tab w:val="left" w:pos="284"/>
        </w:tabs>
        <w:spacing w:after="200" w:line="276" w:lineRule="auto"/>
        <w:jc w:val="left"/>
        <w:rPr>
          <w:rFonts w:ascii="Times New Roman" w:eastAsia="Times New Roman" w:hAnsi="Times New Roman"/>
          <w:b/>
          <w:sz w:val="23"/>
          <w:szCs w:val="23"/>
          <w:lang w:eastAsia="en-AU"/>
        </w:rPr>
      </w:pPr>
      <w:r w:rsidRPr="00680F48">
        <w:rPr>
          <w:rFonts w:ascii="Times New Roman" w:eastAsia="Times New Roman" w:hAnsi="Times New Roman"/>
          <w:b/>
          <w:sz w:val="23"/>
          <w:szCs w:val="23"/>
          <w:lang w:eastAsia="en-AU"/>
        </w:rPr>
        <w:t>2</w:t>
      </w:r>
      <w:r>
        <w:rPr>
          <w:rFonts w:ascii="Times New Roman" w:eastAsia="Times New Roman" w:hAnsi="Times New Roman"/>
          <w:b/>
          <w:sz w:val="23"/>
          <w:szCs w:val="23"/>
          <w:lang w:eastAsia="en-AU"/>
        </w:rPr>
        <w:t>—</w:t>
      </w:r>
      <w:r w:rsidRPr="00680F48">
        <w:rPr>
          <w:rFonts w:ascii="Times New Roman" w:eastAsia="Times New Roman" w:hAnsi="Times New Roman"/>
          <w:b/>
          <w:sz w:val="23"/>
          <w:szCs w:val="23"/>
          <w:lang w:eastAsia="en-AU"/>
        </w:rPr>
        <w:t>Period of prohibition</w:t>
      </w:r>
    </w:p>
    <w:p w:rsidR="00130B02" w:rsidRPr="00680F48" w:rsidRDefault="00130B02" w:rsidP="00130B02">
      <w:pPr>
        <w:tabs>
          <w:tab w:val="left" w:pos="284"/>
        </w:tabs>
        <w:spacing w:after="200" w:line="276" w:lineRule="auto"/>
        <w:jc w:val="left"/>
        <w:rPr>
          <w:rFonts w:ascii="Times New Roman" w:eastAsia="Times New Roman" w:hAnsi="Times New Roman"/>
          <w:sz w:val="23"/>
          <w:szCs w:val="23"/>
          <w:lang w:eastAsia="en-AU"/>
        </w:rPr>
      </w:pPr>
      <w:r w:rsidRPr="00680F48">
        <w:rPr>
          <w:rFonts w:ascii="Times New Roman" w:eastAsia="Times New Roman" w:hAnsi="Times New Roman"/>
          <w:sz w:val="23"/>
          <w:szCs w:val="23"/>
          <w:lang w:eastAsia="en-AU"/>
        </w:rPr>
        <w:t>From 6.00pm on 30 December 2021 – 6.00am on 2 January 2022</w:t>
      </w:r>
      <w:r>
        <w:rPr>
          <w:rFonts w:ascii="Times New Roman" w:eastAsia="Times New Roman" w:hAnsi="Times New Roman"/>
          <w:sz w:val="23"/>
          <w:szCs w:val="23"/>
          <w:lang w:eastAsia="en-AU"/>
        </w:rPr>
        <w:t>.</w:t>
      </w:r>
    </w:p>
    <w:p w:rsidR="00130B02" w:rsidRPr="00680F48" w:rsidRDefault="00130B02" w:rsidP="00130B02">
      <w:pPr>
        <w:tabs>
          <w:tab w:val="left" w:pos="284"/>
        </w:tabs>
        <w:spacing w:after="200" w:line="276" w:lineRule="auto"/>
        <w:jc w:val="left"/>
        <w:rPr>
          <w:rFonts w:ascii="Times New Roman" w:eastAsia="Times New Roman" w:hAnsi="Times New Roman"/>
          <w:b/>
          <w:sz w:val="23"/>
          <w:szCs w:val="23"/>
          <w:lang w:eastAsia="en-AU"/>
        </w:rPr>
      </w:pPr>
      <w:r w:rsidRPr="00680F48">
        <w:rPr>
          <w:rFonts w:ascii="Times New Roman" w:eastAsia="Times New Roman" w:hAnsi="Times New Roman"/>
          <w:b/>
          <w:sz w:val="23"/>
          <w:szCs w:val="23"/>
          <w:lang w:eastAsia="en-AU"/>
        </w:rPr>
        <w:t>3</w:t>
      </w:r>
      <w:r>
        <w:rPr>
          <w:rFonts w:ascii="Times New Roman" w:eastAsia="Times New Roman" w:hAnsi="Times New Roman"/>
          <w:b/>
          <w:sz w:val="23"/>
          <w:szCs w:val="23"/>
          <w:lang w:eastAsia="en-AU"/>
        </w:rPr>
        <w:t>—</w:t>
      </w:r>
      <w:r w:rsidRPr="00680F48">
        <w:rPr>
          <w:rFonts w:ascii="Times New Roman" w:eastAsia="Times New Roman" w:hAnsi="Times New Roman"/>
          <w:b/>
          <w:sz w:val="23"/>
          <w:szCs w:val="23"/>
          <w:lang w:eastAsia="en-AU"/>
        </w:rPr>
        <w:t>Description of area</w:t>
      </w:r>
    </w:p>
    <w:p w:rsidR="00130B02" w:rsidRPr="00680F48" w:rsidRDefault="00130B02" w:rsidP="00130B02">
      <w:pPr>
        <w:spacing w:after="200" w:line="276" w:lineRule="auto"/>
        <w:jc w:val="left"/>
        <w:rPr>
          <w:rFonts w:ascii="Times New Roman" w:eastAsia="Times New Roman" w:hAnsi="Times New Roman"/>
          <w:b/>
          <w:sz w:val="23"/>
          <w:szCs w:val="23"/>
          <w:lang w:eastAsia="en-AU"/>
        </w:rPr>
      </w:pPr>
      <w:r w:rsidRPr="00680F48">
        <w:rPr>
          <w:rFonts w:ascii="Times New Roman" w:eastAsia="Times New Roman" w:hAnsi="Times New Roman"/>
          <w:b/>
          <w:sz w:val="23"/>
          <w:szCs w:val="23"/>
          <w:lang w:eastAsia="en-AU"/>
        </w:rPr>
        <w:t>Middleton Area 1</w:t>
      </w:r>
      <w:r>
        <w:rPr>
          <w:rFonts w:ascii="Times New Roman" w:eastAsia="Times New Roman" w:hAnsi="Times New Roman"/>
          <w:b/>
          <w:sz w:val="23"/>
          <w:szCs w:val="23"/>
          <w:lang w:eastAsia="en-AU"/>
        </w:rPr>
        <w:t>—</w:t>
      </w:r>
      <w:r w:rsidRPr="00680F48">
        <w:rPr>
          <w:rFonts w:ascii="Times New Roman" w:eastAsia="Times New Roman" w:hAnsi="Times New Roman"/>
          <w:b/>
          <w:sz w:val="23"/>
          <w:szCs w:val="23"/>
          <w:lang w:eastAsia="en-AU"/>
        </w:rPr>
        <w:t>Plan No. 3</w:t>
      </w:r>
    </w:p>
    <w:p w:rsidR="00130B02" w:rsidRPr="00680F48" w:rsidRDefault="00130B02" w:rsidP="00130B02">
      <w:pPr>
        <w:spacing w:after="200" w:line="240" w:lineRule="auto"/>
        <w:rPr>
          <w:rFonts w:ascii="Times New Roman" w:eastAsia="Times New Roman" w:hAnsi="Times New Roman"/>
          <w:sz w:val="23"/>
          <w:szCs w:val="23"/>
          <w:lang w:eastAsia="en-AU"/>
        </w:rPr>
      </w:pPr>
      <w:r w:rsidRPr="00680F48">
        <w:rPr>
          <w:rFonts w:ascii="Times New Roman" w:eastAsia="Times New Roman" w:hAnsi="Times New Roman"/>
          <w:sz w:val="23"/>
          <w:szCs w:val="23"/>
          <w:lang w:eastAsia="en-AU"/>
        </w:rPr>
        <w:t>The area in and adjacent to Middleton bounded as follows: commencing at the point at which the prolongation in a straight line of the western boundary of Basham Beach Road intersects the high water mark of Encounter Bay, then north</w:t>
      </w:r>
      <w:r w:rsidRPr="00680F48">
        <w:rPr>
          <w:rFonts w:ascii="Times New Roman" w:eastAsia="Times New Roman" w:hAnsi="Times New Roman"/>
          <w:sz w:val="23"/>
          <w:szCs w:val="23"/>
          <w:lang w:eastAsia="en-AU"/>
        </w:rPr>
        <w:noBreakHyphen/>
        <w:t>westerly along that prolongation and boundary to the point at which it is intersected by the prolongation in a straight line of the southern boundary of Set Road, then north</w:t>
      </w:r>
      <w:r w:rsidRPr="00680F48">
        <w:rPr>
          <w:rFonts w:ascii="Times New Roman" w:eastAsia="Times New Roman" w:hAnsi="Times New Roman"/>
          <w:sz w:val="23"/>
          <w:szCs w:val="23"/>
          <w:lang w:eastAsia="en-AU"/>
        </w:rPr>
        <w:noBreakHyphen/>
        <w:t>easterly along that prolongation and boundary of Set Road to the western boundary of Seaview Avenue, then generally south</w:t>
      </w:r>
      <w:r w:rsidRPr="00680F48">
        <w:rPr>
          <w:rFonts w:ascii="Times New Roman" w:eastAsia="Times New Roman" w:hAnsi="Times New Roman"/>
          <w:sz w:val="23"/>
          <w:szCs w:val="23"/>
          <w:lang w:eastAsia="en-AU"/>
        </w:rPr>
        <w:noBreakHyphen/>
        <w:t>easterly and north</w:t>
      </w:r>
      <w:r w:rsidRPr="00680F48">
        <w:rPr>
          <w:rFonts w:ascii="Times New Roman" w:eastAsia="Times New Roman" w:hAnsi="Times New Roman"/>
          <w:sz w:val="23"/>
          <w:szCs w:val="23"/>
          <w:lang w:eastAsia="en-AU"/>
        </w:rPr>
        <w:noBreakHyphen/>
        <w:t>easterly along that boundary of Seaview Avenue to the point at which it meets the eastern boundary of Lot 101 DP 10654, then south</w:t>
      </w:r>
      <w:r w:rsidRPr="00680F48">
        <w:rPr>
          <w:rFonts w:ascii="Times New Roman" w:eastAsia="Times New Roman" w:hAnsi="Times New Roman"/>
          <w:sz w:val="23"/>
          <w:szCs w:val="23"/>
          <w:lang w:eastAsia="en-AU"/>
        </w:rPr>
        <w:noBreakHyphen/>
        <w:t>easterly along that boundary of Lot 101 to the south</w:t>
      </w:r>
      <w:r w:rsidRPr="00680F48">
        <w:rPr>
          <w:rFonts w:ascii="Times New Roman" w:eastAsia="Times New Roman" w:hAnsi="Times New Roman"/>
          <w:sz w:val="23"/>
          <w:szCs w:val="23"/>
          <w:lang w:eastAsia="en-AU"/>
        </w:rPr>
        <w:noBreakHyphen/>
        <w:t>western corner of Lot 19 DP 3145, then generally north</w:t>
      </w:r>
      <w:r w:rsidRPr="00680F48">
        <w:rPr>
          <w:rFonts w:ascii="Times New Roman" w:eastAsia="Times New Roman" w:hAnsi="Times New Roman"/>
          <w:sz w:val="23"/>
          <w:szCs w:val="23"/>
          <w:lang w:eastAsia="en-AU"/>
        </w:rPr>
        <w:noBreakHyphen/>
        <w:t>easterly along the south</w:t>
      </w:r>
      <w:r w:rsidRPr="00680F48">
        <w:rPr>
          <w:rFonts w:ascii="Times New Roman" w:eastAsia="Times New Roman" w:hAnsi="Times New Roman"/>
          <w:sz w:val="23"/>
          <w:szCs w:val="23"/>
          <w:lang w:eastAsia="en-AU"/>
        </w:rPr>
        <w:noBreakHyphen/>
        <w:t>eastern boundary of Lot 19, the south</w:t>
      </w:r>
      <w:r w:rsidRPr="00680F48">
        <w:rPr>
          <w:rFonts w:ascii="Times New Roman" w:eastAsia="Times New Roman" w:hAnsi="Times New Roman"/>
          <w:sz w:val="23"/>
          <w:szCs w:val="23"/>
          <w:lang w:eastAsia="en-AU"/>
        </w:rPr>
        <w:noBreakHyphen/>
        <w:t>eastern boundaries of the adjoining Lots and the northern boundary of Ocean Parade to the south</w:t>
      </w:r>
      <w:r w:rsidRPr="00680F48">
        <w:rPr>
          <w:rFonts w:ascii="Times New Roman" w:eastAsia="Times New Roman" w:hAnsi="Times New Roman"/>
          <w:sz w:val="23"/>
          <w:szCs w:val="23"/>
          <w:lang w:eastAsia="en-AU"/>
        </w:rPr>
        <w:noBreakHyphen/>
        <w:t>eastern corner of Lot 133 FP 166507, then generally north</w:t>
      </w:r>
      <w:r w:rsidRPr="00680F48">
        <w:rPr>
          <w:rFonts w:ascii="Times New Roman" w:eastAsia="Times New Roman" w:hAnsi="Times New Roman"/>
          <w:sz w:val="23"/>
          <w:szCs w:val="23"/>
          <w:lang w:eastAsia="en-AU"/>
        </w:rPr>
        <w:noBreakHyphen/>
        <w:t>easterly and northerly along the easternmost boundaries of Lot 133 and the adjoining Lots (including the eastern boundary of Dover Road) to the north</w:t>
      </w:r>
      <w:r w:rsidRPr="00680F48">
        <w:rPr>
          <w:rFonts w:ascii="Times New Roman" w:eastAsia="Times New Roman" w:hAnsi="Times New Roman"/>
          <w:sz w:val="23"/>
          <w:szCs w:val="23"/>
          <w:lang w:eastAsia="en-AU"/>
        </w:rPr>
        <w:noBreakHyphen/>
        <w:t>eastern corner of Lot 39 DP 3262, then in a straight line by the shortest route to the north</w:t>
      </w:r>
      <w:r w:rsidRPr="00680F48">
        <w:rPr>
          <w:rFonts w:ascii="Times New Roman" w:eastAsia="Times New Roman" w:hAnsi="Times New Roman"/>
          <w:sz w:val="23"/>
          <w:szCs w:val="23"/>
          <w:lang w:eastAsia="en-AU"/>
        </w:rPr>
        <w:noBreakHyphen/>
        <w:t>western corner of Lot 160 DP 9417, then easterly along the southern boundary of the Esplanade to the western boundary of Lot 3 DP 13398, then northerly, easterly and southerly along the western, northern and eastern boundaries of that Lot to its south</w:t>
      </w:r>
      <w:r w:rsidRPr="00680F48">
        <w:rPr>
          <w:rFonts w:ascii="Times New Roman" w:eastAsia="Times New Roman" w:hAnsi="Times New Roman"/>
          <w:sz w:val="23"/>
          <w:szCs w:val="23"/>
          <w:lang w:eastAsia="en-AU"/>
        </w:rPr>
        <w:noBreakHyphen/>
        <w:t>eastern corner, then along the northern boundary of Section 345, Hundred of Goolwa, (the southern boundary of Surfer's Parade) to the point at which it is intersected by the prolongation in a straight line of the eastern boundary of Lot 39 DP 6156, then along that prolongation to the point at which it intersects the high water mark of Encounter Bay, then generally westerly and south</w:t>
      </w:r>
      <w:r w:rsidRPr="00680F48">
        <w:rPr>
          <w:rFonts w:ascii="Times New Roman" w:eastAsia="Times New Roman" w:hAnsi="Times New Roman"/>
          <w:sz w:val="23"/>
          <w:szCs w:val="23"/>
          <w:lang w:eastAsia="en-AU"/>
        </w:rPr>
        <w:noBreakHyphen/>
        <w:t>westerly along the high water mark to the point of commencement.</w:t>
      </w:r>
    </w:p>
    <w:p w:rsidR="00130B02" w:rsidRDefault="00130B02" w:rsidP="00130B02">
      <w:pPr>
        <w:pStyle w:val="GG-body"/>
        <w:spacing w:line="240" w:lineRule="auto"/>
        <w:jc w:val="center"/>
        <w:rPr>
          <w:lang w:eastAsia="en-AU"/>
        </w:rPr>
      </w:pPr>
      <w:r>
        <w:rPr>
          <w:noProof/>
          <w:lang w:eastAsia="en-AU"/>
        </w:rPr>
        <w:lastRenderedPageBreak/>
        <w:drawing>
          <wp:inline distT="0" distB="0" distL="0" distR="0" wp14:anchorId="4086B557" wp14:editId="0AE7AB31">
            <wp:extent cx="5730875" cy="391985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875" cy="3919855"/>
                    </a:xfrm>
                    <a:prstGeom prst="rect">
                      <a:avLst/>
                    </a:prstGeom>
                    <a:noFill/>
                  </pic:spPr>
                </pic:pic>
              </a:graphicData>
            </a:graphic>
          </wp:inline>
        </w:drawing>
      </w:r>
    </w:p>
    <w:p w:rsidR="00130B02" w:rsidRDefault="00130B02" w:rsidP="00130B02">
      <w:pPr>
        <w:spacing w:after="0" w:line="240" w:lineRule="auto"/>
        <w:jc w:val="left"/>
        <w:rPr>
          <w:rFonts w:ascii="Times New Roman" w:eastAsia="Times New Roman" w:hAnsi="Times New Roman"/>
          <w:sz w:val="17"/>
          <w:szCs w:val="17"/>
          <w:lang w:eastAsia="en-AU"/>
        </w:rPr>
      </w:pPr>
    </w:p>
    <w:p w:rsidR="00130B02" w:rsidRDefault="00130B02" w:rsidP="00130B02">
      <w:pPr>
        <w:spacing w:after="0" w:line="240" w:lineRule="auto"/>
        <w:jc w:val="left"/>
        <w:rPr>
          <w:rFonts w:ascii="Times New Roman" w:eastAsia="Times New Roman" w:hAnsi="Times New Roman"/>
          <w:b/>
          <w:sz w:val="28"/>
          <w:szCs w:val="28"/>
          <w:lang w:eastAsia="en-AU"/>
        </w:rPr>
      </w:pPr>
      <w:r>
        <w:rPr>
          <w:rFonts w:ascii="Times New Roman" w:eastAsia="Times New Roman" w:hAnsi="Times New Roman"/>
          <w:b/>
          <w:sz w:val="28"/>
          <w:szCs w:val="28"/>
          <w:lang w:eastAsia="en-AU"/>
        </w:rPr>
        <w:br w:type="page"/>
      </w:r>
    </w:p>
    <w:p w:rsidR="00130B02" w:rsidRPr="00B070A2" w:rsidRDefault="00130B02" w:rsidP="00130B02">
      <w:pPr>
        <w:spacing w:after="200" w:line="276" w:lineRule="auto"/>
        <w:jc w:val="left"/>
        <w:rPr>
          <w:rFonts w:ascii="Times New Roman" w:eastAsia="Times New Roman" w:hAnsi="Times New Roman"/>
          <w:b/>
          <w:sz w:val="28"/>
          <w:szCs w:val="28"/>
          <w:lang w:eastAsia="en-AU"/>
        </w:rPr>
      </w:pPr>
      <w:r w:rsidRPr="00B070A2">
        <w:rPr>
          <w:rFonts w:ascii="Times New Roman" w:eastAsia="Times New Roman" w:hAnsi="Times New Roman"/>
          <w:b/>
          <w:sz w:val="28"/>
          <w:szCs w:val="28"/>
          <w:lang w:eastAsia="en-AU"/>
        </w:rPr>
        <w:lastRenderedPageBreak/>
        <w:t>Schedule 4</w:t>
      </w:r>
      <w:r>
        <w:rPr>
          <w:rFonts w:ascii="Times New Roman" w:eastAsia="Times New Roman" w:hAnsi="Times New Roman"/>
          <w:b/>
          <w:sz w:val="28"/>
          <w:szCs w:val="28"/>
          <w:lang w:eastAsia="en-AU"/>
        </w:rPr>
        <w:t>—</w:t>
      </w:r>
      <w:r w:rsidRPr="00B070A2">
        <w:rPr>
          <w:rFonts w:ascii="Times New Roman" w:eastAsia="Times New Roman" w:hAnsi="Times New Roman"/>
          <w:b/>
          <w:sz w:val="28"/>
          <w:szCs w:val="28"/>
          <w:lang w:eastAsia="en-AU"/>
        </w:rPr>
        <w:t>Goolwa Beach Area 1</w:t>
      </w:r>
    </w:p>
    <w:p w:rsidR="00130B02" w:rsidRPr="00B070A2" w:rsidRDefault="00130B02" w:rsidP="00130B02">
      <w:pPr>
        <w:spacing w:after="200" w:line="276" w:lineRule="auto"/>
        <w:jc w:val="left"/>
        <w:rPr>
          <w:rFonts w:ascii="Times New Roman" w:eastAsia="Times New Roman" w:hAnsi="Times New Roman"/>
          <w:b/>
          <w:sz w:val="23"/>
          <w:szCs w:val="23"/>
          <w:lang w:eastAsia="en-AU"/>
        </w:rPr>
      </w:pPr>
      <w:r w:rsidRPr="00B070A2">
        <w:rPr>
          <w:rFonts w:ascii="Times New Roman" w:eastAsia="Times New Roman" w:hAnsi="Times New Roman"/>
          <w:b/>
          <w:sz w:val="23"/>
          <w:szCs w:val="23"/>
          <w:lang w:eastAsia="en-AU"/>
        </w:rPr>
        <w:t>1</w:t>
      </w:r>
      <w:r>
        <w:rPr>
          <w:rFonts w:ascii="Times New Roman" w:eastAsia="Times New Roman" w:hAnsi="Times New Roman"/>
          <w:b/>
          <w:sz w:val="23"/>
          <w:szCs w:val="23"/>
          <w:lang w:eastAsia="en-AU"/>
        </w:rPr>
        <w:t>—</w:t>
      </w:r>
      <w:r w:rsidRPr="00B070A2">
        <w:rPr>
          <w:rFonts w:ascii="Times New Roman" w:eastAsia="Times New Roman" w:hAnsi="Times New Roman"/>
          <w:b/>
          <w:sz w:val="23"/>
          <w:szCs w:val="23"/>
          <w:lang w:eastAsia="en-AU"/>
        </w:rPr>
        <w:t>Extent of prohibition</w:t>
      </w:r>
    </w:p>
    <w:p w:rsidR="00130B02" w:rsidRPr="00B070A2" w:rsidRDefault="00130B02" w:rsidP="00130B02">
      <w:pPr>
        <w:tabs>
          <w:tab w:val="left" w:pos="284"/>
        </w:tabs>
        <w:spacing w:after="200" w:line="276" w:lineRule="auto"/>
        <w:jc w:val="left"/>
        <w:rPr>
          <w:rFonts w:ascii="Times New Roman" w:eastAsia="Times New Roman" w:hAnsi="Times New Roman"/>
          <w:sz w:val="23"/>
          <w:szCs w:val="23"/>
          <w:lang w:eastAsia="en-AU"/>
        </w:rPr>
      </w:pPr>
      <w:r w:rsidRPr="00B070A2">
        <w:rPr>
          <w:rFonts w:ascii="Times New Roman" w:eastAsia="Times New Roman" w:hAnsi="Times New Roman"/>
          <w:sz w:val="23"/>
          <w:szCs w:val="23"/>
          <w:lang w:eastAsia="en-AU"/>
        </w:rPr>
        <w:t>The consumption of liquor is prohibited and the possession of liquor is prohibited.</w:t>
      </w:r>
    </w:p>
    <w:p w:rsidR="00130B02" w:rsidRPr="00B070A2" w:rsidRDefault="00130B02" w:rsidP="00130B02">
      <w:pPr>
        <w:tabs>
          <w:tab w:val="left" w:pos="284"/>
        </w:tabs>
        <w:spacing w:after="200" w:line="276" w:lineRule="auto"/>
        <w:jc w:val="left"/>
        <w:rPr>
          <w:rFonts w:ascii="Times New Roman" w:eastAsia="Times New Roman" w:hAnsi="Times New Roman"/>
          <w:b/>
          <w:sz w:val="23"/>
          <w:szCs w:val="23"/>
          <w:lang w:eastAsia="en-AU"/>
        </w:rPr>
      </w:pPr>
      <w:r w:rsidRPr="00B070A2">
        <w:rPr>
          <w:rFonts w:ascii="Times New Roman" w:eastAsia="Times New Roman" w:hAnsi="Times New Roman"/>
          <w:b/>
          <w:sz w:val="23"/>
          <w:szCs w:val="23"/>
          <w:lang w:eastAsia="en-AU"/>
        </w:rPr>
        <w:t>2</w:t>
      </w:r>
      <w:r>
        <w:rPr>
          <w:rFonts w:ascii="Times New Roman" w:eastAsia="Times New Roman" w:hAnsi="Times New Roman"/>
          <w:b/>
          <w:sz w:val="23"/>
          <w:szCs w:val="23"/>
          <w:lang w:eastAsia="en-AU"/>
        </w:rPr>
        <w:t>—</w:t>
      </w:r>
      <w:r w:rsidRPr="00B070A2">
        <w:rPr>
          <w:rFonts w:ascii="Times New Roman" w:eastAsia="Times New Roman" w:hAnsi="Times New Roman"/>
          <w:b/>
          <w:sz w:val="23"/>
          <w:szCs w:val="23"/>
          <w:lang w:eastAsia="en-AU"/>
        </w:rPr>
        <w:t>Period of prohibition</w:t>
      </w:r>
    </w:p>
    <w:p w:rsidR="00130B02" w:rsidRPr="0053763A" w:rsidRDefault="00130B02" w:rsidP="00130B02">
      <w:pPr>
        <w:tabs>
          <w:tab w:val="left" w:pos="284"/>
        </w:tabs>
        <w:spacing w:after="200" w:line="276" w:lineRule="auto"/>
        <w:jc w:val="left"/>
        <w:rPr>
          <w:rFonts w:ascii="Times New Roman" w:eastAsia="Times New Roman" w:hAnsi="Times New Roman"/>
          <w:sz w:val="23"/>
          <w:szCs w:val="23"/>
          <w:lang w:eastAsia="en-AU"/>
        </w:rPr>
      </w:pPr>
      <w:r w:rsidRPr="00B070A2">
        <w:rPr>
          <w:rFonts w:ascii="Times New Roman" w:eastAsia="Times New Roman" w:hAnsi="Times New Roman"/>
          <w:sz w:val="23"/>
          <w:szCs w:val="23"/>
          <w:lang w:eastAsia="en-AU"/>
        </w:rPr>
        <w:t>From 6.00pm on 30 December 2021 – 6.00am on 2 January 2022</w:t>
      </w:r>
      <w:r>
        <w:rPr>
          <w:rFonts w:ascii="Times New Roman" w:eastAsia="Times New Roman" w:hAnsi="Times New Roman"/>
          <w:sz w:val="23"/>
          <w:szCs w:val="23"/>
          <w:lang w:eastAsia="en-AU"/>
        </w:rPr>
        <w:t>.</w:t>
      </w:r>
    </w:p>
    <w:p w:rsidR="00130B02" w:rsidRPr="00B070A2" w:rsidRDefault="00130B02" w:rsidP="00130B02">
      <w:pPr>
        <w:tabs>
          <w:tab w:val="left" w:pos="284"/>
        </w:tabs>
        <w:spacing w:after="200" w:line="276" w:lineRule="auto"/>
        <w:jc w:val="left"/>
        <w:rPr>
          <w:rFonts w:ascii="Times New Roman" w:eastAsia="Times New Roman" w:hAnsi="Times New Roman"/>
          <w:b/>
          <w:sz w:val="23"/>
          <w:szCs w:val="23"/>
          <w:lang w:eastAsia="en-AU"/>
        </w:rPr>
      </w:pPr>
      <w:r w:rsidRPr="00B070A2">
        <w:rPr>
          <w:rFonts w:ascii="Times New Roman" w:eastAsia="Times New Roman" w:hAnsi="Times New Roman"/>
          <w:b/>
          <w:sz w:val="23"/>
          <w:szCs w:val="23"/>
          <w:lang w:eastAsia="en-AU"/>
        </w:rPr>
        <w:t>3</w:t>
      </w:r>
      <w:r>
        <w:rPr>
          <w:rFonts w:ascii="Times New Roman" w:eastAsia="Times New Roman" w:hAnsi="Times New Roman"/>
          <w:b/>
          <w:sz w:val="23"/>
          <w:szCs w:val="23"/>
          <w:lang w:eastAsia="en-AU"/>
        </w:rPr>
        <w:t>—</w:t>
      </w:r>
      <w:r w:rsidRPr="00B070A2">
        <w:rPr>
          <w:rFonts w:ascii="Times New Roman" w:eastAsia="Times New Roman" w:hAnsi="Times New Roman"/>
          <w:b/>
          <w:sz w:val="23"/>
          <w:szCs w:val="23"/>
          <w:lang w:eastAsia="en-AU"/>
        </w:rPr>
        <w:t>Description of area</w:t>
      </w:r>
    </w:p>
    <w:p w:rsidR="00130B02" w:rsidRPr="00CF6E3C" w:rsidRDefault="00130B02" w:rsidP="00130B02">
      <w:pPr>
        <w:spacing w:after="200" w:line="276" w:lineRule="auto"/>
        <w:jc w:val="left"/>
        <w:rPr>
          <w:rFonts w:ascii="Times New Roman" w:eastAsia="Times New Roman" w:hAnsi="Times New Roman"/>
          <w:b/>
          <w:sz w:val="23"/>
          <w:szCs w:val="23"/>
          <w:lang w:eastAsia="en-AU"/>
        </w:rPr>
      </w:pPr>
      <w:r w:rsidRPr="00B070A2">
        <w:rPr>
          <w:rFonts w:ascii="Times New Roman" w:eastAsia="Times New Roman" w:hAnsi="Times New Roman"/>
          <w:b/>
          <w:sz w:val="23"/>
          <w:szCs w:val="23"/>
          <w:lang w:eastAsia="en-AU"/>
        </w:rPr>
        <w:t>Goolwa Beach Area 1</w:t>
      </w:r>
      <w:r>
        <w:rPr>
          <w:rFonts w:ascii="Times New Roman" w:eastAsia="Times New Roman" w:hAnsi="Times New Roman"/>
          <w:b/>
          <w:sz w:val="23"/>
          <w:szCs w:val="23"/>
          <w:lang w:eastAsia="en-AU"/>
        </w:rPr>
        <w:t>—</w:t>
      </w:r>
      <w:r w:rsidRPr="00B070A2">
        <w:rPr>
          <w:rFonts w:ascii="Times New Roman" w:eastAsia="Times New Roman" w:hAnsi="Times New Roman"/>
          <w:b/>
          <w:sz w:val="23"/>
          <w:szCs w:val="23"/>
          <w:lang w:eastAsia="en-AU"/>
        </w:rPr>
        <w:t>Plan No. 4</w:t>
      </w:r>
    </w:p>
    <w:p w:rsidR="00130B02" w:rsidRPr="00EE56E2" w:rsidRDefault="00130B02" w:rsidP="00130B02">
      <w:pPr>
        <w:spacing w:after="200" w:line="240" w:lineRule="auto"/>
        <w:rPr>
          <w:rFonts w:ascii="Times New Roman" w:eastAsia="Times New Roman" w:hAnsi="Times New Roman"/>
          <w:sz w:val="23"/>
          <w:szCs w:val="23"/>
          <w:lang w:eastAsia="en-AU"/>
        </w:rPr>
      </w:pPr>
      <w:r w:rsidRPr="00B070A2">
        <w:rPr>
          <w:rFonts w:ascii="Times New Roman" w:eastAsia="Times New Roman" w:hAnsi="Times New Roman"/>
          <w:sz w:val="23"/>
          <w:szCs w:val="23"/>
          <w:lang w:eastAsia="en-AU"/>
        </w:rPr>
        <w:t>The area in Goolwa Beach and Goolwa South (generally known as the Goolwa Beach car park) bounded as follows: commencing at the north</w:t>
      </w:r>
      <w:r w:rsidRPr="00B070A2">
        <w:rPr>
          <w:rFonts w:ascii="Times New Roman" w:eastAsia="Times New Roman" w:hAnsi="Times New Roman"/>
          <w:sz w:val="23"/>
          <w:szCs w:val="23"/>
          <w:lang w:eastAsia="en-AU"/>
        </w:rPr>
        <w:noBreakHyphen/>
        <w:t>eastern corner of Section 279, Hundred of Goolwa, then westerly and southerly along the northern and western boundaries of Section 279 to the northern boundary of Section 367, Hundred of Goolwa, then southerly and easterly along the western and southern boundaries of Section 367 to the south</w:t>
      </w:r>
      <w:r w:rsidRPr="00B070A2">
        <w:rPr>
          <w:rFonts w:ascii="Times New Roman" w:eastAsia="Times New Roman" w:hAnsi="Times New Roman"/>
          <w:sz w:val="23"/>
          <w:szCs w:val="23"/>
          <w:lang w:eastAsia="en-AU"/>
        </w:rPr>
        <w:noBreakHyphen/>
        <w:t>eastern corner of the Section, then in a straight line by the shortest route to the south</w:t>
      </w:r>
      <w:r w:rsidRPr="00B070A2">
        <w:rPr>
          <w:rFonts w:ascii="Times New Roman" w:eastAsia="Times New Roman" w:hAnsi="Times New Roman"/>
          <w:sz w:val="23"/>
          <w:szCs w:val="23"/>
          <w:lang w:eastAsia="en-AU"/>
        </w:rPr>
        <w:noBreakHyphen/>
        <w:t>western corner of Section 368, Hundred of Goolwa, then easterly and northerly along the southern and eastern boundaries of Section 368 to the southern boundary of Section 278, Hundred of Goolwa, then northerly and westerly along the eastern and northern boundaries of Section 278 to the north</w:t>
      </w:r>
      <w:r w:rsidRPr="00B070A2">
        <w:rPr>
          <w:rFonts w:ascii="Times New Roman" w:eastAsia="Times New Roman" w:hAnsi="Times New Roman"/>
          <w:sz w:val="23"/>
          <w:szCs w:val="23"/>
          <w:lang w:eastAsia="en-AU"/>
        </w:rPr>
        <w:noBreakHyphen/>
        <w:t>western corner of the Section, then in a straight line by the shortest route across Goolwa Beach Road to the point of commencement.</w:t>
      </w:r>
    </w:p>
    <w:p w:rsidR="00130B02" w:rsidRDefault="00130B02" w:rsidP="00130B02">
      <w:pPr>
        <w:pStyle w:val="GG-body"/>
        <w:spacing w:line="240" w:lineRule="auto"/>
        <w:jc w:val="center"/>
        <w:rPr>
          <w:lang w:eastAsia="en-AU"/>
        </w:rPr>
      </w:pPr>
      <w:r w:rsidRPr="00057255">
        <w:rPr>
          <w:noProof/>
          <w:lang w:eastAsia="en-AU"/>
        </w:rPr>
        <w:lastRenderedPageBreak/>
        <w:drawing>
          <wp:inline distT="0" distB="0" distL="0" distR="0" wp14:anchorId="749F2F72" wp14:editId="19EC0E8B">
            <wp:extent cx="5168062" cy="7553325"/>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14430" cy="7621093"/>
                    </a:xfrm>
                    <a:prstGeom prst="rect">
                      <a:avLst/>
                    </a:prstGeom>
                  </pic:spPr>
                </pic:pic>
              </a:graphicData>
            </a:graphic>
          </wp:inline>
        </w:drawing>
      </w:r>
    </w:p>
    <w:p w:rsidR="00130B02" w:rsidRDefault="00130B02" w:rsidP="00130B02">
      <w:pPr>
        <w:spacing w:after="0" w:line="240" w:lineRule="auto"/>
        <w:jc w:val="left"/>
        <w:rPr>
          <w:rFonts w:ascii="Times New Roman" w:eastAsia="Times New Roman" w:hAnsi="Times New Roman"/>
          <w:b/>
          <w:sz w:val="28"/>
          <w:szCs w:val="28"/>
          <w:lang w:eastAsia="en-AU"/>
        </w:rPr>
      </w:pPr>
      <w:r>
        <w:rPr>
          <w:rFonts w:ascii="Times New Roman" w:eastAsia="Times New Roman" w:hAnsi="Times New Roman"/>
          <w:b/>
          <w:sz w:val="28"/>
          <w:szCs w:val="28"/>
          <w:lang w:eastAsia="en-AU"/>
        </w:rPr>
        <w:br w:type="page"/>
      </w:r>
    </w:p>
    <w:p w:rsidR="00130B02" w:rsidRPr="00B070A2" w:rsidRDefault="00130B02" w:rsidP="00130B02">
      <w:pPr>
        <w:spacing w:after="200" w:line="276" w:lineRule="auto"/>
        <w:jc w:val="left"/>
        <w:rPr>
          <w:rFonts w:ascii="Times New Roman" w:eastAsia="Times New Roman" w:hAnsi="Times New Roman"/>
          <w:b/>
          <w:sz w:val="28"/>
          <w:szCs w:val="28"/>
          <w:lang w:eastAsia="en-AU"/>
        </w:rPr>
      </w:pPr>
      <w:r w:rsidRPr="00B070A2">
        <w:rPr>
          <w:rFonts w:ascii="Times New Roman" w:eastAsia="Times New Roman" w:hAnsi="Times New Roman"/>
          <w:b/>
          <w:sz w:val="28"/>
          <w:szCs w:val="28"/>
          <w:lang w:eastAsia="en-AU"/>
        </w:rPr>
        <w:lastRenderedPageBreak/>
        <w:t>Schedule 5</w:t>
      </w:r>
      <w:r>
        <w:rPr>
          <w:rFonts w:ascii="Times New Roman" w:eastAsia="Times New Roman" w:hAnsi="Times New Roman"/>
          <w:b/>
          <w:sz w:val="28"/>
          <w:szCs w:val="28"/>
          <w:lang w:eastAsia="en-AU"/>
        </w:rPr>
        <w:t>—</w:t>
      </w:r>
      <w:r w:rsidRPr="00B070A2">
        <w:rPr>
          <w:rFonts w:ascii="Times New Roman" w:eastAsia="Times New Roman" w:hAnsi="Times New Roman"/>
          <w:b/>
          <w:sz w:val="28"/>
          <w:szCs w:val="28"/>
          <w:lang w:eastAsia="en-AU"/>
        </w:rPr>
        <w:t>Goolwa Wharf Precinct</w:t>
      </w:r>
    </w:p>
    <w:p w:rsidR="00130B02" w:rsidRPr="00B070A2" w:rsidRDefault="00130B02" w:rsidP="00130B02">
      <w:pPr>
        <w:spacing w:after="200" w:line="276" w:lineRule="auto"/>
        <w:jc w:val="left"/>
        <w:rPr>
          <w:rFonts w:ascii="Times New Roman" w:eastAsia="Times New Roman" w:hAnsi="Times New Roman"/>
          <w:b/>
          <w:sz w:val="23"/>
          <w:szCs w:val="23"/>
          <w:lang w:eastAsia="en-AU"/>
        </w:rPr>
      </w:pPr>
      <w:r w:rsidRPr="00B070A2">
        <w:rPr>
          <w:rFonts w:ascii="Times New Roman" w:eastAsia="Times New Roman" w:hAnsi="Times New Roman"/>
          <w:b/>
          <w:sz w:val="23"/>
          <w:szCs w:val="23"/>
          <w:lang w:eastAsia="en-AU"/>
        </w:rPr>
        <w:t>1</w:t>
      </w:r>
      <w:r>
        <w:rPr>
          <w:rFonts w:ascii="Times New Roman" w:eastAsia="Times New Roman" w:hAnsi="Times New Roman"/>
          <w:b/>
          <w:sz w:val="23"/>
          <w:szCs w:val="23"/>
          <w:lang w:eastAsia="en-AU"/>
        </w:rPr>
        <w:t>—</w:t>
      </w:r>
      <w:r w:rsidRPr="00B070A2">
        <w:rPr>
          <w:rFonts w:ascii="Times New Roman" w:eastAsia="Times New Roman" w:hAnsi="Times New Roman"/>
          <w:b/>
          <w:sz w:val="23"/>
          <w:szCs w:val="23"/>
          <w:lang w:eastAsia="en-AU"/>
        </w:rPr>
        <w:t>Extent of prohibition</w:t>
      </w:r>
    </w:p>
    <w:p w:rsidR="00130B02" w:rsidRPr="00B070A2" w:rsidRDefault="00130B02" w:rsidP="00130B02">
      <w:pPr>
        <w:spacing w:after="200" w:line="276" w:lineRule="auto"/>
        <w:jc w:val="left"/>
        <w:rPr>
          <w:rFonts w:ascii="Times New Roman" w:eastAsia="Times New Roman" w:hAnsi="Times New Roman"/>
          <w:sz w:val="23"/>
          <w:szCs w:val="23"/>
          <w:lang w:eastAsia="en-AU"/>
        </w:rPr>
      </w:pPr>
      <w:r w:rsidRPr="00B070A2">
        <w:rPr>
          <w:rFonts w:ascii="Times New Roman" w:eastAsia="Times New Roman" w:hAnsi="Times New Roman"/>
          <w:sz w:val="23"/>
          <w:szCs w:val="23"/>
          <w:lang w:eastAsia="en-AU"/>
        </w:rPr>
        <w:t>The consumption of liquor is prohibited and the possession of liquor is prohibited.</w:t>
      </w:r>
    </w:p>
    <w:p w:rsidR="00130B02" w:rsidRPr="00B070A2" w:rsidRDefault="00130B02" w:rsidP="00130B02">
      <w:pPr>
        <w:tabs>
          <w:tab w:val="left" w:pos="284"/>
        </w:tabs>
        <w:spacing w:after="200" w:line="276" w:lineRule="auto"/>
        <w:jc w:val="left"/>
        <w:rPr>
          <w:rFonts w:ascii="Times New Roman" w:eastAsia="Times New Roman" w:hAnsi="Times New Roman"/>
          <w:b/>
          <w:sz w:val="23"/>
          <w:szCs w:val="23"/>
          <w:lang w:eastAsia="en-AU"/>
        </w:rPr>
      </w:pPr>
      <w:r w:rsidRPr="00B070A2">
        <w:rPr>
          <w:rFonts w:ascii="Times New Roman" w:eastAsia="Times New Roman" w:hAnsi="Times New Roman"/>
          <w:b/>
          <w:sz w:val="23"/>
          <w:szCs w:val="23"/>
          <w:lang w:eastAsia="en-AU"/>
        </w:rPr>
        <w:t>2</w:t>
      </w:r>
      <w:r>
        <w:rPr>
          <w:rFonts w:ascii="Times New Roman" w:eastAsia="Times New Roman" w:hAnsi="Times New Roman"/>
          <w:b/>
          <w:sz w:val="23"/>
          <w:szCs w:val="23"/>
          <w:lang w:eastAsia="en-AU"/>
        </w:rPr>
        <w:t>—</w:t>
      </w:r>
      <w:r w:rsidRPr="00B070A2">
        <w:rPr>
          <w:rFonts w:ascii="Times New Roman" w:eastAsia="Times New Roman" w:hAnsi="Times New Roman"/>
          <w:b/>
          <w:sz w:val="23"/>
          <w:szCs w:val="23"/>
          <w:lang w:eastAsia="en-AU"/>
        </w:rPr>
        <w:t>Period of prohibition</w:t>
      </w:r>
    </w:p>
    <w:p w:rsidR="00130B02" w:rsidRPr="00B070A2" w:rsidRDefault="00130B02" w:rsidP="00130B02">
      <w:pPr>
        <w:tabs>
          <w:tab w:val="left" w:pos="284"/>
        </w:tabs>
        <w:spacing w:after="200" w:line="276" w:lineRule="auto"/>
        <w:jc w:val="left"/>
        <w:rPr>
          <w:rFonts w:ascii="Times New Roman" w:eastAsia="Times New Roman" w:hAnsi="Times New Roman"/>
          <w:sz w:val="23"/>
          <w:szCs w:val="23"/>
          <w:lang w:eastAsia="en-AU"/>
        </w:rPr>
      </w:pPr>
      <w:r w:rsidRPr="00B070A2">
        <w:rPr>
          <w:rFonts w:ascii="Times New Roman" w:eastAsia="Times New Roman" w:hAnsi="Times New Roman"/>
          <w:sz w:val="23"/>
          <w:szCs w:val="23"/>
          <w:lang w:eastAsia="en-AU"/>
        </w:rPr>
        <w:t>From 6.00pm on 30 December 2021 – 6.00am on 2 January 2022</w:t>
      </w:r>
      <w:r>
        <w:rPr>
          <w:rFonts w:ascii="Times New Roman" w:eastAsia="Times New Roman" w:hAnsi="Times New Roman"/>
          <w:sz w:val="23"/>
          <w:szCs w:val="23"/>
          <w:lang w:eastAsia="en-AU"/>
        </w:rPr>
        <w:t>.</w:t>
      </w:r>
    </w:p>
    <w:p w:rsidR="00130B02" w:rsidRPr="00B070A2" w:rsidRDefault="00130B02" w:rsidP="00130B02">
      <w:pPr>
        <w:tabs>
          <w:tab w:val="left" w:pos="284"/>
        </w:tabs>
        <w:spacing w:after="200" w:line="276" w:lineRule="auto"/>
        <w:jc w:val="left"/>
        <w:rPr>
          <w:rFonts w:ascii="Times New Roman" w:eastAsia="Times New Roman" w:hAnsi="Times New Roman"/>
          <w:b/>
          <w:sz w:val="23"/>
          <w:szCs w:val="23"/>
          <w:lang w:eastAsia="en-AU"/>
        </w:rPr>
      </w:pPr>
      <w:r w:rsidRPr="00B070A2">
        <w:rPr>
          <w:rFonts w:ascii="Times New Roman" w:eastAsia="Times New Roman" w:hAnsi="Times New Roman"/>
          <w:b/>
          <w:sz w:val="23"/>
          <w:szCs w:val="23"/>
          <w:lang w:eastAsia="en-AU"/>
        </w:rPr>
        <w:t>3</w:t>
      </w:r>
      <w:r>
        <w:rPr>
          <w:rFonts w:ascii="Times New Roman" w:eastAsia="Times New Roman" w:hAnsi="Times New Roman"/>
          <w:b/>
          <w:sz w:val="23"/>
          <w:szCs w:val="23"/>
          <w:lang w:eastAsia="en-AU"/>
        </w:rPr>
        <w:t>—</w:t>
      </w:r>
      <w:r w:rsidRPr="00B070A2">
        <w:rPr>
          <w:rFonts w:ascii="Times New Roman" w:eastAsia="Times New Roman" w:hAnsi="Times New Roman"/>
          <w:b/>
          <w:sz w:val="23"/>
          <w:szCs w:val="23"/>
          <w:lang w:eastAsia="en-AU"/>
        </w:rPr>
        <w:t>Description of area</w:t>
      </w:r>
    </w:p>
    <w:p w:rsidR="00130B02" w:rsidRPr="00B070A2" w:rsidRDefault="00130B02" w:rsidP="00130B02">
      <w:pPr>
        <w:spacing w:after="200" w:line="276" w:lineRule="auto"/>
        <w:jc w:val="left"/>
        <w:rPr>
          <w:rFonts w:ascii="Times New Roman" w:eastAsia="Times New Roman" w:hAnsi="Times New Roman"/>
          <w:b/>
          <w:sz w:val="23"/>
          <w:szCs w:val="23"/>
          <w:lang w:eastAsia="en-AU"/>
        </w:rPr>
      </w:pPr>
      <w:r w:rsidRPr="00B070A2">
        <w:rPr>
          <w:rFonts w:ascii="Times New Roman" w:eastAsia="Times New Roman" w:hAnsi="Times New Roman"/>
          <w:b/>
          <w:sz w:val="23"/>
          <w:szCs w:val="23"/>
          <w:lang w:eastAsia="en-AU"/>
        </w:rPr>
        <w:t>Goolwa Wharf Precinct</w:t>
      </w:r>
    </w:p>
    <w:p w:rsidR="00130B02" w:rsidRPr="00B070A2" w:rsidRDefault="00130B02" w:rsidP="00130B02">
      <w:pPr>
        <w:spacing w:after="200" w:line="240" w:lineRule="auto"/>
        <w:rPr>
          <w:rFonts w:ascii="Times New Roman" w:eastAsia="Times New Roman" w:hAnsi="Times New Roman"/>
          <w:sz w:val="23"/>
          <w:szCs w:val="23"/>
          <w:lang w:eastAsia="en-AU"/>
        </w:rPr>
      </w:pPr>
      <w:r w:rsidRPr="00B070A2">
        <w:rPr>
          <w:rFonts w:ascii="Times New Roman" w:eastAsia="Times New Roman" w:hAnsi="Times New Roman"/>
          <w:sz w:val="23"/>
          <w:szCs w:val="23"/>
          <w:lang w:eastAsia="en-AU"/>
        </w:rPr>
        <w:t>The area in Goolwa Central and Port of Goolwa (generally known as the Wharf Precinct) and to be known as Goolwa Area 3 bounded as follows:</w:t>
      </w:r>
    </w:p>
    <w:p w:rsidR="00130B02" w:rsidRPr="00B070A2" w:rsidRDefault="00130B02" w:rsidP="00130B02">
      <w:pPr>
        <w:spacing w:after="200" w:line="240" w:lineRule="auto"/>
        <w:rPr>
          <w:rFonts w:ascii="Times New Roman" w:eastAsia="Times New Roman" w:hAnsi="Times New Roman"/>
          <w:sz w:val="23"/>
          <w:szCs w:val="23"/>
          <w:lang w:eastAsia="en-AU"/>
        </w:rPr>
      </w:pPr>
      <w:r w:rsidRPr="00B070A2">
        <w:rPr>
          <w:rFonts w:ascii="Times New Roman" w:eastAsia="Times New Roman" w:hAnsi="Times New Roman"/>
          <w:sz w:val="23"/>
          <w:szCs w:val="23"/>
          <w:lang w:eastAsia="en-AU"/>
        </w:rPr>
        <w:t xml:space="preserve">Commencing at the north eastern corner of Section 315, Hundred of Goolwa, and then due west to the eastern side of the railway reserve. Then follow the easterly side of the railway reserve until reaching the south western underside of the Goolwa and Hindmarsh Island Bridge. Head in a north westerly direction, along the south western side of Brooking Street, until the round-about intersection of Brooking Street, Liverpool Road and Goolwa Terrace. Follow the south eastern side of Goolwa Terrace until the intersection of Cadell Street and Goolwa Terrace. Traversing the north eastern side of Cadell Street, past the Cadell Street and Cutting Road </w:t>
      </w:r>
      <w:bookmarkStart w:id="82" w:name="OLE_LINK1"/>
      <w:r w:rsidRPr="00B070A2">
        <w:rPr>
          <w:rFonts w:ascii="Times New Roman" w:eastAsia="Times New Roman" w:hAnsi="Times New Roman"/>
          <w:sz w:val="23"/>
          <w:szCs w:val="23"/>
          <w:lang w:eastAsia="en-AU"/>
        </w:rPr>
        <w:t>intersection</w:t>
      </w:r>
      <w:bookmarkEnd w:id="82"/>
      <w:r w:rsidRPr="00B070A2">
        <w:rPr>
          <w:rFonts w:ascii="Times New Roman" w:eastAsia="Times New Roman" w:hAnsi="Times New Roman"/>
          <w:sz w:val="23"/>
          <w:szCs w:val="23"/>
          <w:lang w:eastAsia="en-AU"/>
        </w:rPr>
        <w:t>. Continue along Cadell Street and enter Hayes Street then to the Hayes Street and Porter Street intersection. Head south east to the Porter Street and Admiral Terrace intersection. Then head south west and continue along the eastern side of Admiral Terrace past the intersections of Goyder Street, Hutchinson Street, Sidmouth Street until the Admiral Terrace and Baronet Street intersection. Head east south east and traverse around the jetty and return to the eastern side of the boardwalk. Head north east along the eastern side of the boardwalk then a straight line, by the shortest route, to the southern side of the jetty. Then in a straight line by the shortest route to the south eastern side of the Goolwa Wharf. Traverse the south eastern side of the Goolwa Wharf under the Goolwa and Hindmarsh Island Bridge along the River Murray bank to the south eastern side of Section 315 returning to the point of commencement.</w:t>
      </w:r>
    </w:p>
    <w:p w:rsidR="00130B02" w:rsidRDefault="00130B02" w:rsidP="00130B02">
      <w:pPr>
        <w:spacing w:after="0" w:line="240" w:lineRule="auto"/>
        <w:jc w:val="left"/>
        <w:rPr>
          <w:rFonts w:ascii="Times New Roman" w:eastAsia="Times New Roman" w:hAnsi="Times New Roman"/>
          <w:sz w:val="17"/>
          <w:szCs w:val="17"/>
          <w:lang w:eastAsia="en-AU"/>
        </w:rPr>
      </w:pPr>
      <w:r>
        <w:rPr>
          <w:lang w:eastAsia="en-AU"/>
        </w:rPr>
        <w:br w:type="page"/>
      </w:r>
    </w:p>
    <w:p w:rsidR="00130B02" w:rsidRDefault="00130B02" w:rsidP="00130B02">
      <w:pPr>
        <w:pStyle w:val="GG-body"/>
        <w:spacing w:line="240" w:lineRule="auto"/>
        <w:jc w:val="center"/>
        <w:rPr>
          <w:lang w:eastAsia="en-AU"/>
        </w:rPr>
      </w:pPr>
      <w:r>
        <w:rPr>
          <w:noProof/>
          <w:lang w:eastAsia="en-AU"/>
        </w:rPr>
        <w:lastRenderedPageBreak/>
        <w:drawing>
          <wp:inline distT="0" distB="0" distL="0" distR="0" wp14:anchorId="0FF6B427" wp14:editId="066A04DA">
            <wp:extent cx="5059076" cy="7394713"/>
            <wp:effectExtent l="0" t="0" r="8255" b="0"/>
            <wp:docPr id="14" name="Picture 14" descr="G:\Governance\PA Organisation &amp; Culture\Personal Assistant\Liquor Licensing\Dry Area\Governanace officer folder\Dry Areas\New Years Eve - Annually\NEW MAPS FROM PHILLIP B - JULY 2017\Goolwa_Area_3_MR1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overnance\PA Organisation &amp; Culture\Personal Assistant\Liquor Licensing\Dry Area\Governanace officer folder\Dry Areas\New Years Eve - Annually\NEW MAPS FROM PHILLIP B - JULY 2017\Goolwa_Area_3_MR1619.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62667" cy="7399962"/>
                    </a:xfrm>
                    <a:prstGeom prst="rect">
                      <a:avLst/>
                    </a:prstGeom>
                    <a:noFill/>
                    <a:ln>
                      <a:noFill/>
                    </a:ln>
                  </pic:spPr>
                </pic:pic>
              </a:graphicData>
            </a:graphic>
          </wp:inline>
        </w:drawing>
      </w:r>
    </w:p>
    <w:p w:rsidR="00130B02" w:rsidRDefault="00130B02" w:rsidP="00130B02">
      <w:pPr>
        <w:spacing w:after="0" w:line="240" w:lineRule="auto"/>
        <w:jc w:val="left"/>
        <w:rPr>
          <w:rFonts w:ascii="Times New Roman" w:eastAsia="Times New Roman" w:hAnsi="Times New Roman"/>
          <w:sz w:val="17"/>
          <w:szCs w:val="17"/>
          <w:lang w:eastAsia="en-AU"/>
        </w:rPr>
      </w:pPr>
      <w:r>
        <w:rPr>
          <w:lang w:eastAsia="en-AU"/>
        </w:rPr>
        <w:br w:type="page"/>
      </w:r>
    </w:p>
    <w:p w:rsidR="00130B02" w:rsidRPr="00B070A2" w:rsidRDefault="00130B02" w:rsidP="00130B02">
      <w:pPr>
        <w:spacing w:after="200" w:line="276" w:lineRule="auto"/>
        <w:jc w:val="left"/>
        <w:rPr>
          <w:rFonts w:ascii="Times New Roman" w:eastAsia="Times New Roman" w:hAnsi="Times New Roman"/>
          <w:b/>
          <w:sz w:val="28"/>
          <w:szCs w:val="28"/>
          <w:lang w:eastAsia="en-AU"/>
        </w:rPr>
      </w:pPr>
      <w:r w:rsidRPr="00B070A2">
        <w:rPr>
          <w:rFonts w:ascii="Times New Roman" w:eastAsia="Times New Roman" w:hAnsi="Times New Roman"/>
          <w:b/>
          <w:sz w:val="28"/>
          <w:szCs w:val="28"/>
          <w:lang w:eastAsia="en-AU"/>
        </w:rPr>
        <w:lastRenderedPageBreak/>
        <w:t>Schedule 6</w:t>
      </w:r>
      <w:r>
        <w:rPr>
          <w:rFonts w:ascii="Times New Roman" w:eastAsia="Times New Roman" w:hAnsi="Times New Roman"/>
          <w:b/>
          <w:sz w:val="28"/>
          <w:szCs w:val="28"/>
          <w:lang w:eastAsia="en-AU"/>
        </w:rPr>
        <w:t>—</w:t>
      </w:r>
      <w:r w:rsidRPr="00B070A2">
        <w:rPr>
          <w:rFonts w:ascii="Times New Roman" w:eastAsia="Times New Roman" w:hAnsi="Times New Roman"/>
          <w:b/>
          <w:sz w:val="28"/>
          <w:szCs w:val="28"/>
          <w:lang w:eastAsia="en-AU"/>
        </w:rPr>
        <w:t>Basham Beach Area 1</w:t>
      </w:r>
    </w:p>
    <w:p w:rsidR="00130B02" w:rsidRPr="00B070A2" w:rsidRDefault="00130B02" w:rsidP="00130B02">
      <w:pPr>
        <w:spacing w:after="200" w:line="276" w:lineRule="auto"/>
        <w:jc w:val="left"/>
        <w:rPr>
          <w:rFonts w:ascii="Times New Roman" w:eastAsia="Times New Roman" w:hAnsi="Times New Roman"/>
          <w:b/>
          <w:sz w:val="23"/>
          <w:szCs w:val="23"/>
          <w:lang w:eastAsia="en-AU"/>
        </w:rPr>
      </w:pPr>
      <w:r w:rsidRPr="00B070A2">
        <w:rPr>
          <w:rFonts w:ascii="Times New Roman" w:eastAsia="Times New Roman" w:hAnsi="Times New Roman"/>
          <w:b/>
          <w:sz w:val="23"/>
          <w:szCs w:val="23"/>
          <w:lang w:eastAsia="en-AU"/>
        </w:rPr>
        <w:t>1</w:t>
      </w:r>
      <w:r>
        <w:rPr>
          <w:rFonts w:ascii="Times New Roman" w:eastAsia="Times New Roman" w:hAnsi="Times New Roman"/>
          <w:b/>
          <w:sz w:val="23"/>
          <w:szCs w:val="23"/>
          <w:lang w:eastAsia="en-AU"/>
        </w:rPr>
        <w:t>—</w:t>
      </w:r>
      <w:r w:rsidRPr="00B070A2">
        <w:rPr>
          <w:rFonts w:ascii="Times New Roman" w:eastAsia="Times New Roman" w:hAnsi="Times New Roman"/>
          <w:b/>
          <w:sz w:val="23"/>
          <w:szCs w:val="23"/>
          <w:lang w:eastAsia="en-AU"/>
        </w:rPr>
        <w:t>Extent of prohibition</w:t>
      </w:r>
    </w:p>
    <w:p w:rsidR="00130B02" w:rsidRPr="00B070A2" w:rsidRDefault="00130B02" w:rsidP="00130B02">
      <w:pPr>
        <w:tabs>
          <w:tab w:val="left" w:pos="284"/>
        </w:tabs>
        <w:spacing w:after="200" w:line="276" w:lineRule="auto"/>
        <w:jc w:val="left"/>
        <w:rPr>
          <w:rFonts w:ascii="Times New Roman" w:eastAsia="Times New Roman" w:hAnsi="Times New Roman"/>
          <w:sz w:val="23"/>
          <w:szCs w:val="23"/>
          <w:lang w:eastAsia="en-AU"/>
        </w:rPr>
      </w:pPr>
      <w:r w:rsidRPr="00B070A2">
        <w:rPr>
          <w:rFonts w:ascii="Times New Roman" w:eastAsia="Times New Roman" w:hAnsi="Times New Roman"/>
          <w:sz w:val="23"/>
          <w:szCs w:val="23"/>
          <w:lang w:eastAsia="en-AU"/>
        </w:rPr>
        <w:t>The consumption of liquor is prohibited and the possession of liquor is prohibited.</w:t>
      </w:r>
    </w:p>
    <w:p w:rsidR="00130B02" w:rsidRPr="00B070A2" w:rsidRDefault="00130B02" w:rsidP="00130B02">
      <w:pPr>
        <w:tabs>
          <w:tab w:val="left" w:pos="284"/>
        </w:tabs>
        <w:spacing w:after="200" w:line="276" w:lineRule="auto"/>
        <w:jc w:val="left"/>
        <w:rPr>
          <w:rFonts w:ascii="Times New Roman" w:eastAsia="Times New Roman" w:hAnsi="Times New Roman"/>
          <w:b/>
          <w:sz w:val="23"/>
          <w:szCs w:val="23"/>
          <w:lang w:eastAsia="en-AU"/>
        </w:rPr>
      </w:pPr>
      <w:r w:rsidRPr="00B070A2">
        <w:rPr>
          <w:rFonts w:ascii="Times New Roman" w:eastAsia="Times New Roman" w:hAnsi="Times New Roman"/>
          <w:b/>
          <w:sz w:val="23"/>
          <w:szCs w:val="23"/>
          <w:lang w:eastAsia="en-AU"/>
        </w:rPr>
        <w:t>2</w:t>
      </w:r>
      <w:r>
        <w:rPr>
          <w:rFonts w:ascii="Times New Roman" w:eastAsia="Times New Roman" w:hAnsi="Times New Roman"/>
          <w:b/>
          <w:sz w:val="23"/>
          <w:szCs w:val="23"/>
          <w:lang w:eastAsia="en-AU"/>
        </w:rPr>
        <w:t>—</w:t>
      </w:r>
      <w:r w:rsidRPr="00B070A2">
        <w:rPr>
          <w:rFonts w:ascii="Times New Roman" w:eastAsia="Times New Roman" w:hAnsi="Times New Roman"/>
          <w:b/>
          <w:sz w:val="23"/>
          <w:szCs w:val="23"/>
          <w:lang w:eastAsia="en-AU"/>
        </w:rPr>
        <w:t>Period of prohibition</w:t>
      </w:r>
    </w:p>
    <w:p w:rsidR="00130B02" w:rsidRPr="00B070A2" w:rsidRDefault="00130B02" w:rsidP="00130B02">
      <w:pPr>
        <w:tabs>
          <w:tab w:val="left" w:pos="284"/>
        </w:tabs>
        <w:spacing w:after="200" w:line="276" w:lineRule="auto"/>
        <w:jc w:val="left"/>
        <w:rPr>
          <w:rFonts w:ascii="Times New Roman" w:eastAsia="Times New Roman" w:hAnsi="Times New Roman"/>
          <w:sz w:val="23"/>
          <w:szCs w:val="23"/>
          <w:lang w:eastAsia="en-AU"/>
        </w:rPr>
      </w:pPr>
      <w:r w:rsidRPr="00B070A2">
        <w:rPr>
          <w:rFonts w:ascii="Times New Roman" w:eastAsia="Times New Roman" w:hAnsi="Times New Roman"/>
          <w:sz w:val="23"/>
          <w:szCs w:val="23"/>
          <w:lang w:eastAsia="en-AU"/>
        </w:rPr>
        <w:t>From 6.00pm on 30 December 2021 – 6.00am on 2 January 2022</w:t>
      </w:r>
      <w:r>
        <w:rPr>
          <w:rFonts w:ascii="Times New Roman" w:eastAsia="Times New Roman" w:hAnsi="Times New Roman"/>
          <w:sz w:val="23"/>
          <w:szCs w:val="23"/>
          <w:lang w:eastAsia="en-AU"/>
        </w:rPr>
        <w:t>.</w:t>
      </w:r>
    </w:p>
    <w:p w:rsidR="00130B02" w:rsidRPr="00B070A2" w:rsidRDefault="00130B02" w:rsidP="00130B02">
      <w:pPr>
        <w:tabs>
          <w:tab w:val="left" w:pos="284"/>
        </w:tabs>
        <w:spacing w:after="200" w:line="276" w:lineRule="auto"/>
        <w:jc w:val="left"/>
        <w:rPr>
          <w:rFonts w:ascii="Times New Roman" w:eastAsia="Times New Roman" w:hAnsi="Times New Roman"/>
          <w:b/>
          <w:sz w:val="23"/>
          <w:szCs w:val="23"/>
          <w:lang w:eastAsia="en-AU"/>
        </w:rPr>
      </w:pPr>
      <w:r w:rsidRPr="00B070A2">
        <w:rPr>
          <w:rFonts w:ascii="Times New Roman" w:eastAsia="Times New Roman" w:hAnsi="Times New Roman"/>
          <w:b/>
          <w:sz w:val="23"/>
          <w:szCs w:val="23"/>
          <w:lang w:eastAsia="en-AU"/>
        </w:rPr>
        <w:t>3</w:t>
      </w:r>
      <w:r>
        <w:rPr>
          <w:rFonts w:ascii="Times New Roman" w:eastAsia="Times New Roman" w:hAnsi="Times New Roman"/>
          <w:b/>
          <w:sz w:val="23"/>
          <w:szCs w:val="23"/>
          <w:lang w:eastAsia="en-AU"/>
        </w:rPr>
        <w:t>—</w:t>
      </w:r>
      <w:r w:rsidRPr="00B070A2">
        <w:rPr>
          <w:rFonts w:ascii="Times New Roman" w:eastAsia="Times New Roman" w:hAnsi="Times New Roman"/>
          <w:b/>
          <w:sz w:val="23"/>
          <w:szCs w:val="23"/>
          <w:lang w:eastAsia="en-AU"/>
        </w:rPr>
        <w:t>Description of area</w:t>
      </w:r>
    </w:p>
    <w:p w:rsidR="00130B02" w:rsidRPr="00B070A2" w:rsidRDefault="00130B02" w:rsidP="00130B02">
      <w:pPr>
        <w:spacing w:after="200" w:line="276" w:lineRule="auto"/>
        <w:jc w:val="left"/>
        <w:rPr>
          <w:rFonts w:ascii="Times New Roman" w:eastAsia="Times New Roman" w:hAnsi="Times New Roman"/>
          <w:b/>
          <w:sz w:val="23"/>
          <w:szCs w:val="23"/>
          <w:lang w:eastAsia="en-AU"/>
        </w:rPr>
      </w:pPr>
      <w:r w:rsidRPr="00B070A2">
        <w:rPr>
          <w:rFonts w:ascii="Times New Roman" w:eastAsia="Times New Roman" w:hAnsi="Times New Roman"/>
          <w:b/>
          <w:sz w:val="23"/>
          <w:szCs w:val="23"/>
          <w:lang w:eastAsia="en-AU"/>
        </w:rPr>
        <w:t>Basham Beach Area 1</w:t>
      </w:r>
      <w:r>
        <w:rPr>
          <w:rFonts w:ascii="Times New Roman" w:eastAsia="Times New Roman" w:hAnsi="Times New Roman"/>
          <w:b/>
          <w:sz w:val="23"/>
          <w:szCs w:val="23"/>
          <w:lang w:eastAsia="en-AU"/>
        </w:rPr>
        <w:t>—</w:t>
      </w:r>
      <w:r w:rsidRPr="00B070A2">
        <w:rPr>
          <w:rFonts w:ascii="Times New Roman" w:eastAsia="Times New Roman" w:hAnsi="Times New Roman"/>
          <w:b/>
          <w:sz w:val="23"/>
          <w:szCs w:val="23"/>
          <w:lang w:eastAsia="en-AU"/>
        </w:rPr>
        <w:t>Plan No 6</w:t>
      </w:r>
    </w:p>
    <w:p w:rsidR="00130B02" w:rsidRPr="00B070A2" w:rsidRDefault="00130B02" w:rsidP="00130B02">
      <w:pPr>
        <w:spacing w:after="200" w:line="240" w:lineRule="auto"/>
        <w:rPr>
          <w:rFonts w:ascii="Times New Roman" w:eastAsia="Times New Roman" w:hAnsi="Times New Roman"/>
          <w:sz w:val="23"/>
          <w:szCs w:val="23"/>
          <w:lang w:eastAsia="en-AU"/>
        </w:rPr>
      </w:pPr>
      <w:r w:rsidRPr="00B070A2">
        <w:rPr>
          <w:rFonts w:ascii="Times New Roman" w:eastAsia="Times New Roman" w:hAnsi="Times New Roman"/>
          <w:sz w:val="23"/>
          <w:szCs w:val="23"/>
          <w:lang w:eastAsia="en-AU"/>
        </w:rPr>
        <w:t>Commencing at the point at which the western boundary of Basham Beach Road, Middleton, intersects the southern boundary of the railway reserve for the Victor Harbor Tourist Railway, then south</w:t>
      </w:r>
      <w:r w:rsidRPr="00B070A2">
        <w:rPr>
          <w:rFonts w:ascii="Times New Roman" w:eastAsia="Times New Roman" w:hAnsi="Times New Roman"/>
          <w:sz w:val="23"/>
          <w:szCs w:val="23"/>
          <w:lang w:eastAsia="en-AU"/>
        </w:rPr>
        <w:noBreakHyphen/>
        <w:t>easterly along that boundary of Basham Beach Road to the northern boundary of Lot 96 FP 166155, then south</w:t>
      </w:r>
      <w:r w:rsidRPr="00B070A2">
        <w:rPr>
          <w:rFonts w:ascii="Times New Roman" w:eastAsia="Times New Roman" w:hAnsi="Times New Roman"/>
          <w:sz w:val="23"/>
          <w:szCs w:val="23"/>
          <w:lang w:eastAsia="en-AU"/>
        </w:rPr>
        <w:noBreakHyphen/>
        <w:t>westerly, south</w:t>
      </w:r>
      <w:r w:rsidRPr="00B070A2">
        <w:rPr>
          <w:rFonts w:ascii="Times New Roman" w:eastAsia="Times New Roman" w:hAnsi="Times New Roman"/>
          <w:sz w:val="23"/>
          <w:szCs w:val="23"/>
          <w:lang w:eastAsia="en-AU"/>
        </w:rPr>
        <w:noBreakHyphen/>
        <w:t>easterly and north</w:t>
      </w:r>
      <w:r w:rsidRPr="00B070A2">
        <w:rPr>
          <w:rFonts w:ascii="Times New Roman" w:eastAsia="Times New Roman" w:hAnsi="Times New Roman"/>
          <w:sz w:val="23"/>
          <w:szCs w:val="23"/>
          <w:lang w:eastAsia="en-AU"/>
        </w:rPr>
        <w:noBreakHyphen/>
        <w:t>easterly along the northern, western and southern boundaries of Lot 96 to the western boundary of Basham Beach Road, then south</w:t>
      </w:r>
      <w:r w:rsidRPr="00B070A2">
        <w:rPr>
          <w:rFonts w:ascii="Times New Roman" w:eastAsia="Times New Roman" w:hAnsi="Times New Roman"/>
          <w:sz w:val="23"/>
          <w:szCs w:val="23"/>
          <w:lang w:eastAsia="en-AU"/>
        </w:rPr>
        <w:noBreakHyphen/>
        <w:t>easterly along that boundary of Basham Beach Road and the prolongation in a straight line of that boundary to the low water mark of Encounter Bay, then generally south</w:t>
      </w:r>
      <w:r w:rsidRPr="00B070A2">
        <w:rPr>
          <w:rFonts w:ascii="Times New Roman" w:eastAsia="Times New Roman" w:hAnsi="Times New Roman"/>
          <w:sz w:val="23"/>
          <w:szCs w:val="23"/>
          <w:lang w:eastAsia="en-AU"/>
        </w:rPr>
        <w:noBreakHyphen/>
        <w:t>westerly, southerly, south</w:t>
      </w:r>
      <w:r w:rsidRPr="00B070A2">
        <w:rPr>
          <w:rFonts w:ascii="Times New Roman" w:eastAsia="Times New Roman" w:hAnsi="Times New Roman"/>
          <w:sz w:val="23"/>
          <w:szCs w:val="23"/>
          <w:lang w:eastAsia="en-AU"/>
        </w:rPr>
        <w:noBreakHyphen/>
        <w:t>easterly, easterly, southerly, south</w:t>
      </w:r>
      <w:r w:rsidRPr="00B070A2">
        <w:rPr>
          <w:rFonts w:ascii="Times New Roman" w:eastAsia="Times New Roman" w:hAnsi="Times New Roman"/>
          <w:sz w:val="23"/>
          <w:szCs w:val="23"/>
          <w:lang w:eastAsia="en-AU"/>
        </w:rPr>
        <w:noBreakHyphen/>
        <w:t>westerly and north</w:t>
      </w:r>
      <w:r w:rsidRPr="00B070A2">
        <w:rPr>
          <w:rFonts w:ascii="Times New Roman" w:eastAsia="Times New Roman" w:hAnsi="Times New Roman"/>
          <w:sz w:val="23"/>
          <w:szCs w:val="23"/>
          <w:lang w:eastAsia="en-AU"/>
        </w:rPr>
        <w:noBreakHyphen/>
        <w:t>westerly along the low water mark to the prolongation in a straight line of the western boundary of Lot 2 DP 52281, then northerly along that prolongation and boundary of Lot 2 to the southern boundary of Lot 1 DP 52281 (the southern boundary of the Port Elliot Caravan Park), then generally easterly, south</w:t>
      </w:r>
      <w:r w:rsidRPr="00B070A2">
        <w:rPr>
          <w:rFonts w:ascii="Times New Roman" w:eastAsia="Times New Roman" w:hAnsi="Times New Roman"/>
          <w:sz w:val="23"/>
          <w:szCs w:val="23"/>
          <w:lang w:eastAsia="en-AU"/>
        </w:rPr>
        <w:noBreakHyphen/>
        <w:t>easterly, north</w:t>
      </w:r>
      <w:r w:rsidRPr="00B070A2">
        <w:rPr>
          <w:rFonts w:ascii="Times New Roman" w:eastAsia="Times New Roman" w:hAnsi="Times New Roman"/>
          <w:sz w:val="23"/>
          <w:szCs w:val="23"/>
          <w:lang w:eastAsia="en-AU"/>
        </w:rPr>
        <w:noBreakHyphen/>
        <w:t>easterly and northerly along that boundary of Lot 1 and the eastern boundary of Lot 858 FP 166107 to the northern boundary of Lot 858, then south</w:t>
      </w:r>
      <w:r w:rsidRPr="00B070A2">
        <w:rPr>
          <w:rFonts w:ascii="Times New Roman" w:eastAsia="Times New Roman" w:hAnsi="Times New Roman"/>
          <w:sz w:val="23"/>
          <w:szCs w:val="23"/>
          <w:lang w:eastAsia="en-AU"/>
        </w:rPr>
        <w:noBreakHyphen/>
        <w:t>westerly along the northern boundary of Lot 858 and the northern boundaries of the adjoining allotments to the eastern boundary of the railway reserve for the Victor Harbor Tourist Railway, then generally north</w:t>
      </w:r>
      <w:r w:rsidRPr="00B070A2">
        <w:rPr>
          <w:rFonts w:ascii="Times New Roman" w:eastAsia="Times New Roman" w:hAnsi="Times New Roman"/>
          <w:sz w:val="23"/>
          <w:szCs w:val="23"/>
          <w:lang w:eastAsia="en-AU"/>
        </w:rPr>
        <w:noBreakHyphen/>
        <w:t>easterly along that boundary of the railway reserve to the point of commencement.</w:t>
      </w:r>
    </w:p>
    <w:p w:rsidR="00130B02" w:rsidRDefault="00130B02" w:rsidP="00130B02">
      <w:pPr>
        <w:spacing w:after="0" w:line="240" w:lineRule="auto"/>
        <w:jc w:val="left"/>
        <w:rPr>
          <w:rFonts w:ascii="Times New Roman" w:eastAsia="Times New Roman" w:hAnsi="Times New Roman"/>
          <w:sz w:val="17"/>
          <w:szCs w:val="17"/>
          <w:lang w:eastAsia="en-AU"/>
        </w:rPr>
      </w:pPr>
      <w:r>
        <w:rPr>
          <w:lang w:eastAsia="en-AU"/>
        </w:rPr>
        <w:br w:type="page"/>
      </w:r>
    </w:p>
    <w:p w:rsidR="00130B02" w:rsidRDefault="00130B02" w:rsidP="00130B02">
      <w:pPr>
        <w:pStyle w:val="GG-body"/>
        <w:spacing w:line="240" w:lineRule="auto"/>
        <w:jc w:val="center"/>
        <w:rPr>
          <w:lang w:eastAsia="en-AU"/>
        </w:rPr>
      </w:pPr>
      <w:r>
        <w:rPr>
          <w:noProof/>
          <w:lang w:eastAsia="en-AU"/>
        </w:rPr>
        <w:lastRenderedPageBreak/>
        <w:drawing>
          <wp:inline distT="0" distB="0" distL="0" distR="0" wp14:anchorId="2C48DA04" wp14:editId="01E0957D">
            <wp:extent cx="5035550" cy="7360285"/>
            <wp:effectExtent l="0" t="0" r="0" b="0"/>
            <wp:docPr id="15" name="Picture 15" descr="G:\Governance\Governance Administration Officer\Dry Areas\New Years Eve - Annually\NEW MAPS FROM PHILLIP - AUG 2015\Plan6_Basham_Beach_dry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overnance\Governance Administration Officer\Dry Areas\New Years Eve - Annually\NEW MAPS FROM PHILLIP - AUG 2015\Plan6_Basham_Beach_dry_area.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5550" cy="7360285"/>
                    </a:xfrm>
                    <a:prstGeom prst="rect">
                      <a:avLst/>
                    </a:prstGeom>
                    <a:noFill/>
                    <a:ln>
                      <a:noFill/>
                    </a:ln>
                  </pic:spPr>
                </pic:pic>
              </a:graphicData>
            </a:graphic>
          </wp:inline>
        </w:drawing>
      </w:r>
    </w:p>
    <w:p w:rsidR="00130B02" w:rsidRPr="00474E88" w:rsidRDefault="00130B02" w:rsidP="00130B02">
      <w:pPr>
        <w:keepLines/>
        <w:autoSpaceDE w:val="0"/>
        <w:autoSpaceDN w:val="0"/>
        <w:adjustRightInd w:val="0"/>
        <w:spacing w:before="240" w:after="0" w:line="240" w:lineRule="auto"/>
        <w:jc w:val="left"/>
        <w:rPr>
          <w:rFonts w:ascii="Times New Roman" w:eastAsia="Times New Roman" w:hAnsi="Times New Roman"/>
          <w:b/>
          <w:bCs/>
          <w:color w:val="000000"/>
          <w:sz w:val="26"/>
          <w:szCs w:val="26"/>
          <w:lang w:eastAsia="en-AU"/>
        </w:rPr>
      </w:pPr>
      <w:r w:rsidRPr="00474E88">
        <w:rPr>
          <w:rFonts w:ascii="Times New Roman" w:eastAsia="Times New Roman" w:hAnsi="Times New Roman"/>
          <w:b/>
          <w:bCs/>
          <w:color w:val="000000"/>
          <w:sz w:val="23"/>
          <w:szCs w:val="23"/>
          <w:lang w:eastAsia="en-AU"/>
        </w:rPr>
        <w:t>M</w:t>
      </w:r>
      <w:r w:rsidRPr="00474E88">
        <w:rPr>
          <w:rFonts w:ascii="Times New Roman" w:eastAsia="Times New Roman" w:hAnsi="Times New Roman"/>
          <w:b/>
          <w:bCs/>
          <w:color w:val="000000"/>
          <w:sz w:val="26"/>
          <w:szCs w:val="26"/>
          <w:lang w:eastAsia="en-AU"/>
        </w:rPr>
        <w:t>ade by the Liquor and Gambling Commissioner</w:t>
      </w:r>
    </w:p>
    <w:p w:rsidR="00130B02" w:rsidRDefault="00130B02" w:rsidP="00130B02">
      <w:pPr>
        <w:keepLines/>
        <w:autoSpaceDE w:val="0"/>
        <w:autoSpaceDN w:val="0"/>
        <w:adjustRightInd w:val="0"/>
        <w:spacing w:before="240" w:after="0" w:line="240" w:lineRule="auto"/>
        <w:jc w:val="left"/>
        <w:rPr>
          <w:rFonts w:ascii="Times New Roman" w:eastAsia="Times New Roman" w:hAnsi="Times New Roman"/>
          <w:color w:val="000000"/>
          <w:sz w:val="23"/>
          <w:szCs w:val="23"/>
        </w:rPr>
      </w:pPr>
      <w:r w:rsidRPr="00474E88">
        <w:rPr>
          <w:rFonts w:ascii="Times New Roman" w:eastAsia="Times New Roman" w:hAnsi="Times New Roman"/>
          <w:color w:val="000000"/>
          <w:sz w:val="23"/>
          <w:szCs w:val="23"/>
        </w:rPr>
        <w:t xml:space="preserve">on </w:t>
      </w:r>
      <w:r>
        <w:rPr>
          <w:rFonts w:ascii="Times New Roman" w:eastAsia="Times New Roman" w:hAnsi="Times New Roman"/>
          <w:color w:val="000000"/>
          <w:sz w:val="23"/>
          <w:szCs w:val="23"/>
        </w:rPr>
        <w:t>20</w:t>
      </w:r>
      <w:r w:rsidRPr="00474E88">
        <w:rPr>
          <w:rFonts w:ascii="Times New Roman" w:eastAsia="Times New Roman" w:hAnsi="Times New Roman"/>
          <w:color w:val="000000"/>
          <w:sz w:val="23"/>
          <w:szCs w:val="23"/>
        </w:rPr>
        <w:t xml:space="preserve"> </w:t>
      </w:r>
      <w:r>
        <w:rPr>
          <w:rFonts w:ascii="Times New Roman" w:eastAsia="Times New Roman" w:hAnsi="Times New Roman"/>
          <w:color w:val="000000"/>
          <w:sz w:val="23"/>
          <w:szCs w:val="23"/>
        </w:rPr>
        <w:t>December</w:t>
      </w:r>
      <w:r w:rsidRPr="00474E88">
        <w:rPr>
          <w:rFonts w:ascii="Times New Roman" w:eastAsia="Times New Roman" w:hAnsi="Times New Roman"/>
          <w:color w:val="000000"/>
          <w:sz w:val="23"/>
          <w:szCs w:val="23"/>
        </w:rPr>
        <w:t xml:space="preserve"> 2021</w:t>
      </w:r>
    </w:p>
    <w:p w:rsidR="00130B02" w:rsidRDefault="00130B02" w:rsidP="00130B02">
      <w:pPr>
        <w:pBdr>
          <w:top w:val="single" w:sz="4" w:space="1" w:color="auto"/>
        </w:pBdr>
        <w:autoSpaceDE w:val="0"/>
        <w:autoSpaceDN w:val="0"/>
        <w:adjustRightInd w:val="0"/>
        <w:spacing w:before="100" w:after="0" w:line="14" w:lineRule="exact"/>
        <w:jc w:val="center"/>
        <w:rPr>
          <w:rFonts w:ascii="Times New Roman" w:eastAsia="Times New Roman" w:hAnsi="Times New Roman"/>
          <w:b/>
          <w:bCs/>
          <w:color w:val="000000"/>
          <w:sz w:val="26"/>
          <w:szCs w:val="26"/>
          <w:lang w:eastAsia="en-AU"/>
        </w:rPr>
      </w:pPr>
    </w:p>
    <w:p w:rsidR="00130B02" w:rsidRPr="00EF388B" w:rsidRDefault="00130B02" w:rsidP="009B7D15">
      <w:pPr>
        <w:pStyle w:val="GG-body"/>
        <w:spacing w:after="0"/>
      </w:pPr>
    </w:p>
    <w:p w:rsidR="000C5D06" w:rsidRDefault="000C5D06">
      <w:pPr>
        <w:spacing w:after="0" w:line="240" w:lineRule="auto"/>
        <w:jc w:val="left"/>
        <w:rPr>
          <w:rFonts w:ascii="Times New Roman" w:hAnsi="Times New Roman"/>
          <w:caps/>
          <w:sz w:val="17"/>
          <w:szCs w:val="17"/>
        </w:rPr>
      </w:pPr>
      <w:r>
        <w:rPr>
          <w:rFonts w:ascii="Times New Roman" w:hAnsi="Times New Roman"/>
          <w:caps/>
          <w:sz w:val="17"/>
          <w:szCs w:val="17"/>
        </w:rPr>
        <w:br w:type="page"/>
      </w:r>
    </w:p>
    <w:p w:rsidR="00130B02" w:rsidRPr="00130B02" w:rsidRDefault="00130B02" w:rsidP="00130B02">
      <w:pPr>
        <w:jc w:val="center"/>
        <w:rPr>
          <w:rFonts w:ascii="Times New Roman" w:hAnsi="Times New Roman"/>
          <w:caps/>
          <w:sz w:val="17"/>
          <w:szCs w:val="17"/>
        </w:rPr>
      </w:pPr>
      <w:r w:rsidRPr="00130B02">
        <w:rPr>
          <w:rFonts w:ascii="Times New Roman" w:hAnsi="Times New Roman"/>
          <w:caps/>
          <w:sz w:val="17"/>
          <w:szCs w:val="17"/>
        </w:rPr>
        <w:lastRenderedPageBreak/>
        <w:t>Liquor Licensing Act 1997</w:t>
      </w:r>
    </w:p>
    <w:p w:rsidR="00130B02" w:rsidRPr="00130B02" w:rsidRDefault="00130B02" w:rsidP="00130B02">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130B02">
        <w:rPr>
          <w:rFonts w:ascii="Times New Roman" w:eastAsia="Times New Roman" w:hAnsi="Times New Roman"/>
          <w:color w:val="000000"/>
          <w:sz w:val="28"/>
          <w:szCs w:val="28"/>
          <w:lang w:eastAsia="en-AU"/>
        </w:rPr>
        <w:t>South Australia</w:t>
      </w:r>
    </w:p>
    <w:p w:rsidR="00130B02" w:rsidRPr="00130B02" w:rsidRDefault="00130B02" w:rsidP="00130B02">
      <w:pPr>
        <w:keepLines/>
        <w:autoSpaceDE w:val="0"/>
        <w:autoSpaceDN w:val="0"/>
        <w:adjustRightInd w:val="0"/>
        <w:spacing w:before="120" w:after="200" w:line="240" w:lineRule="auto"/>
        <w:jc w:val="left"/>
        <w:rPr>
          <w:rFonts w:ascii="Times New Roman" w:eastAsia="Times New Roman" w:hAnsi="Times New Roman"/>
          <w:b/>
          <w:bCs/>
          <w:color w:val="000000"/>
          <w:sz w:val="36"/>
          <w:szCs w:val="36"/>
          <w:lang w:eastAsia="en-AU"/>
        </w:rPr>
      </w:pPr>
      <w:r w:rsidRPr="00130B02">
        <w:rPr>
          <w:rFonts w:ascii="Times New Roman" w:eastAsia="Times New Roman" w:hAnsi="Times New Roman"/>
          <w:b/>
          <w:bCs/>
          <w:color w:val="000000"/>
          <w:sz w:val="36"/>
          <w:szCs w:val="36"/>
          <w:lang w:eastAsia="en-AU"/>
        </w:rPr>
        <w:t>Liquor Licensing (Dry Areas) Notice 2021</w:t>
      </w:r>
    </w:p>
    <w:p w:rsidR="00130B02" w:rsidRPr="00130B02" w:rsidRDefault="00130B02" w:rsidP="00130B02">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130B02">
        <w:rPr>
          <w:rFonts w:ascii="Times New Roman" w:eastAsia="Times New Roman" w:hAnsi="Times New Roman"/>
          <w:color w:val="000000"/>
          <w:sz w:val="24"/>
          <w:szCs w:val="24"/>
          <w:lang w:eastAsia="en-AU"/>
        </w:rPr>
        <w:t xml:space="preserve">under section 131(1) of the </w:t>
      </w:r>
      <w:r w:rsidRPr="00130B02">
        <w:rPr>
          <w:rFonts w:ascii="Times New Roman" w:eastAsia="Times New Roman" w:hAnsi="Times New Roman"/>
          <w:i/>
          <w:iCs/>
          <w:color w:val="000000"/>
          <w:sz w:val="24"/>
          <w:szCs w:val="24"/>
          <w:lang w:eastAsia="en-AU"/>
        </w:rPr>
        <w:t>Liquor Licensing Act 1997</w:t>
      </w:r>
    </w:p>
    <w:p w:rsidR="00130B02" w:rsidRPr="00130B02" w:rsidRDefault="00130B02" w:rsidP="00130B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30B02">
        <w:rPr>
          <w:rFonts w:ascii="Times New Roman" w:eastAsia="Times New Roman" w:hAnsi="Times New Roman"/>
          <w:b/>
          <w:bCs/>
          <w:color w:val="000000"/>
          <w:sz w:val="26"/>
          <w:szCs w:val="26"/>
          <w:lang w:eastAsia="en-AU"/>
        </w:rPr>
        <w:t>1—Short title</w:t>
      </w:r>
    </w:p>
    <w:p w:rsidR="00130B02" w:rsidRPr="00130B02" w:rsidRDefault="00130B02" w:rsidP="00130B0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30B02">
        <w:rPr>
          <w:rFonts w:ascii="Times New Roman" w:eastAsia="Times New Roman" w:hAnsi="Times New Roman"/>
          <w:color w:val="000000"/>
          <w:sz w:val="23"/>
          <w:szCs w:val="23"/>
          <w:lang w:eastAsia="en-AU"/>
        </w:rPr>
        <w:t xml:space="preserve">This notice may be cited as the </w:t>
      </w:r>
      <w:hyperlink r:id="rId72" w:history="1">
        <w:r w:rsidRPr="00130B02">
          <w:rPr>
            <w:rFonts w:ascii="Times New Roman" w:eastAsia="Times New Roman" w:hAnsi="Times New Roman"/>
            <w:i/>
            <w:iCs/>
            <w:color w:val="000000"/>
            <w:sz w:val="23"/>
            <w:szCs w:val="23"/>
            <w:lang w:eastAsia="en-AU"/>
          </w:rPr>
          <w:t>Liquor Licensing (Dry Areas) Notice 20</w:t>
        </w:r>
      </w:hyperlink>
      <w:r w:rsidRPr="00130B02">
        <w:rPr>
          <w:rFonts w:ascii="Times New Roman" w:eastAsia="Times New Roman" w:hAnsi="Times New Roman"/>
          <w:i/>
          <w:iCs/>
          <w:color w:val="000000"/>
          <w:sz w:val="23"/>
          <w:szCs w:val="23"/>
          <w:lang w:eastAsia="en-AU"/>
        </w:rPr>
        <w:t>21</w:t>
      </w:r>
      <w:r w:rsidRPr="00130B02">
        <w:rPr>
          <w:rFonts w:ascii="Times New Roman" w:eastAsia="Times New Roman" w:hAnsi="Times New Roman"/>
          <w:color w:val="000000"/>
          <w:sz w:val="23"/>
          <w:szCs w:val="23"/>
          <w:lang w:eastAsia="en-AU"/>
        </w:rPr>
        <w:t>.</w:t>
      </w:r>
    </w:p>
    <w:p w:rsidR="00130B02" w:rsidRPr="00130B02" w:rsidRDefault="00130B02" w:rsidP="00130B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30B02">
        <w:rPr>
          <w:rFonts w:ascii="Times New Roman" w:eastAsia="Times New Roman" w:hAnsi="Times New Roman"/>
          <w:b/>
          <w:bCs/>
          <w:color w:val="000000"/>
          <w:sz w:val="26"/>
          <w:szCs w:val="26"/>
          <w:lang w:eastAsia="en-AU"/>
        </w:rPr>
        <w:t>2—Commencement</w:t>
      </w:r>
    </w:p>
    <w:p w:rsidR="00130B02" w:rsidRPr="00130B02" w:rsidRDefault="00130B02" w:rsidP="00130B02">
      <w:pPr>
        <w:keepLines/>
        <w:autoSpaceDE w:val="0"/>
        <w:autoSpaceDN w:val="0"/>
        <w:adjustRightInd w:val="0"/>
        <w:spacing w:before="120" w:after="0" w:line="240" w:lineRule="auto"/>
        <w:ind w:left="794"/>
        <w:jc w:val="left"/>
        <w:rPr>
          <w:rFonts w:ascii="Times New Roman" w:eastAsia="Times New Roman" w:hAnsi="Times New Roman"/>
          <w:sz w:val="23"/>
          <w:szCs w:val="23"/>
          <w:lang w:eastAsia="en-AU"/>
        </w:rPr>
      </w:pPr>
      <w:r w:rsidRPr="00130B02">
        <w:rPr>
          <w:rFonts w:ascii="Times New Roman" w:eastAsia="Times New Roman" w:hAnsi="Times New Roman"/>
          <w:color w:val="000000"/>
          <w:sz w:val="23"/>
          <w:szCs w:val="23"/>
          <w:lang w:eastAsia="en-AU"/>
        </w:rPr>
        <w:t xml:space="preserve">This notice comes into </w:t>
      </w:r>
      <w:r w:rsidRPr="00130B02">
        <w:rPr>
          <w:rFonts w:ascii="Times New Roman" w:eastAsia="Times New Roman" w:hAnsi="Times New Roman"/>
          <w:sz w:val="23"/>
          <w:szCs w:val="23"/>
          <w:lang w:eastAsia="en-AU"/>
        </w:rPr>
        <w:t>operation on the date that it is made.</w:t>
      </w:r>
    </w:p>
    <w:p w:rsidR="00130B02" w:rsidRPr="00130B02" w:rsidRDefault="00130B02" w:rsidP="00130B02">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130B02">
        <w:rPr>
          <w:rFonts w:ascii="Times New Roman" w:eastAsia="Times New Roman" w:hAnsi="Times New Roman"/>
          <w:b/>
          <w:bCs/>
          <w:sz w:val="26"/>
          <w:szCs w:val="26"/>
          <w:lang w:eastAsia="en-AU"/>
        </w:rPr>
        <w:t>3—Interpretation</w:t>
      </w:r>
    </w:p>
    <w:p w:rsidR="00130B02" w:rsidRPr="00130B02" w:rsidRDefault="00130B02" w:rsidP="00130B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30B02">
        <w:rPr>
          <w:rFonts w:ascii="Times New Roman" w:eastAsia="Times New Roman" w:hAnsi="Times New Roman"/>
          <w:color w:val="000000"/>
          <w:sz w:val="23"/>
          <w:szCs w:val="23"/>
          <w:lang w:eastAsia="en-AU"/>
        </w:rPr>
        <w:tab/>
        <w:t>(1)</w:t>
      </w:r>
      <w:r w:rsidRPr="00130B02">
        <w:rPr>
          <w:rFonts w:ascii="Times New Roman" w:eastAsia="Times New Roman" w:hAnsi="Times New Roman"/>
          <w:color w:val="000000"/>
          <w:sz w:val="23"/>
          <w:szCs w:val="23"/>
          <w:lang w:eastAsia="en-AU"/>
        </w:rPr>
        <w:tab/>
        <w:t>In this notice—</w:t>
      </w:r>
    </w:p>
    <w:p w:rsidR="00130B02" w:rsidRPr="00130B02" w:rsidRDefault="00130B02" w:rsidP="00130B0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30B02">
        <w:rPr>
          <w:rFonts w:ascii="Times New Roman" w:eastAsia="Times New Roman" w:hAnsi="Times New Roman"/>
          <w:b/>
          <w:bCs/>
          <w:i/>
          <w:iCs/>
          <w:color w:val="000000"/>
          <w:sz w:val="23"/>
          <w:szCs w:val="23"/>
          <w:lang w:eastAsia="en-AU"/>
        </w:rPr>
        <w:t>principal notice</w:t>
      </w:r>
      <w:r w:rsidRPr="00130B02">
        <w:rPr>
          <w:rFonts w:ascii="Times New Roman" w:eastAsia="Times New Roman" w:hAnsi="Times New Roman"/>
          <w:color w:val="000000"/>
          <w:sz w:val="23"/>
          <w:szCs w:val="23"/>
          <w:lang w:eastAsia="en-AU"/>
        </w:rPr>
        <w:t xml:space="preserve"> means the </w:t>
      </w:r>
      <w:hyperlink r:id="rId73" w:history="1">
        <w:r w:rsidRPr="00130B02">
          <w:rPr>
            <w:rFonts w:ascii="Times New Roman" w:eastAsia="Times New Roman" w:hAnsi="Times New Roman"/>
            <w:i/>
            <w:iCs/>
            <w:color w:val="000000"/>
            <w:sz w:val="23"/>
            <w:szCs w:val="23"/>
            <w:lang w:eastAsia="en-AU"/>
          </w:rPr>
          <w:t>Liquor Licensing (Dry Areas) Notice 2015</w:t>
        </w:r>
      </w:hyperlink>
      <w:r w:rsidRPr="00130B02">
        <w:rPr>
          <w:rFonts w:ascii="Times New Roman" w:eastAsia="Times New Roman" w:hAnsi="Times New Roman"/>
          <w:color w:val="000000"/>
          <w:sz w:val="23"/>
          <w:szCs w:val="23"/>
          <w:lang w:eastAsia="en-AU"/>
        </w:rPr>
        <w:t xml:space="preserve"> published in the Gazette on 5.1.15, as in force from time to time.</w:t>
      </w:r>
    </w:p>
    <w:p w:rsidR="00130B02" w:rsidRPr="00130B02" w:rsidRDefault="00130B02" w:rsidP="00130B02">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30B02">
        <w:rPr>
          <w:rFonts w:ascii="Times New Roman" w:eastAsia="Times New Roman" w:hAnsi="Times New Roman"/>
          <w:color w:val="000000"/>
          <w:sz w:val="23"/>
          <w:szCs w:val="23"/>
          <w:lang w:eastAsia="en-AU"/>
        </w:rPr>
        <w:tab/>
        <w:t>(2)</w:t>
      </w:r>
      <w:r w:rsidRPr="00130B02">
        <w:rPr>
          <w:rFonts w:ascii="Times New Roman" w:eastAsia="Times New Roman" w:hAnsi="Times New Roman"/>
          <w:color w:val="000000"/>
          <w:sz w:val="23"/>
          <w:szCs w:val="23"/>
          <w:lang w:eastAsia="en-AU"/>
        </w:rPr>
        <w:tab/>
        <w:t>Clause 3 of the principal notice applies to this notice as if it were the principal notice.</w:t>
      </w:r>
    </w:p>
    <w:p w:rsidR="00130B02" w:rsidRPr="00130B02" w:rsidRDefault="00130B02" w:rsidP="00130B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30B02">
        <w:rPr>
          <w:rFonts w:ascii="Times New Roman" w:eastAsia="Times New Roman" w:hAnsi="Times New Roman"/>
          <w:b/>
          <w:bCs/>
          <w:color w:val="000000"/>
          <w:sz w:val="26"/>
          <w:szCs w:val="26"/>
          <w:lang w:eastAsia="en-AU"/>
        </w:rPr>
        <w:t>4—Consumption etc of liquor prohibited in dry areas</w:t>
      </w:r>
    </w:p>
    <w:p w:rsidR="00130B02" w:rsidRPr="00130B02" w:rsidRDefault="00130B02" w:rsidP="00130B02">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30B02">
        <w:rPr>
          <w:rFonts w:ascii="Times New Roman" w:eastAsia="Times New Roman" w:hAnsi="Times New Roman"/>
          <w:color w:val="000000"/>
          <w:sz w:val="23"/>
          <w:szCs w:val="23"/>
          <w:lang w:eastAsia="en-AU"/>
        </w:rPr>
        <w:tab/>
        <w:t>(1)</w:t>
      </w:r>
      <w:r w:rsidRPr="00130B02">
        <w:rPr>
          <w:rFonts w:ascii="Times New Roman" w:eastAsia="Times New Roman" w:hAnsi="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130B02" w:rsidRPr="00130B02" w:rsidRDefault="00130B02" w:rsidP="00130B02">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30B02">
        <w:rPr>
          <w:rFonts w:ascii="Times New Roman" w:eastAsia="Times New Roman" w:hAnsi="Times New Roman"/>
          <w:color w:val="000000"/>
          <w:sz w:val="23"/>
          <w:szCs w:val="23"/>
          <w:lang w:eastAsia="en-AU"/>
        </w:rPr>
        <w:tab/>
        <w:t>(2)</w:t>
      </w:r>
      <w:r w:rsidRPr="00130B02">
        <w:rPr>
          <w:rFonts w:ascii="Times New Roman" w:eastAsia="Times New Roman" w:hAnsi="Times New Roman"/>
          <w:color w:val="000000"/>
          <w:sz w:val="23"/>
          <w:szCs w:val="23"/>
          <w:lang w:eastAsia="en-AU"/>
        </w:rPr>
        <w:tab/>
        <w:t>The prohibition has effect during the periods specified in the Schedule.</w:t>
      </w:r>
    </w:p>
    <w:p w:rsidR="00130B02" w:rsidRPr="00130B02" w:rsidRDefault="00130B02" w:rsidP="00130B02">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30B02">
        <w:rPr>
          <w:rFonts w:ascii="Times New Roman" w:eastAsia="Times New Roman" w:hAnsi="Times New Roman"/>
          <w:color w:val="000000"/>
          <w:sz w:val="23"/>
          <w:szCs w:val="23"/>
          <w:lang w:eastAsia="en-AU"/>
        </w:rPr>
        <w:tab/>
        <w:t>(3)</w:t>
      </w:r>
      <w:r w:rsidRPr="00130B02">
        <w:rPr>
          <w:rFonts w:ascii="Times New Roman" w:eastAsia="Times New Roman" w:hAnsi="Times New Roman"/>
          <w:color w:val="000000"/>
          <w:sz w:val="23"/>
          <w:szCs w:val="23"/>
          <w:lang w:eastAsia="en-AU"/>
        </w:rPr>
        <w:tab/>
        <w:t>The prohibition does not extend to private land in the area described in the Schedule.</w:t>
      </w:r>
    </w:p>
    <w:p w:rsidR="00130B02" w:rsidRPr="00130B02" w:rsidRDefault="00130B02" w:rsidP="00130B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30B02">
        <w:rPr>
          <w:rFonts w:ascii="Times New Roman" w:eastAsia="Times New Roman" w:hAnsi="Times New Roman"/>
          <w:color w:val="000000"/>
          <w:sz w:val="23"/>
          <w:szCs w:val="23"/>
          <w:lang w:eastAsia="en-AU"/>
        </w:rPr>
        <w:tab/>
        <w:t>(4)</w:t>
      </w:r>
      <w:r w:rsidRPr="00130B02">
        <w:rPr>
          <w:rFonts w:ascii="Times New Roman" w:eastAsia="Times New Roman" w:hAnsi="Times New Roman"/>
          <w:color w:val="000000"/>
          <w:sz w:val="23"/>
          <w:szCs w:val="23"/>
          <w:lang w:eastAsia="en-AU"/>
        </w:rPr>
        <w:tab/>
        <w:t>Unless the contrary intention appears, the prohibition of the possession of liquor in the area does not extend to—</w:t>
      </w:r>
    </w:p>
    <w:p w:rsidR="00130B02" w:rsidRPr="00130B02" w:rsidRDefault="00130B02" w:rsidP="00130B02">
      <w:pPr>
        <w:keepLines/>
        <w:tabs>
          <w:tab w:val="center" w:pos="1191"/>
          <w:tab w:val="left" w:pos="1588"/>
        </w:tabs>
        <w:autoSpaceDE w:val="0"/>
        <w:autoSpaceDN w:val="0"/>
        <w:adjustRightInd w:val="0"/>
        <w:spacing w:before="120" w:after="0" w:line="240" w:lineRule="auto"/>
        <w:ind w:left="1588" w:hanging="794"/>
        <w:jc w:val="left"/>
        <w:rPr>
          <w:rFonts w:ascii="Times New Roman" w:eastAsiaTheme="minorEastAsia" w:hAnsi="Times New Roman"/>
          <w:color w:val="000000"/>
          <w:sz w:val="23"/>
          <w:szCs w:val="23"/>
          <w:lang w:eastAsia="en-AU"/>
        </w:rPr>
      </w:pPr>
      <w:r w:rsidRPr="00130B02">
        <w:rPr>
          <w:rFonts w:ascii="Times New Roman" w:eastAsiaTheme="minorEastAsia" w:hAnsi="Times New Roman"/>
          <w:color w:val="000000"/>
          <w:sz w:val="23"/>
          <w:szCs w:val="23"/>
          <w:lang w:eastAsia="en-AU"/>
        </w:rPr>
        <w:tab/>
        <w:t>(a)</w:t>
      </w:r>
      <w:r w:rsidRPr="00130B02">
        <w:rPr>
          <w:rFonts w:ascii="Times New Roman" w:eastAsiaTheme="minorEastAsia" w:hAnsi="Times New Roman"/>
          <w:color w:val="000000"/>
          <w:sz w:val="23"/>
          <w:szCs w:val="23"/>
          <w:lang w:eastAsia="en-AU"/>
        </w:rPr>
        <w:tab/>
        <w:t>a person who is genuinely passing through the place if—</w:t>
      </w:r>
    </w:p>
    <w:p w:rsidR="00130B02" w:rsidRPr="00130B02" w:rsidRDefault="00130B02" w:rsidP="00130B02">
      <w:pPr>
        <w:keepLines/>
        <w:tabs>
          <w:tab w:val="center" w:pos="1985"/>
          <w:tab w:val="left" w:pos="2382"/>
        </w:tabs>
        <w:autoSpaceDE w:val="0"/>
        <w:autoSpaceDN w:val="0"/>
        <w:adjustRightInd w:val="0"/>
        <w:spacing w:before="120" w:after="0" w:line="240" w:lineRule="auto"/>
        <w:ind w:left="2382" w:hanging="794"/>
        <w:jc w:val="left"/>
        <w:rPr>
          <w:rFonts w:ascii="Times New Roman" w:eastAsiaTheme="minorEastAsia" w:hAnsi="Times New Roman"/>
          <w:color w:val="000000"/>
          <w:sz w:val="23"/>
          <w:szCs w:val="23"/>
          <w:lang w:eastAsia="en-AU"/>
        </w:rPr>
      </w:pPr>
      <w:r w:rsidRPr="00130B02">
        <w:rPr>
          <w:rFonts w:ascii="Times New Roman" w:eastAsiaTheme="minorEastAsia" w:hAnsi="Times New Roman"/>
          <w:color w:val="000000"/>
          <w:sz w:val="23"/>
          <w:szCs w:val="23"/>
          <w:lang w:eastAsia="en-AU"/>
        </w:rPr>
        <w:tab/>
        <w:t>(i)</w:t>
      </w:r>
      <w:r w:rsidRPr="00130B02">
        <w:rPr>
          <w:rFonts w:ascii="Times New Roman" w:eastAsiaTheme="minorEastAsia" w:hAnsi="Times New Roman"/>
          <w:color w:val="000000"/>
          <w:sz w:val="23"/>
          <w:szCs w:val="23"/>
          <w:lang w:eastAsia="en-AU"/>
        </w:rPr>
        <w:tab/>
        <w:t>the liquor is in the original container in which it was purchased from licensed premises; and</w:t>
      </w:r>
    </w:p>
    <w:p w:rsidR="00130B02" w:rsidRPr="00130B02" w:rsidRDefault="00130B02" w:rsidP="00130B02">
      <w:pPr>
        <w:keepLines/>
        <w:tabs>
          <w:tab w:val="center" w:pos="1985"/>
          <w:tab w:val="left" w:pos="2382"/>
        </w:tabs>
        <w:autoSpaceDE w:val="0"/>
        <w:autoSpaceDN w:val="0"/>
        <w:adjustRightInd w:val="0"/>
        <w:spacing w:before="120" w:after="0" w:line="240" w:lineRule="auto"/>
        <w:ind w:left="2382" w:hanging="794"/>
        <w:jc w:val="left"/>
        <w:rPr>
          <w:rFonts w:ascii="Times New Roman" w:eastAsiaTheme="minorEastAsia" w:hAnsi="Times New Roman"/>
          <w:color w:val="000000"/>
          <w:sz w:val="23"/>
          <w:szCs w:val="23"/>
          <w:lang w:eastAsia="en-AU"/>
        </w:rPr>
      </w:pPr>
      <w:r w:rsidRPr="00130B02">
        <w:rPr>
          <w:rFonts w:ascii="Times New Roman" w:eastAsiaTheme="minorEastAsia" w:hAnsi="Times New Roman"/>
          <w:color w:val="000000"/>
          <w:sz w:val="23"/>
          <w:szCs w:val="23"/>
          <w:lang w:eastAsia="en-AU"/>
        </w:rPr>
        <w:tab/>
        <w:t>(ii)</w:t>
      </w:r>
      <w:r w:rsidRPr="00130B02">
        <w:rPr>
          <w:rFonts w:ascii="Times New Roman" w:eastAsiaTheme="minorEastAsia" w:hAnsi="Times New Roman"/>
          <w:color w:val="000000"/>
          <w:sz w:val="23"/>
          <w:szCs w:val="23"/>
          <w:lang w:eastAsia="en-AU"/>
        </w:rPr>
        <w:tab/>
        <w:t>the container has not been opened; or</w:t>
      </w:r>
    </w:p>
    <w:p w:rsidR="00130B02" w:rsidRPr="00130B02" w:rsidRDefault="00130B02" w:rsidP="00130B02">
      <w:pPr>
        <w:keepLines/>
        <w:tabs>
          <w:tab w:val="center" w:pos="1191"/>
          <w:tab w:val="left" w:pos="1588"/>
        </w:tabs>
        <w:autoSpaceDE w:val="0"/>
        <w:autoSpaceDN w:val="0"/>
        <w:adjustRightInd w:val="0"/>
        <w:spacing w:before="120" w:after="0" w:line="240" w:lineRule="auto"/>
        <w:ind w:left="1588" w:hanging="794"/>
        <w:jc w:val="left"/>
        <w:rPr>
          <w:rFonts w:ascii="Times New Roman" w:eastAsiaTheme="minorEastAsia" w:hAnsi="Times New Roman"/>
          <w:color w:val="000000"/>
          <w:sz w:val="23"/>
          <w:szCs w:val="23"/>
          <w:lang w:eastAsia="en-AU"/>
        </w:rPr>
      </w:pPr>
      <w:r w:rsidRPr="00130B02">
        <w:rPr>
          <w:rFonts w:ascii="Times New Roman" w:eastAsiaTheme="minorEastAsia" w:hAnsi="Times New Roman"/>
          <w:color w:val="000000"/>
          <w:sz w:val="23"/>
          <w:szCs w:val="23"/>
          <w:lang w:eastAsia="en-AU"/>
        </w:rPr>
        <w:tab/>
        <w:t>(b)</w:t>
      </w:r>
      <w:r w:rsidRPr="00130B02">
        <w:rPr>
          <w:rFonts w:ascii="Times New Roman" w:eastAsiaTheme="minorEastAsia" w:hAnsi="Times New Roman"/>
          <w:color w:val="000000"/>
          <w:sz w:val="23"/>
          <w:szCs w:val="23"/>
          <w:lang w:eastAsia="en-AU"/>
        </w:rPr>
        <w:tab/>
        <w:t>a person who has possession of the liquor in the course of carrying on a business or in the course of their employment by another person in the course of carrying on a business; or</w:t>
      </w:r>
    </w:p>
    <w:p w:rsidR="00130B02" w:rsidRPr="00130B02" w:rsidRDefault="00130B02" w:rsidP="00130B02">
      <w:pPr>
        <w:keepLines/>
        <w:tabs>
          <w:tab w:val="center" w:pos="1191"/>
          <w:tab w:val="left" w:pos="1588"/>
        </w:tabs>
        <w:autoSpaceDE w:val="0"/>
        <w:autoSpaceDN w:val="0"/>
        <w:adjustRightInd w:val="0"/>
        <w:spacing w:before="120" w:after="0" w:line="240" w:lineRule="auto"/>
        <w:ind w:left="1588" w:hanging="794"/>
        <w:jc w:val="left"/>
        <w:rPr>
          <w:rFonts w:ascii="Times New Roman" w:eastAsiaTheme="minorEastAsia" w:hAnsi="Times New Roman"/>
          <w:color w:val="000000"/>
          <w:sz w:val="23"/>
          <w:szCs w:val="23"/>
          <w:lang w:eastAsia="en-AU"/>
        </w:rPr>
      </w:pPr>
      <w:r w:rsidRPr="00130B02">
        <w:rPr>
          <w:rFonts w:ascii="Times New Roman" w:eastAsiaTheme="minorEastAsia" w:hAnsi="Times New Roman"/>
          <w:color w:val="000000"/>
          <w:sz w:val="23"/>
          <w:szCs w:val="23"/>
          <w:lang w:eastAsia="en-AU"/>
        </w:rPr>
        <w:tab/>
        <w:t>(c)</w:t>
      </w:r>
      <w:r w:rsidRPr="00130B02">
        <w:rPr>
          <w:rFonts w:ascii="Times New Roman" w:eastAsiaTheme="minorEastAsia" w:hAnsi="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rsidR="00130B02" w:rsidRPr="00130B02" w:rsidRDefault="00130B02" w:rsidP="00130B02">
      <w:pPr>
        <w:keepLines/>
        <w:tabs>
          <w:tab w:val="center" w:pos="1191"/>
          <w:tab w:val="left" w:pos="1588"/>
        </w:tabs>
        <w:autoSpaceDE w:val="0"/>
        <w:autoSpaceDN w:val="0"/>
        <w:adjustRightInd w:val="0"/>
        <w:spacing w:before="120" w:after="0" w:line="240" w:lineRule="auto"/>
        <w:ind w:left="1588" w:hanging="794"/>
        <w:jc w:val="left"/>
        <w:rPr>
          <w:rFonts w:ascii="Times New Roman" w:eastAsiaTheme="minorEastAsia" w:hAnsi="Times New Roman"/>
          <w:color w:val="000000"/>
          <w:sz w:val="23"/>
          <w:szCs w:val="23"/>
          <w:lang w:eastAsia="en-AU"/>
        </w:rPr>
      </w:pPr>
      <w:r w:rsidRPr="00130B02">
        <w:rPr>
          <w:rFonts w:ascii="Times New Roman" w:eastAsiaTheme="minorEastAsia" w:hAnsi="Times New Roman"/>
          <w:color w:val="000000"/>
          <w:sz w:val="23"/>
          <w:szCs w:val="23"/>
          <w:lang w:eastAsia="en-AU"/>
        </w:rPr>
        <w:tab/>
        <w:t>(d)</w:t>
      </w:r>
      <w:r w:rsidRPr="00130B02">
        <w:rPr>
          <w:rFonts w:ascii="Times New Roman" w:eastAsiaTheme="minorEastAsia" w:hAnsi="Times New Roman"/>
          <w:color w:val="000000"/>
          <w:sz w:val="23"/>
          <w:szCs w:val="23"/>
          <w:lang w:eastAsia="en-AU"/>
        </w:rPr>
        <w:tab/>
        <w:t>a person who possesses or consumes the liquor for sacramental or other similar religious purposes.</w:t>
      </w:r>
    </w:p>
    <w:p w:rsidR="00627175" w:rsidRDefault="00627175">
      <w:pPr>
        <w:spacing w:after="0" w:line="240" w:lineRule="auto"/>
        <w:jc w:val="left"/>
        <w:rPr>
          <w:rFonts w:ascii="Times New Roman" w:eastAsia="Times New Roman" w:hAnsi="Times New Roman"/>
          <w:b/>
          <w:bCs/>
          <w:color w:val="000000"/>
          <w:sz w:val="32"/>
          <w:szCs w:val="32"/>
          <w:lang w:eastAsia="en-AU"/>
        </w:rPr>
      </w:pPr>
      <w:r>
        <w:rPr>
          <w:rFonts w:ascii="Times New Roman" w:eastAsia="Times New Roman" w:hAnsi="Times New Roman"/>
          <w:b/>
          <w:bCs/>
          <w:color w:val="000000"/>
          <w:sz w:val="32"/>
          <w:szCs w:val="32"/>
          <w:lang w:eastAsia="en-AU"/>
        </w:rPr>
        <w:br w:type="page"/>
      </w:r>
    </w:p>
    <w:p w:rsidR="00130B02" w:rsidRPr="00130B02" w:rsidRDefault="00130B02" w:rsidP="00130B02">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130B02">
        <w:rPr>
          <w:rFonts w:ascii="Times New Roman" w:eastAsia="Times New Roman" w:hAnsi="Times New Roman"/>
          <w:b/>
          <w:bCs/>
          <w:color w:val="000000"/>
          <w:sz w:val="32"/>
          <w:szCs w:val="32"/>
          <w:lang w:eastAsia="en-AU"/>
        </w:rPr>
        <w:lastRenderedPageBreak/>
        <w:t>Schedule—Christie Downs Area 1</w:t>
      </w:r>
    </w:p>
    <w:p w:rsidR="00130B02" w:rsidRPr="00130B02" w:rsidRDefault="00130B02" w:rsidP="00130B02">
      <w:pPr>
        <w:keepNext/>
        <w:keepLines/>
        <w:autoSpaceDE w:val="0"/>
        <w:autoSpaceDN w:val="0"/>
        <w:adjustRightInd w:val="0"/>
        <w:spacing w:before="120" w:after="0" w:line="240" w:lineRule="auto"/>
        <w:jc w:val="left"/>
        <w:rPr>
          <w:rFonts w:ascii="Times New Roman" w:eastAsia="Times New Roman" w:hAnsi="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549"/>
        <w:gridCol w:w="8237"/>
      </w:tblGrid>
      <w:tr w:rsidR="00130B02" w:rsidRPr="00130B02" w:rsidTr="00491D21">
        <w:tc>
          <w:tcPr>
            <w:tcW w:w="8786" w:type="dxa"/>
            <w:gridSpan w:val="2"/>
            <w:tcBorders>
              <w:top w:val="nil"/>
              <w:left w:val="nil"/>
              <w:bottom w:val="nil"/>
              <w:right w:val="nil"/>
            </w:tcBorders>
            <w:vAlign w:val="center"/>
          </w:tcPr>
          <w:p w:rsidR="00130B02" w:rsidRPr="00130B02" w:rsidRDefault="00130B02" w:rsidP="00130B02">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30B02">
              <w:rPr>
                <w:rFonts w:ascii="Times New Roman" w:eastAsia="Times New Roman" w:hAnsi="Times New Roman"/>
                <w:b/>
                <w:bCs/>
                <w:color w:val="000000"/>
                <w:sz w:val="23"/>
                <w:szCs w:val="23"/>
                <w:lang w:eastAsia="en-AU"/>
              </w:rPr>
              <w:t>1—Extent of prohibition</w:t>
            </w:r>
          </w:p>
        </w:tc>
      </w:tr>
      <w:tr w:rsidR="00130B02" w:rsidRPr="00130B02" w:rsidTr="00491D21">
        <w:tc>
          <w:tcPr>
            <w:tcW w:w="549" w:type="dxa"/>
            <w:tcBorders>
              <w:top w:val="nil"/>
              <w:left w:val="nil"/>
              <w:bottom w:val="nil"/>
              <w:right w:val="nil"/>
            </w:tcBorders>
            <w:vAlign w:val="center"/>
          </w:tcPr>
          <w:p w:rsidR="00130B02" w:rsidRPr="00130B02" w:rsidRDefault="00130B02" w:rsidP="00130B02">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
        </w:tc>
        <w:tc>
          <w:tcPr>
            <w:tcW w:w="8237" w:type="dxa"/>
            <w:tcBorders>
              <w:top w:val="nil"/>
              <w:left w:val="nil"/>
              <w:bottom w:val="nil"/>
              <w:right w:val="nil"/>
            </w:tcBorders>
            <w:vAlign w:val="center"/>
          </w:tcPr>
          <w:p w:rsidR="00130B02" w:rsidRPr="00130B02" w:rsidRDefault="00130B02" w:rsidP="00130B02">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30B02">
              <w:rPr>
                <w:rFonts w:ascii="Times New Roman" w:eastAsia="Times New Roman" w:hAnsi="Times New Roman"/>
                <w:color w:val="000000"/>
                <w:sz w:val="23"/>
                <w:szCs w:val="23"/>
                <w:lang w:eastAsia="en-AU"/>
              </w:rPr>
              <w:t>The consumption of liquor is prohibited and the possession of liquor is prohibited.</w:t>
            </w:r>
          </w:p>
        </w:tc>
      </w:tr>
      <w:tr w:rsidR="00130B02" w:rsidRPr="00130B02" w:rsidTr="00491D21">
        <w:tc>
          <w:tcPr>
            <w:tcW w:w="8786" w:type="dxa"/>
            <w:gridSpan w:val="2"/>
            <w:tcBorders>
              <w:top w:val="nil"/>
              <w:left w:val="nil"/>
              <w:bottom w:val="nil"/>
              <w:right w:val="nil"/>
            </w:tcBorders>
            <w:vAlign w:val="center"/>
          </w:tcPr>
          <w:p w:rsidR="00130B02" w:rsidRPr="00130B02" w:rsidRDefault="00130B02" w:rsidP="00130B02">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30B02">
              <w:rPr>
                <w:rFonts w:ascii="Times New Roman" w:eastAsia="Times New Roman" w:hAnsi="Times New Roman"/>
                <w:b/>
                <w:bCs/>
                <w:color w:val="000000"/>
                <w:sz w:val="23"/>
                <w:szCs w:val="23"/>
                <w:lang w:eastAsia="en-AU"/>
              </w:rPr>
              <w:t>2—Period of prohibition</w:t>
            </w:r>
          </w:p>
        </w:tc>
      </w:tr>
      <w:tr w:rsidR="00130B02" w:rsidRPr="00130B02" w:rsidTr="00491D21">
        <w:tc>
          <w:tcPr>
            <w:tcW w:w="549" w:type="dxa"/>
            <w:tcBorders>
              <w:top w:val="nil"/>
              <w:left w:val="nil"/>
              <w:bottom w:val="nil"/>
              <w:right w:val="nil"/>
            </w:tcBorders>
            <w:vAlign w:val="center"/>
          </w:tcPr>
          <w:p w:rsidR="00130B02" w:rsidRPr="00130B02" w:rsidRDefault="00130B02" w:rsidP="00130B02">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
        </w:tc>
        <w:tc>
          <w:tcPr>
            <w:tcW w:w="8237" w:type="dxa"/>
            <w:tcBorders>
              <w:top w:val="nil"/>
              <w:left w:val="nil"/>
              <w:bottom w:val="nil"/>
              <w:right w:val="nil"/>
            </w:tcBorders>
            <w:vAlign w:val="center"/>
          </w:tcPr>
          <w:p w:rsidR="00130B02" w:rsidRPr="00130B02" w:rsidRDefault="00130B02" w:rsidP="00130B02">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30B02">
              <w:rPr>
                <w:rFonts w:ascii="Times New Roman" w:eastAsia="Times New Roman" w:hAnsi="Times New Roman"/>
                <w:color w:val="000000"/>
                <w:sz w:val="23"/>
                <w:szCs w:val="23"/>
                <w:lang w:eastAsia="en-AU"/>
              </w:rPr>
              <w:t xml:space="preserve">Continuous. </w:t>
            </w:r>
          </w:p>
        </w:tc>
      </w:tr>
      <w:tr w:rsidR="00130B02" w:rsidRPr="00130B02" w:rsidTr="00491D21">
        <w:tc>
          <w:tcPr>
            <w:tcW w:w="8786" w:type="dxa"/>
            <w:gridSpan w:val="2"/>
            <w:tcBorders>
              <w:top w:val="nil"/>
              <w:left w:val="nil"/>
              <w:bottom w:val="nil"/>
              <w:right w:val="nil"/>
            </w:tcBorders>
            <w:vAlign w:val="center"/>
          </w:tcPr>
          <w:p w:rsidR="00130B02" w:rsidRPr="00130B02" w:rsidRDefault="00130B02" w:rsidP="00130B02">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30B02">
              <w:rPr>
                <w:rFonts w:ascii="Times New Roman" w:eastAsia="Times New Roman" w:hAnsi="Times New Roman"/>
                <w:b/>
                <w:bCs/>
                <w:color w:val="000000"/>
                <w:sz w:val="23"/>
                <w:szCs w:val="23"/>
                <w:lang w:eastAsia="en-AU"/>
              </w:rPr>
              <w:t>3—Description of area</w:t>
            </w:r>
          </w:p>
        </w:tc>
      </w:tr>
      <w:tr w:rsidR="00130B02" w:rsidRPr="00130B02" w:rsidTr="00491D21">
        <w:tc>
          <w:tcPr>
            <w:tcW w:w="549" w:type="dxa"/>
            <w:tcBorders>
              <w:top w:val="nil"/>
              <w:left w:val="nil"/>
              <w:bottom w:val="nil"/>
              <w:right w:val="nil"/>
            </w:tcBorders>
            <w:vAlign w:val="center"/>
          </w:tcPr>
          <w:p w:rsidR="00130B02" w:rsidRPr="00130B02" w:rsidRDefault="00130B02" w:rsidP="00130B02">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
        </w:tc>
        <w:tc>
          <w:tcPr>
            <w:tcW w:w="8237" w:type="dxa"/>
            <w:tcBorders>
              <w:top w:val="nil"/>
              <w:left w:val="nil"/>
              <w:bottom w:val="nil"/>
              <w:right w:val="nil"/>
            </w:tcBorders>
            <w:vAlign w:val="center"/>
          </w:tcPr>
          <w:p w:rsidR="00130B02" w:rsidRPr="00130B02" w:rsidRDefault="00130B02" w:rsidP="00130B02">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30B02">
              <w:rPr>
                <w:rFonts w:ascii="Times New Roman" w:eastAsia="Times New Roman" w:hAnsi="Times New Roman"/>
                <w:color w:val="000000"/>
                <w:sz w:val="23"/>
                <w:szCs w:val="23"/>
                <w:lang w:eastAsia="en-AU"/>
              </w:rPr>
              <w:t>The area in Christie Downs generally known as Niipu-niipu Wama/Morton Park being the area bounded on the north by Flaxmill Road, on the west by the Seaford railway line, on the south by the southern part of the car park continuing east along Finbar Crescent, on the east by Morton Road, excluding the Christie Down Community House and the associated enclosed outside area as designated by a chain fence.</w:t>
            </w:r>
          </w:p>
        </w:tc>
      </w:tr>
    </w:tbl>
    <w:p w:rsidR="00130B02" w:rsidRPr="00130B02" w:rsidRDefault="00130B02" w:rsidP="00130B02">
      <w:pPr>
        <w:keepNext/>
        <w:keepLines/>
        <w:autoSpaceDE w:val="0"/>
        <w:autoSpaceDN w:val="0"/>
        <w:adjustRightInd w:val="0"/>
        <w:spacing w:before="120" w:after="0" w:line="240" w:lineRule="auto"/>
        <w:jc w:val="center"/>
        <w:rPr>
          <w:rFonts w:ascii="Times New Roman" w:eastAsia="Times New Roman" w:hAnsi="Times New Roman"/>
          <w:b/>
          <w:bCs/>
          <w:color w:val="000000"/>
          <w:sz w:val="26"/>
          <w:szCs w:val="26"/>
          <w:lang w:eastAsia="en-AU"/>
        </w:rPr>
      </w:pPr>
      <w:r w:rsidRPr="00130B02">
        <w:rPr>
          <w:rFonts w:ascii="Times New Roman" w:eastAsia="Times New Roman" w:hAnsi="Times New Roman"/>
          <w:b/>
          <w:bCs/>
          <w:noProof/>
          <w:color w:val="000000"/>
          <w:sz w:val="26"/>
          <w:szCs w:val="26"/>
          <w:lang w:eastAsia="en-AU"/>
        </w:rPr>
        <w:lastRenderedPageBreak/>
        <w:drawing>
          <wp:inline distT="0" distB="0" distL="0" distR="0" wp14:anchorId="2522D1F3" wp14:editId="43DD0F8C">
            <wp:extent cx="4225159" cy="6168183"/>
            <wp:effectExtent l="0" t="0" r="4445" b="4445"/>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44507" cy="6196429"/>
                    </a:xfrm>
                    <a:prstGeom prst="rect">
                      <a:avLst/>
                    </a:prstGeom>
                    <a:noFill/>
                  </pic:spPr>
                </pic:pic>
              </a:graphicData>
            </a:graphic>
          </wp:inline>
        </w:drawing>
      </w:r>
    </w:p>
    <w:p w:rsidR="00130B02" w:rsidRPr="00130B02" w:rsidRDefault="00130B02" w:rsidP="00130B02">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130B02">
        <w:rPr>
          <w:rFonts w:ascii="Times New Roman" w:eastAsia="Times New Roman" w:hAnsi="Times New Roman"/>
          <w:b/>
          <w:bCs/>
          <w:color w:val="000000"/>
          <w:sz w:val="26"/>
          <w:szCs w:val="26"/>
          <w:lang w:eastAsia="en-AU"/>
        </w:rPr>
        <w:t xml:space="preserve">Made by the Minister for Planning and Local Government </w:t>
      </w:r>
    </w:p>
    <w:p w:rsidR="00130B02" w:rsidRPr="00130B02" w:rsidRDefault="00130B02" w:rsidP="00130B02">
      <w:pPr>
        <w:keepNext/>
        <w:keepLines/>
        <w:autoSpaceDE w:val="0"/>
        <w:autoSpaceDN w:val="0"/>
        <w:adjustRightInd w:val="0"/>
        <w:spacing w:before="120" w:after="0" w:line="240" w:lineRule="auto"/>
        <w:jc w:val="left"/>
        <w:rPr>
          <w:rFonts w:ascii="Times New Roman" w:eastAsia="Times New Roman" w:hAnsi="Times New Roman"/>
          <w:color w:val="000000"/>
          <w:sz w:val="26"/>
          <w:szCs w:val="26"/>
          <w:lang w:eastAsia="en-AU"/>
        </w:rPr>
      </w:pPr>
      <w:r w:rsidRPr="00130B02">
        <w:rPr>
          <w:rFonts w:ascii="Times New Roman" w:eastAsia="Times New Roman" w:hAnsi="Times New Roman"/>
          <w:color w:val="000000"/>
          <w:sz w:val="26"/>
          <w:szCs w:val="26"/>
          <w:lang w:eastAsia="en-AU"/>
        </w:rPr>
        <w:t>(exercising the powers and functions of the Attorney-General)</w:t>
      </w:r>
    </w:p>
    <w:p w:rsidR="00130B02" w:rsidRDefault="00130B02" w:rsidP="00130B02">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30B02">
        <w:rPr>
          <w:rFonts w:ascii="Times New Roman" w:eastAsia="Times New Roman" w:hAnsi="Times New Roman"/>
          <w:color w:val="000000"/>
          <w:sz w:val="23"/>
          <w:szCs w:val="23"/>
          <w:lang w:eastAsia="en-AU"/>
        </w:rPr>
        <w:t>On 21 December 2021</w:t>
      </w:r>
    </w:p>
    <w:p w:rsidR="00130B02" w:rsidRDefault="00130B02" w:rsidP="00130B02">
      <w:pPr>
        <w:pBdr>
          <w:bottom w:val="single" w:sz="4" w:space="1" w:color="auto"/>
        </w:pBdr>
        <w:spacing w:after="0" w:line="52" w:lineRule="exact"/>
        <w:jc w:val="center"/>
        <w:rPr>
          <w:rFonts w:ascii="Times New Roman" w:eastAsia="Times New Roman" w:hAnsi="Times New Roman"/>
          <w:sz w:val="17"/>
          <w:szCs w:val="20"/>
        </w:rPr>
      </w:pPr>
    </w:p>
    <w:p w:rsidR="00130B02" w:rsidRDefault="00130B02" w:rsidP="00130B02">
      <w:pPr>
        <w:pBdr>
          <w:top w:val="single" w:sz="4" w:space="1" w:color="auto"/>
        </w:pBdr>
        <w:spacing w:before="34" w:after="0" w:line="14" w:lineRule="exact"/>
        <w:jc w:val="center"/>
        <w:rPr>
          <w:rFonts w:ascii="Times New Roman" w:eastAsia="Times New Roman" w:hAnsi="Times New Roman"/>
          <w:sz w:val="17"/>
          <w:szCs w:val="20"/>
        </w:rPr>
      </w:pPr>
    </w:p>
    <w:p w:rsidR="00130B02" w:rsidRDefault="00130B02" w:rsidP="00130B0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2C29E8" w:rsidRPr="002C29E8" w:rsidRDefault="002C29E8" w:rsidP="00B069DE">
      <w:pPr>
        <w:pStyle w:val="Heading2"/>
      </w:pPr>
      <w:bookmarkStart w:id="83" w:name="_Toc91161268"/>
      <w:r w:rsidRPr="002C29E8">
        <w:t>Local Government Act 1999</w:t>
      </w:r>
      <w:bookmarkEnd w:id="83"/>
    </w:p>
    <w:p w:rsidR="002C29E8" w:rsidRPr="002C29E8" w:rsidRDefault="002C29E8" w:rsidP="006D1645">
      <w:pPr>
        <w:spacing w:after="60"/>
        <w:jc w:val="center"/>
        <w:rPr>
          <w:rFonts w:ascii="Times New Roman" w:hAnsi="Times New Roman"/>
          <w:caps/>
          <w:smallCaps/>
          <w:sz w:val="17"/>
          <w:szCs w:val="17"/>
        </w:rPr>
      </w:pPr>
      <w:r w:rsidRPr="002C29E8">
        <w:rPr>
          <w:rFonts w:ascii="Times New Roman" w:hAnsi="Times New Roman"/>
          <w:smallCaps/>
          <w:sz w:val="17"/>
          <w:szCs w:val="17"/>
        </w:rPr>
        <w:t>Section 262F(6)</w:t>
      </w:r>
    </w:p>
    <w:p w:rsidR="002C29E8" w:rsidRPr="002C29E8" w:rsidRDefault="002C29E8" w:rsidP="006D1645">
      <w:pPr>
        <w:spacing w:after="60"/>
        <w:jc w:val="center"/>
        <w:rPr>
          <w:rFonts w:ascii="Times New Roman" w:hAnsi="Times New Roman"/>
          <w:i/>
          <w:sz w:val="17"/>
          <w:szCs w:val="17"/>
        </w:rPr>
      </w:pPr>
      <w:r w:rsidRPr="002C29E8">
        <w:rPr>
          <w:rFonts w:ascii="Times New Roman" w:hAnsi="Times New Roman"/>
          <w:i/>
          <w:sz w:val="17"/>
          <w:szCs w:val="17"/>
        </w:rPr>
        <w:t>Specified Registered Industrial Associations</w:t>
      </w:r>
    </w:p>
    <w:p w:rsidR="002C29E8" w:rsidRPr="002C29E8" w:rsidRDefault="002C29E8" w:rsidP="006D1645">
      <w:pPr>
        <w:spacing w:after="60"/>
        <w:rPr>
          <w:rFonts w:ascii="Times New Roman" w:eastAsia="Times New Roman" w:hAnsi="Times New Roman"/>
          <w:sz w:val="17"/>
          <w:szCs w:val="17"/>
        </w:rPr>
      </w:pPr>
      <w:r w:rsidRPr="002C29E8">
        <w:rPr>
          <w:rFonts w:ascii="Times New Roman" w:eastAsia="Times New Roman" w:hAnsi="Times New Roman"/>
          <w:sz w:val="17"/>
          <w:szCs w:val="17"/>
        </w:rPr>
        <w:t xml:space="preserve">The following registered industrial associations that represent the interests of employees of councils are specified for the purposes of section 262F(6) of the </w:t>
      </w:r>
      <w:r w:rsidRPr="002C29E8">
        <w:rPr>
          <w:rFonts w:ascii="Times New Roman" w:eastAsia="Times New Roman" w:hAnsi="Times New Roman"/>
          <w:i/>
          <w:iCs/>
          <w:sz w:val="17"/>
          <w:szCs w:val="17"/>
        </w:rPr>
        <w:t>Local Government Act 1999</w:t>
      </w:r>
      <w:r w:rsidRPr="002C29E8">
        <w:rPr>
          <w:rFonts w:ascii="Times New Roman" w:eastAsia="Times New Roman" w:hAnsi="Times New Roman"/>
          <w:sz w:val="17"/>
          <w:szCs w:val="17"/>
        </w:rPr>
        <w:t>:</w:t>
      </w:r>
    </w:p>
    <w:p w:rsidR="002C29E8" w:rsidRPr="002C29E8" w:rsidRDefault="002C29E8" w:rsidP="002C29E8">
      <w:pPr>
        <w:numPr>
          <w:ilvl w:val="0"/>
          <w:numId w:val="219"/>
        </w:numPr>
        <w:spacing w:after="0"/>
        <w:ind w:left="425" w:hanging="295"/>
        <w:rPr>
          <w:rFonts w:ascii="Times New Roman" w:eastAsia="Times New Roman" w:hAnsi="Times New Roman"/>
          <w:sz w:val="17"/>
          <w:szCs w:val="17"/>
        </w:rPr>
      </w:pPr>
      <w:r w:rsidRPr="002C29E8">
        <w:rPr>
          <w:rFonts w:ascii="Times New Roman" w:eastAsia="Times New Roman" w:hAnsi="Times New Roman"/>
          <w:sz w:val="17"/>
          <w:szCs w:val="17"/>
        </w:rPr>
        <w:t>Australian Services Union (South Australian and Northern Territory Branch)</w:t>
      </w:r>
    </w:p>
    <w:p w:rsidR="002C29E8" w:rsidRPr="002C29E8" w:rsidRDefault="002C29E8" w:rsidP="006D1645">
      <w:pPr>
        <w:numPr>
          <w:ilvl w:val="0"/>
          <w:numId w:val="219"/>
        </w:numPr>
        <w:spacing w:after="60"/>
        <w:ind w:left="426" w:hanging="295"/>
        <w:rPr>
          <w:rFonts w:ascii="Times New Roman" w:eastAsia="Times New Roman" w:hAnsi="Times New Roman"/>
          <w:sz w:val="17"/>
          <w:szCs w:val="17"/>
        </w:rPr>
      </w:pPr>
      <w:r w:rsidRPr="002C29E8">
        <w:rPr>
          <w:rFonts w:ascii="Times New Roman" w:eastAsia="Times New Roman" w:hAnsi="Times New Roman"/>
          <w:sz w:val="17"/>
          <w:szCs w:val="17"/>
        </w:rPr>
        <w:t>The Australian Workers Union (South Australian Branch)</w:t>
      </w:r>
    </w:p>
    <w:p w:rsidR="002C29E8" w:rsidRPr="002C29E8" w:rsidRDefault="002C29E8" w:rsidP="006D1645">
      <w:pPr>
        <w:spacing w:after="60"/>
        <w:rPr>
          <w:rFonts w:ascii="Times New Roman" w:eastAsia="Times New Roman" w:hAnsi="Times New Roman"/>
          <w:sz w:val="17"/>
          <w:szCs w:val="17"/>
        </w:rPr>
      </w:pPr>
      <w:r w:rsidRPr="002C29E8">
        <w:rPr>
          <w:rFonts w:ascii="Times New Roman" w:eastAsia="Times New Roman" w:hAnsi="Times New Roman"/>
          <w:sz w:val="17"/>
          <w:szCs w:val="17"/>
        </w:rPr>
        <w:t>This notice has effect on 6 January 2022.</w:t>
      </w:r>
    </w:p>
    <w:p w:rsidR="002C29E8" w:rsidRPr="002C29E8" w:rsidRDefault="002C29E8" w:rsidP="002C29E8">
      <w:pPr>
        <w:spacing w:after="0"/>
        <w:rPr>
          <w:rFonts w:ascii="Times New Roman" w:eastAsia="Times New Roman" w:hAnsi="Times New Roman"/>
          <w:sz w:val="17"/>
          <w:szCs w:val="17"/>
        </w:rPr>
      </w:pPr>
      <w:r w:rsidRPr="002C29E8">
        <w:rPr>
          <w:rFonts w:ascii="Times New Roman" w:eastAsia="Times New Roman" w:hAnsi="Times New Roman"/>
          <w:sz w:val="17"/>
          <w:szCs w:val="17"/>
        </w:rPr>
        <w:t>Dated: 8 December 2021</w:t>
      </w:r>
    </w:p>
    <w:p w:rsidR="002C29E8" w:rsidRPr="002C29E8" w:rsidRDefault="002C29E8" w:rsidP="002C29E8">
      <w:pPr>
        <w:spacing w:after="0"/>
        <w:jc w:val="right"/>
        <w:rPr>
          <w:rFonts w:ascii="Times New Roman" w:eastAsia="Times New Roman" w:hAnsi="Times New Roman"/>
          <w:smallCaps/>
          <w:sz w:val="17"/>
          <w:szCs w:val="20"/>
        </w:rPr>
      </w:pPr>
      <w:r w:rsidRPr="002C29E8">
        <w:rPr>
          <w:rFonts w:ascii="Times New Roman" w:eastAsia="Times New Roman" w:hAnsi="Times New Roman"/>
          <w:smallCaps/>
          <w:sz w:val="17"/>
          <w:szCs w:val="20"/>
        </w:rPr>
        <w:t>Hon Josh Teague MP</w:t>
      </w:r>
    </w:p>
    <w:p w:rsidR="00130B02" w:rsidRDefault="006D1645" w:rsidP="006D1645">
      <w:pPr>
        <w:pStyle w:val="GG-Signature"/>
      </w:pPr>
      <w:r>
        <w:t>Minister f</w:t>
      </w:r>
      <w:r w:rsidR="002C29E8" w:rsidRPr="002C29E8">
        <w:t>or Planning and Local Government</w:t>
      </w:r>
    </w:p>
    <w:p w:rsidR="002C29E8" w:rsidRDefault="002C29E8" w:rsidP="002C29E8">
      <w:pPr>
        <w:pBdr>
          <w:bottom w:val="single" w:sz="4" w:space="1" w:color="auto"/>
        </w:pBdr>
        <w:spacing w:after="0" w:line="52" w:lineRule="exact"/>
        <w:jc w:val="center"/>
        <w:rPr>
          <w:rFonts w:ascii="Times New Roman" w:eastAsia="Times New Roman" w:hAnsi="Times New Roman"/>
          <w:sz w:val="17"/>
          <w:szCs w:val="20"/>
        </w:rPr>
      </w:pPr>
    </w:p>
    <w:p w:rsidR="002C29E8" w:rsidRDefault="002C29E8" w:rsidP="002C29E8">
      <w:pPr>
        <w:pBdr>
          <w:top w:val="single" w:sz="4" w:space="1" w:color="auto"/>
        </w:pBdr>
        <w:spacing w:before="34" w:after="0" w:line="14" w:lineRule="exact"/>
        <w:jc w:val="center"/>
        <w:rPr>
          <w:rFonts w:ascii="Times New Roman" w:eastAsia="Times New Roman" w:hAnsi="Times New Roman"/>
          <w:sz w:val="17"/>
          <w:szCs w:val="20"/>
        </w:rPr>
      </w:pPr>
    </w:p>
    <w:p w:rsidR="00B06DF4" w:rsidRPr="00B06DF4" w:rsidRDefault="00B06DF4" w:rsidP="00B069DE">
      <w:pPr>
        <w:pStyle w:val="Heading2"/>
      </w:pPr>
      <w:bookmarkStart w:id="84" w:name="_Toc91161269"/>
      <w:r w:rsidRPr="00B06DF4">
        <w:lastRenderedPageBreak/>
        <w:t>Mental Health Act 2009</w:t>
      </w:r>
      <w:bookmarkEnd w:id="84"/>
    </w:p>
    <w:p w:rsidR="00B06DF4" w:rsidRPr="00B06DF4" w:rsidRDefault="00B06DF4" w:rsidP="00B06DF4">
      <w:pPr>
        <w:jc w:val="center"/>
        <w:rPr>
          <w:rFonts w:ascii="Times New Roman" w:hAnsi="Times New Roman"/>
          <w:i/>
          <w:sz w:val="17"/>
          <w:szCs w:val="17"/>
        </w:rPr>
      </w:pPr>
      <w:r w:rsidRPr="00B06DF4">
        <w:rPr>
          <w:rFonts w:ascii="Times New Roman" w:hAnsi="Times New Roman"/>
          <w:i/>
          <w:sz w:val="17"/>
          <w:szCs w:val="17"/>
        </w:rPr>
        <w:t>Authorised Mental Health Professional</w:t>
      </w:r>
    </w:p>
    <w:p w:rsidR="00B06DF4" w:rsidRPr="00B06DF4" w:rsidRDefault="00B06DF4" w:rsidP="00B06DF4">
      <w:pPr>
        <w:rPr>
          <w:rFonts w:ascii="Times New Roman" w:eastAsia="Times New Roman" w:hAnsi="Times New Roman"/>
          <w:sz w:val="17"/>
          <w:szCs w:val="17"/>
        </w:rPr>
      </w:pPr>
      <w:r w:rsidRPr="00B06DF4">
        <w:rPr>
          <w:rFonts w:ascii="Times New Roman" w:eastAsia="Times New Roman" w:hAnsi="Times New Roman"/>
          <w:sz w:val="17"/>
          <w:szCs w:val="17"/>
        </w:rPr>
        <w:t xml:space="preserve">NOTICE is hereby given in accordance with Section 94(1) of the </w:t>
      </w:r>
      <w:r w:rsidRPr="00B06DF4">
        <w:rPr>
          <w:rFonts w:ascii="Times New Roman" w:eastAsia="Times New Roman" w:hAnsi="Times New Roman"/>
          <w:i/>
          <w:sz w:val="17"/>
          <w:szCs w:val="17"/>
        </w:rPr>
        <w:t>Mental Health Act 2009</w:t>
      </w:r>
      <w:r w:rsidRPr="00B06DF4">
        <w:rPr>
          <w:rFonts w:ascii="Times New Roman" w:eastAsia="Times New Roman" w:hAnsi="Times New Roman"/>
          <w:sz w:val="17"/>
          <w:szCs w:val="17"/>
        </w:rPr>
        <w:t>, that the Chief Psychiatrist has determined the following person as an Authorised Mental Health Professional:</w:t>
      </w:r>
    </w:p>
    <w:p w:rsidR="00B06DF4" w:rsidRPr="00B06DF4" w:rsidRDefault="00B06DF4" w:rsidP="00B06DF4">
      <w:pPr>
        <w:spacing w:after="0"/>
        <w:ind w:left="142"/>
        <w:rPr>
          <w:rFonts w:ascii="Times New Roman" w:eastAsia="Times New Roman" w:hAnsi="Times New Roman"/>
          <w:sz w:val="17"/>
          <w:szCs w:val="17"/>
        </w:rPr>
      </w:pPr>
      <w:r w:rsidRPr="00B06DF4">
        <w:rPr>
          <w:rFonts w:ascii="Times New Roman" w:eastAsia="Times New Roman" w:hAnsi="Times New Roman"/>
          <w:sz w:val="17"/>
          <w:szCs w:val="17"/>
        </w:rPr>
        <w:t>Tania Alexander</w:t>
      </w:r>
    </w:p>
    <w:p w:rsidR="00B06DF4" w:rsidRPr="00B06DF4" w:rsidRDefault="00B06DF4" w:rsidP="00B06DF4">
      <w:pPr>
        <w:spacing w:after="0"/>
        <w:ind w:left="142"/>
        <w:rPr>
          <w:rFonts w:ascii="Times New Roman" w:eastAsia="Times New Roman" w:hAnsi="Times New Roman"/>
          <w:sz w:val="17"/>
          <w:szCs w:val="17"/>
        </w:rPr>
      </w:pPr>
      <w:r w:rsidRPr="00B06DF4">
        <w:rPr>
          <w:rFonts w:ascii="Times New Roman" w:eastAsia="Times New Roman" w:hAnsi="Times New Roman"/>
          <w:sz w:val="17"/>
          <w:szCs w:val="17"/>
        </w:rPr>
        <w:t>Amii Larsen</w:t>
      </w:r>
    </w:p>
    <w:p w:rsidR="00B06DF4" w:rsidRPr="00B06DF4" w:rsidRDefault="00B06DF4" w:rsidP="00B06DF4">
      <w:pPr>
        <w:spacing w:after="0"/>
        <w:ind w:left="142"/>
        <w:rPr>
          <w:rFonts w:ascii="Times New Roman" w:eastAsia="Times New Roman" w:hAnsi="Times New Roman"/>
          <w:sz w:val="17"/>
          <w:szCs w:val="17"/>
        </w:rPr>
      </w:pPr>
      <w:r w:rsidRPr="00B06DF4">
        <w:rPr>
          <w:rFonts w:ascii="Times New Roman" w:eastAsia="Times New Roman" w:hAnsi="Times New Roman"/>
          <w:sz w:val="17"/>
          <w:szCs w:val="17"/>
        </w:rPr>
        <w:t>Stuart Jones</w:t>
      </w:r>
    </w:p>
    <w:p w:rsidR="00B06DF4" w:rsidRPr="00B06DF4" w:rsidRDefault="00B06DF4" w:rsidP="00B06DF4">
      <w:pPr>
        <w:spacing w:after="0"/>
        <w:ind w:left="142"/>
        <w:rPr>
          <w:rFonts w:ascii="Times New Roman" w:eastAsia="Times New Roman" w:hAnsi="Times New Roman"/>
          <w:sz w:val="17"/>
          <w:szCs w:val="17"/>
        </w:rPr>
      </w:pPr>
      <w:r w:rsidRPr="00B06DF4">
        <w:rPr>
          <w:rFonts w:ascii="Times New Roman" w:eastAsia="Times New Roman" w:hAnsi="Times New Roman"/>
          <w:sz w:val="17"/>
          <w:szCs w:val="17"/>
        </w:rPr>
        <w:t>Sheryl Shipley</w:t>
      </w:r>
    </w:p>
    <w:p w:rsidR="00B06DF4" w:rsidRPr="00B06DF4" w:rsidRDefault="00B06DF4" w:rsidP="00B06DF4">
      <w:pPr>
        <w:spacing w:after="0"/>
        <w:ind w:left="142"/>
        <w:rPr>
          <w:rFonts w:ascii="Times New Roman" w:eastAsia="Times New Roman" w:hAnsi="Times New Roman"/>
          <w:sz w:val="17"/>
          <w:szCs w:val="17"/>
        </w:rPr>
      </w:pPr>
      <w:r w:rsidRPr="00B06DF4">
        <w:rPr>
          <w:rFonts w:ascii="Times New Roman" w:eastAsia="Times New Roman" w:hAnsi="Times New Roman"/>
          <w:sz w:val="17"/>
          <w:szCs w:val="17"/>
        </w:rPr>
        <w:t>Brenton Briggs</w:t>
      </w:r>
    </w:p>
    <w:p w:rsidR="00B06DF4" w:rsidRPr="00B06DF4" w:rsidRDefault="00B06DF4" w:rsidP="00B06DF4">
      <w:pPr>
        <w:spacing w:after="0"/>
        <w:ind w:left="142"/>
        <w:rPr>
          <w:rFonts w:ascii="Times New Roman" w:eastAsia="Times New Roman" w:hAnsi="Times New Roman"/>
          <w:sz w:val="17"/>
          <w:szCs w:val="17"/>
        </w:rPr>
      </w:pPr>
      <w:r w:rsidRPr="00B06DF4">
        <w:rPr>
          <w:rFonts w:ascii="Times New Roman" w:eastAsia="Times New Roman" w:hAnsi="Times New Roman"/>
          <w:sz w:val="17"/>
          <w:szCs w:val="17"/>
        </w:rPr>
        <w:t>Yvette Moseley</w:t>
      </w:r>
    </w:p>
    <w:p w:rsidR="00B06DF4" w:rsidRPr="00B06DF4" w:rsidRDefault="00B06DF4" w:rsidP="00B06DF4">
      <w:pPr>
        <w:spacing w:after="0"/>
        <w:ind w:left="142"/>
        <w:rPr>
          <w:rFonts w:ascii="Times New Roman" w:eastAsia="Times New Roman" w:hAnsi="Times New Roman"/>
          <w:sz w:val="17"/>
          <w:szCs w:val="17"/>
        </w:rPr>
      </w:pPr>
      <w:r w:rsidRPr="00B06DF4">
        <w:rPr>
          <w:rFonts w:ascii="Times New Roman" w:eastAsia="Times New Roman" w:hAnsi="Times New Roman"/>
          <w:sz w:val="17"/>
          <w:szCs w:val="17"/>
        </w:rPr>
        <w:t>Rhys Howard</w:t>
      </w:r>
    </w:p>
    <w:p w:rsidR="00B06DF4" w:rsidRPr="00B06DF4" w:rsidRDefault="00B06DF4" w:rsidP="00B06DF4">
      <w:pPr>
        <w:spacing w:after="0"/>
        <w:ind w:left="142"/>
        <w:rPr>
          <w:rFonts w:ascii="Times New Roman" w:eastAsia="Times New Roman" w:hAnsi="Times New Roman"/>
          <w:sz w:val="17"/>
          <w:szCs w:val="17"/>
        </w:rPr>
      </w:pPr>
      <w:r w:rsidRPr="00B06DF4">
        <w:rPr>
          <w:rFonts w:ascii="Times New Roman" w:eastAsia="Times New Roman" w:hAnsi="Times New Roman"/>
          <w:sz w:val="17"/>
          <w:szCs w:val="17"/>
        </w:rPr>
        <w:t>Belinda Moore</w:t>
      </w:r>
    </w:p>
    <w:p w:rsidR="00B06DF4" w:rsidRPr="00B06DF4" w:rsidRDefault="00B06DF4" w:rsidP="00B06DF4">
      <w:pPr>
        <w:ind w:left="142"/>
        <w:rPr>
          <w:rFonts w:ascii="Times New Roman" w:eastAsia="Times New Roman" w:hAnsi="Times New Roman"/>
          <w:sz w:val="17"/>
          <w:szCs w:val="17"/>
        </w:rPr>
      </w:pPr>
      <w:r w:rsidRPr="00B06DF4">
        <w:rPr>
          <w:rFonts w:ascii="Times New Roman" w:eastAsia="Times New Roman" w:hAnsi="Times New Roman"/>
          <w:sz w:val="17"/>
          <w:szCs w:val="17"/>
        </w:rPr>
        <w:t>Lucy McKenna</w:t>
      </w:r>
    </w:p>
    <w:p w:rsidR="00B06DF4" w:rsidRPr="00B06DF4" w:rsidRDefault="00B06DF4" w:rsidP="00B06DF4">
      <w:pPr>
        <w:rPr>
          <w:rFonts w:ascii="Times New Roman" w:eastAsia="Times New Roman" w:hAnsi="Times New Roman"/>
          <w:sz w:val="17"/>
          <w:szCs w:val="17"/>
        </w:rPr>
      </w:pPr>
      <w:r w:rsidRPr="00B06DF4">
        <w:rPr>
          <w:rFonts w:ascii="Times New Roman" w:eastAsia="Times New Roman" w:hAnsi="Times New Roman"/>
          <w:sz w:val="17"/>
          <w:szCs w:val="17"/>
        </w:rPr>
        <w:t>A person’s determination as an Authorised Mental Health Professional expires three years after the commencement date.</w:t>
      </w:r>
    </w:p>
    <w:p w:rsidR="00B06DF4" w:rsidRPr="00B06DF4" w:rsidRDefault="00B06DF4" w:rsidP="00B06DF4">
      <w:pPr>
        <w:spacing w:after="0"/>
        <w:rPr>
          <w:rFonts w:ascii="Times New Roman" w:eastAsia="Times New Roman" w:hAnsi="Times New Roman"/>
          <w:sz w:val="17"/>
          <w:szCs w:val="17"/>
        </w:rPr>
      </w:pPr>
      <w:r w:rsidRPr="00B06DF4">
        <w:rPr>
          <w:rFonts w:ascii="Times New Roman" w:eastAsia="Times New Roman" w:hAnsi="Times New Roman"/>
          <w:sz w:val="17"/>
          <w:szCs w:val="17"/>
        </w:rPr>
        <w:t>Dated: 23 December 2021</w:t>
      </w:r>
    </w:p>
    <w:p w:rsidR="00B06DF4" w:rsidRPr="00B06DF4" w:rsidRDefault="00B06DF4" w:rsidP="00B06DF4">
      <w:pPr>
        <w:spacing w:after="0"/>
        <w:jc w:val="right"/>
        <w:rPr>
          <w:rFonts w:ascii="Times New Roman" w:eastAsia="Times New Roman" w:hAnsi="Times New Roman"/>
          <w:smallCaps/>
          <w:sz w:val="17"/>
          <w:szCs w:val="20"/>
        </w:rPr>
      </w:pPr>
      <w:r w:rsidRPr="00B06DF4">
        <w:rPr>
          <w:rFonts w:ascii="Times New Roman" w:eastAsia="Times New Roman" w:hAnsi="Times New Roman"/>
          <w:smallCaps/>
          <w:sz w:val="17"/>
          <w:szCs w:val="20"/>
        </w:rPr>
        <w:t>Dr J Brayley</w:t>
      </w:r>
    </w:p>
    <w:p w:rsidR="00D46034" w:rsidRDefault="00B06DF4" w:rsidP="00B06DF4">
      <w:pPr>
        <w:spacing w:after="0" w:line="240" w:lineRule="auto"/>
        <w:jc w:val="right"/>
        <w:rPr>
          <w:rFonts w:ascii="Times New Roman" w:eastAsia="Times New Roman" w:hAnsi="Times New Roman"/>
          <w:sz w:val="17"/>
          <w:szCs w:val="17"/>
        </w:rPr>
      </w:pPr>
      <w:r w:rsidRPr="00B06DF4">
        <w:rPr>
          <w:rFonts w:ascii="Times New Roman" w:eastAsia="Times New Roman" w:hAnsi="Times New Roman"/>
          <w:sz w:val="17"/>
          <w:szCs w:val="17"/>
        </w:rPr>
        <w:t>Chief Psychiatrist</w:t>
      </w:r>
    </w:p>
    <w:p w:rsidR="00B06DF4" w:rsidRDefault="00B06DF4" w:rsidP="00B06DF4">
      <w:pPr>
        <w:pBdr>
          <w:bottom w:val="single" w:sz="4" w:space="1" w:color="auto"/>
        </w:pBdr>
        <w:spacing w:after="0" w:line="52" w:lineRule="exact"/>
        <w:jc w:val="center"/>
        <w:rPr>
          <w:rFonts w:ascii="Times New Roman" w:eastAsia="Times New Roman" w:hAnsi="Times New Roman"/>
          <w:sz w:val="17"/>
          <w:szCs w:val="20"/>
        </w:rPr>
      </w:pPr>
    </w:p>
    <w:p w:rsidR="00B06DF4" w:rsidRDefault="00B06DF4" w:rsidP="00B06DF4">
      <w:pPr>
        <w:pBdr>
          <w:top w:val="single" w:sz="4" w:space="1" w:color="auto"/>
        </w:pBdr>
        <w:spacing w:before="34" w:after="0" w:line="14" w:lineRule="exact"/>
        <w:jc w:val="center"/>
        <w:rPr>
          <w:rFonts w:ascii="Times New Roman" w:eastAsia="Times New Roman" w:hAnsi="Times New Roman"/>
          <w:sz w:val="17"/>
          <w:szCs w:val="20"/>
        </w:rPr>
      </w:pPr>
    </w:p>
    <w:p w:rsidR="00B06DF4" w:rsidRDefault="00B06DF4" w:rsidP="00FE2C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4A79F0" w:rsidRPr="004A79F0" w:rsidRDefault="004A79F0" w:rsidP="00B069DE">
      <w:pPr>
        <w:pStyle w:val="Heading2"/>
      </w:pPr>
      <w:bookmarkStart w:id="85" w:name="_Toc91161270"/>
      <w:r w:rsidRPr="004A79F0">
        <w:t>Petroleum and Geothermal Energy Act 2000</w:t>
      </w:r>
      <w:bookmarkEnd w:id="85"/>
    </w:p>
    <w:p w:rsidR="004A79F0" w:rsidRPr="004A79F0" w:rsidRDefault="004A79F0" w:rsidP="004A79F0">
      <w:pPr>
        <w:jc w:val="center"/>
        <w:rPr>
          <w:rFonts w:ascii="Times New Roman" w:hAnsi="Times New Roman"/>
          <w:i/>
          <w:sz w:val="17"/>
          <w:szCs w:val="17"/>
        </w:rPr>
      </w:pPr>
      <w:r w:rsidRPr="004A79F0">
        <w:rPr>
          <w:rFonts w:ascii="Times New Roman" w:hAnsi="Times New Roman"/>
          <w:i/>
          <w:sz w:val="17"/>
          <w:szCs w:val="17"/>
        </w:rPr>
        <w:t>Application for Grant of Associated Activities Licence AAL 296</w:t>
      </w:r>
    </w:p>
    <w:p w:rsidR="004A79F0" w:rsidRPr="004A79F0" w:rsidRDefault="004A79F0" w:rsidP="004A79F0">
      <w:pPr>
        <w:rPr>
          <w:rFonts w:ascii="Times New Roman" w:eastAsia="Times New Roman" w:hAnsi="Times New Roman"/>
          <w:sz w:val="17"/>
          <w:szCs w:val="17"/>
        </w:rPr>
      </w:pPr>
      <w:r w:rsidRPr="004A79F0">
        <w:rPr>
          <w:rFonts w:ascii="Times New Roman" w:eastAsia="Times New Roman" w:hAnsi="Times New Roman"/>
          <w:sz w:val="17"/>
          <w:szCs w:val="17"/>
        </w:rPr>
        <w:t xml:space="preserve">Pursuant to section 65(6) of the </w:t>
      </w:r>
      <w:r w:rsidRPr="004A79F0">
        <w:rPr>
          <w:rFonts w:ascii="Times New Roman" w:eastAsia="Times New Roman" w:hAnsi="Times New Roman"/>
          <w:i/>
          <w:sz w:val="17"/>
          <w:szCs w:val="17"/>
        </w:rPr>
        <w:t>Petroleum and Geothermal Energy Act 2000</w:t>
      </w:r>
      <w:r w:rsidRPr="004A79F0">
        <w:rPr>
          <w:rFonts w:ascii="Times New Roman" w:eastAsia="Times New Roman" w:hAnsi="Times New Roman"/>
          <w:sz w:val="17"/>
          <w:szCs w:val="17"/>
        </w:rPr>
        <w:t xml:space="preserve"> (the Act) and delegation dated 29 June 2018, notice is hereby given that an application for the grant of an associated activities licence over the area described below has been received from: </w:t>
      </w:r>
    </w:p>
    <w:p w:rsidR="004A79F0" w:rsidRPr="004A79F0" w:rsidRDefault="004A79F0" w:rsidP="004A79F0">
      <w:pPr>
        <w:spacing w:after="0"/>
        <w:ind w:left="160"/>
        <w:rPr>
          <w:rFonts w:ascii="Times New Roman" w:eastAsia="Times New Roman" w:hAnsi="Times New Roman"/>
          <w:bCs/>
          <w:sz w:val="17"/>
          <w:szCs w:val="17"/>
        </w:rPr>
      </w:pPr>
      <w:r w:rsidRPr="004A79F0">
        <w:rPr>
          <w:rFonts w:ascii="Times New Roman" w:eastAsia="Times New Roman" w:hAnsi="Times New Roman"/>
          <w:bCs/>
          <w:sz w:val="17"/>
          <w:szCs w:val="17"/>
        </w:rPr>
        <w:t>Santos QNT Pty Ltd</w:t>
      </w:r>
    </w:p>
    <w:p w:rsidR="004A79F0" w:rsidRPr="004A79F0" w:rsidRDefault="004A79F0" w:rsidP="004A79F0">
      <w:pPr>
        <w:ind w:left="160"/>
        <w:rPr>
          <w:rFonts w:ascii="Times New Roman" w:eastAsia="Times New Roman" w:hAnsi="Times New Roman"/>
          <w:bCs/>
          <w:sz w:val="17"/>
          <w:szCs w:val="17"/>
        </w:rPr>
      </w:pPr>
      <w:r w:rsidRPr="004A79F0">
        <w:rPr>
          <w:rFonts w:ascii="Times New Roman" w:eastAsia="Times New Roman" w:hAnsi="Times New Roman"/>
          <w:bCs/>
          <w:sz w:val="17"/>
          <w:szCs w:val="17"/>
        </w:rPr>
        <w:t>Red Sky Energy (NT) Pty Limited</w:t>
      </w:r>
    </w:p>
    <w:p w:rsidR="004A79F0" w:rsidRPr="004A79F0" w:rsidRDefault="004A79F0" w:rsidP="004A79F0">
      <w:pPr>
        <w:rPr>
          <w:rFonts w:ascii="Times New Roman" w:eastAsia="Times New Roman" w:hAnsi="Times New Roman"/>
          <w:sz w:val="17"/>
          <w:szCs w:val="17"/>
        </w:rPr>
      </w:pPr>
      <w:r w:rsidRPr="004A79F0">
        <w:rPr>
          <w:rFonts w:ascii="Times New Roman" w:eastAsia="Times New Roman" w:hAnsi="Times New Roman"/>
          <w:sz w:val="17"/>
          <w:szCs w:val="17"/>
        </w:rPr>
        <w:t>The application will be determined on or after 21 January 2022.</w:t>
      </w:r>
    </w:p>
    <w:p w:rsidR="004A79F0" w:rsidRPr="004A79F0" w:rsidRDefault="004A79F0" w:rsidP="004A79F0">
      <w:pPr>
        <w:rPr>
          <w:rFonts w:ascii="Times New Roman" w:eastAsia="Times New Roman" w:hAnsi="Times New Roman"/>
          <w:b/>
          <w:sz w:val="17"/>
          <w:szCs w:val="17"/>
        </w:rPr>
      </w:pPr>
      <w:r w:rsidRPr="004A79F0">
        <w:rPr>
          <w:rFonts w:ascii="Times New Roman" w:eastAsia="Times New Roman" w:hAnsi="Times New Roman"/>
          <w:b/>
          <w:sz w:val="17"/>
          <w:szCs w:val="17"/>
        </w:rPr>
        <w:t>Description of Application Area</w:t>
      </w:r>
    </w:p>
    <w:p w:rsidR="004A79F0" w:rsidRPr="004A79F0" w:rsidRDefault="004A79F0" w:rsidP="004A79F0">
      <w:pPr>
        <w:rPr>
          <w:rFonts w:ascii="Times New Roman" w:eastAsia="Times New Roman" w:hAnsi="Times New Roman"/>
          <w:sz w:val="17"/>
          <w:szCs w:val="17"/>
        </w:rPr>
      </w:pPr>
      <w:r w:rsidRPr="004A79F0">
        <w:rPr>
          <w:rFonts w:ascii="Times New Roman" w:eastAsia="Times New Roman" w:hAnsi="Times New Roman"/>
          <w:sz w:val="17"/>
          <w:szCs w:val="17"/>
        </w:rPr>
        <w:t>All that part of the State of South Australia, bounded as follows:</w:t>
      </w:r>
    </w:p>
    <w:p w:rsidR="004A79F0" w:rsidRPr="004A79F0" w:rsidRDefault="004A79F0" w:rsidP="004A79F0">
      <w:pPr>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All coordinates MGA2020, Zone 54</w:t>
      </w:r>
    </w:p>
    <w:p w:rsidR="004A79F0" w:rsidRPr="004A79F0" w:rsidRDefault="004A79F0" w:rsidP="004A79F0">
      <w:pPr>
        <w:tabs>
          <w:tab w:val="left" w:pos="1560"/>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477471.382mE</w:t>
      </w:r>
      <w:r w:rsidRPr="004A79F0">
        <w:rPr>
          <w:rFonts w:ascii="Times New Roman" w:eastAsia="Times New Roman" w:hAnsi="Times New Roman"/>
          <w:sz w:val="17"/>
          <w:szCs w:val="17"/>
        </w:rPr>
        <w:tab/>
        <w:t>6974469.902mN</w:t>
      </w:r>
    </w:p>
    <w:p w:rsidR="004A79F0" w:rsidRPr="004A79F0" w:rsidRDefault="004A79F0" w:rsidP="004A79F0">
      <w:pPr>
        <w:tabs>
          <w:tab w:val="left" w:pos="1560"/>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477472.679mE</w:t>
      </w:r>
      <w:r w:rsidRPr="004A79F0">
        <w:rPr>
          <w:rFonts w:ascii="Times New Roman" w:eastAsia="Times New Roman" w:hAnsi="Times New Roman"/>
          <w:sz w:val="17"/>
          <w:szCs w:val="17"/>
        </w:rPr>
        <w:tab/>
        <w:t>6973759.790mN</w:t>
      </w:r>
    </w:p>
    <w:p w:rsidR="004A79F0" w:rsidRPr="004A79F0" w:rsidRDefault="004A79F0" w:rsidP="004A79F0">
      <w:pPr>
        <w:tabs>
          <w:tab w:val="left" w:pos="1560"/>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475131.053mE</w:t>
      </w:r>
      <w:r w:rsidRPr="004A79F0">
        <w:rPr>
          <w:rFonts w:ascii="Times New Roman" w:eastAsia="Times New Roman" w:hAnsi="Times New Roman"/>
          <w:sz w:val="17"/>
          <w:szCs w:val="17"/>
        </w:rPr>
        <w:tab/>
        <w:t>6969985.757mN</w:t>
      </w:r>
    </w:p>
    <w:p w:rsidR="004A79F0" w:rsidRPr="004A79F0" w:rsidRDefault="004A79F0" w:rsidP="004A79F0">
      <w:pPr>
        <w:tabs>
          <w:tab w:val="left" w:pos="1560"/>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475130.369mE</w:t>
      </w:r>
      <w:r w:rsidRPr="004A79F0">
        <w:rPr>
          <w:rFonts w:ascii="Times New Roman" w:eastAsia="Times New Roman" w:hAnsi="Times New Roman"/>
          <w:sz w:val="17"/>
          <w:szCs w:val="17"/>
        </w:rPr>
        <w:tab/>
        <w:t>6970324.522mN</w:t>
      </w:r>
    </w:p>
    <w:p w:rsidR="004A79F0" w:rsidRPr="004A79F0" w:rsidRDefault="004A79F0" w:rsidP="004A79F0">
      <w:pPr>
        <w:tabs>
          <w:tab w:val="left" w:pos="1560"/>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474306.477mE</w:t>
      </w:r>
      <w:r w:rsidRPr="004A79F0">
        <w:rPr>
          <w:rFonts w:ascii="Times New Roman" w:eastAsia="Times New Roman" w:hAnsi="Times New Roman"/>
          <w:sz w:val="17"/>
          <w:szCs w:val="17"/>
        </w:rPr>
        <w:tab/>
        <w:t>6970322.831mN</w:t>
      </w:r>
    </w:p>
    <w:p w:rsidR="004A79F0" w:rsidRPr="004A79F0" w:rsidRDefault="004A79F0" w:rsidP="004A79F0">
      <w:pPr>
        <w:tabs>
          <w:tab w:val="left" w:pos="1560"/>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474307.118mE</w:t>
      </w:r>
      <w:r w:rsidRPr="004A79F0">
        <w:rPr>
          <w:rFonts w:ascii="Times New Roman" w:eastAsia="Times New Roman" w:hAnsi="Times New Roman"/>
          <w:sz w:val="17"/>
          <w:szCs w:val="17"/>
        </w:rPr>
        <w:tab/>
        <w:t>6970015.234mN</w:t>
      </w:r>
    </w:p>
    <w:p w:rsidR="004A79F0" w:rsidRPr="004A79F0" w:rsidRDefault="004A79F0" w:rsidP="004A79F0">
      <w:pPr>
        <w:tabs>
          <w:tab w:val="left" w:pos="1560"/>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473939.518mE</w:t>
      </w:r>
      <w:r w:rsidRPr="004A79F0">
        <w:rPr>
          <w:rFonts w:ascii="Times New Roman" w:eastAsia="Times New Roman" w:hAnsi="Times New Roman"/>
          <w:sz w:val="17"/>
          <w:szCs w:val="17"/>
        </w:rPr>
        <w:tab/>
        <w:t>6970014.461mN</w:t>
      </w:r>
    </w:p>
    <w:p w:rsidR="004A79F0" w:rsidRPr="004A79F0" w:rsidRDefault="004A79F0" w:rsidP="004A79F0">
      <w:pPr>
        <w:tabs>
          <w:tab w:val="left" w:pos="1560"/>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473923.848mE</w:t>
      </w:r>
      <w:r w:rsidRPr="004A79F0">
        <w:rPr>
          <w:rFonts w:ascii="Times New Roman" w:eastAsia="Times New Roman" w:hAnsi="Times New Roman"/>
          <w:sz w:val="17"/>
          <w:szCs w:val="17"/>
        </w:rPr>
        <w:tab/>
        <w:t>6970401.103mN</w:t>
      </w:r>
    </w:p>
    <w:p w:rsidR="004A79F0" w:rsidRPr="004A79F0" w:rsidRDefault="004A79F0" w:rsidP="004A79F0">
      <w:pPr>
        <w:tabs>
          <w:tab w:val="left" w:pos="1560"/>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475280.458mE</w:t>
      </w:r>
      <w:r w:rsidRPr="004A79F0">
        <w:rPr>
          <w:rFonts w:ascii="Times New Roman" w:eastAsia="Times New Roman" w:hAnsi="Times New Roman"/>
          <w:sz w:val="17"/>
          <w:szCs w:val="17"/>
        </w:rPr>
        <w:tab/>
        <w:t>6970994.813mN</w:t>
      </w:r>
    </w:p>
    <w:p w:rsidR="004A79F0" w:rsidRPr="004A79F0" w:rsidRDefault="004A79F0" w:rsidP="004A79F0">
      <w:pPr>
        <w:tabs>
          <w:tab w:val="left" w:pos="1560"/>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476437.607mE</w:t>
      </w:r>
      <w:r w:rsidRPr="004A79F0">
        <w:rPr>
          <w:rFonts w:ascii="Times New Roman" w:eastAsia="Times New Roman" w:hAnsi="Times New Roman"/>
          <w:sz w:val="17"/>
          <w:szCs w:val="17"/>
        </w:rPr>
        <w:tab/>
        <w:t>6973884.511mN</w:t>
      </w:r>
    </w:p>
    <w:p w:rsidR="004A79F0" w:rsidRPr="004A79F0" w:rsidRDefault="004A79F0" w:rsidP="004A79F0">
      <w:pPr>
        <w:tabs>
          <w:tab w:val="left" w:pos="1560"/>
        </w:tabs>
        <w:ind w:left="160"/>
        <w:rPr>
          <w:rFonts w:ascii="Times New Roman" w:eastAsia="Times New Roman" w:hAnsi="Times New Roman"/>
          <w:sz w:val="17"/>
          <w:szCs w:val="17"/>
        </w:rPr>
      </w:pPr>
      <w:r w:rsidRPr="004A79F0">
        <w:rPr>
          <w:rFonts w:ascii="Times New Roman" w:eastAsia="Times New Roman" w:hAnsi="Times New Roman"/>
          <w:sz w:val="17"/>
          <w:szCs w:val="17"/>
        </w:rPr>
        <w:t>477471.382mE</w:t>
      </w:r>
      <w:r w:rsidRPr="004A79F0">
        <w:rPr>
          <w:rFonts w:ascii="Times New Roman" w:eastAsia="Times New Roman" w:hAnsi="Times New Roman"/>
          <w:sz w:val="17"/>
          <w:szCs w:val="17"/>
        </w:rPr>
        <w:tab/>
        <w:t>6974469.902mN</w:t>
      </w:r>
    </w:p>
    <w:p w:rsidR="004A79F0" w:rsidRPr="004A79F0" w:rsidRDefault="004A79F0" w:rsidP="004A79F0">
      <w:pPr>
        <w:rPr>
          <w:rFonts w:ascii="Times New Roman" w:eastAsia="Times New Roman" w:hAnsi="Times New Roman"/>
          <w:sz w:val="17"/>
          <w:szCs w:val="17"/>
        </w:rPr>
      </w:pPr>
      <w:r w:rsidRPr="004A79F0">
        <w:rPr>
          <w:rFonts w:ascii="Times New Roman" w:eastAsia="Times New Roman" w:hAnsi="Times New Roman"/>
          <w:sz w:val="17"/>
          <w:szCs w:val="17"/>
        </w:rPr>
        <w:t xml:space="preserve">AREA: </w:t>
      </w:r>
      <w:r w:rsidRPr="004A79F0">
        <w:rPr>
          <w:rFonts w:ascii="Times New Roman" w:eastAsia="Times New Roman" w:hAnsi="Times New Roman"/>
          <w:b/>
          <w:sz w:val="17"/>
          <w:szCs w:val="17"/>
        </w:rPr>
        <w:t>3.44</w:t>
      </w:r>
      <w:r w:rsidRPr="004A79F0">
        <w:rPr>
          <w:rFonts w:ascii="Times New Roman" w:eastAsia="Times New Roman" w:hAnsi="Times New Roman"/>
          <w:sz w:val="17"/>
          <w:szCs w:val="17"/>
        </w:rPr>
        <w:t xml:space="preserve"> square kilometres approximately</w:t>
      </w:r>
    </w:p>
    <w:p w:rsidR="004A79F0" w:rsidRPr="004A79F0" w:rsidRDefault="004A79F0" w:rsidP="004A79F0">
      <w:pPr>
        <w:spacing w:after="0"/>
        <w:rPr>
          <w:rFonts w:ascii="Times New Roman" w:eastAsia="Times New Roman" w:hAnsi="Times New Roman"/>
          <w:sz w:val="17"/>
          <w:szCs w:val="17"/>
        </w:rPr>
      </w:pPr>
      <w:r w:rsidRPr="004A79F0">
        <w:rPr>
          <w:rFonts w:ascii="Times New Roman" w:eastAsia="Times New Roman" w:hAnsi="Times New Roman"/>
          <w:sz w:val="17"/>
          <w:szCs w:val="17"/>
        </w:rPr>
        <w:t>Dated: 21 December 2021</w:t>
      </w:r>
    </w:p>
    <w:p w:rsidR="004A79F0" w:rsidRPr="004A79F0" w:rsidRDefault="004A79F0" w:rsidP="004A79F0">
      <w:pPr>
        <w:spacing w:after="0"/>
        <w:jc w:val="right"/>
        <w:rPr>
          <w:rFonts w:ascii="Times New Roman" w:eastAsia="Times New Roman" w:hAnsi="Times New Roman"/>
          <w:smallCaps/>
          <w:sz w:val="17"/>
          <w:szCs w:val="17"/>
        </w:rPr>
      </w:pPr>
      <w:r w:rsidRPr="004A79F0">
        <w:rPr>
          <w:rFonts w:ascii="Times New Roman" w:eastAsia="Times New Roman" w:hAnsi="Times New Roman"/>
          <w:smallCaps/>
          <w:sz w:val="17"/>
          <w:szCs w:val="20"/>
        </w:rPr>
        <w:t>Barry A. Goldstein</w:t>
      </w:r>
    </w:p>
    <w:p w:rsidR="004A79F0" w:rsidRPr="004A79F0" w:rsidRDefault="004A79F0" w:rsidP="004A79F0">
      <w:pPr>
        <w:spacing w:after="0" w:line="240" w:lineRule="auto"/>
        <w:jc w:val="right"/>
        <w:rPr>
          <w:rFonts w:ascii="Times New Roman" w:eastAsia="Times New Roman" w:hAnsi="Times New Roman"/>
          <w:sz w:val="17"/>
          <w:szCs w:val="17"/>
        </w:rPr>
      </w:pPr>
      <w:r w:rsidRPr="004A79F0">
        <w:rPr>
          <w:rFonts w:ascii="Times New Roman" w:eastAsia="Times New Roman" w:hAnsi="Times New Roman"/>
          <w:sz w:val="17"/>
          <w:szCs w:val="17"/>
        </w:rPr>
        <w:t>Executive Director</w:t>
      </w:r>
    </w:p>
    <w:p w:rsidR="004A79F0" w:rsidRPr="004A79F0" w:rsidRDefault="004A79F0" w:rsidP="004A79F0">
      <w:pPr>
        <w:spacing w:after="0" w:line="240" w:lineRule="auto"/>
        <w:jc w:val="right"/>
        <w:rPr>
          <w:rFonts w:ascii="Times New Roman" w:eastAsia="Times New Roman" w:hAnsi="Times New Roman"/>
          <w:sz w:val="17"/>
          <w:szCs w:val="17"/>
        </w:rPr>
      </w:pPr>
      <w:r w:rsidRPr="004A79F0">
        <w:rPr>
          <w:rFonts w:ascii="Times New Roman" w:eastAsia="Times New Roman" w:hAnsi="Times New Roman"/>
          <w:sz w:val="17"/>
          <w:szCs w:val="17"/>
        </w:rPr>
        <w:t>Energy Resources Division</w:t>
      </w:r>
    </w:p>
    <w:p w:rsidR="004A79F0" w:rsidRPr="004A79F0" w:rsidRDefault="004A79F0" w:rsidP="004A79F0">
      <w:pPr>
        <w:spacing w:after="0" w:line="240" w:lineRule="auto"/>
        <w:jc w:val="right"/>
        <w:rPr>
          <w:rFonts w:ascii="Times New Roman" w:eastAsia="Times New Roman" w:hAnsi="Times New Roman"/>
          <w:sz w:val="17"/>
          <w:szCs w:val="17"/>
        </w:rPr>
      </w:pPr>
      <w:r w:rsidRPr="004A79F0">
        <w:rPr>
          <w:rFonts w:ascii="Times New Roman" w:eastAsia="Times New Roman" w:hAnsi="Times New Roman"/>
          <w:sz w:val="17"/>
          <w:szCs w:val="17"/>
        </w:rPr>
        <w:t>Department for Energy and Mining</w:t>
      </w:r>
    </w:p>
    <w:p w:rsidR="004A79F0" w:rsidRPr="004A79F0" w:rsidRDefault="004A79F0" w:rsidP="004A79F0">
      <w:pPr>
        <w:spacing w:after="0" w:line="240" w:lineRule="auto"/>
        <w:jc w:val="right"/>
        <w:rPr>
          <w:rFonts w:ascii="Times New Roman" w:eastAsia="Times New Roman" w:hAnsi="Times New Roman"/>
          <w:sz w:val="17"/>
          <w:szCs w:val="17"/>
        </w:rPr>
      </w:pPr>
      <w:r w:rsidRPr="004A79F0">
        <w:rPr>
          <w:rFonts w:ascii="Times New Roman" w:eastAsia="Times New Roman" w:hAnsi="Times New Roman"/>
          <w:sz w:val="17"/>
          <w:szCs w:val="17"/>
        </w:rPr>
        <w:t>Delegate of the Minister for Energy and Mining</w:t>
      </w:r>
    </w:p>
    <w:p w:rsidR="004A79F0" w:rsidRPr="004A79F0" w:rsidRDefault="004A79F0" w:rsidP="004A79F0">
      <w:pPr>
        <w:pBdr>
          <w:top w:val="single" w:sz="4" w:space="1" w:color="auto"/>
        </w:pBdr>
        <w:spacing w:before="100" w:after="0" w:line="14" w:lineRule="exact"/>
        <w:jc w:val="center"/>
        <w:rPr>
          <w:rFonts w:ascii="Times New Roman" w:eastAsia="Times New Roman" w:hAnsi="Times New Roman"/>
          <w:sz w:val="17"/>
          <w:szCs w:val="17"/>
        </w:rPr>
      </w:pPr>
    </w:p>
    <w:p w:rsidR="00D46034" w:rsidRDefault="00D46034" w:rsidP="00FE2C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4A79F0" w:rsidRPr="004A79F0" w:rsidRDefault="004A79F0" w:rsidP="004A79F0">
      <w:pPr>
        <w:jc w:val="center"/>
        <w:rPr>
          <w:rFonts w:ascii="Times New Roman" w:hAnsi="Times New Roman"/>
          <w:caps/>
          <w:sz w:val="17"/>
          <w:szCs w:val="17"/>
        </w:rPr>
      </w:pPr>
      <w:r w:rsidRPr="004A79F0">
        <w:rPr>
          <w:rFonts w:ascii="Times New Roman" w:hAnsi="Times New Roman"/>
          <w:caps/>
          <w:sz w:val="17"/>
          <w:szCs w:val="17"/>
        </w:rPr>
        <w:t>Petroleum and Geothermal Energy Act 2000</w:t>
      </w:r>
    </w:p>
    <w:p w:rsidR="004A79F0" w:rsidRPr="004A79F0" w:rsidRDefault="004A79F0" w:rsidP="004A79F0">
      <w:pPr>
        <w:jc w:val="center"/>
        <w:rPr>
          <w:rFonts w:ascii="Times New Roman" w:hAnsi="Times New Roman"/>
          <w:i/>
          <w:sz w:val="17"/>
          <w:szCs w:val="17"/>
        </w:rPr>
      </w:pPr>
      <w:r w:rsidRPr="004A79F0">
        <w:rPr>
          <w:rFonts w:ascii="Times New Roman" w:hAnsi="Times New Roman"/>
          <w:i/>
          <w:sz w:val="17"/>
          <w:szCs w:val="17"/>
        </w:rPr>
        <w:t>Application for Grant of Associated Activities Licence AAL 297</w:t>
      </w:r>
    </w:p>
    <w:p w:rsidR="004A79F0" w:rsidRPr="004A79F0" w:rsidRDefault="004A79F0" w:rsidP="004A79F0">
      <w:pPr>
        <w:rPr>
          <w:rFonts w:ascii="Times New Roman" w:eastAsia="Times New Roman" w:hAnsi="Times New Roman"/>
          <w:sz w:val="17"/>
          <w:szCs w:val="17"/>
        </w:rPr>
      </w:pPr>
      <w:r w:rsidRPr="004A79F0">
        <w:rPr>
          <w:rFonts w:ascii="Times New Roman" w:eastAsia="Times New Roman" w:hAnsi="Times New Roman"/>
          <w:sz w:val="17"/>
          <w:szCs w:val="17"/>
        </w:rPr>
        <w:t xml:space="preserve">Pursuant to section 65(6) of the </w:t>
      </w:r>
      <w:r w:rsidRPr="004A79F0">
        <w:rPr>
          <w:rFonts w:ascii="Times New Roman" w:eastAsia="Times New Roman" w:hAnsi="Times New Roman"/>
          <w:i/>
          <w:sz w:val="17"/>
          <w:szCs w:val="17"/>
        </w:rPr>
        <w:t>Petroleum and Geothermal Energy Act 2000</w:t>
      </w:r>
      <w:r w:rsidRPr="004A79F0">
        <w:rPr>
          <w:rFonts w:ascii="Times New Roman" w:eastAsia="Times New Roman" w:hAnsi="Times New Roman"/>
          <w:sz w:val="17"/>
          <w:szCs w:val="17"/>
        </w:rPr>
        <w:t xml:space="preserve"> and delegation dated 29 June 2018, notice is hereby given that an amended application for the grant of an associated activities licence over the area described below has been received from: </w:t>
      </w:r>
    </w:p>
    <w:p w:rsidR="004A79F0" w:rsidRPr="004A79F0" w:rsidRDefault="004A79F0" w:rsidP="004A79F0">
      <w:pPr>
        <w:ind w:firstLine="160"/>
        <w:rPr>
          <w:rFonts w:ascii="Times New Roman" w:eastAsia="Times New Roman" w:hAnsi="Times New Roman"/>
          <w:bCs/>
          <w:sz w:val="17"/>
          <w:szCs w:val="17"/>
        </w:rPr>
      </w:pPr>
      <w:r w:rsidRPr="004A79F0">
        <w:rPr>
          <w:rFonts w:ascii="Times New Roman" w:eastAsia="Times New Roman" w:hAnsi="Times New Roman"/>
          <w:bCs/>
          <w:sz w:val="17"/>
          <w:szCs w:val="17"/>
        </w:rPr>
        <w:t>East Australian Pipeline Pty Limited</w:t>
      </w:r>
    </w:p>
    <w:p w:rsidR="004A79F0" w:rsidRPr="004A79F0" w:rsidRDefault="004A79F0" w:rsidP="004A79F0">
      <w:pPr>
        <w:rPr>
          <w:rFonts w:ascii="Times New Roman" w:eastAsia="Times New Roman" w:hAnsi="Times New Roman"/>
          <w:sz w:val="17"/>
          <w:szCs w:val="17"/>
        </w:rPr>
      </w:pPr>
      <w:r w:rsidRPr="004A79F0">
        <w:rPr>
          <w:rFonts w:ascii="Times New Roman" w:eastAsia="Times New Roman" w:hAnsi="Times New Roman"/>
          <w:sz w:val="17"/>
          <w:szCs w:val="17"/>
        </w:rPr>
        <w:t>The application will be determined on or after 21 January 2022.</w:t>
      </w:r>
    </w:p>
    <w:p w:rsidR="004A79F0" w:rsidRPr="004A79F0" w:rsidRDefault="004A79F0" w:rsidP="004A79F0">
      <w:pPr>
        <w:rPr>
          <w:rFonts w:ascii="Times New Roman" w:eastAsia="Times New Roman" w:hAnsi="Times New Roman"/>
          <w:sz w:val="17"/>
          <w:szCs w:val="17"/>
        </w:rPr>
      </w:pPr>
      <w:r w:rsidRPr="004A79F0">
        <w:rPr>
          <w:rFonts w:ascii="Times New Roman" w:eastAsia="Times New Roman" w:hAnsi="Times New Roman"/>
          <w:sz w:val="17"/>
          <w:szCs w:val="17"/>
        </w:rPr>
        <w:t>The amended application covers an area of approximately 2.682 square kilometres and is situated adjacent to Pipeline Licence 7 located in the South Australian Cooper Basin.</w:t>
      </w:r>
    </w:p>
    <w:p w:rsidR="004A79F0" w:rsidRPr="004A79F0" w:rsidRDefault="004A79F0" w:rsidP="004A79F0">
      <w:pPr>
        <w:rPr>
          <w:rFonts w:ascii="Times New Roman" w:eastAsia="Times New Roman" w:hAnsi="Times New Roman"/>
          <w:sz w:val="17"/>
          <w:szCs w:val="17"/>
        </w:rPr>
      </w:pPr>
      <w:r w:rsidRPr="004A79F0">
        <w:rPr>
          <w:rFonts w:ascii="Times New Roman" w:eastAsia="Times New Roman" w:hAnsi="Times New Roman"/>
          <w:sz w:val="17"/>
          <w:szCs w:val="17"/>
        </w:rPr>
        <w:t xml:space="preserve">A map and GIS data for the application area is available from the Department for Energy and Mining website: </w:t>
      </w:r>
      <w:hyperlink r:id="rId75" w:history="1">
        <w:r w:rsidRPr="004A79F0">
          <w:rPr>
            <w:rFonts w:ascii="Times New Roman" w:eastAsia="Times New Roman" w:hAnsi="Times New Roman"/>
            <w:color w:val="0000FF"/>
            <w:sz w:val="17"/>
            <w:szCs w:val="17"/>
            <w:u w:val="single"/>
          </w:rPr>
          <w:t>https://map.sarig.sa.gov.au/</w:t>
        </w:r>
      </w:hyperlink>
      <w:r w:rsidRPr="004A79F0">
        <w:rPr>
          <w:rFonts w:ascii="Times New Roman" w:eastAsia="Times New Roman" w:hAnsi="Times New Roman"/>
          <w:sz w:val="17"/>
          <w:szCs w:val="17"/>
        </w:rPr>
        <w:t xml:space="preserve"> or by contacting the Department for Energy and Mining, Energy Resources Division on telephone (08) 8429 2695.</w:t>
      </w:r>
    </w:p>
    <w:p w:rsidR="004A79F0" w:rsidRPr="004A79F0" w:rsidRDefault="004A79F0" w:rsidP="004A79F0">
      <w:pPr>
        <w:spacing w:after="0"/>
        <w:rPr>
          <w:rFonts w:ascii="Times New Roman" w:eastAsia="Times New Roman" w:hAnsi="Times New Roman"/>
          <w:sz w:val="17"/>
          <w:szCs w:val="17"/>
        </w:rPr>
      </w:pPr>
      <w:r w:rsidRPr="004A79F0">
        <w:rPr>
          <w:rFonts w:ascii="Times New Roman" w:eastAsia="Times New Roman" w:hAnsi="Times New Roman"/>
          <w:sz w:val="17"/>
          <w:szCs w:val="17"/>
        </w:rPr>
        <w:t>Dated: 21 December 2021</w:t>
      </w:r>
    </w:p>
    <w:p w:rsidR="004A79F0" w:rsidRPr="004A79F0" w:rsidRDefault="004A79F0" w:rsidP="004A79F0">
      <w:pPr>
        <w:spacing w:after="0"/>
        <w:jc w:val="right"/>
        <w:rPr>
          <w:rFonts w:ascii="Times New Roman" w:eastAsia="Times New Roman" w:hAnsi="Times New Roman"/>
          <w:smallCaps/>
          <w:sz w:val="17"/>
          <w:szCs w:val="17"/>
        </w:rPr>
      </w:pPr>
      <w:r w:rsidRPr="004A79F0">
        <w:rPr>
          <w:rFonts w:ascii="Times New Roman" w:eastAsia="Times New Roman" w:hAnsi="Times New Roman"/>
          <w:smallCaps/>
          <w:sz w:val="17"/>
          <w:szCs w:val="20"/>
        </w:rPr>
        <w:t>Barry A. Goldstein</w:t>
      </w:r>
    </w:p>
    <w:p w:rsidR="004A79F0" w:rsidRPr="004A79F0" w:rsidRDefault="004A79F0" w:rsidP="004A79F0">
      <w:pPr>
        <w:spacing w:after="0" w:line="240" w:lineRule="auto"/>
        <w:jc w:val="right"/>
        <w:rPr>
          <w:rFonts w:ascii="Times New Roman" w:eastAsia="Times New Roman" w:hAnsi="Times New Roman"/>
          <w:sz w:val="17"/>
          <w:szCs w:val="17"/>
        </w:rPr>
      </w:pPr>
      <w:r w:rsidRPr="004A79F0">
        <w:rPr>
          <w:rFonts w:ascii="Times New Roman" w:eastAsia="Times New Roman" w:hAnsi="Times New Roman"/>
          <w:sz w:val="17"/>
          <w:szCs w:val="17"/>
        </w:rPr>
        <w:t>Executive Director</w:t>
      </w:r>
    </w:p>
    <w:p w:rsidR="004A79F0" w:rsidRPr="004A79F0" w:rsidRDefault="004A79F0" w:rsidP="004A79F0">
      <w:pPr>
        <w:spacing w:after="0" w:line="240" w:lineRule="auto"/>
        <w:jc w:val="right"/>
        <w:rPr>
          <w:rFonts w:ascii="Times New Roman" w:eastAsia="Times New Roman" w:hAnsi="Times New Roman"/>
          <w:sz w:val="17"/>
          <w:szCs w:val="17"/>
        </w:rPr>
      </w:pPr>
      <w:r w:rsidRPr="004A79F0">
        <w:rPr>
          <w:rFonts w:ascii="Times New Roman" w:eastAsia="Times New Roman" w:hAnsi="Times New Roman"/>
          <w:sz w:val="17"/>
          <w:szCs w:val="17"/>
        </w:rPr>
        <w:t>Energy Resources Division</w:t>
      </w:r>
    </w:p>
    <w:p w:rsidR="004A79F0" w:rsidRPr="004A79F0" w:rsidRDefault="004A79F0" w:rsidP="004A79F0">
      <w:pPr>
        <w:spacing w:after="0" w:line="240" w:lineRule="auto"/>
        <w:jc w:val="right"/>
        <w:rPr>
          <w:rFonts w:ascii="Times New Roman" w:eastAsia="Times New Roman" w:hAnsi="Times New Roman"/>
          <w:sz w:val="17"/>
          <w:szCs w:val="17"/>
        </w:rPr>
      </w:pPr>
      <w:r w:rsidRPr="004A79F0">
        <w:rPr>
          <w:rFonts w:ascii="Times New Roman" w:eastAsia="Times New Roman" w:hAnsi="Times New Roman"/>
          <w:sz w:val="17"/>
          <w:szCs w:val="17"/>
        </w:rPr>
        <w:t>Department for Energy and Mining</w:t>
      </w:r>
    </w:p>
    <w:p w:rsidR="004A79F0" w:rsidRPr="004A79F0" w:rsidRDefault="004A79F0" w:rsidP="004A79F0">
      <w:pPr>
        <w:spacing w:after="0" w:line="240" w:lineRule="auto"/>
        <w:jc w:val="right"/>
        <w:rPr>
          <w:rFonts w:ascii="Times New Roman" w:eastAsia="Times New Roman" w:hAnsi="Times New Roman"/>
          <w:sz w:val="17"/>
          <w:szCs w:val="17"/>
        </w:rPr>
      </w:pPr>
      <w:r w:rsidRPr="004A79F0">
        <w:rPr>
          <w:rFonts w:ascii="Times New Roman" w:eastAsia="Times New Roman" w:hAnsi="Times New Roman"/>
          <w:sz w:val="17"/>
          <w:szCs w:val="17"/>
        </w:rPr>
        <w:t>Delegate of the Minister for Energy and Mining</w:t>
      </w:r>
    </w:p>
    <w:p w:rsidR="004A79F0" w:rsidRPr="004A79F0" w:rsidRDefault="004A79F0" w:rsidP="004A79F0">
      <w:pPr>
        <w:pBdr>
          <w:top w:val="single" w:sz="4" w:space="1" w:color="auto"/>
        </w:pBdr>
        <w:spacing w:before="100" w:after="0" w:line="14" w:lineRule="exact"/>
        <w:jc w:val="center"/>
        <w:rPr>
          <w:rFonts w:ascii="Times New Roman" w:eastAsia="Times New Roman" w:hAnsi="Times New Roman"/>
          <w:sz w:val="17"/>
          <w:szCs w:val="17"/>
        </w:rPr>
      </w:pPr>
    </w:p>
    <w:p w:rsidR="004A79F0" w:rsidRDefault="004A79F0" w:rsidP="00FE2C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FE2C90" w:rsidRDefault="00FE2C90">
      <w:pPr>
        <w:spacing w:after="0" w:line="240" w:lineRule="auto"/>
        <w:jc w:val="left"/>
        <w:rPr>
          <w:rFonts w:ascii="Times New Roman" w:hAnsi="Times New Roman"/>
          <w:caps/>
          <w:sz w:val="17"/>
          <w:szCs w:val="17"/>
        </w:rPr>
      </w:pPr>
      <w:r>
        <w:rPr>
          <w:rFonts w:ascii="Times New Roman" w:hAnsi="Times New Roman"/>
          <w:caps/>
          <w:sz w:val="17"/>
          <w:szCs w:val="17"/>
        </w:rPr>
        <w:br w:type="page"/>
      </w:r>
    </w:p>
    <w:p w:rsidR="004A79F0" w:rsidRPr="004A79F0" w:rsidRDefault="004A79F0" w:rsidP="004A79F0">
      <w:pPr>
        <w:jc w:val="center"/>
        <w:rPr>
          <w:rFonts w:ascii="Times New Roman" w:hAnsi="Times New Roman"/>
          <w:caps/>
          <w:sz w:val="17"/>
          <w:szCs w:val="17"/>
        </w:rPr>
      </w:pPr>
      <w:r w:rsidRPr="004A79F0">
        <w:rPr>
          <w:rFonts w:ascii="Times New Roman" w:hAnsi="Times New Roman"/>
          <w:caps/>
          <w:sz w:val="17"/>
          <w:szCs w:val="17"/>
        </w:rPr>
        <w:lastRenderedPageBreak/>
        <w:t>Petroleum and Geothermal Energy Act 2000</w:t>
      </w:r>
    </w:p>
    <w:p w:rsidR="004A79F0" w:rsidRPr="004A79F0" w:rsidRDefault="004A79F0" w:rsidP="004A79F0">
      <w:pPr>
        <w:jc w:val="center"/>
        <w:rPr>
          <w:rFonts w:ascii="Times New Roman" w:hAnsi="Times New Roman"/>
          <w:i/>
          <w:sz w:val="17"/>
          <w:szCs w:val="17"/>
        </w:rPr>
      </w:pPr>
      <w:r w:rsidRPr="004A79F0">
        <w:rPr>
          <w:rFonts w:ascii="Times New Roman" w:hAnsi="Times New Roman"/>
          <w:i/>
          <w:sz w:val="17"/>
          <w:szCs w:val="17"/>
        </w:rPr>
        <w:t>Application for Grant of Special Facilities Licence SFL 16</w:t>
      </w:r>
    </w:p>
    <w:p w:rsidR="004A79F0" w:rsidRPr="004A79F0" w:rsidRDefault="004A79F0" w:rsidP="004A79F0">
      <w:pPr>
        <w:rPr>
          <w:rFonts w:ascii="Times New Roman" w:eastAsia="Times New Roman" w:hAnsi="Times New Roman"/>
          <w:sz w:val="17"/>
          <w:szCs w:val="17"/>
        </w:rPr>
      </w:pPr>
      <w:r w:rsidRPr="004A79F0">
        <w:rPr>
          <w:rFonts w:ascii="Times New Roman" w:eastAsia="Times New Roman" w:hAnsi="Times New Roman"/>
          <w:sz w:val="17"/>
          <w:szCs w:val="17"/>
        </w:rPr>
        <w:t xml:space="preserve">Pursuant to section 65(6) of the </w:t>
      </w:r>
      <w:r w:rsidRPr="004A79F0">
        <w:rPr>
          <w:rFonts w:ascii="Times New Roman" w:eastAsia="Times New Roman" w:hAnsi="Times New Roman"/>
          <w:i/>
          <w:sz w:val="17"/>
          <w:szCs w:val="17"/>
        </w:rPr>
        <w:t>Petroleum and Geothermal Energy Act 2000</w:t>
      </w:r>
      <w:r w:rsidRPr="004A79F0">
        <w:rPr>
          <w:rFonts w:ascii="Times New Roman" w:eastAsia="Times New Roman" w:hAnsi="Times New Roman"/>
          <w:sz w:val="17"/>
          <w:szCs w:val="17"/>
        </w:rPr>
        <w:t xml:space="preserve"> (the Act) and delegation dated 29 June 2018, notice is hereby given that an application for the grant of a special facilities licence over the area described below has been received from: </w:t>
      </w:r>
    </w:p>
    <w:p w:rsidR="004A79F0" w:rsidRPr="004A79F0" w:rsidRDefault="004A79F0" w:rsidP="004A79F0">
      <w:pPr>
        <w:spacing w:after="0"/>
        <w:ind w:left="160"/>
        <w:rPr>
          <w:rFonts w:ascii="Times New Roman" w:eastAsia="Times New Roman" w:hAnsi="Times New Roman"/>
          <w:bCs/>
          <w:sz w:val="17"/>
          <w:szCs w:val="17"/>
        </w:rPr>
      </w:pPr>
      <w:r w:rsidRPr="004A79F0">
        <w:rPr>
          <w:rFonts w:ascii="Times New Roman" w:eastAsia="Times New Roman" w:hAnsi="Times New Roman"/>
          <w:bCs/>
          <w:sz w:val="17"/>
          <w:szCs w:val="17"/>
        </w:rPr>
        <w:t>Vintage Energy Ltd</w:t>
      </w:r>
    </w:p>
    <w:p w:rsidR="004A79F0" w:rsidRPr="004A79F0" w:rsidRDefault="004A79F0" w:rsidP="004A79F0">
      <w:pPr>
        <w:spacing w:after="0"/>
        <w:ind w:left="160"/>
        <w:rPr>
          <w:rFonts w:ascii="Times New Roman" w:eastAsia="Times New Roman" w:hAnsi="Times New Roman"/>
          <w:bCs/>
          <w:sz w:val="17"/>
          <w:szCs w:val="17"/>
        </w:rPr>
      </w:pPr>
      <w:r w:rsidRPr="004A79F0">
        <w:rPr>
          <w:rFonts w:ascii="Times New Roman" w:eastAsia="Times New Roman" w:hAnsi="Times New Roman"/>
          <w:bCs/>
          <w:sz w:val="17"/>
          <w:szCs w:val="17"/>
        </w:rPr>
        <w:t>Metgasco Ltd</w:t>
      </w:r>
    </w:p>
    <w:p w:rsidR="004A79F0" w:rsidRPr="004A79F0" w:rsidRDefault="004A79F0" w:rsidP="004A79F0">
      <w:pPr>
        <w:ind w:left="160"/>
        <w:rPr>
          <w:rFonts w:ascii="Times New Roman" w:eastAsia="Times New Roman" w:hAnsi="Times New Roman"/>
          <w:bCs/>
          <w:sz w:val="17"/>
          <w:szCs w:val="17"/>
        </w:rPr>
      </w:pPr>
      <w:r w:rsidRPr="004A79F0">
        <w:rPr>
          <w:rFonts w:ascii="Times New Roman" w:eastAsia="Times New Roman" w:hAnsi="Times New Roman"/>
          <w:bCs/>
          <w:sz w:val="17"/>
          <w:szCs w:val="17"/>
        </w:rPr>
        <w:t>Bridgeport (Cooper Basin) Pty Ltd</w:t>
      </w:r>
    </w:p>
    <w:p w:rsidR="004A79F0" w:rsidRPr="004A79F0" w:rsidRDefault="004A79F0" w:rsidP="004A79F0">
      <w:pPr>
        <w:rPr>
          <w:rFonts w:ascii="Times New Roman" w:eastAsia="Times New Roman" w:hAnsi="Times New Roman"/>
          <w:sz w:val="17"/>
          <w:szCs w:val="17"/>
        </w:rPr>
      </w:pPr>
      <w:r w:rsidRPr="004A79F0">
        <w:rPr>
          <w:rFonts w:ascii="Times New Roman" w:eastAsia="Times New Roman" w:hAnsi="Times New Roman"/>
          <w:sz w:val="17"/>
          <w:szCs w:val="17"/>
        </w:rPr>
        <w:t>The application will be determined on or after 21 January 2022.</w:t>
      </w:r>
    </w:p>
    <w:p w:rsidR="004A79F0" w:rsidRPr="004A79F0" w:rsidRDefault="004A79F0" w:rsidP="004A79F0">
      <w:pPr>
        <w:rPr>
          <w:rFonts w:ascii="Times New Roman" w:eastAsia="Times New Roman" w:hAnsi="Times New Roman"/>
          <w:b/>
          <w:sz w:val="17"/>
          <w:szCs w:val="17"/>
        </w:rPr>
      </w:pPr>
      <w:r w:rsidRPr="004A79F0">
        <w:rPr>
          <w:rFonts w:ascii="Times New Roman" w:eastAsia="Times New Roman" w:hAnsi="Times New Roman"/>
          <w:b/>
          <w:sz w:val="17"/>
          <w:szCs w:val="17"/>
        </w:rPr>
        <w:t>Description of Application Area</w:t>
      </w:r>
    </w:p>
    <w:p w:rsidR="004A79F0" w:rsidRPr="004A79F0" w:rsidRDefault="004A79F0" w:rsidP="004A79F0">
      <w:pPr>
        <w:rPr>
          <w:rFonts w:ascii="Times New Roman" w:eastAsia="Times New Roman" w:hAnsi="Times New Roman"/>
          <w:sz w:val="17"/>
          <w:szCs w:val="17"/>
        </w:rPr>
      </w:pPr>
      <w:r w:rsidRPr="004A79F0">
        <w:rPr>
          <w:rFonts w:ascii="Times New Roman" w:eastAsia="Times New Roman" w:hAnsi="Times New Roman"/>
          <w:sz w:val="17"/>
          <w:szCs w:val="17"/>
        </w:rPr>
        <w:t>All that part of the State of South Australia, bounded as follows:</w:t>
      </w:r>
    </w:p>
    <w:p w:rsidR="004A79F0" w:rsidRPr="004A79F0" w:rsidRDefault="004A79F0" w:rsidP="004A79F0">
      <w:pPr>
        <w:tabs>
          <w:tab w:val="left" w:pos="1701"/>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28° 02' 52.03" S</w:t>
      </w:r>
      <w:r w:rsidRPr="004A79F0">
        <w:rPr>
          <w:rFonts w:ascii="Times New Roman" w:eastAsia="Times New Roman" w:hAnsi="Times New Roman"/>
          <w:sz w:val="17"/>
          <w:szCs w:val="17"/>
        </w:rPr>
        <w:tab/>
      </w:r>
      <w:r w:rsidRPr="004A79F0">
        <w:rPr>
          <w:rFonts w:ascii="Times New Roman" w:eastAsia="Times New Roman" w:hAnsi="Times New Roman"/>
          <w:sz w:val="17"/>
          <w:szCs w:val="17"/>
        </w:rPr>
        <w:tab/>
        <w:t>140° 58' 28.64" E</w:t>
      </w:r>
    </w:p>
    <w:p w:rsidR="004A79F0" w:rsidRPr="004A79F0" w:rsidRDefault="004A79F0" w:rsidP="004A79F0">
      <w:pPr>
        <w:tabs>
          <w:tab w:val="left" w:pos="1701"/>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28° 02' 59.27" S</w:t>
      </w:r>
      <w:r w:rsidRPr="004A79F0">
        <w:rPr>
          <w:rFonts w:ascii="Times New Roman" w:eastAsia="Times New Roman" w:hAnsi="Times New Roman"/>
          <w:sz w:val="17"/>
          <w:szCs w:val="17"/>
        </w:rPr>
        <w:tab/>
      </w:r>
      <w:r w:rsidRPr="004A79F0">
        <w:rPr>
          <w:rFonts w:ascii="Times New Roman" w:eastAsia="Times New Roman" w:hAnsi="Times New Roman"/>
          <w:sz w:val="17"/>
          <w:szCs w:val="17"/>
        </w:rPr>
        <w:tab/>
        <w:t>140° 57' 34.59" E</w:t>
      </w:r>
    </w:p>
    <w:p w:rsidR="004A79F0" w:rsidRPr="004A79F0" w:rsidRDefault="004A79F0" w:rsidP="004A79F0">
      <w:pPr>
        <w:tabs>
          <w:tab w:val="left" w:pos="1701"/>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28° 02' 53.18" S</w:t>
      </w:r>
      <w:r w:rsidRPr="004A79F0">
        <w:rPr>
          <w:rFonts w:ascii="Times New Roman" w:eastAsia="Times New Roman" w:hAnsi="Times New Roman"/>
          <w:sz w:val="17"/>
          <w:szCs w:val="17"/>
        </w:rPr>
        <w:tab/>
      </w:r>
      <w:r w:rsidRPr="004A79F0">
        <w:rPr>
          <w:rFonts w:ascii="Times New Roman" w:eastAsia="Times New Roman" w:hAnsi="Times New Roman"/>
          <w:sz w:val="17"/>
          <w:szCs w:val="17"/>
        </w:rPr>
        <w:tab/>
        <w:t>140° 57' 32.79" E</w:t>
      </w:r>
    </w:p>
    <w:p w:rsidR="004A79F0" w:rsidRPr="004A79F0" w:rsidRDefault="004A79F0" w:rsidP="004A79F0">
      <w:pPr>
        <w:tabs>
          <w:tab w:val="left" w:pos="1701"/>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28° 02' 45.66" S</w:t>
      </w:r>
      <w:r w:rsidRPr="004A79F0">
        <w:rPr>
          <w:rFonts w:ascii="Times New Roman" w:eastAsia="Times New Roman" w:hAnsi="Times New Roman"/>
          <w:sz w:val="17"/>
          <w:szCs w:val="17"/>
        </w:rPr>
        <w:tab/>
      </w:r>
      <w:r w:rsidRPr="004A79F0">
        <w:rPr>
          <w:rFonts w:ascii="Times New Roman" w:eastAsia="Times New Roman" w:hAnsi="Times New Roman"/>
          <w:sz w:val="17"/>
          <w:szCs w:val="17"/>
        </w:rPr>
        <w:tab/>
        <w:t>140° 58' 27.13" E</w:t>
      </w:r>
    </w:p>
    <w:p w:rsidR="004A79F0" w:rsidRPr="004A79F0" w:rsidRDefault="004A79F0" w:rsidP="004A79F0">
      <w:pPr>
        <w:tabs>
          <w:tab w:val="left" w:pos="1701"/>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28° 01' 03.21" S</w:t>
      </w:r>
      <w:r w:rsidRPr="004A79F0">
        <w:rPr>
          <w:rFonts w:ascii="Times New Roman" w:eastAsia="Times New Roman" w:hAnsi="Times New Roman"/>
          <w:sz w:val="17"/>
          <w:szCs w:val="17"/>
        </w:rPr>
        <w:tab/>
      </w:r>
      <w:r w:rsidRPr="004A79F0">
        <w:rPr>
          <w:rFonts w:ascii="Times New Roman" w:eastAsia="Times New Roman" w:hAnsi="Times New Roman"/>
          <w:sz w:val="17"/>
          <w:szCs w:val="17"/>
        </w:rPr>
        <w:tab/>
        <w:t>140° 59' 04.81" E</w:t>
      </w:r>
    </w:p>
    <w:p w:rsidR="004A79F0" w:rsidRPr="004A79F0" w:rsidRDefault="004A79F0" w:rsidP="004A79F0">
      <w:pPr>
        <w:tabs>
          <w:tab w:val="left" w:pos="1701"/>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28° 00' 15.63" S</w:t>
      </w:r>
      <w:r w:rsidRPr="004A79F0">
        <w:rPr>
          <w:rFonts w:ascii="Times New Roman" w:eastAsia="Times New Roman" w:hAnsi="Times New Roman"/>
          <w:sz w:val="17"/>
          <w:szCs w:val="17"/>
        </w:rPr>
        <w:tab/>
      </w:r>
      <w:r w:rsidRPr="004A79F0">
        <w:rPr>
          <w:rFonts w:ascii="Times New Roman" w:eastAsia="Times New Roman" w:hAnsi="Times New Roman"/>
          <w:sz w:val="17"/>
          <w:szCs w:val="17"/>
        </w:rPr>
        <w:tab/>
        <w:t>140° 59' 49.74" E</w:t>
      </w:r>
    </w:p>
    <w:p w:rsidR="004A79F0" w:rsidRPr="004A79F0" w:rsidRDefault="004A79F0" w:rsidP="004A79F0">
      <w:pPr>
        <w:tabs>
          <w:tab w:val="left" w:pos="1701"/>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27° 59' 54.04" S</w:t>
      </w:r>
      <w:r w:rsidRPr="004A79F0">
        <w:rPr>
          <w:rFonts w:ascii="Times New Roman" w:eastAsia="Times New Roman" w:hAnsi="Times New Roman"/>
          <w:sz w:val="17"/>
          <w:szCs w:val="17"/>
        </w:rPr>
        <w:tab/>
      </w:r>
      <w:r w:rsidRPr="004A79F0">
        <w:rPr>
          <w:rFonts w:ascii="Times New Roman" w:eastAsia="Times New Roman" w:hAnsi="Times New Roman"/>
          <w:sz w:val="17"/>
          <w:szCs w:val="17"/>
        </w:rPr>
        <w:tab/>
        <w:t>140° 59' 50.97" E</w:t>
      </w:r>
    </w:p>
    <w:p w:rsidR="004A79F0" w:rsidRPr="004A79F0" w:rsidRDefault="004A79F0" w:rsidP="004A79F0">
      <w:pPr>
        <w:tabs>
          <w:tab w:val="left" w:pos="1701"/>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27° 59' 49.46" S</w:t>
      </w:r>
      <w:r w:rsidRPr="004A79F0">
        <w:rPr>
          <w:rFonts w:ascii="Times New Roman" w:eastAsia="Times New Roman" w:hAnsi="Times New Roman"/>
          <w:sz w:val="17"/>
          <w:szCs w:val="17"/>
        </w:rPr>
        <w:tab/>
      </w:r>
      <w:r w:rsidRPr="004A79F0">
        <w:rPr>
          <w:rFonts w:ascii="Times New Roman" w:eastAsia="Times New Roman" w:hAnsi="Times New Roman"/>
          <w:sz w:val="17"/>
          <w:szCs w:val="17"/>
        </w:rPr>
        <w:tab/>
        <w:t>140° 59' 53.62" E</w:t>
      </w:r>
    </w:p>
    <w:p w:rsidR="004A79F0" w:rsidRPr="004A79F0" w:rsidRDefault="004A79F0" w:rsidP="004A79F0">
      <w:pPr>
        <w:tabs>
          <w:tab w:val="left" w:pos="1701"/>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27° 59' 48.12" S</w:t>
      </w:r>
      <w:r w:rsidRPr="004A79F0">
        <w:rPr>
          <w:rFonts w:ascii="Times New Roman" w:eastAsia="Times New Roman" w:hAnsi="Times New Roman"/>
          <w:sz w:val="17"/>
          <w:szCs w:val="17"/>
        </w:rPr>
        <w:tab/>
      </w:r>
      <w:r w:rsidRPr="004A79F0">
        <w:rPr>
          <w:rFonts w:ascii="Times New Roman" w:eastAsia="Times New Roman" w:hAnsi="Times New Roman"/>
          <w:sz w:val="17"/>
          <w:szCs w:val="17"/>
        </w:rPr>
        <w:tab/>
        <w:t>140° 59' 58.19" E</w:t>
      </w:r>
    </w:p>
    <w:p w:rsidR="004A79F0" w:rsidRPr="004A79F0" w:rsidRDefault="004A79F0" w:rsidP="004A79F0">
      <w:pPr>
        <w:tabs>
          <w:tab w:val="left" w:pos="1701"/>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28° 00' 16.08" S</w:t>
      </w:r>
      <w:r w:rsidRPr="004A79F0">
        <w:rPr>
          <w:rFonts w:ascii="Times New Roman" w:eastAsia="Times New Roman" w:hAnsi="Times New Roman"/>
          <w:sz w:val="17"/>
          <w:szCs w:val="17"/>
        </w:rPr>
        <w:tab/>
      </w:r>
      <w:r w:rsidRPr="004A79F0">
        <w:rPr>
          <w:rFonts w:ascii="Times New Roman" w:eastAsia="Times New Roman" w:hAnsi="Times New Roman"/>
          <w:sz w:val="17"/>
          <w:szCs w:val="17"/>
        </w:rPr>
        <w:tab/>
        <w:t>140° 59' 57.07" E</w:t>
      </w:r>
    </w:p>
    <w:p w:rsidR="004A79F0" w:rsidRPr="004A79F0" w:rsidRDefault="004A79F0" w:rsidP="004A79F0">
      <w:pPr>
        <w:tabs>
          <w:tab w:val="left" w:pos="1701"/>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28° 00' 18.99" S</w:t>
      </w:r>
      <w:r w:rsidRPr="004A79F0">
        <w:rPr>
          <w:rFonts w:ascii="Times New Roman" w:eastAsia="Times New Roman" w:hAnsi="Times New Roman"/>
          <w:sz w:val="17"/>
          <w:szCs w:val="17"/>
        </w:rPr>
        <w:tab/>
      </w:r>
      <w:r w:rsidRPr="004A79F0">
        <w:rPr>
          <w:rFonts w:ascii="Times New Roman" w:eastAsia="Times New Roman" w:hAnsi="Times New Roman"/>
          <w:sz w:val="17"/>
          <w:szCs w:val="17"/>
        </w:rPr>
        <w:tab/>
        <w:t>140° 59' 55.88" E</w:t>
      </w:r>
    </w:p>
    <w:p w:rsidR="004A79F0" w:rsidRPr="004A79F0" w:rsidRDefault="004A79F0" w:rsidP="004A79F0">
      <w:pPr>
        <w:tabs>
          <w:tab w:val="left" w:pos="1701"/>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28° 01' 06.36" S</w:t>
      </w:r>
      <w:r w:rsidRPr="004A79F0">
        <w:rPr>
          <w:rFonts w:ascii="Times New Roman" w:eastAsia="Times New Roman" w:hAnsi="Times New Roman"/>
          <w:sz w:val="17"/>
          <w:szCs w:val="17"/>
        </w:rPr>
        <w:tab/>
      </w:r>
      <w:r w:rsidRPr="004A79F0">
        <w:rPr>
          <w:rFonts w:ascii="Times New Roman" w:eastAsia="Times New Roman" w:hAnsi="Times New Roman"/>
          <w:sz w:val="17"/>
          <w:szCs w:val="17"/>
        </w:rPr>
        <w:tab/>
        <w:t>140° 59' 11.15" E</w:t>
      </w:r>
    </w:p>
    <w:p w:rsidR="004A79F0" w:rsidRPr="004A79F0" w:rsidRDefault="004A79F0" w:rsidP="004A79F0">
      <w:pPr>
        <w:tabs>
          <w:tab w:val="left" w:pos="1701"/>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28° 02' 47.64" S</w:t>
      </w:r>
      <w:r w:rsidRPr="004A79F0">
        <w:rPr>
          <w:rFonts w:ascii="Times New Roman" w:eastAsia="Times New Roman" w:hAnsi="Times New Roman"/>
          <w:sz w:val="17"/>
          <w:szCs w:val="17"/>
        </w:rPr>
        <w:tab/>
      </w:r>
      <w:r w:rsidRPr="004A79F0">
        <w:rPr>
          <w:rFonts w:ascii="Times New Roman" w:eastAsia="Times New Roman" w:hAnsi="Times New Roman"/>
          <w:sz w:val="17"/>
          <w:szCs w:val="17"/>
        </w:rPr>
        <w:tab/>
        <w:t>140° 58' 34.23" E</w:t>
      </w:r>
    </w:p>
    <w:p w:rsidR="004A79F0" w:rsidRPr="004A79F0" w:rsidRDefault="004A79F0" w:rsidP="004A79F0">
      <w:pPr>
        <w:tabs>
          <w:tab w:val="left" w:pos="1701"/>
        </w:tabs>
        <w:spacing w:after="0"/>
        <w:ind w:left="160"/>
        <w:rPr>
          <w:rFonts w:ascii="Times New Roman" w:eastAsia="Times New Roman" w:hAnsi="Times New Roman"/>
          <w:sz w:val="17"/>
          <w:szCs w:val="17"/>
        </w:rPr>
      </w:pPr>
      <w:r w:rsidRPr="004A79F0">
        <w:rPr>
          <w:rFonts w:ascii="Times New Roman" w:eastAsia="Times New Roman" w:hAnsi="Times New Roman"/>
          <w:sz w:val="17"/>
          <w:szCs w:val="17"/>
        </w:rPr>
        <w:t>28° 02' 50.58" S</w:t>
      </w:r>
      <w:r w:rsidRPr="004A79F0">
        <w:rPr>
          <w:rFonts w:ascii="Times New Roman" w:eastAsia="Times New Roman" w:hAnsi="Times New Roman"/>
          <w:sz w:val="17"/>
          <w:szCs w:val="17"/>
        </w:rPr>
        <w:tab/>
      </w:r>
      <w:r w:rsidRPr="004A79F0">
        <w:rPr>
          <w:rFonts w:ascii="Times New Roman" w:eastAsia="Times New Roman" w:hAnsi="Times New Roman"/>
          <w:sz w:val="17"/>
          <w:szCs w:val="17"/>
        </w:rPr>
        <w:tab/>
        <w:t>140° 58' 31.81" E</w:t>
      </w:r>
    </w:p>
    <w:p w:rsidR="004A79F0" w:rsidRPr="004A79F0" w:rsidRDefault="004A79F0" w:rsidP="004A79F0">
      <w:pPr>
        <w:tabs>
          <w:tab w:val="left" w:pos="1701"/>
        </w:tabs>
        <w:ind w:left="160"/>
        <w:rPr>
          <w:rFonts w:ascii="Times New Roman" w:eastAsia="Times New Roman" w:hAnsi="Times New Roman"/>
          <w:sz w:val="17"/>
          <w:szCs w:val="17"/>
        </w:rPr>
      </w:pPr>
      <w:r w:rsidRPr="004A79F0">
        <w:rPr>
          <w:rFonts w:ascii="Times New Roman" w:eastAsia="Times New Roman" w:hAnsi="Times New Roman"/>
          <w:sz w:val="17"/>
          <w:szCs w:val="17"/>
        </w:rPr>
        <w:t>28° 02' 52.03" S</w:t>
      </w:r>
      <w:r w:rsidRPr="004A79F0">
        <w:rPr>
          <w:rFonts w:ascii="Times New Roman" w:eastAsia="Times New Roman" w:hAnsi="Times New Roman"/>
          <w:sz w:val="17"/>
          <w:szCs w:val="17"/>
        </w:rPr>
        <w:tab/>
      </w:r>
      <w:r w:rsidRPr="004A79F0">
        <w:rPr>
          <w:rFonts w:ascii="Times New Roman" w:eastAsia="Times New Roman" w:hAnsi="Times New Roman"/>
          <w:sz w:val="17"/>
          <w:szCs w:val="17"/>
        </w:rPr>
        <w:tab/>
        <w:t>140° 58' 28.64" E</w:t>
      </w:r>
    </w:p>
    <w:p w:rsidR="004A79F0" w:rsidRPr="004A79F0" w:rsidRDefault="004A79F0" w:rsidP="004A79F0">
      <w:pPr>
        <w:rPr>
          <w:rFonts w:ascii="Times New Roman" w:eastAsia="Times New Roman" w:hAnsi="Times New Roman"/>
          <w:sz w:val="17"/>
          <w:szCs w:val="17"/>
        </w:rPr>
      </w:pPr>
      <w:r w:rsidRPr="004A79F0">
        <w:rPr>
          <w:rFonts w:ascii="Times New Roman" w:eastAsia="Times New Roman" w:hAnsi="Times New Roman"/>
          <w:sz w:val="17"/>
          <w:szCs w:val="17"/>
        </w:rPr>
        <w:t>All coordinates in GDA2020.</w:t>
      </w:r>
    </w:p>
    <w:p w:rsidR="004A79F0" w:rsidRPr="004A79F0" w:rsidRDefault="004A79F0" w:rsidP="004A79F0">
      <w:pPr>
        <w:rPr>
          <w:rFonts w:ascii="Times New Roman" w:eastAsia="Times New Roman" w:hAnsi="Times New Roman"/>
          <w:sz w:val="17"/>
          <w:szCs w:val="17"/>
        </w:rPr>
      </w:pPr>
      <w:r w:rsidRPr="004A79F0">
        <w:rPr>
          <w:rFonts w:ascii="Times New Roman" w:eastAsia="Times New Roman" w:hAnsi="Times New Roman"/>
          <w:sz w:val="17"/>
          <w:szCs w:val="17"/>
        </w:rPr>
        <w:t xml:space="preserve">AREA: </w:t>
      </w:r>
      <w:r w:rsidRPr="004A79F0">
        <w:rPr>
          <w:rFonts w:ascii="Times New Roman" w:eastAsia="Times New Roman" w:hAnsi="Times New Roman"/>
          <w:b/>
          <w:sz w:val="17"/>
          <w:szCs w:val="17"/>
        </w:rPr>
        <w:t>1.51</w:t>
      </w:r>
      <w:r w:rsidRPr="004A79F0">
        <w:rPr>
          <w:rFonts w:ascii="Times New Roman" w:eastAsia="Times New Roman" w:hAnsi="Times New Roman"/>
          <w:sz w:val="17"/>
          <w:szCs w:val="17"/>
        </w:rPr>
        <w:t xml:space="preserve"> square kilometres approximately</w:t>
      </w:r>
    </w:p>
    <w:p w:rsidR="004A79F0" w:rsidRPr="004A79F0" w:rsidRDefault="004A79F0" w:rsidP="004A79F0">
      <w:pPr>
        <w:spacing w:after="0"/>
        <w:rPr>
          <w:rFonts w:ascii="Times New Roman" w:eastAsia="Times New Roman" w:hAnsi="Times New Roman"/>
          <w:sz w:val="17"/>
          <w:szCs w:val="17"/>
        </w:rPr>
      </w:pPr>
      <w:r w:rsidRPr="004A79F0">
        <w:rPr>
          <w:rFonts w:ascii="Times New Roman" w:eastAsia="Times New Roman" w:hAnsi="Times New Roman"/>
          <w:sz w:val="17"/>
          <w:szCs w:val="17"/>
        </w:rPr>
        <w:t>Dated: 21 December 2021</w:t>
      </w:r>
    </w:p>
    <w:p w:rsidR="004A79F0" w:rsidRPr="004A79F0" w:rsidRDefault="004A79F0" w:rsidP="004A79F0">
      <w:pPr>
        <w:spacing w:after="0"/>
        <w:jc w:val="right"/>
        <w:rPr>
          <w:rFonts w:ascii="Times New Roman" w:eastAsia="Times New Roman" w:hAnsi="Times New Roman"/>
          <w:smallCaps/>
          <w:sz w:val="17"/>
          <w:szCs w:val="17"/>
        </w:rPr>
      </w:pPr>
      <w:r w:rsidRPr="004A79F0">
        <w:rPr>
          <w:rFonts w:ascii="Times New Roman" w:eastAsia="Times New Roman" w:hAnsi="Times New Roman"/>
          <w:smallCaps/>
          <w:sz w:val="17"/>
          <w:szCs w:val="20"/>
        </w:rPr>
        <w:t>Barry A. Goldstein</w:t>
      </w:r>
    </w:p>
    <w:p w:rsidR="004A79F0" w:rsidRPr="004A79F0" w:rsidRDefault="004A79F0" w:rsidP="004A79F0">
      <w:pPr>
        <w:spacing w:after="0" w:line="240" w:lineRule="auto"/>
        <w:jc w:val="right"/>
        <w:rPr>
          <w:rFonts w:ascii="Times New Roman" w:eastAsia="Times New Roman" w:hAnsi="Times New Roman"/>
          <w:sz w:val="17"/>
          <w:szCs w:val="17"/>
        </w:rPr>
      </w:pPr>
      <w:r w:rsidRPr="004A79F0">
        <w:rPr>
          <w:rFonts w:ascii="Times New Roman" w:eastAsia="Times New Roman" w:hAnsi="Times New Roman"/>
          <w:sz w:val="17"/>
          <w:szCs w:val="17"/>
        </w:rPr>
        <w:t>Executive Director</w:t>
      </w:r>
    </w:p>
    <w:p w:rsidR="004A79F0" w:rsidRPr="004A79F0" w:rsidRDefault="004A79F0" w:rsidP="004A79F0">
      <w:pPr>
        <w:spacing w:after="0" w:line="240" w:lineRule="auto"/>
        <w:jc w:val="right"/>
        <w:rPr>
          <w:rFonts w:ascii="Times New Roman" w:eastAsia="Times New Roman" w:hAnsi="Times New Roman"/>
          <w:sz w:val="17"/>
          <w:szCs w:val="17"/>
        </w:rPr>
      </w:pPr>
      <w:r w:rsidRPr="004A79F0">
        <w:rPr>
          <w:rFonts w:ascii="Times New Roman" w:eastAsia="Times New Roman" w:hAnsi="Times New Roman"/>
          <w:sz w:val="17"/>
          <w:szCs w:val="17"/>
        </w:rPr>
        <w:t>Energy Resources Division</w:t>
      </w:r>
    </w:p>
    <w:p w:rsidR="004A79F0" w:rsidRPr="004A79F0" w:rsidRDefault="004A79F0" w:rsidP="004A79F0">
      <w:pPr>
        <w:spacing w:after="0" w:line="240" w:lineRule="auto"/>
        <w:jc w:val="right"/>
        <w:rPr>
          <w:rFonts w:ascii="Times New Roman" w:eastAsia="Times New Roman" w:hAnsi="Times New Roman"/>
          <w:sz w:val="17"/>
          <w:szCs w:val="17"/>
        </w:rPr>
      </w:pPr>
      <w:r w:rsidRPr="004A79F0">
        <w:rPr>
          <w:rFonts w:ascii="Times New Roman" w:eastAsia="Times New Roman" w:hAnsi="Times New Roman"/>
          <w:sz w:val="17"/>
          <w:szCs w:val="17"/>
        </w:rPr>
        <w:t>Department for Energy and Mining</w:t>
      </w:r>
    </w:p>
    <w:p w:rsidR="004A79F0" w:rsidRDefault="004A79F0" w:rsidP="004A79F0">
      <w:pPr>
        <w:spacing w:after="0" w:line="240" w:lineRule="auto"/>
        <w:jc w:val="right"/>
        <w:rPr>
          <w:rFonts w:ascii="Times New Roman" w:eastAsia="Times New Roman" w:hAnsi="Times New Roman"/>
          <w:sz w:val="17"/>
          <w:szCs w:val="17"/>
        </w:rPr>
      </w:pPr>
      <w:r w:rsidRPr="004A79F0">
        <w:rPr>
          <w:rFonts w:ascii="Times New Roman" w:eastAsia="Times New Roman" w:hAnsi="Times New Roman"/>
          <w:sz w:val="17"/>
          <w:szCs w:val="17"/>
        </w:rPr>
        <w:t>Delegate of the Minister for Energy and Mining</w:t>
      </w:r>
    </w:p>
    <w:p w:rsidR="004A79F0" w:rsidRDefault="004A79F0" w:rsidP="004A79F0">
      <w:pPr>
        <w:pBdr>
          <w:bottom w:val="single" w:sz="4" w:space="1" w:color="auto"/>
        </w:pBdr>
        <w:spacing w:after="0" w:line="52" w:lineRule="exact"/>
        <w:jc w:val="center"/>
        <w:rPr>
          <w:rFonts w:ascii="Times New Roman" w:eastAsia="Times New Roman" w:hAnsi="Times New Roman"/>
          <w:sz w:val="17"/>
          <w:szCs w:val="20"/>
        </w:rPr>
      </w:pPr>
    </w:p>
    <w:p w:rsidR="004A79F0" w:rsidRDefault="004A79F0" w:rsidP="004A79F0">
      <w:pPr>
        <w:pBdr>
          <w:top w:val="single" w:sz="4" w:space="1" w:color="auto"/>
        </w:pBdr>
        <w:spacing w:before="34" w:after="0" w:line="14" w:lineRule="exact"/>
        <w:jc w:val="center"/>
        <w:rPr>
          <w:rFonts w:ascii="Times New Roman" w:eastAsia="Times New Roman" w:hAnsi="Times New Roman"/>
          <w:sz w:val="17"/>
          <w:szCs w:val="20"/>
        </w:rPr>
      </w:pPr>
    </w:p>
    <w:p w:rsidR="004A79F0" w:rsidRDefault="004A79F0" w:rsidP="004A79F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8C023E" w:rsidRPr="008C023E" w:rsidRDefault="008C023E" w:rsidP="00B069DE">
      <w:pPr>
        <w:pStyle w:val="Heading2"/>
        <w:rPr>
          <w:rFonts w:eastAsia="Times New Roman"/>
        </w:rPr>
      </w:pPr>
      <w:bookmarkStart w:id="86" w:name="_Toc91161271"/>
      <w:r w:rsidRPr="008C023E">
        <w:t>Professional Standards Act 2004</w:t>
      </w:r>
      <w:bookmarkEnd w:id="86"/>
    </w:p>
    <w:p w:rsidR="008C023E" w:rsidRPr="008C023E" w:rsidRDefault="008C023E" w:rsidP="008C023E">
      <w:pPr>
        <w:jc w:val="center"/>
        <w:rPr>
          <w:rFonts w:ascii="Times New Roman" w:hAnsi="Times New Roman"/>
          <w:i/>
          <w:sz w:val="17"/>
          <w:szCs w:val="17"/>
        </w:rPr>
      </w:pPr>
      <w:r w:rsidRPr="008C023E">
        <w:rPr>
          <w:rFonts w:ascii="Times New Roman" w:hAnsi="Times New Roman"/>
          <w:i/>
          <w:sz w:val="17"/>
          <w:szCs w:val="17"/>
        </w:rPr>
        <w:t>The Law Society of South Australia</w:t>
      </w:r>
      <w:r w:rsidRPr="008C023E" w:rsidDel="00111035">
        <w:rPr>
          <w:rFonts w:ascii="Times New Roman" w:hAnsi="Times New Roman"/>
          <w:i/>
          <w:sz w:val="17"/>
          <w:szCs w:val="17"/>
        </w:rPr>
        <w:t xml:space="preserve"> </w:t>
      </w:r>
      <w:r w:rsidRPr="008C023E">
        <w:rPr>
          <w:rFonts w:ascii="Times New Roman" w:hAnsi="Times New Roman"/>
          <w:i/>
          <w:sz w:val="17"/>
          <w:szCs w:val="17"/>
        </w:rPr>
        <w:t>Professional Standards Scheme</w:t>
      </w:r>
    </w:p>
    <w:p w:rsidR="008C023E" w:rsidRPr="008C023E" w:rsidRDefault="008C023E" w:rsidP="008C023E">
      <w:pPr>
        <w:rPr>
          <w:rFonts w:ascii="Times New Roman" w:eastAsia="Times New Roman" w:hAnsi="Times New Roman"/>
          <w:sz w:val="17"/>
          <w:szCs w:val="17"/>
        </w:rPr>
      </w:pPr>
      <w:r w:rsidRPr="008C023E">
        <w:rPr>
          <w:rFonts w:ascii="Times New Roman" w:eastAsia="Times New Roman" w:hAnsi="Times New Roman"/>
          <w:sz w:val="17"/>
          <w:szCs w:val="17"/>
        </w:rPr>
        <w:t xml:space="preserve">PURSUANT to section 14 of the </w:t>
      </w:r>
      <w:r w:rsidRPr="008C023E">
        <w:rPr>
          <w:rFonts w:ascii="Times New Roman" w:eastAsia="Times New Roman" w:hAnsi="Times New Roman"/>
          <w:i/>
          <w:sz w:val="17"/>
          <w:szCs w:val="17"/>
        </w:rPr>
        <w:t>Professional Standards Act 2004</w:t>
      </w:r>
      <w:r w:rsidRPr="008C023E">
        <w:rPr>
          <w:rFonts w:ascii="Times New Roman" w:eastAsia="Times New Roman" w:hAnsi="Times New Roman"/>
          <w:sz w:val="17"/>
          <w:szCs w:val="17"/>
        </w:rPr>
        <w:t xml:space="preserve">, I authorise the publication in the </w:t>
      </w:r>
      <w:r w:rsidRPr="008C023E">
        <w:rPr>
          <w:rFonts w:ascii="Times New Roman" w:eastAsia="Times New Roman" w:hAnsi="Times New Roman"/>
          <w:i/>
          <w:sz w:val="17"/>
          <w:szCs w:val="17"/>
        </w:rPr>
        <w:t>Gazette</w:t>
      </w:r>
      <w:r w:rsidRPr="008C023E">
        <w:rPr>
          <w:rFonts w:ascii="Times New Roman" w:eastAsia="Times New Roman" w:hAnsi="Times New Roman"/>
          <w:sz w:val="17"/>
          <w:szCs w:val="17"/>
        </w:rPr>
        <w:t xml:space="preserve"> of the Law Society of South Australia Professional Standards Scheme. </w:t>
      </w:r>
    </w:p>
    <w:p w:rsidR="008C023E" w:rsidRPr="008C023E" w:rsidRDefault="008C023E" w:rsidP="008C023E">
      <w:pPr>
        <w:rPr>
          <w:rFonts w:ascii="Times New Roman" w:eastAsia="Times New Roman" w:hAnsi="Times New Roman"/>
          <w:sz w:val="17"/>
          <w:szCs w:val="17"/>
        </w:rPr>
      </w:pPr>
      <w:r w:rsidRPr="008C023E">
        <w:rPr>
          <w:rFonts w:ascii="Times New Roman" w:eastAsia="Times New Roman" w:hAnsi="Times New Roman"/>
          <w:sz w:val="17"/>
          <w:szCs w:val="17"/>
        </w:rPr>
        <w:t xml:space="preserve">Pursuant to section 15(1)(a) of the </w:t>
      </w:r>
      <w:r w:rsidRPr="008C023E">
        <w:rPr>
          <w:rFonts w:ascii="Times New Roman" w:eastAsia="Times New Roman" w:hAnsi="Times New Roman"/>
          <w:i/>
          <w:sz w:val="17"/>
          <w:szCs w:val="17"/>
        </w:rPr>
        <w:t>Professional Standards Act 2004</w:t>
      </w:r>
      <w:r w:rsidRPr="008C023E">
        <w:rPr>
          <w:rFonts w:ascii="Times New Roman" w:eastAsia="Times New Roman" w:hAnsi="Times New Roman"/>
          <w:sz w:val="17"/>
          <w:szCs w:val="17"/>
        </w:rPr>
        <w:t>, I specify 1 July 2022 as the date of commencement of the Law Society of South Australia Professional Standards Scheme.</w:t>
      </w:r>
    </w:p>
    <w:p w:rsidR="008C023E" w:rsidRPr="008C023E" w:rsidRDefault="008C023E" w:rsidP="008C023E">
      <w:pPr>
        <w:spacing w:after="0"/>
        <w:rPr>
          <w:rFonts w:ascii="Times New Roman" w:eastAsia="Times New Roman" w:hAnsi="Times New Roman"/>
          <w:sz w:val="17"/>
          <w:szCs w:val="17"/>
        </w:rPr>
      </w:pPr>
      <w:r w:rsidRPr="008C023E">
        <w:rPr>
          <w:rFonts w:ascii="Times New Roman" w:eastAsia="Times New Roman" w:hAnsi="Times New Roman"/>
          <w:sz w:val="17"/>
          <w:szCs w:val="17"/>
        </w:rPr>
        <w:t>Dated: 16 December 2021</w:t>
      </w:r>
    </w:p>
    <w:p w:rsidR="008C023E" w:rsidRPr="008C023E" w:rsidRDefault="008C023E" w:rsidP="008C023E">
      <w:pPr>
        <w:spacing w:after="0"/>
        <w:jc w:val="right"/>
        <w:rPr>
          <w:rFonts w:ascii="Times New Roman" w:eastAsia="Times New Roman" w:hAnsi="Times New Roman"/>
          <w:smallCaps/>
          <w:sz w:val="17"/>
          <w:szCs w:val="20"/>
        </w:rPr>
      </w:pPr>
      <w:r w:rsidRPr="008C023E">
        <w:rPr>
          <w:rFonts w:ascii="Times New Roman" w:eastAsia="Times New Roman" w:hAnsi="Times New Roman"/>
          <w:smallCaps/>
          <w:sz w:val="17"/>
          <w:szCs w:val="20"/>
        </w:rPr>
        <w:t>Josh Teague</w:t>
      </w:r>
    </w:p>
    <w:p w:rsidR="008C023E" w:rsidRPr="008C023E" w:rsidRDefault="008C023E" w:rsidP="008C023E">
      <w:pPr>
        <w:spacing w:after="0" w:line="240" w:lineRule="auto"/>
        <w:jc w:val="right"/>
        <w:rPr>
          <w:rFonts w:ascii="Times New Roman" w:eastAsia="Times New Roman" w:hAnsi="Times New Roman"/>
          <w:sz w:val="17"/>
          <w:szCs w:val="17"/>
        </w:rPr>
      </w:pPr>
      <w:r w:rsidRPr="008C023E">
        <w:rPr>
          <w:rFonts w:ascii="Times New Roman" w:eastAsia="Times New Roman" w:hAnsi="Times New Roman"/>
          <w:sz w:val="17"/>
          <w:szCs w:val="17"/>
        </w:rPr>
        <w:t>Minister fo</w:t>
      </w:r>
      <w:r>
        <w:rPr>
          <w:rFonts w:ascii="Times New Roman" w:eastAsia="Times New Roman" w:hAnsi="Times New Roman"/>
          <w:sz w:val="17"/>
          <w:szCs w:val="17"/>
        </w:rPr>
        <w:t>r Planning and Local Government</w:t>
      </w:r>
    </w:p>
    <w:p w:rsidR="008C023E" w:rsidRDefault="008C023E" w:rsidP="008C023E">
      <w:pPr>
        <w:spacing w:after="0" w:line="240" w:lineRule="auto"/>
        <w:jc w:val="right"/>
        <w:rPr>
          <w:rFonts w:ascii="Times New Roman" w:eastAsia="Times New Roman" w:hAnsi="Times New Roman"/>
          <w:sz w:val="17"/>
          <w:szCs w:val="17"/>
        </w:rPr>
      </w:pPr>
      <w:r w:rsidRPr="008C023E">
        <w:rPr>
          <w:rFonts w:ascii="Times New Roman" w:eastAsia="Times New Roman" w:hAnsi="Times New Roman"/>
          <w:sz w:val="17"/>
          <w:szCs w:val="17"/>
        </w:rPr>
        <w:t>(exercising the powers and functions of the Attorney-General)</w:t>
      </w:r>
    </w:p>
    <w:p w:rsidR="008C023E" w:rsidRDefault="008C023E" w:rsidP="008C023E">
      <w:pPr>
        <w:pBdr>
          <w:bottom w:val="single" w:sz="4" w:space="1" w:color="auto"/>
        </w:pBdr>
        <w:spacing w:after="0" w:line="52" w:lineRule="exact"/>
        <w:jc w:val="center"/>
        <w:rPr>
          <w:rFonts w:ascii="Times New Roman" w:eastAsia="Times New Roman" w:hAnsi="Times New Roman"/>
          <w:sz w:val="17"/>
          <w:szCs w:val="17"/>
        </w:rPr>
      </w:pPr>
    </w:p>
    <w:p w:rsidR="008C023E" w:rsidRDefault="008C023E" w:rsidP="008C023E">
      <w:pPr>
        <w:pBdr>
          <w:top w:val="single" w:sz="4" w:space="1" w:color="auto"/>
        </w:pBdr>
        <w:spacing w:before="34" w:after="0" w:line="14" w:lineRule="exact"/>
        <w:jc w:val="center"/>
        <w:rPr>
          <w:rFonts w:ascii="Times New Roman" w:eastAsia="Times New Roman" w:hAnsi="Times New Roman"/>
          <w:sz w:val="17"/>
          <w:szCs w:val="17"/>
        </w:rPr>
      </w:pPr>
    </w:p>
    <w:p w:rsidR="008C023E" w:rsidRPr="008C023E" w:rsidRDefault="008C023E" w:rsidP="008C023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D86C43" w:rsidRDefault="00D86C43" w:rsidP="00B069DE">
      <w:pPr>
        <w:pStyle w:val="Heading2"/>
      </w:pPr>
      <w:bookmarkStart w:id="87" w:name="_Toc91161272"/>
      <w:r w:rsidRPr="00A96D66">
        <w:t>Road Traffic (Road Rules—Ancillary and Miscellaneous Provisions) Regulations 2014</w:t>
      </w:r>
      <w:bookmarkEnd w:id="87"/>
    </w:p>
    <w:p w:rsidR="00D86C43" w:rsidRPr="00A96D66" w:rsidRDefault="00D86C43" w:rsidP="00D86C43">
      <w:pPr>
        <w:spacing w:after="0" w:line="240" w:lineRule="auto"/>
        <w:jc w:val="left"/>
        <w:rPr>
          <w:rFonts w:ascii="Times New Roman" w:eastAsiaTheme="minorHAnsi" w:hAnsi="Times New Roman"/>
        </w:rPr>
      </w:pPr>
      <w:r w:rsidRPr="00A96D66">
        <w:rPr>
          <w:rFonts w:ascii="Times New Roman" w:eastAsiaTheme="minorHAnsi" w:hAnsi="Times New Roman"/>
        </w:rPr>
        <w:t>South Australia</w:t>
      </w:r>
    </w:p>
    <w:p w:rsidR="00D86C43" w:rsidRPr="00A96D66" w:rsidRDefault="00D86C43" w:rsidP="00D86C43">
      <w:pPr>
        <w:spacing w:after="0" w:line="240" w:lineRule="auto"/>
        <w:jc w:val="left"/>
        <w:rPr>
          <w:rFonts w:ascii="Times New Roman" w:eastAsiaTheme="minorHAnsi" w:hAnsi="Times New Roman"/>
          <w:b/>
          <w:sz w:val="28"/>
        </w:rPr>
      </w:pPr>
    </w:p>
    <w:p w:rsidR="00D86C43" w:rsidRPr="00A96D66" w:rsidRDefault="00D86C43" w:rsidP="00D86C43">
      <w:pPr>
        <w:spacing w:after="0" w:line="240" w:lineRule="auto"/>
        <w:jc w:val="left"/>
        <w:rPr>
          <w:rFonts w:ascii="Times New Roman" w:eastAsiaTheme="minorHAnsi" w:hAnsi="Times New Roman"/>
          <w:b/>
          <w:sz w:val="28"/>
        </w:rPr>
      </w:pPr>
      <w:r w:rsidRPr="00A96D66">
        <w:rPr>
          <w:rFonts w:ascii="Times New Roman" w:eastAsiaTheme="minorHAnsi" w:hAnsi="Times New Roman"/>
          <w:b/>
          <w:sz w:val="28"/>
        </w:rPr>
        <w:t>Road Traffic (Exemption for Feral Animal Control Operations) Notice 2021</w:t>
      </w:r>
    </w:p>
    <w:p w:rsidR="00D86C43" w:rsidRPr="00A96D66" w:rsidRDefault="00D86C43" w:rsidP="00D86C43">
      <w:pPr>
        <w:spacing w:after="0" w:line="240" w:lineRule="auto"/>
        <w:jc w:val="left"/>
        <w:rPr>
          <w:rFonts w:ascii="Times New Roman" w:eastAsiaTheme="minorHAnsi" w:hAnsi="Times New Roman"/>
        </w:rPr>
      </w:pPr>
    </w:p>
    <w:p w:rsidR="00D86C43" w:rsidRPr="00A96D66" w:rsidRDefault="00D86C43" w:rsidP="00D86C43">
      <w:pPr>
        <w:spacing w:after="0" w:line="240" w:lineRule="auto"/>
        <w:jc w:val="left"/>
        <w:rPr>
          <w:rFonts w:ascii="Times New Roman" w:eastAsiaTheme="minorHAnsi" w:hAnsi="Times New Roman"/>
        </w:rPr>
      </w:pPr>
      <w:r w:rsidRPr="00A96D66">
        <w:rPr>
          <w:rFonts w:ascii="Times New Roman" w:eastAsiaTheme="minorHAnsi" w:hAnsi="Times New Roman"/>
        </w:rPr>
        <w:t>Issued pursuant to Regulation 6 of the Road Traffic (Road Rules—Ancillary and Miscellaneous Provisions) Regulations 2014</w:t>
      </w:r>
    </w:p>
    <w:p w:rsidR="00D86C43" w:rsidRPr="00A96D66" w:rsidRDefault="00D86C43" w:rsidP="00D86C43">
      <w:pPr>
        <w:spacing w:after="0" w:line="240" w:lineRule="auto"/>
        <w:jc w:val="left"/>
        <w:rPr>
          <w:rFonts w:ascii="Times New Roman" w:eastAsiaTheme="minorHAnsi" w:hAnsi="Times New Roman"/>
        </w:rPr>
      </w:pPr>
    </w:p>
    <w:p w:rsidR="00D86C43" w:rsidRPr="00A96D66" w:rsidRDefault="00D86C43" w:rsidP="00D86C43">
      <w:pPr>
        <w:spacing w:after="0" w:line="240" w:lineRule="auto"/>
        <w:jc w:val="left"/>
        <w:rPr>
          <w:rFonts w:ascii="Times New Roman" w:eastAsiaTheme="minorHAnsi" w:hAnsi="Times New Roman"/>
          <w:b/>
        </w:rPr>
      </w:pPr>
      <w:r w:rsidRPr="00A96D66">
        <w:rPr>
          <w:rFonts w:ascii="Times New Roman" w:eastAsiaTheme="minorHAnsi" w:hAnsi="Times New Roman"/>
          <w:b/>
        </w:rPr>
        <w:t>1   INTERPRETATION</w:t>
      </w:r>
    </w:p>
    <w:p w:rsidR="00D86C43" w:rsidRPr="00A96D66" w:rsidRDefault="00D86C43" w:rsidP="00D86C43">
      <w:pPr>
        <w:spacing w:after="0" w:line="240" w:lineRule="auto"/>
        <w:ind w:left="284"/>
        <w:jc w:val="left"/>
        <w:rPr>
          <w:rFonts w:ascii="Times New Roman" w:eastAsiaTheme="minorHAnsi" w:hAnsi="Times New Roman"/>
        </w:rPr>
      </w:pPr>
    </w:p>
    <w:p w:rsidR="00D86C43" w:rsidRPr="00A96D66" w:rsidRDefault="00D86C43" w:rsidP="00D86C43">
      <w:pPr>
        <w:spacing w:after="0" w:line="240" w:lineRule="auto"/>
        <w:ind w:left="284"/>
        <w:jc w:val="left"/>
        <w:rPr>
          <w:rFonts w:ascii="Times New Roman" w:eastAsiaTheme="minorHAnsi" w:hAnsi="Times New Roman"/>
        </w:rPr>
      </w:pPr>
      <w:r w:rsidRPr="00A96D66">
        <w:rPr>
          <w:rFonts w:ascii="Times New Roman" w:eastAsiaTheme="minorHAnsi" w:hAnsi="Times New Roman"/>
        </w:rPr>
        <w:t xml:space="preserve">In this Notice— </w:t>
      </w:r>
    </w:p>
    <w:p w:rsidR="00D86C43" w:rsidRPr="00A96D66" w:rsidRDefault="00D86C43" w:rsidP="00D86C43">
      <w:pPr>
        <w:spacing w:after="0" w:line="240" w:lineRule="auto"/>
        <w:ind w:left="284"/>
        <w:jc w:val="left"/>
        <w:rPr>
          <w:rFonts w:ascii="Times New Roman" w:eastAsiaTheme="minorHAnsi" w:hAnsi="Times New Roman"/>
          <w:b/>
          <w:i/>
        </w:rPr>
      </w:pPr>
    </w:p>
    <w:p w:rsidR="00D86C43" w:rsidRPr="00A96D66" w:rsidRDefault="00D86C43" w:rsidP="00D86C43">
      <w:pPr>
        <w:spacing w:after="0" w:line="240" w:lineRule="auto"/>
        <w:ind w:left="284"/>
        <w:jc w:val="left"/>
        <w:rPr>
          <w:rFonts w:ascii="Times New Roman" w:eastAsiaTheme="minorHAnsi" w:hAnsi="Times New Roman"/>
        </w:rPr>
      </w:pPr>
      <w:r w:rsidRPr="00A96D66">
        <w:rPr>
          <w:rFonts w:ascii="Times New Roman" w:eastAsiaTheme="minorHAnsi" w:hAnsi="Times New Roman"/>
          <w:b/>
          <w:i/>
        </w:rPr>
        <w:t>Ground-based shooting operations</w:t>
      </w:r>
      <w:r w:rsidRPr="00A96D66">
        <w:rPr>
          <w:rFonts w:ascii="Times New Roman" w:eastAsiaTheme="minorHAnsi" w:hAnsi="Times New Roman"/>
        </w:rPr>
        <w:t xml:space="preserve"> refers to operations whereby two passengers (one operating a spotlight and the other in control of a firearm) stand on the rear tray of a vehicle to search for target animals;</w:t>
      </w:r>
    </w:p>
    <w:p w:rsidR="00D86C43" w:rsidRPr="00A96D66" w:rsidRDefault="00D86C43" w:rsidP="00D86C43">
      <w:pPr>
        <w:spacing w:after="0" w:line="240" w:lineRule="auto"/>
        <w:jc w:val="left"/>
        <w:rPr>
          <w:rFonts w:ascii="Times New Roman" w:eastAsiaTheme="minorHAnsi" w:hAnsi="Times New Roman"/>
        </w:rPr>
      </w:pPr>
    </w:p>
    <w:p w:rsidR="00C861DD" w:rsidRDefault="00C861DD">
      <w:pPr>
        <w:spacing w:after="0" w:line="240" w:lineRule="auto"/>
        <w:jc w:val="left"/>
        <w:rPr>
          <w:rFonts w:ascii="Times New Roman" w:eastAsiaTheme="minorHAnsi" w:hAnsi="Times New Roman"/>
          <w:b/>
        </w:rPr>
      </w:pPr>
      <w:r>
        <w:rPr>
          <w:rFonts w:ascii="Times New Roman" w:eastAsiaTheme="minorHAnsi" w:hAnsi="Times New Roman"/>
          <w:b/>
        </w:rPr>
        <w:br w:type="page"/>
      </w:r>
    </w:p>
    <w:p w:rsidR="00D86C43" w:rsidRPr="00A96D66" w:rsidRDefault="00D86C43" w:rsidP="00D86C43">
      <w:pPr>
        <w:spacing w:after="0" w:line="240" w:lineRule="auto"/>
        <w:jc w:val="left"/>
        <w:rPr>
          <w:rFonts w:ascii="Times New Roman" w:eastAsiaTheme="minorHAnsi" w:hAnsi="Times New Roman"/>
          <w:b/>
        </w:rPr>
      </w:pPr>
      <w:r w:rsidRPr="00A96D66">
        <w:rPr>
          <w:rFonts w:ascii="Times New Roman" w:eastAsiaTheme="minorHAnsi" w:hAnsi="Times New Roman"/>
          <w:b/>
        </w:rPr>
        <w:lastRenderedPageBreak/>
        <w:t>2   EXEMPTION</w:t>
      </w:r>
    </w:p>
    <w:p w:rsidR="00D86C43" w:rsidRPr="00A96D66" w:rsidRDefault="00D86C43" w:rsidP="00D86C43">
      <w:pPr>
        <w:spacing w:after="0" w:line="240" w:lineRule="auto"/>
        <w:ind w:left="284"/>
        <w:jc w:val="left"/>
        <w:rPr>
          <w:rFonts w:ascii="Times New Roman" w:eastAsiaTheme="minorHAnsi" w:hAnsi="Times New Roman"/>
        </w:rPr>
      </w:pPr>
    </w:p>
    <w:p w:rsidR="00D86C43" w:rsidRPr="00A96D66" w:rsidRDefault="00D86C43" w:rsidP="00D86C43">
      <w:pPr>
        <w:spacing w:after="0" w:line="240" w:lineRule="auto"/>
        <w:ind w:left="284"/>
        <w:jc w:val="left"/>
        <w:rPr>
          <w:rFonts w:ascii="Times New Roman" w:eastAsiaTheme="minorHAnsi" w:hAnsi="Times New Roman"/>
        </w:rPr>
      </w:pPr>
      <w:r w:rsidRPr="00A96D66">
        <w:rPr>
          <w:rFonts w:ascii="Times New Roman" w:eastAsiaTheme="minorHAnsi" w:hAnsi="Times New Roman"/>
        </w:rPr>
        <w:t>In accordance with my powers conferred on me as the Minister for Infrastructure and Transport in South Australia, under Regulation 6 of the Road Traffic (Road Rules—Ancillary and Miscellaneous Provisions) Regulations 2014, I hereby exempt the Department of Environment and Water (South Australia) from Australian Road Rule 268, subject to the following conditions:</w:t>
      </w:r>
    </w:p>
    <w:p w:rsidR="00D86C43" w:rsidRPr="00A96D66" w:rsidRDefault="00D86C43" w:rsidP="00D86C43">
      <w:pPr>
        <w:spacing w:after="0" w:line="240" w:lineRule="auto"/>
        <w:ind w:left="851" w:hanging="425"/>
        <w:jc w:val="left"/>
        <w:rPr>
          <w:rFonts w:ascii="Times New Roman" w:eastAsiaTheme="minorHAnsi" w:hAnsi="Times New Roman"/>
        </w:rPr>
      </w:pPr>
    </w:p>
    <w:p w:rsidR="00D86C43" w:rsidRPr="00A96D66" w:rsidRDefault="00D86C43" w:rsidP="00D86C43">
      <w:pPr>
        <w:numPr>
          <w:ilvl w:val="0"/>
          <w:numId w:val="221"/>
        </w:numPr>
        <w:spacing w:after="0" w:line="240" w:lineRule="auto"/>
        <w:contextualSpacing/>
        <w:jc w:val="left"/>
        <w:rPr>
          <w:rFonts w:ascii="Times New Roman" w:eastAsiaTheme="minorHAnsi" w:hAnsi="Times New Roman"/>
        </w:rPr>
      </w:pPr>
      <w:r w:rsidRPr="00A96D66">
        <w:rPr>
          <w:rFonts w:ascii="Times New Roman" w:eastAsiaTheme="minorHAnsi" w:hAnsi="Times New Roman"/>
        </w:rPr>
        <w:t>The exemption is granted for the sole purpose of feral animal control within Ikara–Flinders Ranges National Park via ground-based shooting operations;</w:t>
      </w:r>
    </w:p>
    <w:p w:rsidR="00D86C43" w:rsidRPr="00A96D66" w:rsidRDefault="00D86C43" w:rsidP="00D86C43">
      <w:pPr>
        <w:spacing w:after="0" w:line="240" w:lineRule="auto"/>
        <w:jc w:val="left"/>
        <w:rPr>
          <w:rFonts w:ascii="Times New Roman" w:eastAsiaTheme="minorHAnsi" w:hAnsi="Times New Roman"/>
        </w:rPr>
      </w:pPr>
    </w:p>
    <w:p w:rsidR="00D86C43" w:rsidRPr="00A96D66" w:rsidRDefault="00D86C43" w:rsidP="00D86C43">
      <w:pPr>
        <w:spacing w:after="120" w:line="240" w:lineRule="auto"/>
        <w:ind w:left="851" w:hanging="425"/>
        <w:jc w:val="left"/>
        <w:rPr>
          <w:rFonts w:ascii="Times New Roman" w:eastAsiaTheme="minorHAnsi" w:hAnsi="Times New Roman"/>
        </w:rPr>
      </w:pPr>
      <w:r w:rsidRPr="00A96D66">
        <w:rPr>
          <w:rFonts w:ascii="Times New Roman" w:eastAsiaTheme="minorHAnsi" w:hAnsi="Times New Roman"/>
        </w:rPr>
        <w:t>2.</w:t>
      </w:r>
      <w:r w:rsidRPr="00A96D66">
        <w:rPr>
          <w:rFonts w:ascii="Times New Roman" w:eastAsiaTheme="minorHAnsi" w:hAnsi="Times New Roman"/>
        </w:rPr>
        <w:tab/>
        <w:t>This exemption only applies:</w:t>
      </w:r>
    </w:p>
    <w:p w:rsidR="00D86C43" w:rsidRPr="00A96D66" w:rsidRDefault="00D86C43" w:rsidP="00D86C43">
      <w:pPr>
        <w:numPr>
          <w:ilvl w:val="0"/>
          <w:numId w:val="220"/>
        </w:numPr>
        <w:spacing w:after="120" w:line="240" w:lineRule="auto"/>
        <w:jc w:val="left"/>
        <w:rPr>
          <w:rFonts w:ascii="Times New Roman" w:eastAsiaTheme="minorHAnsi" w:hAnsi="Times New Roman"/>
        </w:rPr>
      </w:pPr>
      <w:r w:rsidRPr="00A96D66">
        <w:rPr>
          <w:rFonts w:ascii="Times New Roman" w:eastAsiaTheme="minorHAnsi" w:hAnsi="Times New Roman"/>
        </w:rPr>
        <w:t xml:space="preserve">to any employee, contractor or other person authorised by the Department of Environment and Water to undertake the aforesaid feral animal control in accordance with any relevant work instructions and procedures required for this activity by the Department of Environment and Water from time to time; </w:t>
      </w:r>
    </w:p>
    <w:p w:rsidR="00D86C43" w:rsidRPr="00A96D66" w:rsidRDefault="00D86C43" w:rsidP="00D86C43">
      <w:pPr>
        <w:numPr>
          <w:ilvl w:val="0"/>
          <w:numId w:val="220"/>
        </w:numPr>
        <w:spacing w:after="0" w:line="240" w:lineRule="auto"/>
        <w:jc w:val="left"/>
        <w:rPr>
          <w:rFonts w:ascii="Times New Roman" w:eastAsiaTheme="minorHAnsi" w:hAnsi="Times New Roman"/>
        </w:rPr>
      </w:pPr>
      <w:r w:rsidRPr="00A96D66">
        <w:rPr>
          <w:rFonts w:ascii="Times New Roman" w:eastAsiaTheme="minorHAnsi" w:hAnsi="Times New Roman"/>
        </w:rPr>
        <w:t>For vehicles travelling</w:t>
      </w:r>
    </w:p>
    <w:p w:rsidR="00D86C43" w:rsidRPr="00A96D66" w:rsidRDefault="00D86C43" w:rsidP="00D86C43">
      <w:pPr>
        <w:numPr>
          <w:ilvl w:val="1"/>
          <w:numId w:val="220"/>
        </w:numPr>
        <w:spacing w:after="0" w:line="240" w:lineRule="auto"/>
        <w:jc w:val="left"/>
        <w:rPr>
          <w:rFonts w:ascii="Times New Roman" w:eastAsiaTheme="minorHAnsi" w:hAnsi="Times New Roman"/>
        </w:rPr>
      </w:pPr>
      <w:r w:rsidRPr="00A96D66">
        <w:rPr>
          <w:rFonts w:ascii="Times New Roman" w:eastAsiaTheme="minorHAnsi" w:hAnsi="Times New Roman"/>
        </w:rPr>
        <w:t xml:space="preserve">on the portions of Bunyeroo Road, Brachina Gorge Road and Wirrealpa Road within Ikara–Flinders Ranges National Park (as specified on the attached map); and </w:t>
      </w:r>
    </w:p>
    <w:p w:rsidR="00D86C43" w:rsidRPr="00A96D66" w:rsidRDefault="00D86C43" w:rsidP="00D86C43">
      <w:pPr>
        <w:numPr>
          <w:ilvl w:val="1"/>
          <w:numId w:val="220"/>
        </w:numPr>
        <w:spacing w:after="0" w:line="240" w:lineRule="auto"/>
        <w:jc w:val="left"/>
        <w:rPr>
          <w:rFonts w:ascii="Times New Roman" w:eastAsiaTheme="minorHAnsi" w:hAnsi="Times New Roman"/>
        </w:rPr>
      </w:pPr>
      <w:r w:rsidRPr="00A96D66">
        <w:rPr>
          <w:rFonts w:ascii="Times New Roman" w:eastAsiaTheme="minorHAnsi" w:hAnsi="Times New Roman"/>
        </w:rPr>
        <w:t>at 0 kilometres per hour (i.e. at a complete stop) while shooting target animals, and at all other times, no faster than 25 kilometres per hour.</w:t>
      </w:r>
    </w:p>
    <w:p w:rsidR="00D86C43" w:rsidRPr="00A96D66" w:rsidRDefault="00D86C43" w:rsidP="00D86C43">
      <w:pPr>
        <w:spacing w:after="0" w:line="240" w:lineRule="auto"/>
        <w:jc w:val="left"/>
        <w:rPr>
          <w:rFonts w:ascii="Times New Roman" w:eastAsiaTheme="minorHAnsi" w:hAnsi="Times New Roman"/>
        </w:rPr>
      </w:pPr>
    </w:p>
    <w:p w:rsidR="00D86C43" w:rsidRPr="00A96D66" w:rsidRDefault="00D86C43" w:rsidP="00D86C43">
      <w:pPr>
        <w:spacing w:after="0" w:line="240" w:lineRule="auto"/>
        <w:jc w:val="left"/>
        <w:rPr>
          <w:rFonts w:ascii="Times New Roman" w:eastAsiaTheme="minorHAnsi" w:hAnsi="Times New Roman"/>
          <w:b/>
        </w:rPr>
      </w:pPr>
      <w:r w:rsidRPr="00A96D66">
        <w:rPr>
          <w:rFonts w:ascii="Times New Roman" w:eastAsiaTheme="minorHAnsi" w:hAnsi="Times New Roman"/>
          <w:b/>
        </w:rPr>
        <w:t>3   COMMENCEMENT AND OPERATION</w:t>
      </w:r>
    </w:p>
    <w:p w:rsidR="00D86C43" w:rsidRPr="00A96D66" w:rsidRDefault="00D86C43" w:rsidP="00D86C43">
      <w:pPr>
        <w:spacing w:after="0" w:line="240" w:lineRule="auto"/>
        <w:ind w:left="284"/>
        <w:jc w:val="left"/>
        <w:rPr>
          <w:rFonts w:ascii="Times New Roman" w:eastAsiaTheme="minorHAnsi" w:hAnsi="Times New Roman"/>
        </w:rPr>
      </w:pPr>
    </w:p>
    <w:p w:rsidR="00D86C43" w:rsidRPr="00A96D66" w:rsidRDefault="00D86C43" w:rsidP="00D86C43">
      <w:pPr>
        <w:spacing w:after="0" w:line="240" w:lineRule="auto"/>
        <w:ind w:left="284"/>
        <w:jc w:val="left"/>
        <w:rPr>
          <w:rFonts w:ascii="Times New Roman" w:eastAsiaTheme="minorHAnsi" w:hAnsi="Times New Roman"/>
        </w:rPr>
      </w:pPr>
      <w:r w:rsidRPr="00A96D66">
        <w:rPr>
          <w:rFonts w:ascii="Times New Roman" w:eastAsiaTheme="minorHAnsi" w:hAnsi="Times New Roman"/>
        </w:rPr>
        <w:t xml:space="preserve">This Notice will come into operation on the day on which it is published in the </w:t>
      </w:r>
      <w:r w:rsidRPr="00A96D66">
        <w:rPr>
          <w:rFonts w:ascii="Times New Roman" w:eastAsiaTheme="minorHAnsi" w:hAnsi="Times New Roman"/>
          <w:i/>
        </w:rPr>
        <w:t xml:space="preserve">South Australia Government Gazette. </w:t>
      </w:r>
    </w:p>
    <w:p w:rsidR="00D86C43" w:rsidRPr="00A96D66" w:rsidRDefault="00D86C43" w:rsidP="00D86C43">
      <w:pPr>
        <w:spacing w:after="0" w:line="240" w:lineRule="auto"/>
        <w:jc w:val="left"/>
        <w:rPr>
          <w:rFonts w:ascii="Times New Roman" w:eastAsiaTheme="minorHAnsi" w:hAnsi="Times New Roman"/>
        </w:rPr>
      </w:pPr>
    </w:p>
    <w:p w:rsidR="00D86C43" w:rsidRPr="00A96D66" w:rsidRDefault="00D86C43" w:rsidP="00D86C43">
      <w:pPr>
        <w:tabs>
          <w:tab w:val="left" w:pos="1134"/>
          <w:tab w:val="left" w:pos="1701"/>
        </w:tabs>
        <w:spacing w:after="0" w:line="240" w:lineRule="auto"/>
        <w:jc w:val="left"/>
        <w:rPr>
          <w:rFonts w:ascii="Times New Roman" w:eastAsiaTheme="minorHAnsi" w:hAnsi="Times New Roman"/>
        </w:rPr>
      </w:pPr>
      <w:r w:rsidRPr="00A96D66">
        <w:rPr>
          <w:rFonts w:ascii="Times New Roman" w:eastAsiaTheme="minorHAnsi" w:hAnsi="Times New Roman"/>
        </w:rPr>
        <w:t xml:space="preserve">Dated: </w:t>
      </w:r>
      <w:r>
        <w:rPr>
          <w:rFonts w:ascii="Times New Roman" w:eastAsiaTheme="minorHAnsi" w:hAnsi="Times New Roman"/>
        </w:rPr>
        <w:t xml:space="preserve">2 December </w:t>
      </w:r>
      <w:r w:rsidRPr="00A96D66">
        <w:rPr>
          <w:rFonts w:ascii="Times New Roman" w:eastAsiaTheme="minorHAnsi" w:hAnsi="Times New Roman"/>
        </w:rPr>
        <w:t>2021</w:t>
      </w:r>
    </w:p>
    <w:p w:rsidR="00D86C43" w:rsidRPr="00A96D66" w:rsidRDefault="00D86C43" w:rsidP="00D86C43">
      <w:pPr>
        <w:spacing w:after="0" w:line="240" w:lineRule="auto"/>
        <w:jc w:val="left"/>
        <w:rPr>
          <w:rFonts w:ascii="Times New Roman" w:eastAsiaTheme="minorHAnsi" w:hAnsi="Times New Roman"/>
        </w:rPr>
      </w:pPr>
    </w:p>
    <w:p w:rsidR="00D86C43" w:rsidRPr="00A96D66" w:rsidRDefault="00D86C43" w:rsidP="00D86C43">
      <w:pPr>
        <w:spacing w:after="0" w:line="240" w:lineRule="auto"/>
        <w:jc w:val="left"/>
        <w:rPr>
          <w:rFonts w:ascii="Times New Roman" w:eastAsiaTheme="minorHAnsi" w:hAnsi="Times New Roman"/>
          <w:b/>
        </w:rPr>
      </w:pPr>
    </w:p>
    <w:p w:rsidR="00D86C43" w:rsidRPr="00A96D66" w:rsidRDefault="00D86C43" w:rsidP="00D86C43">
      <w:pPr>
        <w:spacing w:after="0" w:line="240" w:lineRule="auto"/>
        <w:jc w:val="left"/>
        <w:rPr>
          <w:rFonts w:ascii="Times New Roman" w:eastAsiaTheme="minorHAnsi" w:hAnsi="Times New Roman"/>
          <w:b/>
        </w:rPr>
      </w:pPr>
      <w:r w:rsidRPr="00A96D66">
        <w:rPr>
          <w:rFonts w:ascii="Times New Roman" w:eastAsiaTheme="minorHAnsi" w:hAnsi="Times New Roman"/>
          <w:b/>
        </w:rPr>
        <w:t>Hon Corey Wingard MP</w:t>
      </w:r>
    </w:p>
    <w:p w:rsidR="00D86C43" w:rsidRPr="00A96D66" w:rsidRDefault="00D86C43" w:rsidP="00D86C43">
      <w:pPr>
        <w:tabs>
          <w:tab w:val="left" w:pos="284"/>
          <w:tab w:val="left" w:pos="5670"/>
        </w:tabs>
        <w:spacing w:after="0" w:line="240" w:lineRule="auto"/>
        <w:jc w:val="left"/>
        <w:rPr>
          <w:rFonts w:ascii="Times New Roman" w:eastAsiaTheme="minorHAnsi" w:hAnsi="Times New Roman"/>
        </w:rPr>
      </w:pPr>
      <w:r w:rsidRPr="00A96D66">
        <w:rPr>
          <w:rFonts w:ascii="Times New Roman" w:eastAsiaTheme="minorHAnsi" w:hAnsi="Times New Roman"/>
        </w:rPr>
        <w:t>Minister for Infrastructure and Transport</w:t>
      </w:r>
    </w:p>
    <w:p w:rsidR="00D86C43" w:rsidRDefault="00D86C43" w:rsidP="00D86C43">
      <w:pPr>
        <w:tabs>
          <w:tab w:val="left" w:pos="284"/>
          <w:tab w:val="left" w:pos="5670"/>
        </w:tabs>
        <w:spacing w:after="0" w:line="240" w:lineRule="auto"/>
        <w:jc w:val="left"/>
        <w:rPr>
          <w:rFonts w:ascii="Times New Roman" w:eastAsiaTheme="minorHAnsi" w:hAnsi="Times New Roman"/>
        </w:rPr>
      </w:pPr>
    </w:p>
    <w:p w:rsidR="00D86C43" w:rsidRDefault="00D86C43" w:rsidP="00D86C43">
      <w:pPr>
        <w:pBdr>
          <w:top w:val="single" w:sz="4" w:space="1" w:color="auto"/>
        </w:pBdr>
        <w:tabs>
          <w:tab w:val="left" w:pos="284"/>
          <w:tab w:val="left" w:pos="5670"/>
        </w:tabs>
        <w:spacing w:before="100" w:line="14" w:lineRule="exact"/>
        <w:ind w:left="1080" w:right="1080"/>
        <w:jc w:val="center"/>
        <w:rPr>
          <w:rFonts w:ascii="Times New Roman" w:eastAsiaTheme="minorHAnsi" w:hAnsi="Times New Roman"/>
        </w:rPr>
      </w:pPr>
    </w:p>
    <w:p w:rsidR="00D86C43" w:rsidRDefault="00D86C43" w:rsidP="00D86C43">
      <w:pPr>
        <w:spacing w:after="0" w:line="240" w:lineRule="auto"/>
        <w:jc w:val="left"/>
        <w:rPr>
          <w:rFonts w:ascii="Times New Roman" w:hAnsi="Times New Roman"/>
          <w:smallCaps/>
          <w:sz w:val="17"/>
          <w:szCs w:val="17"/>
        </w:rPr>
      </w:pPr>
      <w:r>
        <w:br w:type="page"/>
      </w:r>
    </w:p>
    <w:p w:rsidR="00D86C43" w:rsidRPr="00A96D66" w:rsidRDefault="00D86C43" w:rsidP="00D86C43">
      <w:pPr>
        <w:pStyle w:val="GG-Title2"/>
      </w:pPr>
      <w:r w:rsidRPr="00A96D66">
        <w:lastRenderedPageBreak/>
        <w:t xml:space="preserve">Area </w:t>
      </w:r>
      <w:r>
        <w:rPr>
          <w:rFonts w:eastAsiaTheme="minorHAnsi"/>
        </w:rPr>
        <w:t>o</w:t>
      </w:r>
      <w:r w:rsidRPr="00A96D66">
        <w:rPr>
          <w:rFonts w:eastAsiaTheme="minorHAnsi"/>
        </w:rPr>
        <w:t>f</w:t>
      </w:r>
      <w:r w:rsidRPr="00A96D66">
        <w:t xml:space="preserve"> Exemption Operation</w:t>
      </w:r>
    </w:p>
    <w:p w:rsidR="00D86C43" w:rsidRDefault="00D86C43" w:rsidP="00D86C43">
      <w:pPr>
        <w:spacing w:after="160" w:line="259" w:lineRule="auto"/>
        <w:jc w:val="center"/>
        <w:rPr>
          <w:rFonts w:asciiTheme="minorHAnsi" w:eastAsiaTheme="minorHAnsi" w:hAnsiTheme="minorHAnsi" w:cstheme="minorBidi"/>
        </w:rPr>
      </w:pPr>
      <w:r w:rsidRPr="00A96D66">
        <w:rPr>
          <w:rFonts w:asciiTheme="minorHAnsi" w:eastAsiaTheme="minorHAnsi" w:hAnsiTheme="minorHAnsi" w:cstheme="minorBidi"/>
        </w:rPr>
        <w:object w:dxaOrig="8925" w:dyaOrig="9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455.9pt" o:ole="">
            <v:imagedata r:id="rId76" o:title=""/>
          </v:shape>
          <o:OLEObject Type="Embed" ProgID="AcroExch.Document.DC" ShapeID="_x0000_i1025" DrawAspect="Content" ObjectID="_1701779781" r:id="rId77"/>
        </w:object>
      </w:r>
    </w:p>
    <w:p w:rsidR="00D86C43" w:rsidRDefault="00D86C43" w:rsidP="00D86C43">
      <w:pPr>
        <w:pBdr>
          <w:bottom w:val="single" w:sz="4" w:space="1" w:color="auto"/>
        </w:pBdr>
        <w:spacing w:after="0" w:line="52" w:lineRule="exact"/>
        <w:jc w:val="center"/>
        <w:rPr>
          <w:rFonts w:ascii="Times New Roman" w:eastAsia="Times New Roman" w:hAnsi="Times New Roman"/>
          <w:sz w:val="17"/>
          <w:szCs w:val="17"/>
        </w:rPr>
      </w:pPr>
    </w:p>
    <w:p w:rsidR="00D86C43" w:rsidRDefault="00D86C43" w:rsidP="00D86C43">
      <w:pPr>
        <w:pBdr>
          <w:top w:val="single" w:sz="4" w:space="1" w:color="auto"/>
        </w:pBdr>
        <w:spacing w:before="34" w:after="0" w:line="14" w:lineRule="exact"/>
        <w:jc w:val="center"/>
        <w:rPr>
          <w:rFonts w:ascii="Times New Roman" w:eastAsia="Times New Roman" w:hAnsi="Times New Roman"/>
          <w:sz w:val="17"/>
          <w:szCs w:val="17"/>
        </w:rPr>
      </w:pPr>
    </w:p>
    <w:p w:rsidR="00D86C43" w:rsidRPr="008C023E" w:rsidRDefault="00D86C43" w:rsidP="00D86C4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7B7E9F" w:rsidRPr="007B7E9F" w:rsidRDefault="007B7E9F" w:rsidP="00B069DE">
      <w:pPr>
        <w:pStyle w:val="Heading2"/>
        <w:rPr>
          <w:rFonts w:eastAsia="Times New Roman"/>
        </w:rPr>
      </w:pPr>
      <w:bookmarkStart w:id="88" w:name="_Toc91161273"/>
      <w:r w:rsidRPr="007B7E9F">
        <w:t>Roads (Opening and Closing) Act 1991</w:t>
      </w:r>
      <w:bookmarkEnd w:id="88"/>
    </w:p>
    <w:p w:rsidR="007B7E9F" w:rsidRPr="007B7E9F" w:rsidRDefault="007B7E9F" w:rsidP="007B7E9F">
      <w:pPr>
        <w:jc w:val="center"/>
        <w:rPr>
          <w:rFonts w:ascii="Times New Roman" w:hAnsi="Times New Roman"/>
          <w:smallCaps/>
          <w:sz w:val="17"/>
          <w:szCs w:val="17"/>
        </w:rPr>
      </w:pPr>
      <w:r w:rsidRPr="007B7E9F">
        <w:rPr>
          <w:rFonts w:ascii="Times New Roman" w:hAnsi="Times New Roman"/>
          <w:smallCaps/>
          <w:sz w:val="17"/>
          <w:szCs w:val="17"/>
        </w:rPr>
        <w:t>Section 24</w:t>
      </w:r>
    </w:p>
    <w:p w:rsidR="007B7E9F" w:rsidRPr="007B7E9F" w:rsidRDefault="007B7E9F" w:rsidP="007B7E9F">
      <w:pPr>
        <w:spacing w:after="0"/>
        <w:jc w:val="center"/>
        <w:rPr>
          <w:rFonts w:ascii="Times New Roman" w:hAnsi="Times New Roman"/>
          <w:i/>
          <w:sz w:val="17"/>
          <w:szCs w:val="17"/>
        </w:rPr>
      </w:pPr>
      <w:r w:rsidRPr="007B7E9F">
        <w:rPr>
          <w:rFonts w:ascii="Times New Roman" w:hAnsi="Times New Roman"/>
          <w:i/>
          <w:sz w:val="17"/>
          <w:szCs w:val="17"/>
        </w:rPr>
        <w:t>Notice of Confirmation of Road Process Order</w:t>
      </w:r>
    </w:p>
    <w:p w:rsidR="007B7E9F" w:rsidRPr="007B7E9F" w:rsidRDefault="007B7E9F" w:rsidP="007B7E9F">
      <w:pPr>
        <w:jc w:val="center"/>
        <w:rPr>
          <w:rFonts w:ascii="Times New Roman" w:hAnsi="Times New Roman"/>
          <w:i/>
          <w:sz w:val="17"/>
          <w:szCs w:val="17"/>
        </w:rPr>
      </w:pPr>
      <w:r w:rsidRPr="007B7E9F">
        <w:rPr>
          <w:rFonts w:ascii="Times New Roman" w:eastAsia="Times New Roman" w:hAnsi="Times New Roman"/>
          <w:i/>
          <w:sz w:val="17"/>
          <w:szCs w:val="17"/>
        </w:rPr>
        <w:t>Road Closure – Lower North East Road, Highbury</w:t>
      </w:r>
    </w:p>
    <w:p w:rsidR="007B7E9F" w:rsidRPr="007B7E9F" w:rsidRDefault="007B7E9F" w:rsidP="007B7E9F">
      <w:pPr>
        <w:rPr>
          <w:rFonts w:ascii="Times New Roman" w:eastAsia="Times New Roman" w:hAnsi="Times New Roman"/>
          <w:sz w:val="17"/>
          <w:szCs w:val="17"/>
        </w:rPr>
      </w:pPr>
      <w:r w:rsidRPr="007B7E9F">
        <w:rPr>
          <w:rFonts w:ascii="Times New Roman" w:eastAsia="Times New Roman" w:hAnsi="Times New Roman"/>
          <w:sz w:val="17"/>
          <w:szCs w:val="17"/>
        </w:rPr>
        <w:t>BY Road Process Order made on 25 May 2021, the City of Tea Tree Gully ordered that:</w:t>
      </w:r>
    </w:p>
    <w:p w:rsidR="007B7E9F" w:rsidRPr="007B7E9F" w:rsidRDefault="007B7E9F" w:rsidP="007B7E9F">
      <w:pPr>
        <w:numPr>
          <w:ilvl w:val="0"/>
          <w:numId w:val="222"/>
        </w:numPr>
        <w:rPr>
          <w:rFonts w:ascii="Times New Roman" w:eastAsia="Times New Roman" w:hAnsi="Times New Roman"/>
          <w:sz w:val="17"/>
          <w:szCs w:val="17"/>
        </w:rPr>
      </w:pPr>
      <w:r w:rsidRPr="007B7E9F">
        <w:rPr>
          <w:rFonts w:ascii="Times New Roman" w:eastAsia="Times New Roman" w:hAnsi="Times New Roman"/>
          <w:sz w:val="17"/>
          <w:szCs w:val="17"/>
        </w:rPr>
        <w:t>Portion of Lower North East Road, Highbury, situated adjoining Allotment 26 in Deposited Plan 9810, Hundred of Yatala, more particularly delineated and lettered ‘A’ in Preliminary Plan 19/0020 be closed.</w:t>
      </w:r>
    </w:p>
    <w:p w:rsidR="007B7E9F" w:rsidRPr="007B7E9F" w:rsidRDefault="007B7E9F" w:rsidP="007B7E9F">
      <w:pPr>
        <w:numPr>
          <w:ilvl w:val="0"/>
          <w:numId w:val="222"/>
        </w:numPr>
        <w:rPr>
          <w:rFonts w:ascii="Times New Roman" w:eastAsia="Times New Roman" w:hAnsi="Times New Roman"/>
          <w:sz w:val="17"/>
          <w:szCs w:val="17"/>
        </w:rPr>
      </w:pPr>
      <w:r w:rsidRPr="007B7E9F">
        <w:rPr>
          <w:rFonts w:ascii="Times New Roman" w:eastAsia="Times New Roman" w:hAnsi="Times New Roman"/>
          <w:sz w:val="17"/>
          <w:szCs w:val="17"/>
        </w:rPr>
        <w:t>Transfer the whole of the land subject to closure to Anthony Larry Nesci in accordance with the Agreement for Transfer dated 24 May 2021 entered into between the City of Tea Tree Gully and Anthony Larry Nesci.</w:t>
      </w:r>
    </w:p>
    <w:p w:rsidR="007B7E9F" w:rsidRPr="007B7E9F" w:rsidRDefault="007B7E9F" w:rsidP="007B7E9F">
      <w:pPr>
        <w:rPr>
          <w:rFonts w:ascii="Times New Roman" w:eastAsia="Times New Roman" w:hAnsi="Times New Roman"/>
          <w:sz w:val="17"/>
          <w:szCs w:val="17"/>
        </w:rPr>
      </w:pPr>
      <w:r w:rsidRPr="007B7E9F">
        <w:rPr>
          <w:rFonts w:ascii="Times New Roman" w:eastAsia="Times New Roman" w:hAnsi="Times New Roman"/>
          <w:sz w:val="17"/>
          <w:szCs w:val="17"/>
        </w:rPr>
        <w:t xml:space="preserve">On 20 December 2021 that order was confirmed by the Minister for Planning and Local Government (exercising the powers and functions of the Attorney-General) conditionally upon the deposit by the Registrar-General of Deposited Plan </w:t>
      </w:r>
      <w:r w:rsidRPr="007B7E9F">
        <w:rPr>
          <w:rFonts w:ascii="Times New Roman" w:eastAsia="Times New Roman" w:hAnsi="Times New Roman"/>
          <w:iCs/>
          <w:sz w:val="17"/>
          <w:szCs w:val="17"/>
        </w:rPr>
        <w:t>127729</w:t>
      </w:r>
      <w:r w:rsidRPr="007B7E9F">
        <w:rPr>
          <w:rFonts w:ascii="Times New Roman" w:eastAsia="Times New Roman" w:hAnsi="Times New Roman"/>
          <w:sz w:val="17"/>
          <w:szCs w:val="17"/>
        </w:rPr>
        <w:t xml:space="preserve"> being the authority for the new boundaries.</w:t>
      </w:r>
    </w:p>
    <w:p w:rsidR="007B7E9F" w:rsidRPr="007B7E9F" w:rsidRDefault="007B7E9F" w:rsidP="007B7E9F">
      <w:pPr>
        <w:rPr>
          <w:rFonts w:ascii="Times New Roman" w:eastAsia="Times New Roman" w:hAnsi="Times New Roman"/>
          <w:sz w:val="17"/>
          <w:szCs w:val="17"/>
        </w:rPr>
      </w:pPr>
      <w:r w:rsidRPr="007B7E9F">
        <w:rPr>
          <w:rFonts w:ascii="Times New Roman" w:eastAsia="Times New Roman" w:hAnsi="Times New Roman"/>
          <w:sz w:val="17"/>
          <w:szCs w:val="17"/>
        </w:rPr>
        <w:t>Pursuant to section 24 of the Roads (Opening and Closing) Act 1991, NOTICE of the Order referred to above and its confirmation is hereby given.</w:t>
      </w:r>
    </w:p>
    <w:p w:rsidR="007B7E9F" w:rsidRPr="007B7E9F" w:rsidRDefault="007B7E9F" w:rsidP="007B7E9F">
      <w:pPr>
        <w:spacing w:after="0"/>
        <w:rPr>
          <w:rFonts w:ascii="Times New Roman" w:eastAsia="Times New Roman" w:hAnsi="Times New Roman"/>
          <w:sz w:val="17"/>
          <w:szCs w:val="17"/>
        </w:rPr>
      </w:pPr>
      <w:r w:rsidRPr="007B7E9F">
        <w:rPr>
          <w:rFonts w:ascii="Times New Roman" w:eastAsia="Times New Roman" w:hAnsi="Times New Roman"/>
          <w:sz w:val="17"/>
          <w:szCs w:val="17"/>
        </w:rPr>
        <w:t>Dated: 23 December 2021</w:t>
      </w:r>
    </w:p>
    <w:p w:rsidR="007B7E9F" w:rsidRPr="007B7E9F" w:rsidRDefault="007B7E9F" w:rsidP="007B7E9F">
      <w:pPr>
        <w:spacing w:after="0"/>
        <w:jc w:val="right"/>
        <w:rPr>
          <w:rFonts w:ascii="Times New Roman" w:eastAsia="Times New Roman" w:hAnsi="Times New Roman"/>
          <w:smallCaps/>
          <w:sz w:val="17"/>
          <w:szCs w:val="20"/>
        </w:rPr>
      </w:pPr>
      <w:r w:rsidRPr="007B7E9F">
        <w:rPr>
          <w:rFonts w:ascii="Times New Roman" w:eastAsia="Times New Roman" w:hAnsi="Times New Roman"/>
          <w:smallCaps/>
          <w:sz w:val="17"/>
          <w:szCs w:val="20"/>
        </w:rPr>
        <w:t>M. P. Burdett</w:t>
      </w:r>
    </w:p>
    <w:p w:rsidR="007B7E9F" w:rsidRPr="007B7E9F" w:rsidRDefault="007B7E9F" w:rsidP="007B7E9F">
      <w:pPr>
        <w:spacing w:after="0" w:line="240" w:lineRule="auto"/>
        <w:jc w:val="right"/>
        <w:rPr>
          <w:rFonts w:ascii="Times New Roman" w:eastAsia="Times New Roman" w:hAnsi="Times New Roman"/>
          <w:sz w:val="17"/>
          <w:szCs w:val="17"/>
        </w:rPr>
      </w:pPr>
      <w:r w:rsidRPr="007B7E9F">
        <w:rPr>
          <w:rFonts w:ascii="Times New Roman" w:eastAsia="Times New Roman" w:hAnsi="Times New Roman"/>
          <w:sz w:val="17"/>
          <w:szCs w:val="17"/>
        </w:rPr>
        <w:t>Surveyor-General</w:t>
      </w:r>
    </w:p>
    <w:p w:rsidR="007B7E9F" w:rsidRPr="007B7E9F" w:rsidRDefault="007B7E9F" w:rsidP="007B7E9F">
      <w:pPr>
        <w:spacing w:after="0"/>
        <w:rPr>
          <w:rFonts w:ascii="Times New Roman" w:eastAsia="Times New Roman" w:hAnsi="Times New Roman"/>
          <w:sz w:val="17"/>
          <w:szCs w:val="17"/>
        </w:rPr>
      </w:pPr>
      <w:r w:rsidRPr="007B7E9F">
        <w:rPr>
          <w:rFonts w:ascii="Times New Roman" w:eastAsia="Times New Roman" w:hAnsi="Times New Roman"/>
          <w:sz w:val="17"/>
          <w:szCs w:val="17"/>
        </w:rPr>
        <w:t>DPTI: 2019/09341/01</w:t>
      </w:r>
    </w:p>
    <w:p w:rsidR="007B7E9F" w:rsidRPr="007B7E9F" w:rsidRDefault="007B7E9F" w:rsidP="007B7E9F">
      <w:pPr>
        <w:pBdr>
          <w:top w:val="single" w:sz="4" w:space="1" w:color="auto"/>
        </w:pBdr>
        <w:spacing w:before="100" w:after="0" w:line="14" w:lineRule="exact"/>
        <w:jc w:val="center"/>
        <w:rPr>
          <w:rFonts w:ascii="Times New Roman" w:eastAsia="Times New Roman" w:hAnsi="Times New Roman"/>
          <w:sz w:val="17"/>
          <w:szCs w:val="17"/>
        </w:rPr>
      </w:pPr>
    </w:p>
    <w:p w:rsidR="007B7E9F" w:rsidRPr="007B7E9F" w:rsidRDefault="007B7E9F" w:rsidP="007B7E9F">
      <w:pPr>
        <w:jc w:val="center"/>
        <w:rPr>
          <w:rFonts w:ascii="Times New Roman" w:eastAsia="Times New Roman" w:hAnsi="Times New Roman"/>
          <w:caps/>
          <w:sz w:val="17"/>
          <w:szCs w:val="17"/>
        </w:rPr>
      </w:pPr>
      <w:r w:rsidRPr="007B7E9F">
        <w:rPr>
          <w:rFonts w:ascii="Times New Roman" w:hAnsi="Times New Roman"/>
          <w:caps/>
          <w:sz w:val="17"/>
          <w:szCs w:val="17"/>
        </w:rPr>
        <w:lastRenderedPageBreak/>
        <w:t>Roads (Opening and Closing) Act 1991</w:t>
      </w:r>
    </w:p>
    <w:p w:rsidR="007B7E9F" w:rsidRPr="007B7E9F" w:rsidRDefault="007B7E9F" w:rsidP="007B7E9F">
      <w:pPr>
        <w:jc w:val="center"/>
        <w:rPr>
          <w:rFonts w:ascii="Times New Roman" w:hAnsi="Times New Roman"/>
          <w:smallCaps/>
          <w:sz w:val="17"/>
          <w:szCs w:val="17"/>
        </w:rPr>
      </w:pPr>
      <w:r w:rsidRPr="007B7E9F">
        <w:rPr>
          <w:rFonts w:ascii="Times New Roman" w:hAnsi="Times New Roman"/>
          <w:smallCaps/>
          <w:sz w:val="17"/>
          <w:szCs w:val="17"/>
        </w:rPr>
        <w:t>Section 24</w:t>
      </w:r>
    </w:p>
    <w:p w:rsidR="007B7E9F" w:rsidRPr="007B7E9F" w:rsidRDefault="007B7E9F" w:rsidP="007B7E9F">
      <w:pPr>
        <w:spacing w:after="0"/>
        <w:jc w:val="center"/>
        <w:rPr>
          <w:rFonts w:ascii="Times New Roman" w:hAnsi="Times New Roman"/>
          <w:i/>
          <w:sz w:val="17"/>
          <w:szCs w:val="17"/>
        </w:rPr>
      </w:pPr>
      <w:r w:rsidRPr="007B7E9F">
        <w:rPr>
          <w:rFonts w:ascii="Times New Roman" w:hAnsi="Times New Roman"/>
          <w:i/>
          <w:sz w:val="17"/>
          <w:szCs w:val="17"/>
        </w:rPr>
        <w:t>Notice of Confirmation of Road Process Order</w:t>
      </w:r>
    </w:p>
    <w:p w:rsidR="007B7E9F" w:rsidRPr="007B7E9F" w:rsidRDefault="007B7E9F" w:rsidP="003F4067">
      <w:pPr>
        <w:spacing w:after="60"/>
        <w:jc w:val="center"/>
        <w:rPr>
          <w:rFonts w:ascii="Times New Roman" w:hAnsi="Times New Roman"/>
          <w:i/>
          <w:sz w:val="17"/>
          <w:szCs w:val="17"/>
        </w:rPr>
      </w:pPr>
      <w:r w:rsidRPr="007B7E9F">
        <w:rPr>
          <w:rFonts w:ascii="Times New Roman" w:hAnsi="Times New Roman"/>
          <w:i/>
          <w:sz w:val="17"/>
          <w:szCs w:val="17"/>
        </w:rPr>
        <w:t>Road Closure – Public Roads, Narridy</w:t>
      </w:r>
    </w:p>
    <w:p w:rsidR="007B7E9F" w:rsidRPr="007B7E9F" w:rsidRDefault="007B7E9F" w:rsidP="003F4067">
      <w:pPr>
        <w:spacing w:after="60"/>
        <w:rPr>
          <w:rFonts w:ascii="Times New Roman" w:eastAsia="Times New Roman" w:hAnsi="Times New Roman"/>
          <w:sz w:val="17"/>
          <w:szCs w:val="17"/>
        </w:rPr>
      </w:pPr>
      <w:r w:rsidRPr="007B7E9F">
        <w:rPr>
          <w:rFonts w:ascii="Times New Roman" w:eastAsia="Times New Roman" w:hAnsi="Times New Roman"/>
          <w:sz w:val="17"/>
          <w:szCs w:val="17"/>
        </w:rPr>
        <w:t>BY Road Process Order made on 16 November 2021, the Northern Areas Council ordered that:</w:t>
      </w:r>
    </w:p>
    <w:p w:rsidR="007B7E9F" w:rsidRPr="007B7E9F" w:rsidRDefault="007B7E9F" w:rsidP="003F4067">
      <w:pPr>
        <w:numPr>
          <w:ilvl w:val="0"/>
          <w:numId w:val="223"/>
        </w:numPr>
        <w:spacing w:after="60"/>
        <w:rPr>
          <w:rFonts w:ascii="Times New Roman" w:eastAsia="Times New Roman" w:hAnsi="Times New Roman"/>
          <w:sz w:val="17"/>
          <w:szCs w:val="17"/>
        </w:rPr>
      </w:pPr>
      <w:r w:rsidRPr="007B7E9F">
        <w:rPr>
          <w:rFonts w:ascii="Times New Roman" w:eastAsia="Times New Roman" w:hAnsi="Times New Roman"/>
          <w:sz w:val="17"/>
          <w:szCs w:val="17"/>
        </w:rPr>
        <w:t>The whole of the Public Roads, Narridy, Hundred of Narridy, more particularly delineated and lettered ‘A’, ‘B’ and ‘C’ in Preliminary Plan 20/0045 be closed.</w:t>
      </w:r>
    </w:p>
    <w:p w:rsidR="007B7E9F" w:rsidRPr="007B7E9F" w:rsidRDefault="007B7E9F" w:rsidP="003F4067">
      <w:pPr>
        <w:numPr>
          <w:ilvl w:val="0"/>
          <w:numId w:val="223"/>
        </w:numPr>
        <w:spacing w:after="60"/>
        <w:rPr>
          <w:rFonts w:ascii="Times New Roman" w:eastAsia="Times New Roman" w:hAnsi="Times New Roman"/>
          <w:sz w:val="17"/>
          <w:szCs w:val="17"/>
        </w:rPr>
      </w:pPr>
      <w:r w:rsidRPr="007B7E9F">
        <w:rPr>
          <w:rFonts w:ascii="Times New Roman" w:eastAsia="Times New Roman" w:hAnsi="Times New Roman"/>
          <w:sz w:val="17"/>
          <w:szCs w:val="17"/>
        </w:rPr>
        <w:t>Transfer the whole of the land subject to closure lettered ‘A’ to Pine Gully Station Pty Ltd (ACN: 604 259 047) in accordance with the Agreement for Transfer dated 3 September 2021 entered into between the Northern Areas Council and Pine Gully Station Pty Ltd (ACN: 604 259 047).</w:t>
      </w:r>
    </w:p>
    <w:p w:rsidR="007B7E9F" w:rsidRPr="007B7E9F" w:rsidRDefault="007B7E9F" w:rsidP="003F4067">
      <w:pPr>
        <w:numPr>
          <w:ilvl w:val="0"/>
          <w:numId w:val="223"/>
        </w:numPr>
        <w:spacing w:after="60"/>
        <w:rPr>
          <w:rFonts w:ascii="Times New Roman" w:eastAsia="Times New Roman" w:hAnsi="Times New Roman"/>
          <w:sz w:val="17"/>
          <w:szCs w:val="17"/>
        </w:rPr>
      </w:pPr>
      <w:r w:rsidRPr="007B7E9F">
        <w:rPr>
          <w:rFonts w:ascii="Times New Roman" w:eastAsia="Times New Roman" w:hAnsi="Times New Roman"/>
          <w:sz w:val="17"/>
          <w:szCs w:val="17"/>
        </w:rPr>
        <w:t>Transfer the whole of the land subject to closure lettered ‘B’ to Roger Philip Clements and Kevin James Clements in accordance with the Agreement for Transfer dated 3 September 2021 entered into between the Northern Areas Council and Roger Philip Clements and Kevin James Clements.</w:t>
      </w:r>
    </w:p>
    <w:p w:rsidR="007B7E9F" w:rsidRPr="007B7E9F" w:rsidRDefault="007B7E9F" w:rsidP="003F4067">
      <w:pPr>
        <w:numPr>
          <w:ilvl w:val="0"/>
          <w:numId w:val="223"/>
        </w:numPr>
        <w:spacing w:after="60"/>
        <w:rPr>
          <w:rFonts w:ascii="Times New Roman" w:eastAsia="Times New Roman" w:hAnsi="Times New Roman"/>
          <w:sz w:val="17"/>
          <w:szCs w:val="17"/>
        </w:rPr>
      </w:pPr>
      <w:r w:rsidRPr="007B7E9F">
        <w:rPr>
          <w:rFonts w:ascii="Times New Roman" w:eastAsia="Times New Roman" w:hAnsi="Times New Roman"/>
          <w:sz w:val="17"/>
          <w:szCs w:val="17"/>
        </w:rPr>
        <w:t>Transfer the whole of the land subject to closure lettered ‘C’ to T. J. &amp; B. B. Clements Pty Ltd (ACN: 008 004 233) in accordance with the Agreement for Transfer dated 3 September 2021 entered into between the Northern Areas Council and T. J. &amp; B. B. Clements Pty Ltd (ACN: 008 004 233).</w:t>
      </w:r>
    </w:p>
    <w:p w:rsidR="007B7E9F" w:rsidRPr="007B7E9F" w:rsidRDefault="007B7E9F" w:rsidP="003F4067">
      <w:pPr>
        <w:spacing w:after="60"/>
        <w:rPr>
          <w:rFonts w:ascii="Times New Roman" w:eastAsia="Times New Roman" w:hAnsi="Times New Roman"/>
          <w:sz w:val="17"/>
          <w:szCs w:val="17"/>
        </w:rPr>
      </w:pPr>
      <w:r w:rsidRPr="007B7E9F">
        <w:rPr>
          <w:rFonts w:ascii="Times New Roman" w:eastAsia="Times New Roman" w:hAnsi="Times New Roman"/>
          <w:sz w:val="17"/>
          <w:szCs w:val="17"/>
        </w:rPr>
        <w:t>On 20 December 2021 that order was confirmed by the Minister for Planning and Local Government (exercising the powers and functions of the Attorney-General) conditionally upon the deposit by the Registrar-General of Deposited Plan 128570 being the authority for the new boundaries.</w:t>
      </w:r>
    </w:p>
    <w:p w:rsidR="007B7E9F" w:rsidRPr="007B7E9F" w:rsidRDefault="007B7E9F" w:rsidP="003F4067">
      <w:pPr>
        <w:spacing w:after="60"/>
        <w:rPr>
          <w:rFonts w:ascii="Times New Roman" w:eastAsia="Times New Roman" w:hAnsi="Times New Roman"/>
          <w:sz w:val="17"/>
          <w:szCs w:val="17"/>
        </w:rPr>
      </w:pPr>
      <w:r w:rsidRPr="007B7E9F">
        <w:rPr>
          <w:rFonts w:ascii="Times New Roman" w:eastAsia="Times New Roman" w:hAnsi="Times New Roman"/>
          <w:sz w:val="17"/>
          <w:szCs w:val="17"/>
        </w:rPr>
        <w:t>Pursuant to section 24 of the Roads (Opening and Closing) Act 1991, NOTICE of the Order referred to above and its confirmation is hereby given.</w:t>
      </w:r>
    </w:p>
    <w:p w:rsidR="007B7E9F" w:rsidRPr="007B7E9F" w:rsidRDefault="007B7E9F" w:rsidP="007B7E9F">
      <w:pPr>
        <w:spacing w:after="0"/>
        <w:rPr>
          <w:rFonts w:ascii="Times New Roman" w:eastAsia="Times New Roman" w:hAnsi="Times New Roman"/>
          <w:sz w:val="17"/>
          <w:szCs w:val="17"/>
        </w:rPr>
      </w:pPr>
      <w:r w:rsidRPr="007B7E9F">
        <w:rPr>
          <w:rFonts w:ascii="Times New Roman" w:eastAsia="Times New Roman" w:hAnsi="Times New Roman"/>
          <w:sz w:val="17"/>
          <w:szCs w:val="17"/>
        </w:rPr>
        <w:t>Dated: 23 December 2021</w:t>
      </w:r>
    </w:p>
    <w:p w:rsidR="007B7E9F" w:rsidRPr="007B7E9F" w:rsidRDefault="007B7E9F" w:rsidP="007B7E9F">
      <w:pPr>
        <w:spacing w:after="0"/>
        <w:jc w:val="right"/>
        <w:rPr>
          <w:rFonts w:ascii="Times New Roman" w:eastAsia="Times New Roman" w:hAnsi="Times New Roman"/>
          <w:smallCaps/>
          <w:sz w:val="17"/>
          <w:szCs w:val="20"/>
        </w:rPr>
      </w:pPr>
      <w:r w:rsidRPr="007B7E9F">
        <w:rPr>
          <w:rFonts w:ascii="Times New Roman" w:eastAsia="Times New Roman" w:hAnsi="Times New Roman"/>
          <w:smallCaps/>
          <w:sz w:val="17"/>
          <w:szCs w:val="20"/>
        </w:rPr>
        <w:t>M. P. Burdett</w:t>
      </w:r>
    </w:p>
    <w:p w:rsidR="007B7E9F" w:rsidRPr="007B7E9F" w:rsidRDefault="007B7E9F" w:rsidP="003F4067">
      <w:pPr>
        <w:pStyle w:val="GG-Signature"/>
      </w:pPr>
      <w:r w:rsidRPr="007B7E9F">
        <w:t>Surveyor-General</w:t>
      </w:r>
    </w:p>
    <w:p w:rsidR="007B7E9F" w:rsidRDefault="007B7E9F" w:rsidP="00842E8F">
      <w:pPr>
        <w:spacing w:after="0"/>
        <w:rPr>
          <w:rFonts w:ascii="Times New Roman" w:eastAsia="Times New Roman" w:hAnsi="Times New Roman"/>
          <w:sz w:val="17"/>
          <w:szCs w:val="17"/>
        </w:rPr>
      </w:pPr>
      <w:r w:rsidRPr="007B7E9F">
        <w:rPr>
          <w:rFonts w:ascii="Times New Roman" w:eastAsia="Times New Roman" w:hAnsi="Times New Roman"/>
          <w:sz w:val="17"/>
          <w:szCs w:val="17"/>
        </w:rPr>
        <w:t>DPTI: 2020/20174/01</w:t>
      </w:r>
    </w:p>
    <w:p w:rsidR="00842E8F" w:rsidRDefault="00842E8F" w:rsidP="00842E8F">
      <w:pPr>
        <w:pBdr>
          <w:bottom w:val="single" w:sz="4" w:space="1" w:color="auto"/>
        </w:pBdr>
        <w:spacing w:after="0" w:line="52" w:lineRule="exact"/>
        <w:jc w:val="center"/>
        <w:rPr>
          <w:rFonts w:ascii="Times New Roman" w:eastAsia="Times New Roman" w:hAnsi="Times New Roman"/>
          <w:sz w:val="17"/>
          <w:szCs w:val="20"/>
        </w:rPr>
      </w:pPr>
    </w:p>
    <w:p w:rsidR="00842E8F" w:rsidRDefault="00842E8F" w:rsidP="00842E8F">
      <w:pPr>
        <w:pBdr>
          <w:top w:val="single" w:sz="4" w:space="1" w:color="auto"/>
        </w:pBdr>
        <w:spacing w:before="34" w:after="0" w:line="14" w:lineRule="exact"/>
        <w:jc w:val="center"/>
        <w:rPr>
          <w:rFonts w:ascii="Times New Roman" w:eastAsia="Times New Roman" w:hAnsi="Times New Roman"/>
          <w:sz w:val="17"/>
          <w:szCs w:val="20"/>
        </w:rPr>
      </w:pPr>
    </w:p>
    <w:p w:rsidR="00842E8F" w:rsidRDefault="00842E8F" w:rsidP="00842E8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550FC5" w:rsidRDefault="00550FC5" w:rsidP="00B069DE">
      <w:pPr>
        <w:pStyle w:val="Heading2"/>
      </w:pPr>
      <w:bookmarkStart w:id="89" w:name="_Toc91161274"/>
      <w:r>
        <w:t>South Australian Skills Act 2008</w:t>
      </w:r>
      <w:bookmarkEnd w:id="89"/>
    </w:p>
    <w:p w:rsidR="00550FC5" w:rsidRDefault="00550FC5" w:rsidP="00F6493B">
      <w:pPr>
        <w:pStyle w:val="GG-Title3"/>
        <w:spacing w:after="60"/>
      </w:pPr>
      <w:r>
        <w:t>Part 4 – Apprenticeships, Traineeships and Training Contracts</w:t>
      </w:r>
    </w:p>
    <w:p w:rsidR="00550FC5" w:rsidRDefault="00550FC5" w:rsidP="00F6493B">
      <w:pPr>
        <w:pStyle w:val="GG-body"/>
        <w:spacing w:after="60"/>
      </w:pPr>
      <w:r>
        <w:t xml:space="preserve">PURSUANT to the provision of the </w:t>
      </w:r>
      <w:r w:rsidRPr="008761CC">
        <w:rPr>
          <w:i/>
        </w:rPr>
        <w:t>South Australian Skills Act 2008</w:t>
      </w:r>
      <w:r>
        <w:t>, the South Australian Skills Commission (SASC) gives notice that determines the following Trades or Declared Vocations in addition to the gazette notices of:</w:t>
      </w:r>
    </w:p>
    <w:tbl>
      <w:tblPr>
        <w:tblW w:w="8789" w:type="dxa"/>
        <w:jc w:val="center"/>
        <w:tblLook w:val="04A0" w:firstRow="1" w:lastRow="0" w:firstColumn="1" w:lastColumn="0" w:noHBand="0" w:noVBand="1"/>
      </w:tblPr>
      <w:tblGrid>
        <w:gridCol w:w="2410"/>
        <w:gridCol w:w="2126"/>
        <w:gridCol w:w="2126"/>
        <w:gridCol w:w="2127"/>
      </w:tblGrid>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        25 September 2008</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2.        23 October 2008</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3.        13 November 2008</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4.        4 December 2008</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5.        18 December 2008</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6.        29 January 2009</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7.        12 February 2009</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8.        5 March 2009</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9.        12 March 2009</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10.     26 March 2009</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11.     30 April 2009</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12.     18 June 2009</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13.     25 June 2009</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14.     27 August 2009</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15.     17 September 2009</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16.     24 September 2009</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17.     9 October 2009</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18.     22 October 2009</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19.     3 December 2009</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20.     17 December 2009</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21.     4 February 2010</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22.     11 February 2010</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23.     18 February 2010</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24.     18 March 2010</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25.     8 April 2010</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26.     6 May 2010</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27.     20 May 2010</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28.     3 June 2010</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29.     17 June 2010</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30.     24 June 2010</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31.     8 July 2010</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32.     9 September 2010</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33.     23 September 2010</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34.     4 November 2010</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35.     25 November 2010</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36.     16 December 2010</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37.     23 December 2010</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38.     17 March 2011</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39.     7 April 2011</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40.     21 April 2011</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41.     19 May 2011</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42.     30 June 2011</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43.     21 July 2011</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44.     8 September 2011</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45.     10 November 2011</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46.     24 November 2011</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47.     1 December 2011</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48.     8 December 2011</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49.     16 December 2011</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50.     22 December 2011</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51.     5 January 2012</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52.     19 January 2012</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53.     1 March 2012</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54.     29 March 2012</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55.     24 May 2012</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56.     31 May 2012</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57.     7 June 2012</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58.     14 June 2012</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59.     21 June 2012</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60.     28 June 2012</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61.     5 July 2012</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62.     12 July 2012</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63.     19 July 2012</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64.     2 August 2012</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65.     9 August 2012</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66.     30 August 2012</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67.     13 September 2012</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68.     4 October 2012</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69.     18 October 2012</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70.     25 October 2012</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71.     8 November 2012</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72.     29 November 2012</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73.     13 December 2012</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74.     25 January 2013</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75.     14 February 2013</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76.     21 February 2013</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77.     28 February 2013</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78.     7 March 2013</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79.     14 March 2013</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80.     21 March 2013</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81.     28 March 2013</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82.     26 April 2013</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83.     23 May 2013</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84.     30 May 2013</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85.     13 June 2013</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86.     20 June 2013</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87.     11 July 2013</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88.     1 August 2013</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89.     8 August 2013</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90.     15 August 2013</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91.     29 August 2013</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92.     6 February 2014</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93.     12 June 2014</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94.     28 August 2014</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95.     4 September 2014</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96.     16 October 2014</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97.     23 October 2014</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98.     5 February 2015</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99.     26 March 2015</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 xml:space="preserve">100.  16 April 2015 </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101. 27 May 2015</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102. 18 June 2015</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103.  3 December 2015</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104.  7 April 2016</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105. 30 June 2016</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106. 28 July 2016</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107.  8 September 2016</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108.  22 September 2016</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109. 27 October 2016</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110. 1 December 2016</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111.  15 December 2016</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112.  7 March 2017</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113. 21 March 2017</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114. 23 May 2017</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115.  13 June 2017</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116.  18 July 2017</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117. 19 September 2017</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118. 26 September 2017</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119.  17 October 2017</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120. 3 January 2018</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121. 23 January 2018</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122. 14 March 2018</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123.  14 June 2018</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124.  5 July 2018</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125. 2 August 2018</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126. 9 August 2018</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127.  16 August 2018</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128.  30 August 2018</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129. 27 September 2018</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130. 4 October 2018</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131.  18 October 2018</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132.  1 November 2018</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133. 15 November 2018</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134. 22 November 2018</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135.  29 November 2018</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136.  6 December 2018</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137. 20 December 2018</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138. 24 January 2019</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139.  14 February 2019</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140.  30 May 2019</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141. 6 June 2019</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142. 13 June 2019</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143.  20 June 2019</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144.  27 June 2019</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145. 11 July 2019</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146. 8 August 2019</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147.  22 August 2019</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148.  12 September 2019</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149. 19 September 2019</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150. 14 November 2019</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151.  28 November 2019</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152.  12 December 2019</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153. 19 December 2019</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154. 23 January 2020</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155.  27 February 2020</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156.  21 April 2020</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157. 25 June 2020</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158. 10 September 2020</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159.  17 September 2020</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160.  8 October 2020</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161. 29 October 2020</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162. 5 November 2020</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163. 10 December 2020</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164. 17 December 2020</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165. 24 December 2020</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166. 21 January 2021</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167. 11 February 2021</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168. 25 February 2021</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169. 25 March 2021</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170. 1 April 2021</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171. 8 April 2021</w:t>
            </w:r>
          </w:p>
        </w:tc>
        <w:tc>
          <w:tcPr>
            <w:tcW w:w="2127" w:type="dxa"/>
            <w:tcBorders>
              <w:top w:val="nil"/>
              <w:left w:val="nil"/>
              <w:bottom w:val="nil"/>
              <w:right w:val="nil"/>
            </w:tcBorders>
            <w:shd w:val="clear" w:color="auto" w:fill="auto"/>
            <w:noWrap/>
            <w:vAlign w:val="center"/>
            <w:hideMark/>
          </w:tcPr>
          <w:p w:rsidR="00550FC5" w:rsidRPr="00CD0999" w:rsidRDefault="00550FC5" w:rsidP="003F4067">
            <w:pPr>
              <w:pStyle w:val="GG-body"/>
              <w:spacing w:after="0"/>
              <w:jc w:val="left"/>
            </w:pPr>
            <w:r w:rsidRPr="00CD0999">
              <w:t>172. 6 May 2021</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173. 10 June 2021</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174. 1 July 2021</w:t>
            </w:r>
          </w:p>
        </w:tc>
        <w:tc>
          <w:tcPr>
            <w:tcW w:w="2126"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175. 12 August 2021</w:t>
            </w:r>
          </w:p>
        </w:tc>
        <w:tc>
          <w:tcPr>
            <w:tcW w:w="2127" w:type="dxa"/>
            <w:tcBorders>
              <w:top w:val="nil"/>
              <w:left w:val="nil"/>
              <w:bottom w:val="nil"/>
              <w:right w:val="nil"/>
            </w:tcBorders>
            <w:shd w:val="clear" w:color="auto" w:fill="auto"/>
            <w:vAlign w:val="center"/>
            <w:hideMark/>
          </w:tcPr>
          <w:p w:rsidR="00550FC5" w:rsidRPr="00CD0999" w:rsidRDefault="00550FC5" w:rsidP="003F4067">
            <w:pPr>
              <w:pStyle w:val="GG-body"/>
              <w:spacing w:after="0"/>
              <w:jc w:val="left"/>
            </w:pPr>
            <w:r w:rsidRPr="00CD0999">
              <w:t>176. 9 September 2021</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tcPr>
          <w:p w:rsidR="00550FC5" w:rsidRPr="00CD0999" w:rsidRDefault="00550FC5" w:rsidP="003F4067">
            <w:pPr>
              <w:pStyle w:val="GG-body"/>
              <w:spacing w:after="0"/>
              <w:jc w:val="left"/>
            </w:pPr>
            <w:r w:rsidRPr="00CD0999">
              <w:t>177. 23 September 2021</w:t>
            </w:r>
          </w:p>
        </w:tc>
        <w:tc>
          <w:tcPr>
            <w:tcW w:w="2126" w:type="dxa"/>
            <w:tcBorders>
              <w:top w:val="nil"/>
              <w:left w:val="nil"/>
              <w:bottom w:val="nil"/>
              <w:right w:val="nil"/>
            </w:tcBorders>
            <w:shd w:val="clear" w:color="auto" w:fill="auto"/>
            <w:vAlign w:val="center"/>
          </w:tcPr>
          <w:p w:rsidR="00550FC5" w:rsidRPr="00CD0999" w:rsidRDefault="00550FC5" w:rsidP="003F4067">
            <w:pPr>
              <w:pStyle w:val="GG-body"/>
              <w:spacing w:after="0"/>
              <w:jc w:val="left"/>
            </w:pPr>
            <w:r w:rsidRPr="00CD0999">
              <w:t>178. 30 September 2021</w:t>
            </w:r>
          </w:p>
        </w:tc>
        <w:tc>
          <w:tcPr>
            <w:tcW w:w="2126" w:type="dxa"/>
            <w:tcBorders>
              <w:top w:val="nil"/>
              <w:left w:val="nil"/>
              <w:bottom w:val="nil"/>
              <w:right w:val="nil"/>
            </w:tcBorders>
            <w:shd w:val="clear" w:color="auto" w:fill="auto"/>
            <w:vAlign w:val="center"/>
          </w:tcPr>
          <w:p w:rsidR="00550FC5" w:rsidRPr="00CD0999" w:rsidRDefault="00550FC5" w:rsidP="003F4067">
            <w:pPr>
              <w:pStyle w:val="GG-body"/>
              <w:spacing w:after="0"/>
              <w:jc w:val="left"/>
            </w:pPr>
            <w:r w:rsidRPr="00CD0999">
              <w:t>179. 14 October 2021</w:t>
            </w:r>
          </w:p>
        </w:tc>
        <w:tc>
          <w:tcPr>
            <w:tcW w:w="2127" w:type="dxa"/>
            <w:tcBorders>
              <w:top w:val="nil"/>
              <w:left w:val="nil"/>
              <w:bottom w:val="nil"/>
              <w:right w:val="nil"/>
            </w:tcBorders>
            <w:shd w:val="clear" w:color="auto" w:fill="auto"/>
            <w:vAlign w:val="center"/>
          </w:tcPr>
          <w:p w:rsidR="00550FC5" w:rsidRPr="00CD0999" w:rsidRDefault="00550FC5" w:rsidP="003F4067">
            <w:pPr>
              <w:pStyle w:val="GG-body"/>
              <w:spacing w:after="0"/>
              <w:jc w:val="left"/>
            </w:pPr>
            <w:r w:rsidRPr="00CD0999">
              <w:t>180. 21 October 2021</w:t>
            </w:r>
          </w:p>
        </w:tc>
      </w:tr>
      <w:tr w:rsidR="00550FC5" w:rsidRPr="00CD0999" w:rsidTr="003F4067">
        <w:trPr>
          <w:trHeight w:val="20"/>
          <w:jc w:val="center"/>
        </w:trPr>
        <w:tc>
          <w:tcPr>
            <w:tcW w:w="2410" w:type="dxa"/>
            <w:tcBorders>
              <w:top w:val="nil"/>
              <w:left w:val="nil"/>
              <w:bottom w:val="nil"/>
              <w:right w:val="nil"/>
            </w:tcBorders>
            <w:shd w:val="clear" w:color="auto" w:fill="auto"/>
            <w:vAlign w:val="center"/>
          </w:tcPr>
          <w:p w:rsidR="00550FC5" w:rsidRPr="00CD0999" w:rsidRDefault="00550FC5" w:rsidP="003F4067">
            <w:pPr>
              <w:pStyle w:val="GG-body"/>
              <w:spacing w:after="0"/>
              <w:jc w:val="left"/>
            </w:pPr>
            <w:r w:rsidRPr="00CD0999">
              <w:lastRenderedPageBreak/>
              <w:t>181. 9 November 2021</w:t>
            </w:r>
          </w:p>
        </w:tc>
        <w:tc>
          <w:tcPr>
            <w:tcW w:w="2126" w:type="dxa"/>
            <w:tcBorders>
              <w:top w:val="nil"/>
              <w:left w:val="nil"/>
              <w:bottom w:val="nil"/>
              <w:right w:val="nil"/>
            </w:tcBorders>
            <w:shd w:val="clear" w:color="auto" w:fill="auto"/>
            <w:vAlign w:val="center"/>
          </w:tcPr>
          <w:p w:rsidR="00550FC5" w:rsidRPr="00CD0999" w:rsidRDefault="00550FC5" w:rsidP="003F4067">
            <w:pPr>
              <w:pStyle w:val="GG-body"/>
              <w:spacing w:after="0"/>
              <w:jc w:val="left"/>
            </w:pPr>
            <w:r w:rsidRPr="00CD0999">
              <w:t>182. 2 December 2021</w:t>
            </w:r>
          </w:p>
        </w:tc>
        <w:tc>
          <w:tcPr>
            <w:tcW w:w="2126" w:type="dxa"/>
            <w:tcBorders>
              <w:top w:val="nil"/>
              <w:left w:val="nil"/>
              <w:bottom w:val="nil"/>
              <w:right w:val="nil"/>
            </w:tcBorders>
            <w:shd w:val="clear" w:color="auto" w:fill="auto"/>
            <w:vAlign w:val="center"/>
          </w:tcPr>
          <w:p w:rsidR="00550FC5" w:rsidRPr="00CD0999" w:rsidRDefault="00550FC5" w:rsidP="003F4067">
            <w:pPr>
              <w:pStyle w:val="GG-body"/>
              <w:spacing w:after="0"/>
              <w:jc w:val="left"/>
            </w:pPr>
            <w:r w:rsidRPr="00CD0999">
              <w:t>183. 23 December 2021</w:t>
            </w:r>
          </w:p>
        </w:tc>
        <w:tc>
          <w:tcPr>
            <w:tcW w:w="2127" w:type="dxa"/>
            <w:tcBorders>
              <w:top w:val="nil"/>
              <w:left w:val="nil"/>
              <w:bottom w:val="nil"/>
              <w:right w:val="nil"/>
            </w:tcBorders>
            <w:shd w:val="clear" w:color="auto" w:fill="auto"/>
            <w:vAlign w:val="center"/>
          </w:tcPr>
          <w:p w:rsidR="00550FC5" w:rsidRPr="00CD0999" w:rsidRDefault="00550FC5" w:rsidP="003F4067">
            <w:pPr>
              <w:pStyle w:val="GG-body"/>
              <w:spacing w:after="0"/>
              <w:jc w:val="left"/>
            </w:pPr>
          </w:p>
        </w:tc>
      </w:tr>
    </w:tbl>
    <w:p w:rsidR="00550FC5" w:rsidRPr="00CD0999" w:rsidRDefault="00550FC5" w:rsidP="00550FC5">
      <w:pPr>
        <w:pStyle w:val="GG-Title2"/>
        <w:spacing w:before="80"/>
        <w:rPr>
          <w:rFonts w:eastAsia="Times New Roman"/>
        </w:rPr>
      </w:pPr>
      <w:r w:rsidRPr="00CD0999">
        <w:t xml:space="preserve">Required Qualifications and Training Contract Conditions </w:t>
      </w:r>
      <w:r>
        <w:t>f</w:t>
      </w:r>
      <w:r w:rsidRPr="00CD0999">
        <w:t xml:space="preserve">or </w:t>
      </w:r>
      <w:r>
        <w:t>t</w:t>
      </w:r>
      <w:r w:rsidRPr="00CD0999">
        <w:t>he New Associate Engineer Declared Vocation</w:t>
      </w:r>
    </w:p>
    <w:tbl>
      <w:tblPr>
        <w:tblW w:w="5000" w:type="pct"/>
        <w:tblLook w:val="04A0" w:firstRow="1" w:lastRow="0" w:firstColumn="1" w:lastColumn="0" w:noHBand="0" w:noVBand="1"/>
      </w:tblPr>
      <w:tblGrid>
        <w:gridCol w:w="2311"/>
        <w:gridCol w:w="1170"/>
        <w:gridCol w:w="1753"/>
        <w:gridCol w:w="1745"/>
        <w:gridCol w:w="1189"/>
        <w:gridCol w:w="1182"/>
      </w:tblGrid>
      <w:tr w:rsidR="00550FC5" w:rsidRPr="00CD0999" w:rsidTr="00491D21">
        <w:trPr>
          <w:trHeight w:val="279"/>
        </w:trPr>
        <w:tc>
          <w:tcPr>
            <w:tcW w:w="1250" w:type="pct"/>
            <w:tcBorders>
              <w:top w:val="single" w:sz="4" w:space="0" w:color="auto"/>
              <w:left w:val="dotted" w:sz="4" w:space="0" w:color="auto"/>
              <w:bottom w:val="single" w:sz="4" w:space="0" w:color="auto"/>
              <w:right w:val="dotted" w:sz="4" w:space="0" w:color="auto"/>
            </w:tcBorders>
            <w:shd w:val="clear" w:color="auto" w:fill="auto"/>
            <w:hideMark/>
          </w:tcPr>
          <w:p w:rsidR="00550FC5" w:rsidRPr="00CD0999" w:rsidRDefault="00550FC5" w:rsidP="00491D21">
            <w:pPr>
              <w:pStyle w:val="GG-body"/>
              <w:spacing w:before="20" w:after="20"/>
              <w:jc w:val="center"/>
              <w:rPr>
                <w:b/>
                <w:bCs/>
              </w:rPr>
            </w:pPr>
            <w:r w:rsidRPr="00CD0999">
              <w:rPr>
                <w:b/>
                <w:bCs/>
              </w:rPr>
              <w:t>*Trade</w:t>
            </w:r>
            <w:r>
              <w:rPr>
                <w:b/>
                <w:bCs/>
              </w:rPr>
              <w:t xml:space="preserve"> </w:t>
            </w:r>
            <w:r w:rsidRPr="00CD0999">
              <w:rPr>
                <w:b/>
                <w:bCs/>
              </w:rPr>
              <w:t>/ #Declared Vocation</w:t>
            </w:r>
            <w:r>
              <w:rPr>
                <w:b/>
                <w:bCs/>
              </w:rPr>
              <w:t xml:space="preserve"> </w:t>
            </w:r>
            <w:r w:rsidRPr="00CD0999">
              <w:rPr>
                <w:b/>
                <w:bCs/>
              </w:rPr>
              <w:t>/ Other Occupation</w:t>
            </w:r>
          </w:p>
        </w:tc>
        <w:tc>
          <w:tcPr>
            <w:tcW w:w="626" w:type="pct"/>
            <w:tcBorders>
              <w:top w:val="single" w:sz="4" w:space="0" w:color="auto"/>
              <w:left w:val="dotted" w:sz="4" w:space="0" w:color="auto"/>
              <w:bottom w:val="single" w:sz="4" w:space="0" w:color="auto"/>
              <w:right w:val="dotted" w:sz="4" w:space="0" w:color="auto"/>
            </w:tcBorders>
            <w:shd w:val="clear" w:color="auto" w:fill="auto"/>
            <w:vAlign w:val="center"/>
            <w:hideMark/>
          </w:tcPr>
          <w:p w:rsidR="00550FC5" w:rsidRPr="00CD0999" w:rsidRDefault="00550FC5" w:rsidP="00491D21">
            <w:pPr>
              <w:pStyle w:val="GG-body"/>
              <w:spacing w:before="20" w:after="20"/>
              <w:jc w:val="center"/>
              <w:rPr>
                <w:b/>
                <w:bCs/>
              </w:rPr>
            </w:pPr>
            <w:r w:rsidRPr="00CD0999">
              <w:rPr>
                <w:b/>
                <w:bCs/>
              </w:rPr>
              <w:t>Qualification Code</w:t>
            </w:r>
          </w:p>
        </w:tc>
        <w:tc>
          <w:tcPr>
            <w:tcW w:w="965" w:type="pct"/>
            <w:tcBorders>
              <w:top w:val="single" w:sz="4" w:space="0" w:color="auto"/>
              <w:left w:val="dotted" w:sz="4" w:space="0" w:color="auto"/>
              <w:bottom w:val="single" w:sz="4" w:space="0" w:color="auto"/>
              <w:right w:val="dotted" w:sz="4" w:space="0" w:color="auto"/>
            </w:tcBorders>
            <w:shd w:val="clear" w:color="auto" w:fill="auto"/>
            <w:vAlign w:val="center"/>
            <w:hideMark/>
          </w:tcPr>
          <w:p w:rsidR="00550FC5" w:rsidRPr="00CD0999" w:rsidRDefault="00550FC5" w:rsidP="00491D21">
            <w:pPr>
              <w:pStyle w:val="GG-body"/>
              <w:spacing w:before="20" w:after="20"/>
              <w:jc w:val="center"/>
              <w:rPr>
                <w:b/>
                <w:bCs/>
              </w:rPr>
            </w:pPr>
            <w:r w:rsidRPr="00CD0999">
              <w:rPr>
                <w:b/>
                <w:bCs/>
              </w:rPr>
              <w:t>Qualification Title</w:t>
            </w:r>
          </w:p>
        </w:tc>
        <w:tc>
          <w:tcPr>
            <w:tcW w:w="947" w:type="pct"/>
            <w:tcBorders>
              <w:top w:val="single" w:sz="4" w:space="0" w:color="auto"/>
              <w:left w:val="dotted" w:sz="4" w:space="0" w:color="auto"/>
              <w:bottom w:val="single" w:sz="4" w:space="0" w:color="auto"/>
              <w:right w:val="dotted" w:sz="4" w:space="0" w:color="auto"/>
            </w:tcBorders>
            <w:shd w:val="clear" w:color="auto" w:fill="auto"/>
            <w:vAlign w:val="center"/>
            <w:hideMark/>
          </w:tcPr>
          <w:p w:rsidR="00550FC5" w:rsidRPr="00CD0999" w:rsidRDefault="00550FC5" w:rsidP="00491D21">
            <w:pPr>
              <w:pStyle w:val="GG-body"/>
              <w:spacing w:before="20" w:after="20"/>
              <w:jc w:val="center"/>
              <w:rPr>
                <w:b/>
                <w:bCs/>
              </w:rPr>
            </w:pPr>
            <w:r w:rsidRPr="00CD0999">
              <w:rPr>
                <w:b/>
                <w:bCs/>
              </w:rPr>
              <w:t>Nominal Term of Training Contract</w:t>
            </w:r>
          </w:p>
        </w:tc>
        <w:tc>
          <w:tcPr>
            <w:tcW w:w="565" w:type="pct"/>
            <w:tcBorders>
              <w:top w:val="single" w:sz="4" w:space="0" w:color="auto"/>
              <w:left w:val="dotted" w:sz="4" w:space="0" w:color="auto"/>
              <w:bottom w:val="single" w:sz="4" w:space="0" w:color="auto"/>
              <w:right w:val="dotted" w:sz="4" w:space="0" w:color="auto"/>
            </w:tcBorders>
            <w:shd w:val="clear" w:color="auto" w:fill="auto"/>
            <w:vAlign w:val="center"/>
            <w:hideMark/>
          </w:tcPr>
          <w:p w:rsidR="00550FC5" w:rsidRPr="00CD0999" w:rsidRDefault="00550FC5" w:rsidP="00491D21">
            <w:pPr>
              <w:pStyle w:val="GG-body"/>
              <w:spacing w:before="20" w:after="20"/>
              <w:jc w:val="center"/>
              <w:rPr>
                <w:b/>
                <w:bCs/>
              </w:rPr>
            </w:pPr>
            <w:r w:rsidRPr="00CD0999">
              <w:rPr>
                <w:b/>
                <w:bCs/>
              </w:rPr>
              <w:t>Probationary Period</w:t>
            </w:r>
          </w:p>
        </w:tc>
        <w:tc>
          <w:tcPr>
            <w:tcW w:w="646" w:type="pct"/>
            <w:tcBorders>
              <w:top w:val="single" w:sz="4" w:space="0" w:color="auto"/>
              <w:left w:val="dotted" w:sz="4" w:space="0" w:color="auto"/>
              <w:bottom w:val="single" w:sz="4" w:space="0" w:color="auto"/>
              <w:right w:val="dotted" w:sz="4" w:space="0" w:color="auto"/>
            </w:tcBorders>
            <w:shd w:val="clear" w:color="auto" w:fill="auto"/>
            <w:vAlign w:val="center"/>
            <w:hideMark/>
          </w:tcPr>
          <w:p w:rsidR="00550FC5" w:rsidRPr="00CD0999" w:rsidRDefault="00550FC5" w:rsidP="00491D21">
            <w:pPr>
              <w:pStyle w:val="GG-body"/>
              <w:spacing w:before="20" w:after="20"/>
              <w:jc w:val="center"/>
              <w:rPr>
                <w:b/>
                <w:bCs/>
              </w:rPr>
            </w:pPr>
            <w:r w:rsidRPr="00CD0999">
              <w:rPr>
                <w:b/>
                <w:bCs/>
              </w:rPr>
              <w:t>Supervision Level Rating</w:t>
            </w:r>
          </w:p>
        </w:tc>
      </w:tr>
      <w:tr w:rsidR="00550FC5" w:rsidRPr="00CD0999" w:rsidTr="00491D21">
        <w:trPr>
          <w:trHeight w:val="345"/>
        </w:trPr>
        <w:tc>
          <w:tcPr>
            <w:tcW w:w="1250" w:type="pct"/>
            <w:tcBorders>
              <w:top w:val="single" w:sz="4" w:space="0" w:color="auto"/>
              <w:left w:val="dotted" w:sz="4" w:space="0" w:color="auto"/>
              <w:bottom w:val="single" w:sz="4" w:space="0" w:color="auto"/>
              <w:right w:val="dotted" w:sz="4" w:space="0" w:color="auto"/>
            </w:tcBorders>
            <w:shd w:val="clear" w:color="auto" w:fill="auto"/>
            <w:hideMark/>
          </w:tcPr>
          <w:p w:rsidR="00550FC5" w:rsidRPr="00CD0999" w:rsidRDefault="00550FC5" w:rsidP="00491D21">
            <w:pPr>
              <w:pStyle w:val="GG-body"/>
              <w:spacing w:before="20" w:after="20"/>
              <w:jc w:val="left"/>
            </w:pPr>
            <w:r w:rsidRPr="00CD0999">
              <w:t>Associate Engineer #</w:t>
            </w:r>
          </w:p>
        </w:tc>
        <w:tc>
          <w:tcPr>
            <w:tcW w:w="626" w:type="pct"/>
            <w:tcBorders>
              <w:top w:val="single" w:sz="4" w:space="0" w:color="auto"/>
              <w:left w:val="dotted" w:sz="4" w:space="0" w:color="auto"/>
              <w:bottom w:val="single" w:sz="4" w:space="0" w:color="auto"/>
              <w:right w:val="dotted" w:sz="4" w:space="0" w:color="auto"/>
            </w:tcBorders>
            <w:shd w:val="clear" w:color="auto" w:fill="auto"/>
            <w:hideMark/>
          </w:tcPr>
          <w:p w:rsidR="00550FC5" w:rsidRPr="00CD0999" w:rsidRDefault="00550FC5" w:rsidP="00491D21">
            <w:pPr>
              <w:pStyle w:val="GG-body"/>
              <w:spacing w:before="20" w:after="20"/>
              <w:jc w:val="left"/>
            </w:pPr>
            <w:r w:rsidRPr="00CD0999">
              <w:t>CC02</w:t>
            </w:r>
          </w:p>
        </w:tc>
        <w:tc>
          <w:tcPr>
            <w:tcW w:w="965" w:type="pct"/>
            <w:tcBorders>
              <w:top w:val="single" w:sz="4" w:space="0" w:color="auto"/>
              <w:left w:val="dotted" w:sz="4" w:space="0" w:color="auto"/>
              <w:bottom w:val="single" w:sz="4" w:space="0" w:color="auto"/>
              <w:right w:val="dotted" w:sz="4" w:space="0" w:color="auto"/>
            </w:tcBorders>
            <w:shd w:val="clear" w:color="auto" w:fill="auto"/>
            <w:hideMark/>
          </w:tcPr>
          <w:p w:rsidR="00550FC5" w:rsidRPr="00CD0999" w:rsidRDefault="00550FC5" w:rsidP="00491D21">
            <w:pPr>
              <w:pStyle w:val="GG-body"/>
              <w:spacing w:before="20" w:after="20"/>
              <w:jc w:val="left"/>
            </w:pPr>
            <w:r w:rsidRPr="00CD0999">
              <w:t>Associate Degree of Engineering</w:t>
            </w:r>
          </w:p>
        </w:tc>
        <w:tc>
          <w:tcPr>
            <w:tcW w:w="947" w:type="pct"/>
            <w:tcBorders>
              <w:top w:val="single" w:sz="4" w:space="0" w:color="auto"/>
              <w:left w:val="dotted" w:sz="4" w:space="0" w:color="auto"/>
              <w:bottom w:val="single" w:sz="4" w:space="0" w:color="auto"/>
              <w:right w:val="dotted" w:sz="4" w:space="0" w:color="auto"/>
            </w:tcBorders>
            <w:shd w:val="clear" w:color="auto" w:fill="auto"/>
            <w:hideMark/>
          </w:tcPr>
          <w:p w:rsidR="00550FC5" w:rsidRPr="00CD0999" w:rsidRDefault="00550FC5" w:rsidP="00491D21">
            <w:pPr>
              <w:pStyle w:val="GG-body"/>
              <w:spacing w:before="20" w:after="20"/>
              <w:jc w:val="left"/>
            </w:pPr>
            <w:r w:rsidRPr="00CD0999">
              <w:t>48</w:t>
            </w:r>
          </w:p>
        </w:tc>
        <w:tc>
          <w:tcPr>
            <w:tcW w:w="565" w:type="pct"/>
            <w:tcBorders>
              <w:top w:val="single" w:sz="4" w:space="0" w:color="auto"/>
              <w:left w:val="dotted" w:sz="4" w:space="0" w:color="auto"/>
              <w:bottom w:val="single" w:sz="4" w:space="0" w:color="auto"/>
              <w:right w:val="dotted" w:sz="4" w:space="0" w:color="auto"/>
            </w:tcBorders>
            <w:shd w:val="clear" w:color="auto" w:fill="auto"/>
            <w:hideMark/>
          </w:tcPr>
          <w:p w:rsidR="00550FC5" w:rsidRPr="00CD0999" w:rsidRDefault="00550FC5" w:rsidP="00491D21">
            <w:pPr>
              <w:pStyle w:val="GG-body"/>
              <w:spacing w:before="20" w:after="20"/>
              <w:jc w:val="left"/>
            </w:pPr>
            <w:r w:rsidRPr="00CD0999">
              <w:t>90</w:t>
            </w:r>
          </w:p>
        </w:tc>
        <w:tc>
          <w:tcPr>
            <w:tcW w:w="646" w:type="pct"/>
            <w:tcBorders>
              <w:top w:val="single" w:sz="4" w:space="0" w:color="auto"/>
              <w:left w:val="dotted" w:sz="4" w:space="0" w:color="auto"/>
              <w:bottom w:val="single" w:sz="4" w:space="0" w:color="auto"/>
              <w:right w:val="dotted" w:sz="4" w:space="0" w:color="auto"/>
            </w:tcBorders>
            <w:shd w:val="clear" w:color="auto" w:fill="auto"/>
            <w:hideMark/>
          </w:tcPr>
          <w:p w:rsidR="00550FC5" w:rsidRPr="00CD0999" w:rsidRDefault="00550FC5" w:rsidP="00491D21">
            <w:pPr>
              <w:pStyle w:val="GG-body"/>
              <w:spacing w:before="20" w:after="20"/>
              <w:jc w:val="left"/>
            </w:pPr>
            <w:r w:rsidRPr="00CD0999">
              <w:t>M</w:t>
            </w:r>
          </w:p>
        </w:tc>
      </w:tr>
    </w:tbl>
    <w:p w:rsidR="00550FC5" w:rsidRDefault="00550FC5" w:rsidP="00550FC5">
      <w:pPr>
        <w:pBdr>
          <w:top w:val="single" w:sz="4" w:space="1" w:color="auto"/>
        </w:pBdr>
        <w:spacing w:before="100" w:after="0" w:line="14" w:lineRule="exact"/>
        <w:jc w:val="center"/>
        <w:rPr>
          <w:rFonts w:ascii="Times New Roman" w:hAnsi="Times New Roman"/>
          <w:caps/>
          <w:sz w:val="17"/>
          <w:szCs w:val="17"/>
        </w:rPr>
      </w:pPr>
    </w:p>
    <w:p w:rsidR="00550FC5" w:rsidRDefault="00550FC5" w:rsidP="00550FC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hAnsi="Times New Roman"/>
          <w:caps/>
          <w:sz w:val="17"/>
          <w:szCs w:val="17"/>
        </w:rPr>
      </w:pPr>
    </w:p>
    <w:p w:rsidR="00E70407" w:rsidRPr="00E70407" w:rsidRDefault="00E70407" w:rsidP="00550FC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ascii="Times New Roman" w:hAnsi="Times New Roman"/>
          <w:caps/>
          <w:sz w:val="17"/>
          <w:szCs w:val="17"/>
        </w:rPr>
      </w:pPr>
      <w:r w:rsidRPr="00E70407">
        <w:rPr>
          <w:rFonts w:ascii="Times New Roman" w:hAnsi="Times New Roman"/>
          <w:caps/>
          <w:sz w:val="17"/>
          <w:szCs w:val="17"/>
        </w:rPr>
        <w:t>S</w:t>
      </w:r>
      <w:r w:rsidR="00C861DD">
        <w:rPr>
          <w:rFonts w:ascii="Times New Roman" w:hAnsi="Times New Roman"/>
          <w:caps/>
          <w:sz w:val="17"/>
          <w:szCs w:val="17"/>
        </w:rPr>
        <w:t>outh Australian Skills Act 2008</w:t>
      </w:r>
    </w:p>
    <w:p w:rsidR="00E70407" w:rsidRPr="00E70407" w:rsidRDefault="00E70407" w:rsidP="00E70407">
      <w:pPr>
        <w:jc w:val="center"/>
        <w:rPr>
          <w:rFonts w:ascii="Times New Roman" w:hAnsi="Times New Roman"/>
          <w:smallCaps/>
          <w:sz w:val="17"/>
          <w:szCs w:val="17"/>
        </w:rPr>
      </w:pPr>
      <w:r w:rsidRPr="00E70407">
        <w:rPr>
          <w:rFonts w:ascii="Times New Roman" w:hAnsi="Times New Roman"/>
          <w:smallCaps/>
          <w:sz w:val="17"/>
          <w:szCs w:val="17"/>
        </w:rPr>
        <w:t xml:space="preserve">Division 3, Section 26 </w:t>
      </w:r>
    </w:p>
    <w:p w:rsidR="00E70407" w:rsidRPr="00E70407" w:rsidRDefault="00E70407" w:rsidP="00E70407">
      <w:pPr>
        <w:jc w:val="center"/>
        <w:rPr>
          <w:rFonts w:ascii="Times New Roman" w:hAnsi="Times New Roman"/>
          <w:i/>
          <w:sz w:val="17"/>
          <w:szCs w:val="17"/>
        </w:rPr>
      </w:pPr>
      <w:r w:rsidRPr="00E70407">
        <w:rPr>
          <w:rFonts w:ascii="Times New Roman" w:hAnsi="Times New Roman"/>
          <w:i/>
          <w:sz w:val="17"/>
          <w:szCs w:val="17"/>
        </w:rPr>
        <w:t>South Australian Skills Standards</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Pursuant to the provisions of Division 3, Section 26 of the </w:t>
      </w:r>
      <w:r w:rsidRPr="00E70407">
        <w:rPr>
          <w:rFonts w:ascii="Times New Roman" w:eastAsia="Times New Roman" w:hAnsi="Times New Roman"/>
          <w:i/>
          <w:sz w:val="17"/>
          <w:szCs w:val="17"/>
        </w:rPr>
        <w:t>South Australian Skills Act 2008</w:t>
      </w:r>
      <w:r w:rsidRPr="00E70407">
        <w:rPr>
          <w:rFonts w:ascii="Times New Roman" w:eastAsia="Times New Roman" w:hAnsi="Times New Roman"/>
          <w:sz w:val="17"/>
          <w:szCs w:val="17"/>
        </w:rPr>
        <w:t xml:space="preserve"> (</w:t>
      </w:r>
      <w:r w:rsidRPr="00E70407">
        <w:rPr>
          <w:rFonts w:ascii="Times New Roman" w:eastAsia="Times New Roman" w:hAnsi="Times New Roman"/>
          <w:i/>
          <w:sz w:val="17"/>
          <w:szCs w:val="17"/>
        </w:rPr>
        <w:t>SAS Act</w:t>
      </w:r>
      <w:r w:rsidRPr="00E70407">
        <w:rPr>
          <w:rFonts w:ascii="Times New Roman" w:eastAsia="Times New Roman" w:hAnsi="Times New Roman"/>
          <w:sz w:val="17"/>
          <w:szCs w:val="17"/>
        </w:rPr>
        <w:t xml:space="preserve">) and Section 5 of the </w:t>
      </w:r>
      <w:r w:rsidRPr="00E70407">
        <w:rPr>
          <w:rFonts w:ascii="Times New Roman" w:eastAsia="Times New Roman" w:hAnsi="Times New Roman"/>
          <w:i/>
          <w:sz w:val="17"/>
          <w:szCs w:val="17"/>
        </w:rPr>
        <w:t>South Australian Skills Regulations 2021</w:t>
      </w:r>
      <w:r w:rsidRPr="00E70407">
        <w:rPr>
          <w:rFonts w:ascii="Times New Roman" w:eastAsia="Times New Roman" w:hAnsi="Times New Roman"/>
          <w:sz w:val="17"/>
          <w:szCs w:val="17"/>
        </w:rPr>
        <w:t xml:space="preserve"> (the </w:t>
      </w:r>
      <w:r w:rsidRPr="00E70407">
        <w:rPr>
          <w:rFonts w:ascii="Times New Roman" w:eastAsia="Times New Roman" w:hAnsi="Times New Roman"/>
          <w:i/>
          <w:sz w:val="17"/>
          <w:szCs w:val="17"/>
        </w:rPr>
        <w:t>Regulations</w:t>
      </w:r>
      <w:r w:rsidRPr="00E70407">
        <w:rPr>
          <w:rFonts w:ascii="Times New Roman" w:eastAsia="Times New Roman" w:hAnsi="Times New Roman"/>
          <w:sz w:val="17"/>
          <w:szCs w:val="17"/>
        </w:rPr>
        <w:t>), the South Australian Skills Commission (SASC) gives notice of the publication of the South Australian Skills Standards (Standards).</w:t>
      </w:r>
    </w:p>
    <w:p w:rsidR="00E70407" w:rsidRPr="00E70407" w:rsidRDefault="00E70407" w:rsidP="00E70407">
      <w:pPr>
        <w:rPr>
          <w:rFonts w:ascii="Times New Roman" w:eastAsia="Times New Roman" w:hAnsi="Times New Roman"/>
          <w:iCs/>
          <w:sz w:val="17"/>
          <w:szCs w:val="17"/>
        </w:rPr>
      </w:pPr>
      <w:r w:rsidRPr="00E70407">
        <w:rPr>
          <w:rFonts w:ascii="Times New Roman" w:eastAsia="Times New Roman" w:hAnsi="Times New Roman"/>
          <w:sz w:val="17"/>
          <w:szCs w:val="17"/>
        </w:rPr>
        <w:t xml:space="preserve">South Australia’s apprenticeship and traineeship system is underpinned by </w:t>
      </w:r>
      <w:bookmarkStart w:id="90" w:name="_Hlk72157776"/>
      <w:r w:rsidRPr="00E70407">
        <w:rPr>
          <w:rFonts w:ascii="Times New Roman" w:eastAsia="Times New Roman" w:hAnsi="Times New Roman"/>
          <w:sz w:val="17"/>
          <w:szCs w:val="17"/>
        </w:rPr>
        <w:t xml:space="preserve">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the </w:t>
      </w:r>
      <w:r w:rsidRPr="00E70407">
        <w:rPr>
          <w:rFonts w:ascii="Times New Roman" w:eastAsia="Times New Roman" w:hAnsi="Times New Roman"/>
          <w:i/>
          <w:iCs/>
          <w:sz w:val="17"/>
          <w:szCs w:val="17"/>
        </w:rPr>
        <w:t>Regulations</w:t>
      </w:r>
      <w:r w:rsidRPr="00E70407">
        <w:rPr>
          <w:rFonts w:ascii="Times New Roman" w:eastAsia="Times New Roman" w:hAnsi="Times New Roman"/>
          <w:sz w:val="17"/>
          <w:szCs w:val="17"/>
        </w:rPr>
        <w:t>, and the Standards</w:t>
      </w:r>
      <w:r w:rsidRPr="00E70407">
        <w:rPr>
          <w:rFonts w:ascii="Times New Roman" w:eastAsia="Times New Roman" w:hAnsi="Times New Roman"/>
          <w:i/>
          <w:iCs/>
          <w:sz w:val="17"/>
          <w:szCs w:val="17"/>
        </w:rPr>
        <w:t>.</w:t>
      </w:r>
    </w:p>
    <w:bookmarkEnd w:id="90"/>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The 14 Standards came into force on 1 July 2021. Compliance with the Standards is required, and a failure to comply with a provision of the Standards may result in compliance action being taken.</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The</w:t>
      </w:r>
      <w:r w:rsidRPr="00E70407">
        <w:rPr>
          <w:rFonts w:ascii="Times New Roman" w:eastAsia="Times New Roman" w:hAnsi="Times New Roman"/>
          <w:i/>
          <w:iCs/>
          <w:sz w:val="17"/>
          <w:szCs w:val="17"/>
        </w:rPr>
        <w:t xml:space="preserve"> SAS Act </w:t>
      </w:r>
      <w:r w:rsidRPr="00E70407">
        <w:rPr>
          <w:rFonts w:ascii="Times New Roman" w:eastAsia="Times New Roman" w:hAnsi="Times New Roman"/>
          <w:sz w:val="17"/>
          <w:szCs w:val="17"/>
        </w:rPr>
        <w:t>or the</w:t>
      </w:r>
      <w:r w:rsidRPr="00E70407">
        <w:rPr>
          <w:rFonts w:ascii="Times New Roman" w:eastAsia="Times New Roman" w:hAnsi="Times New Roman"/>
          <w:i/>
          <w:iCs/>
          <w:sz w:val="17"/>
          <w:szCs w:val="17"/>
        </w:rPr>
        <w:t xml:space="preserve"> Regulations </w:t>
      </w:r>
      <w:r w:rsidRPr="00E70407">
        <w:rPr>
          <w:rFonts w:ascii="Times New Roman" w:eastAsia="Times New Roman" w:hAnsi="Times New Roman"/>
          <w:sz w:val="17"/>
          <w:szCs w:val="17"/>
        </w:rPr>
        <w:t>(whichever is applicable) will prevail to the extent that that there is any inconsistency with a provision of the Standards.</w:t>
      </w:r>
      <w:r w:rsidRPr="00E70407">
        <w:rPr>
          <w:rFonts w:ascii="Times New Roman" w:eastAsia="Times New Roman" w:hAnsi="Times New Roman"/>
          <w:i/>
          <w:iCs/>
          <w:sz w:val="17"/>
          <w:szCs w:val="17"/>
        </w:rPr>
        <w:t xml:space="preserve"> </w:t>
      </w:r>
    </w:p>
    <w:p w:rsidR="00E70407" w:rsidRPr="00E70407" w:rsidRDefault="00E70407" w:rsidP="00E70407">
      <w:pPr>
        <w:rPr>
          <w:rFonts w:ascii="Times New Roman" w:eastAsia="Times New Roman" w:hAnsi="Times New Roman"/>
          <w:spacing w:val="-4"/>
          <w:sz w:val="17"/>
          <w:szCs w:val="17"/>
        </w:rPr>
      </w:pPr>
      <w:r w:rsidRPr="00E70407">
        <w:rPr>
          <w:rFonts w:ascii="Times New Roman" w:eastAsia="Times New Roman" w:hAnsi="Times New Roman"/>
          <w:spacing w:val="-4"/>
          <w:sz w:val="17"/>
          <w:szCs w:val="17"/>
        </w:rPr>
        <w:t xml:space="preserve">Each Standard should be read in conjunction with 1) the other Standards and 2) </w:t>
      </w:r>
      <w:hyperlink r:id="rId78" w:history="1">
        <w:r w:rsidRPr="00E70407">
          <w:rPr>
            <w:rFonts w:ascii="Times New Roman" w:eastAsia="Times New Roman" w:hAnsi="Times New Roman"/>
            <w:color w:val="0000FF"/>
            <w:spacing w:val="-4"/>
            <w:sz w:val="17"/>
            <w:szCs w:val="17"/>
            <w:u w:val="single"/>
          </w:rPr>
          <w:t>supporting information</w:t>
        </w:r>
      </w:hyperlink>
      <w:r w:rsidRPr="00E70407">
        <w:rPr>
          <w:rFonts w:ascii="Times New Roman" w:eastAsia="Times New Roman" w:hAnsi="Times New Roman"/>
          <w:spacing w:val="-4"/>
          <w:sz w:val="17"/>
          <w:szCs w:val="17"/>
        </w:rPr>
        <w:t xml:space="preserve"> for employers of apprentices and trainees.</w:t>
      </w:r>
    </w:p>
    <w:p w:rsidR="00E70407" w:rsidRPr="00E70407" w:rsidRDefault="00E70407" w:rsidP="00E70407">
      <w:pPr>
        <w:rPr>
          <w:rFonts w:ascii="Times New Roman" w:eastAsia="Times New Roman" w:hAnsi="Times New Roman"/>
          <w:i/>
          <w:iCs/>
          <w:sz w:val="17"/>
          <w:szCs w:val="17"/>
        </w:rPr>
      </w:pPr>
      <w:r w:rsidRPr="00E70407">
        <w:rPr>
          <w:rFonts w:ascii="Times New Roman" w:eastAsia="Times New Roman" w:hAnsi="Times New Roman"/>
          <w:sz w:val="17"/>
          <w:szCs w:val="17"/>
        </w:rPr>
        <w:t xml:space="preserve">In addition to the requirements under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employers must comply with such other laws, professional standards or regulatory frameworks as may apply to their business and industry sector. In particular, these Standards do not override the </w:t>
      </w:r>
      <w:r w:rsidRPr="00E70407">
        <w:rPr>
          <w:rFonts w:ascii="Times New Roman" w:eastAsia="Times New Roman" w:hAnsi="Times New Roman"/>
          <w:i/>
          <w:iCs/>
          <w:sz w:val="17"/>
          <w:szCs w:val="17"/>
        </w:rPr>
        <w:t>Work Health and Safety Act</w:t>
      </w:r>
      <w:r w:rsidRPr="00E70407">
        <w:rPr>
          <w:rFonts w:ascii="Times New Roman" w:eastAsia="Times New Roman" w:hAnsi="Times New Roman"/>
          <w:sz w:val="17"/>
          <w:szCs w:val="17"/>
        </w:rPr>
        <w:t xml:space="preserve"> 2012 and </w:t>
      </w:r>
      <w:r w:rsidRPr="00E70407">
        <w:rPr>
          <w:rFonts w:ascii="Times New Roman" w:eastAsia="Times New Roman" w:hAnsi="Times New Roman"/>
          <w:i/>
          <w:iCs/>
          <w:sz w:val="17"/>
          <w:szCs w:val="17"/>
        </w:rPr>
        <w:t>Fair Work Act 2009.</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Transitional arrangements for these Standards will apply. </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lang w:val="en-GB"/>
        </w:rPr>
        <w:t xml:space="preserve">For more detail see: </w:t>
      </w:r>
      <w:hyperlink r:id="rId79" w:history="1">
        <w:r w:rsidRPr="00E70407">
          <w:rPr>
            <w:rFonts w:ascii="Times New Roman" w:eastAsia="Times New Roman" w:hAnsi="Times New Roman"/>
            <w:color w:val="0000FF"/>
            <w:sz w:val="17"/>
            <w:szCs w:val="17"/>
            <w:u w:val="single"/>
          </w:rPr>
          <w:t>www.skillscommission.sa.gov.au/2021-legislation-changes/transitional-arrangements</w:t>
        </w:r>
      </w:hyperlink>
      <w:r w:rsidRPr="00E70407">
        <w:rPr>
          <w:rFonts w:ascii="Times New Roman" w:eastAsia="Times New Roman" w:hAnsi="Times New Roman"/>
          <w:sz w:val="17"/>
          <w:szCs w:val="17"/>
        </w:rPr>
        <w:t>.</w:t>
      </w:r>
    </w:p>
    <w:p w:rsidR="00E70407" w:rsidRPr="00E70407" w:rsidRDefault="00E70407" w:rsidP="00E70407">
      <w:pPr>
        <w:spacing w:after="0"/>
        <w:rPr>
          <w:rFonts w:ascii="Times New Roman" w:eastAsia="Times New Roman" w:hAnsi="Times New Roman"/>
          <w:sz w:val="17"/>
          <w:szCs w:val="17"/>
        </w:rPr>
      </w:pPr>
      <w:r w:rsidRPr="00E70407">
        <w:rPr>
          <w:rFonts w:ascii="Times New Roman" w:eastAsia="Times New Roman" w:hAnsi="Times New Roman"/>
          <w:sz w:val="17"/>
          <w:szCs w:val="17"/>
        </w:rPr>
        <w:t>Dated: 17 December 2021</w:t>
      </w:r>
    </w:p>
    <w:p w:rsidR="00E70407" w:rsidRPr="00E70407" w:rsidRDefault="00E70407" w:rsidP="00E70407">
      <w:pPr>
        <w:spacing w:after="0"/>
        <w:jc w:val="right"/>
        <w:rPr>
          <w:rFonts w:ascii="Times New Roman" w:eastAsia="Times New Roman" w:hAnsi="Times New Roman"/>
          <w:smallCaps/>
          <w:sz w:val="17"/>
          <w:szCs w:val="20"/>
        </w:rPr>
      </w:pPr>
      <w:r w:rsidRPr="00E70407">
        <w:rPr>
          <w:rFonts w:ascii="Times New Roman" w:eastAsia="Times New Roman" w:hAnsi="Times New Roman"/>
          <w:smallCaps/>
          <w:sz w:val="17"/>
          <w:szCs w:val="20"/>
        </w:rPr>
        <w:t>Renee Hindmarsh</w:t>
      </w:r>
    </w:p>
    <w:p w:rsidR="00E70407" w:rsidRPr="00E70407" w:rsidRDefault="00E70407" w:rsidP="00E70407">
      <w:pPr>
        <w:spacing w:after="0" w:line="240" w:lineRule="auto"/>
        <w:jc w:val="right"/>
        <w:rPr>
          <w:rFonts w:ascii="Times New Roman" w:eastAsia="Times New Roman" w:hAnsi="Times New Roman"/>
          <w:sz w:val="17"/>
          <w:szCs w:val="17"/>
        </w:rPr>
      </w:pPr>
      <w:r w:rsidRPr="00E70407">
        <w:rPr>
          <w:rFonts w:ascii="Times New Roman" w:eastAsia="Times New Roman" w:hAnsi="Times New Roman"/>
          <w:sz w:val="17"/>
          <w:szCs w:val="17"/>
        </w:rPr>
        <w:t>South Australian Skills Commissioner</w:t>
      </w:r>
    </w:p>
    <w:p w:rsidR="00E70407" w:rsidRPr="00E70407" w:rsidRDefault="00E70407" w:rsidP="00E70407">
      <w:pPr>
        <w:pBdr>
          <w:top w:val="single" w:sz="4" w:space="1" w:color="auto"/>
        </w:pBdr>
        <w:spacing w:before="100" w:line="14" w:lineRule="exact"/>
        <w:ind w:left="1080" w:right="1080"/>
        <w:jc w:val="center"/>
        <w:rPr>
          <w:rFonts w:ascii="Times New Roman" w:eastAsia="Times New Roman" w:hAnsi="Times New Roman"/>
          <w:sz w:val="17"/>
          <w:szCs w:val="17"/>
          <w:lang w:val="en-GB"/>
        </w:rPr>
      </w:pPr>
    </w:p>
    <w:p w:rsidR="00E70407" w:rsidRPr="00E70407" w:rsidRDefault="00E70407" w:rsidP="00E70407">
      <w:pPr>
        <w:jc w:val="center"/>
        <w:rPr>
          <w:rFonts w:ascii="Times New Roman" w:hAnsi="Times New Roman"/>
          <w:smallCaps/>
          <w:sz w:val="17"/>
          <w:szCs w:val="17"/>
        </w:rPr>
      </w:pPr>
      <w:bookmarkStart w:id="91" w:name="_Hlk71551130"/>
      <w:bookmarkStart w:id="92" w:name="_Toc71813711"/>
      <w:bookmarkStart w:id="93" w:name="_Toc75255243"/>
      <w:bookmarkStart w:id="94" w:name="_Hlk71547316"/>
      <w:r w:rsidRPr="00E70407">
        <w:rPr>
          <w:rFonts w:ascii="Times New Roman" w:hAnsi="Times New Roman"/>
          <w:smallCaps/>
          <w:sz w:val="17"/>
          <w:szCs w:val="17"/>
        </w:rPr>
        <w:t>Standard 1</w:t>
      </w:r>
      <w:bookmarkEnd w:id="91"/>
      <w:r w:rsidRPr="00E70407">
        <w:rPr>
          <w:rFonts w:ascii="Times New Roman" w:hAnsi="Times New Roman"/>
          <w:smallCaps/>
          <w:sz w:val="17"/>
          <w:szCs w:val="17"/>
        </w:rPr>
        <w:tab/>
      </w:r>
      <w:r w:rsidRPr="00E70407">
        <w:rPr>
          <w:rFonts w:ascii="Times New Roman" w:hAnsi="Times New Roman"/>
          <w:smallCaps/>
          <w:sz w:val="17"/>
          <w:szCs w:val="17"/>
        </w:rPr>
        <w:tab/>
        <w:t>Declaration of Trades and Vocations</w:t>
      </w:r>
      <w:bookmarkEnd w:id="92"/>
      <w:bookmarkEnd w:id="93"/>
      <w:r w:rsidRPr="00E70407">
        <w:rPr>
          <w:rFonts w:ascii="Times New Roman" w:hAnsi="Times New Roman"/>
          <w:smallCaps/>
          <w:sz w:val="17"/>
          <w:szCs w:val="17"/>
        </w:rPr>
        <w:t xml:space="preserve"> </w:t>
      </w:r>
      <w:bookmarkEnd w:id="94"/>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This Standard relates to the occupations that must be declared a trade or declared vocation in accordance with the </w:t>
      </w:r>
      <w:r w:rsidRPr="00E70407">
        <w:rPr>
          <w:rFonts w:ascii="Times New Roman" w:eastAsia="Times New Roman" w:hAnsi="Times New Roman"/>
          <w:i/>
          <w:iCs/>
          <w:sz w:val="17"/>
          <w:szCs w:val="17"/>
        </w:rPr>
        <w:t>South Australian Skills Act 2008</w:t>
      </w:r>
      <w:r w:rsidRPr="00E70407">
        <w:rPr>
          <w:rFonts w:ascii="Times New Roman" w:eastAsia="Times New Roman" w:hAnsi="Times New Roman"/>
          <w:sz w:val="17"/>
          <w:szCs w:val="17"/>
        </w:rPr>
        <w:t xml:space="preserve">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before they can be aligned to an apprenticeship (trade) or traineeship (declared vocation).</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The purpose of this Standard is to outline the steps that must be taken in order to have an occupation declared as a trade or declared vocation, and the obligations on applicants who are looking to have their application assessed by the South Australian Skills Commission (the Commission).</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Governance arrangements</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The Minister for Innovation and Skills (the Minister) has delegated the responsibility for declaring an occupation to be a trade or declared vocation to the Commission. The Commission maintains the Traineeship and Apprenticeship Pathways (TAP) Schedule, which lists all apprenticeships and traineeships available in South Australia.</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The TAP Schedule can be accessed via the South Australian Skills Commission website </w:t>
      </w:r>
      <w:hyperlink r:id="rId80" w:history="1">
        <w:r w:rsidRPr="00E70407">
          <w:rPr>
            <w:rFonts w:ascii="Times New Roman" w:eastAsia="Times New Roman" w:hAnsi="Times New Roman"/>
            <w:color w:val="0000FF"/>
            <w:sz w:val="17"/>
            <w:szCs w:val="17"/>
            <w:u w:val="single"/>
          </w:rPr>
          <w:t>www.skillscommission.sa.gov.au/regulations-and-standards/taps-schedule</w:t>
        </w:r>
      </w:hyperlink>
      <w:r w:rsidRPr="00E70407">
        <w:rPr>
          <w:rFonts w:ascii="Times New Roman" w:eastAsia="Times New Roman" w:hAnsi="Times New Roman"/>
          <w:sz w:val="17"/>
          <w:szCs w:val="17"/>
        </w:rPr>
        <w:t>.</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Compliance with the Standard</w:t>
      </w:r>
    </w:p>
    <w:p w:rsidR="00E70407" w:rsidRPr="00E70407" w:rsidRDefault="00E70407" w:rsidP="00E70407">
      <w:pPr>
        <w:numPr>
          <w:ilvl w:val="1"/>
          <w:numId w:val="348"/>
        </w:numPr>
        <w:rPr>
          <w:rFonts w:ascii="Times New Roman" w:eastAsia="Times New Roman" w:hAnsi="Times New Roman"/>
          <w:b/>
          <w:bCs/>
          <w:sz w:val="17"/>
          <w:szCs w:val="17"/>
        </w:rPr>
      </w:pPr>
      <w:bookmarkStart w:id="95" w:name="_Hlk71553491"/>
      <w:r w:rsidRPr="00E70407">
        <w:rPr>
          <w:rFonts w:ascii="Times New Roman" w:eastAsia="Times New Roman" w:hAnsi="Times New Roman"/>
          <w:b/>
          <w:bCs/>
          <w:sz w:val="17"/>
          <w:szCs w:val="17"/>
        </w:rPr>
        <w:t>Gazettal</w:t>
      </w:r>
      <w:bookmarkEnd w:id="95"/>
      <w:r w:rsidRPr="00E70407">
        <w:rPr>
          <w:rFonts w:ascii="Times New Roman" w:eastAsia="Times New Roman" w:hAnsi="Times New Roman"/>
          <w:b/>
          <w:bCs/>
          <w:sz w:val="17"/>
          <w:szCs w:val="17"/>
        </w:rPr>
        <w:t xml:space="preserve"> of declared trades and vocations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xml:space="preserve">, S6, S45, </w:t>
      </w:r>
      <w:r w:rsidRPr="00E70407">
        <w:rPr>
          <w:rFonts w:ascii="Times New Roman" w:eastAsia="Times New Roman" w:hAnsi="Times New Roman"/>
          <w:b/>
          <w:bCs/>
          <w:i/>
          <w:iCs/>
          <w:sz w:val="17"/>
          <w:szCs w:val="17"/>
        </w:rPr>
        <w:t>Regulation</w:t>
      </w:r>
      <w:r w:rsidRPr="00E70407">
        <w:rPr>
          <w:rFonts w:ascii="Times New Roman" w:eastAsia="Times New Roman" w:hAnsi="Times New Roman"/>
          <w:b/>
          <w:bCs/>
          <w:sz w:val="17"/>
          <w:szCs w:val="17"/>
        </w:rPr>
        <w:t xml:space="preserve"> 4)</w:t>
      </w:r>
    </w:p>
    <w:p w:rsidR="00E70407" w:rsidRPr="00E70407" w:rsidRDefault="00E70407" w:rsidP="00E70407">
      <w:pPr>
        <w:numPr>
          <w:ilvl w:val="2"/>
          <w:numId w:val="348"/>
        </w:numPr>
        <w:rPr>
          <w:rFonts w:ascii="Times New Roman" w:eastAsia="Times New Roman" w:hAnsi="Times New Roman"/>
          <w:sz w:val="17"/>
          <w:szCs w:val="17"/>
        </w:rPr>
      </w:pPr>
      <w:r w:rsidRPr="00E70407">
        <w:rPr>
          <w:rFonts w:ascii="Times New Roman" w:eastAsia="Times New Roman" w:hAnsi="Times New Roman"/>
          <w:sz w:val="17"/>
          <w:szCs w:val="17"/>
        </w:rPr>
        <w:t xml:space="preserve">Under Section 6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the Minister may, by notice in the South Australian Government Gazette (the Gazette) and on the recommendation of the Commission, declare an occupation to be a trade or declared vocation.</w:t>
      </w:r>
    </w:p>
    <w:p w:rsidR="00E70407" w:rsidRPr="00E70407" w:rsidRDefault="00E70407" w:rsidP="00E70407">
      <w:pPr>
        <w:numPr>
          <w:ilvl w:val="2"/>
          <w:numId w:val="348"/>
        </w:numPr>
        <w:rPr>
          <w:rFonts w:ascii="Times New Roman" w:eastAsia="Times New Roman" w:hAnsi="Times New Roman"/>
          <w:sz w:val="17"/>
          <w:szCs w:val="17"/>
        </w:rPr>
      </w:pPr>
      <w:r w:rsidRPr="00E70407">
        <w:rPr>
          <w:rFonts w:ascii="Times New Roman" w:eastAsia="Times New Roman" w:hAnsi="Times New Roman"/>
          <w:sz w:val="17"/>
          <w:szCs w:val="17"/>
        </w:rPr>
        <w:t>A declaration notice published in the Gazette must, in relation to each trade or vocation to which the notice relates:</w:t>
      </w:r>
    </w:p>
    <w:p w:rsidR="00E70407" w:rsidRPr="00E70407" w:rsidRDefault="00E70407" w:rsidP="00E70407">
      <w:pPr>
        <w:numPr>
          <w:ilvl w:val="0"/>
          <w:numId w:val="229"/>
        </w:numPr>
        <w:rPr>
          <w:rFonts w:ascii="Times New Roman" w:eastAsia="Times New Roman" w:hAnsi="Times New Roman"/>
          <w:sz w:val="17"/>
          <w:szCs w:val="17"/>
        </w:rPr>
      </w:pPr>
      <w:r w:rsidRPr="00E70407">
        <w:rPr>
          <w:rFonts w:ascii="Times New Roman" w:eastAsia="Times New Roman" w:hAnsi="Times New Roman"/>
          <w:sz w:val="17"/>
          <w:szCs w:val="17"/>
        </w:rPr>
        <w:t>identify the job or occupation, or class of job or occupation, to which the trade or vocation relates</w:t>
      </w:r>
    </w:p>
    <w:p w:rsidR="00E70407" w:rsidRPr="00E70407" w:rsidRDefault="00E70407" w:rsidP="00E70407">
      <w:pPr>
        <w:numPr>
          <w:ilvl w:val="0"/>
          <w:numId w:val="229"/>
        </w:numPr>
        <w:rPr>
          <w:rFonts w:ascii="Times New Roman" w:eastAsia="Times New Roman" w:hAnsi="Times New Roman"/>
          <w:sz w:val="17"/>
          <w:szCs w:val="17"/>
        </w:rPr>
      </w:pPr>
      <w:r w:rsidRPr="00E70407">
        <w:rPr>
          <w:rFonts w:ascii="Times New Roman" w:eastAsia="Times New Roman" w:hAnsi="Times New Roman"/>
          <w:sz w:val="17"/>
          <w:szCs w:val="17"/>
        </w:rPr>
        <w:t>identify any relevant pathways (including, where appropriate, pathways at a national level) to the trade or vocation</w:t>
      </w:r>
    </w:p>
    <w:p w:rsidR="00E70407" w:rsidRPr="00E70407" w:rsidRDefault="00E70407" w:rsidP="00E70407">
      <w:pPr>
        <w:numPr>
          <w:ilvl w:val="0"/>
          <w:numId w:val="229"/>
        </w:numPr>
        <w:rPr>
          <w:rFonts w:ascii="Times New Roman" w:eastAsia="Times New Roman" w:hAnsi="Times New Roman"/>
          <w:sz w:val="17"/>
          <w:szCs w:val="17"/>
        </w:rPr>
      </w:pPr>
      <w:r w:rsidRPr="00E70407">
        <w:rPr>
          <w:rFonts w:ascii="Times New Roman" w:eastAsia="Times New Roman" w:hAnsi="Times New Roman"/>
          <w:sz w:val="17"/>
          <w:szCs w:val="17"/>
        </w:rPr>
        <w:t xml:space="preserve">contain any information required by the </w:t>
      </w:r>
      <w:r w:rsidRPr="00E70407">
        <w:rPr>
          <w:rFonts w:ascii="Times New Roman" w:eastAsia="Times New Roman" w:hAnsi="Times New Roman"/>
          <w:i/>
          <w:iCs/>
          <w:sz w:val="17"/>
          <w:szCs w:val="17"/>
        </w:rPr>
        <w:t>South Australian</w:t>
      </w:r>
      <w:r w:rsidRPr="00E70407">
        <w:rPr>
          <w:rFonts w:ascii="Times New Roman" w:eastAsia="Times New Roman" w:hAnsi="Times New Roman"/>
          <w:sz w:val="17"/>
          <w:szCs w:val="17"/>
        </w:rPr>
        <w:t xml:space="preserve"> Skills </w:t>
      </w:r>
      <w:r w:rsidRPr="00E70407">
        <w:rPr>
          <w:rFonts w:ascii="Times New Roman" w:eastAsia="Times New Roman" w:hAnsi="Times New Roman"/>
          <w:i/>
          <w:sz w:val="17"/>
          <w:szCs w:val="17"/>
        </w:rPr>
        <w:t>Regulations 2021 (</w:t>
      </w:r>
      <w:r w:rsidRPr="00E70407">
        <w:rPr>
          <w:rFonts w:ascii="Times New Roman" w:eastAsia="Times New Roman" w:hAnsi="Times New Roman"/>
          <w:iCs/>
          <w:sz w:val="17"/>
          <w:szCs w:val="17"/>
        </w:rPr>
        <w:t>the</w:t>
      </w:r>
      <w:r w:rsidRPr="00E70407">
        <w:rPr>
          <w:rFonts w:ascii="Times New Roman" w:eastAsia="Times New Roman" w:hAnsi="Times New Roman"/>
          <w:i/>
          <w:sz w:val="17"/>
          <w:szCs w:val="17"/>
        </w:rPr>
        <w:t xml:space="preserve"> Regulations).</w:t>
      </w:r>
    </w:p>
    <w:p w:rsidR="00E70407" w:rsidRPr="00E70407" w:rsidRDefault="00E70407" w:rsidP="00E70407">
      <w:pPr>
        <w:numPr>
          <w:ilvl w:val="2"/>
          <w:numId w:val="348"/>
        </w:numPr>
        <w:rPr>
          <w:rFonts w:ascii="Times New Roman" w:eastAsia="Times New Roman" w:hAnsi="Times New Roman"/>
          <w:sz w:val="17"/>
          <w:szCs w:val="17"/>
        </w:rPr>
      </w:pPr>
      <w:r w:rsidRPr="00E70407">
        <w:rPr>
          <w:rFonts w:ascii="Times New Roman" w:eastAsia="Times New Roman" w:hAnsi="Times New Roman"/>
          <w:sz w:val="17"/>
          <w:szCs w:val="17"/>
        </w:rPr>
        <w:t>A relevant pathway to a trade or vocation may, in addition to the primary qualification relating to that trade or vocation, include:</w:t>
      </w:r>
    </w:p>
    <w:p w:rsidR="00E70407" w:rsidRPr="00E70407" w:rsidRDefault="00E70407" w:rsidP="00E70407">
      <w:pPr>
        <w:numPr>
          <w:ilvl w:val="0"/>
          <w:numId w:val="230"/>
        </w:numPr>
        <w:rPr>
          <w:rFonts w:ascii="Times New Roman" w:eastAsia="Times New Roman" w:hAnsi="Times New Roman"/>
          <w:sz w:val="17"/>
          <w:szCs w:val="17"/>
        </w:rPr>
      </w:pPr>
      <w:r w:rsidRPr="00E70407">
        <w:rPr>
          <w:rFonts w:ascii="Times New Roman" w:eastAsia="Times New Roman" w:hAnsi="Times New Roman"/>
          <w:sz w:val="17"/>
          <w:szCs w:val="17"/>
        </w:rPr>
        <w:t>pre-apprenticeships or pre-traineeships</w:t>
      </w:r>
    </w:p>
    <w:p w:rsidR="00E70407" w:rsidRPr="00E70407" w:rsidRDefault="00E70407" w:rsidP="00E70407">
      <w:pPr>
        <w:numPr>
          <w:ilvl w:val="0"/>
          <w:numId w:val="230"/>
        </w:numPr>
        <w:rPr>
          <w:rFonts w:ascii="Times New Roman" w:eastAsia="Times New Roman" w:hAnsi="Times New Roman"/>
          <w:sz w:val="17"/>
          <w:szCs w:val="17"/>
        </w:rPr>
      </w:pPr>
      <w:r w:rsidRPr="00E70407">
        <w:rPr>
          <w:rFonts w:ascii="Times New Roman" w:eastAsia="Times New Roman" w:hAnsi="Times New Roman"/>
          <w:sz w:val="17"/>
          <w:szCs w:val="17"/>
        </w:rPr>
        <w:t>specified skill sets</w:t>
      </w:r>
    </w:p>
    <w:p w:rsidR="00E70407" w:rsidRPr="00E70407" w:rsidRDefault="00E70407" w:rsidP="00E70407">
      <w:pPr>
        <w:numPr>
          <w:ilvl w:val="0"/>
          <w:numId w:val="230"/>
        </w:numPr>
        <w:rPr>
          <w:rFonts w:ascii="Times New Roman" w:eastAsia="Times New Roman" w:hAnsi="Times New Roman"/>
          <w:sz w:val="17"/>
          <w:szCs w:val="17"/>
        </w:rPr>
      </w:pPr>
      <w:r w:rsidRPr="00E70407">
        <w:rPr>
          <w:rFonts w:ascii="Times New Roman" w:eastAsia="Times New Roman" w:hAnsi="Times New Roman"/>
          <w:sz w:val="17"/>
          <w:szCs w:val="17"/>
        </w:rPr>
        <w:t>higher qualifications</w:t>
      </w:r>
    </w:p>
    <w:p w:rsidR="00E70407" w:rsidRPr="00E70407" w:rsidRDefault="00E70407" w:rsidP="00E70407">
      <w:pPr>
        <w:numPr>
          <w:ilvl w:val="0"/>
          <w:numId w:val="230"/>
        </w:numPr>
        <w:rPr>
          <w:rFonts w:ascii="Times New Roman" w:eastAsia="Times New Roman" w:hAnsi="Times New Roman"/>
          <w:sz w:val="17"/>
          <w:szCs w:val="17"/>
        </w:rPr>
      </w:pPr>
      <w:r w:rsidRPr="00E70407">
        <w:rPr>
          <w:rFonts w:ascii="Times New Roman" w:eastAsia="Times New Roman" w:hAnsi="Times New Roman"/>
          <w:sz w:val="17"/>
          <w:szCs w:val="17"/>
        </w:rPr>
        <w:t>such other matters as the Minister thinks appropriate.</w:t>
      </w:r>
    </w:p>
    <w:p w:rsidR="00E70407" w:rsidRPr="00E70407" w:rsidRDefault="00E70407" w:rsidP="00E70407">
      <w:pPr>
        <w:numPr>
          <w:ilvl w:val="2"/>
          <w:numId w:val="348"/>
        </w:numPr>
        <w:rPr>
          <w:rFonts w:ascii="Times New Roman" w:eastAsia="Times New Roman" w:hAnsi="Times New Roman"/>
          <w:sz w:val="17"/>
          <w:szCs w:val="17"/>
        </w:rPr>
      </w:pPr>
      <w:r w:rsidRPr="00E70407">
        <w:rPr>
          <w:rFonts w:ascii="Times New Roman" w:eastAsia="Times New Roman" w:hAnsi="Times New Roman"/>
          <w:sz w:val="17"/>
          <w:szCs w:val="17"/>
        </w:rPr>
        <w:t xml:space="preserve">Apprenticeships and traineeships are established by the Commission to link Australian Quality Framework (AQF) approved primary qualifications to trades and declared vocations. Part 4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xml:space="preserve"> confers regulatory requirements for the establishment of apprenticeships and traineeships on the Commission. Under Section 45(2), the Commission may, by notice in the Gazette:</w:t>
      </w:r>
    </w:p>
    <w:p w:rsidR="00E70407" w:rsidRPr="00E70407" w:rsidRDefault="00E70407" w:rsidP="00E70407">
      <w:pPr>
        <w:numPr>
          <w:ilvl w:val="0"/>
          <w:numId w:val="228"/>
        </w:numPr>
        <w:ind w:left="1080"/>
        <w:rPr>
          <w:rFonts w:ascii="Times New Roman" w:eastAsia="Times New Roman" w:hAnsi="Times New Roman"/>
          <w:sz w:val="17"/>
          <w:szCs w:val="17"/>
        </w:rPr>
      </w:pPr>
      <w:r w:rsidRPr="00E70407">
        <w:rPr>
          <w:rFonts w:ascii="Times New Roman" w:eastAsia="Times New Roman" w:hAnsi="Times New Roman"/>
          <w:sz w:val="17"/>
          <w:szCs w:val="17"/>
        </w:rPr>
        <w:t>determine a standard form contract for the purposes of this part</w:t>
      </w:r>
    </w:p>
    <w:p w:rsidR="00E70407" w:rsidRPr="00E70407" w:rsidRDefault="00E70407" w:rsidP="00E70407">
      <w:pPr>
        <w:numPr>
          <w:ilvl w:val="0"/>
          <w:numId w:val="228"/>
        </w:numPr>
        <w:ind w:left="1080"/>
        <w:rPr>
          <w:rFonts w:ascii="Times New Roman" w:eastAsia="Times New Roman" w:hAnsi="Times New Roman"/>
          <w:sz w:val="17"/>
          <w:szCs w:val="17"/>
        </w:rPr>
      </w:pPr>
      <w:r w:rsidRPr="00E70407">
        <w:rPr>
          <w:rFonts w:ascii="Times New Roman" w:eastAsia="Times New Roman" w:hAnsi="Times New Roman"/>
          <w:sz w:val="17"/>
          <w:szCs w:val="17"/>
        </w:rPr>
        <w:t>determine a probationary period for a Training Contract for a specified trade or declared vocation</w:t>
      </w:r>
    </w:p>
    <w:p w:rsidR="00E70407" w:rsidRPr="00E70407" w:rsidRDefault="00E70407" w:rsidP="00E70407">
      <w:pPr>
        <w:numPr>
          <w:ilvl w:val="0"/>
          <w:numId w:val="228"/>
        </w:numPr>
        <w:ind w:left="1080"/>
        <w:rPr>
          <w:rFonts w:ascii="Times New Roman" w:eastAsia="Times New Roman" w:hAnsi="Times New Roman"/>
          <w:sz w:val="17"/>
          <w:szCs w:val="17"/>
        </w:rPr>
      </w:pPr>
      <w:r w:rsidRPr="00E70407">
        <w:rPr>
          <w:rFonts w:ascii="Times New Roman" w:eastAsia="Times New Roman" w:hAnsi="Times New Roman"/>
          <w:sz w:val="17"/>
          <w:szCs w:val="17"/>
        </w:rPr>
        <w:t>determine standard conditions for a Training Contract for a specified trade or declared vocation including:</w:t>
      </w:r>
    </w:p>
    <w:p w:rsidR="00E70407" w:rsidRPr="00E70407" w:rsidRDefault="00E70407" w:rsidP="00E70407">
      <w:pPr>
        <w:numPr>
          <w:ilvl w:val="1"/>
          <w:numId w:val="397"/>
        </w:numPr>
        <w:ind w:left="1800"/>
        <w:rPr>
          <w:rFonts w:ascii="Times New Roman" w:eastAsia="Times New Roman" w:hAnsi="Times New Roman"/>
          <w:sz w:val="17"/>
          <w:szCs w:val="17"/>
        </w:rPr>
      </w:pPr>
      <w:r w:rsidRPr="00E70407">
        <w:rPr>
          <w:rFonts w:ascii="Times New Roman" w:eastAsia="Times New Roman" w:hAnsi="Times New Roman"/>
          <w:sz w:val="17"/>
          <w:szCs w:val="17"/>
        </w:rPr>
        <w:t>the term of the contract</w:t>
      </w:r>
    </w:p>
    <w:p w:rsidR="00E70407" w:rsidRPr="00E70407" w:rsidRDefault="00E70407" w:rsidP="00E70407">
      <w:pPr>
        <w:numPr>
          <w:ilvl w:val="1"/>
          <w:numId w:val="397"/>
        </w:numPr>
        <w:ind w:left="1800"/>
        <w:rPr>
          <w:rFonts w:ascii="Times New Roman" w:eastAsia="Times New Roman" w:hAnsi="Times New Roman"/>
          <w:sz w:val="17"/>
          <w:szCs w:val="17"/>
        </w:rPr>
      </w:pPr>
      <w:r w:rsidRPr="00E70407">
        <w:rPr>
          <w:rFonts w:ascii="Times New Roman" w:eastAsia="Times New Roman" w:hAnsi="Times New Roman"/>
          <w:sz w:val="17"/>
          <w:szCs w:val="17"/>
        </w:rPr>
        <w:t>the qualifications available for a person in the trade or declared vocation</w:t>
      </w:r>
    </w:p>
    <w:p w:rsidR="00E70407" w:rsidRPr="00E70407" w:rsidRDefault="00E70407" w:rsidP="00E70407">
      <w:pPr>
        <w:numPr>
          <w:ilvl w:val="1"/>
          <w:numId w:val="397"/>
        </w:numPr>
        <w:ind w:left="1800"/>
        <w:rPr>
          <w:rFonts w:ascii="Times New Roman" w:eastAsia="Times New Roman" w:hAnsi="Times New Roman"/>
          <w:sz w:val="17"/>
          <w:szCs w:val="17"/>
        </w:rPr>
      </w:pPr>
      <w:r w:rsidRPr="00E70407">
        <w:rPr>
          <w:rFonts w:ascii="Times New Roman" w:eastAsia="Times New Roman" w:hAnsi="Times New Roman"/>
          <w:sz w:val="17"/>
          <w:szCs w:val="17"/>
        </w:rPr>
        <w:lastRenderedPageBreak/>
        <w:t>any other condition considered necessary by the Commission.</w:t>
      </w:r>
    </w:p>
    <w:p w:rsidR="00E70407" w:rsidRPr="00E70407" w:rsidRDefault="00E70407" w:rsidP="00E70407">
      <w:pPr>
        <w:numPr>
          <w:ilvl w:val="2"/>
          <w:numId w:val="348"/>
        </w:numPr>
        <w:rPr>
          <w:rFonts w:ascii="Times New Roman" w:eastAsia="Times New Roman" w:hAnsi="Times New Roman"/>
          <w:sz w:val="17"/>
          <w:szCs w:val="17"/>
        </w:rPr>
      </w:pPr>
      <w:r w:rsidRPr="00E70407">
        <w:rPr>
          <w:rFonts w:ascii="Times New Roman" w:eastAsia="Times New Roman" w:hAnsi="Times New Roman"/>
          <w:sz w:val="17"/>
          <w:szCs w:val="17"/>
        </w:rPr>
        <w:t>Under Section 45(3), the Commission may, by further notice in the Gazette, vary or revoke a notice under Section 45(2).</w:t>
      </w:r>
    </w:p>
    <w:p w:rsidR="00E70407" w:rsidRPr="00E70407" w:rsidRDefault="00E70407" w:rsidP="00E70407">
      <w:pPr>
        <w:numPr>
          <w:ilvl w:val="2"/>
          <w:numId w:val="348"/>
        </w:numPr>
        <w:rPr>
          <w:rFonts w:ascii="Times New Roman" w:eastAsia="Times New Roman" w:hAnsi="Times New Roman"/>
          <w:sz w:val="17"/>
          <w:szCs w:val="17"/>
        </w:rPr>
      </w:pPr>
      <w:r w:rsidRPr="00E70407">
        <w:rPr>
          <w:rFonts w:ascii="Times New Roman" w:eastAsia="Times New Roman" w:hAnsi="Times New Roman"/>
          <w:sz w:val="17"/>
          <w:szCs w:val="17"/>
        </w:rPr>
        <w:t xml:space="preserve">Under Section 45A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sz w:val="17"/>
          <w:szCs w:val="17"/>
        </w:rPr>
        <w:t>Act</w:t>
      </w:r>
      <w:r w:rsidRPr="00E70407">
        <w:rPr>
          <w:rFonts w:ascii="Times New Roman" w:eastAsia="Times New Roman" w:hAnsi="Times New Roman"/>
          <w:sz w:val="17"/>
          <w:szCs w:val="17"/>
        </w:rPr>
        <w:t>, training in a trade must occur under a Training Contract, except in the further training or re-training of a person who has:</w:t>
      </w:r>
    </w:p>
    <w:p w:rsidR="00E70407" w:rsidRPr="00E70407" w:rsidRDefault="00E70407" w:rsidP="00E70407">
      <w:pPr>
        <w:numPr>
          <w:ilvl w:val="0"/>
          <w:numId w:val="227"/>
        </w:numPr>
        <w:rPr>
          <w:rFonts w:ascii="Times New Roman" w:eastAsia="Times New Roman" w:hAnsi="Times New Roman"/>
          <w:sz w:val="17"/>
          <w:szCs w:val="17"/>
        </w:rPr>
      </w:pPr>
      <w:r w:rsidRPr="00E70407">
        <w:rPr>
          <w:rFonts w:ascii="Times New Roman" w:eastAsia="Times New Roman" w:hAnsi="Times New Roman"/>
          <w:sz w:val="17"/>
          <w:szCs w:val="17"/>
        </w:rPr>
        <w:t>already completed the training required under a Training Contract; or</w:t>
      </w:r>
    </w:p>
    <w:p w:rsidR="00E70407" w:rsidRPr="00E70407" w:rsidRDefault="00E70407" w:rsidP="00E70407">
      <w:pPr>
        <w:numPr>
          <w:ilvl w:val="0"/>
          <w:numId w:val="227"/>
        </w:numPr>
        <w:rPr>
          <w:rFonts w:ascii="Times New Roman" w:eastAsia="Times New Roman" w:hAnsi="Times New Roman"/>
          <w:sz w:val="17"/>
          <w:szCs w:val="17"/>
        </w:rPr>
      </w:pPr>
      <w:r w:rsidRPr="00E70407">
        <w:rPr>
          <w:rFonts w:ascii="Times New Roman" w:eastAsia="Times New Roman" w:hAnsi="Times New Roman"/>
          <w:sz w:val="17"/>
          <w:szCs w:val="17"/>
        </w:rPr>
        <w:t>has an equivalent qualification; or</w:t>
      </w:r>
    </w:p>
    <w:p w:rsidR="00E70407" w:rsidRPr="00E70407" w:rsidRDefault="00E70407" w:rsidP="00E70407">
      <w:pPr>
        <w:numPr>
          <w:ilvl w:val="0"/>
          <w:numId w:val="227"/>
        </w:numPr>
        <w:rPr>
          <w:rFonts w:ascii="Times New Roman" w:eastAsia="Times New Roman" w:hAnsi="Times New Roman"/>
          <w:sz w:val="17"/>
          <w:szCs w:val="17"/>
        </w:rPr>
      </w:pPr>
      <w:r w:rsidRPr="00E70407">
        <w:rPr>
          <w:rFonts w:ascii="Times New Roman" w:eastAsia="Times New Roman" w:hAnsi="Times New Roman"/>
          <w:sz w:val="17"/>
          <w:szCs w:val="17"/>
        </w:rPr>
        <w:t>has been certified by the Commission as competent in relation to the relevant trade.</w:t>
      </w:r>
    </w:p>
    <w:p w:rsidR="00E70407" w:rsidRPr="00E70407" w:rsidRDefault="00E70407" w:rsidP="00E70407">
      <w:pPr>
        <w:numPr>
          <w:ilvl w:val="2"/>
          <w:numId w:val="348"/>
        </w:numPr>
        <w:rPr>
          <w:rFonts w:ascii="Times New Roman" w:eastAsia="Times New Roman" w:hAnsi="Times New Roman"/>
          <w:sz w:val="17"/>
          <w:szCs w:val="17"/>
        </w:rPr>
      </w:pPr>
      <w:r w:rsidRPr="00E70407">
        <w:rPr>
          <w:rFonts w:ascii="Times New Roman" w:eastAsia="Times New Roman" w:hAnsi="Times New Roman"/>
          <w:sz w:val="17"/>
          <w:szCs w:val="17"/>
        </w:rPr>
        <w:t xml:space="preserve">Under Section 45B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sz w:val="17"/>
          <w:szCs w:val="17"/>
        </w:rPr>
        <w:t>Act</w:t>
      </w:r>
      <w:r w:rsidRPr="00E70407">
        <w:rPr>
          <w:rFonts w:ascii="Times New Roman" w:eastAsia="Times New Roman" w:hAnsi="Times New Roman"/>
          <w:sz w:val="17"/>
          <w:szCs w:val="17"/>
        </w:rPr>
        <w:t>, training in a declared vocation may occur under a Training Contract.</w:t>
      </w:r>
    </w:p>
    <w:p w:rsidR="00E70407" w:rsidRPr="00E70407" w:rsidRDefault="00E70407" w:rsidP="00E70407">
      <w:pPr>
        <w:numPr>
          <w:ilvl w:val="1"/>
          <w:numId w:val="348"/>
        </w:numPr>
        <w:rPr>
          <w:rFonts w:ascii="Times New Roman" w:eastAsia="Times New Roman" w:hAnsi="Times New Roman"/>
          <w:b/>
          <w:bCs/>
          <w:sz w:val="17"/>
          <w:szCs w:val="17"/>
        </w:rPr>
      </w:pPr>
      <w:r w:rsidRPr="00E70407">
        <w:rPr>
          <w:rFonts w:ascii="Times New Roman" w:eastAsia="Times New Roman" w:hAnsi="Times New Roman"/>
          <w:b/>
          <w:bCs/>
          <w:sz w:val="17"/>
          <w:szCs w:val="17"/>
        </w:rPr>
        <w:t>Application process</w:t>
      </w:r>
    </w:p>
    <w:p w:rsidR="00E70407" w:rsidRPr="00E70407" w:rsidRDefault="00E70407" w:rsidP="00E70407">
      <w:pPr>
        <w:numPr>
          <w:ilvl w:val="2"/>
          <w:numId w:val="348"/>
        </w:numPr>
        <w:rPr>
          <w:rFonts w:ascii="Times New Roman" w:eastAsia="Times New Roman" w:hAnsi="Times New Roman"/>
          <w:sz w:val="17"/>
          <w:szCs w:val="17"/>
        </w:rPr>
      </w:pPr>
      <w:r w:rsidRPr="00E70407">
        <w:rPr>
          <w:rFonts w:ascii="Times New Roman" w:eastAsia="Times New Roman" w:hAnsi="Times New Roman"/>
          <w:sz w:val="17"/>
          <w:szCs w:val="17"/>
        </w:rPr>
        <w:t xml:space="preserve">An application to declare a trade or vocation must be in the approved form located at </w:t>
      </w:r>
      <w:bookmarkStart w:id="96" w:name="_Hlk75438128"/>
      <w:r w:rsidRPr="00E70407">
        <w:rPr>
          <w:rFonts w:ascii="Times New Roman" w:eastAsia="Times New Roman" w:hAnsi="Times New Roman"/>
          <w:sz w:val="17"/>
          <w:szCs w:val="17"/>
        </w:rPr>
        <w:fldChar w:fldCharType="begin"/>
      </w:r>
      <w:r w:rsidRPr="00E70407">
        <w:rPr>
          <w:rFonts w:ascii="Times New Roman" w:eastAsia="Times New Roman" w:hAnsi="Times New Roman"/>
          <w:sz w:val="17"/>
          <w:szCs w:val="17"/>
        </w:rPr>
        <w:instrText xml:space="preserve"> HYPERLINK "http://www.skills.sa.gov.au/business/forms" </w:instrText>
      </w:r>
      <w:r w:rsidRPr="00E70407">
        <w:rPr>
          <w:rFonts w:ascii="Times New Roman" w:eastAsia="Times New Roman" w:hAnsi="Times New Roman"/>
          <w:sz w:val="17"/>
          <w:szCs w:val="17"/>
        </w:rPr>
        <w:fldChar w:fldCharType="separate"/>
      </w:r>
      <w:r w:rsidRPr="00E70407">
        <w:rPr>
          <w:rFonts w:ascii="Times New Roman" w:eastAsia="Times New Roman" w:hAnsi="Times New Roman"/>
          <w:color w:val="0000FF"/>
          <w:sz w:val="17"/>
          <w:szCs w:val="17"/>
          <w:u w:val="single"/>
        </w:rPr>
        <w:t>www.skills.sa.gov.au/business/forms</w:t>
      </w:r>
      <w:r w:rsidRPr="00E70407">
        <w:rPr>
          <w:rFonts w:ascii="Times New Roman" w:eastAsia="Times New Roman" w:hAnsi="Times New Roman"/>
          <w:sz w:val="17"/>
          <w:szCs w:val="17"/>
        </w:rPr>
        <w:fldChar w:fldCharType="end"/>
      </w:r>
      <w:bookmarkEnd w:id="96"/>
      <w:r w:rsidRPr="00E70407">
        <w:rPr>
          <w:rFonts w:ascii="Times New Roman" w:eastAsia="Times New Roman" w:hAnsi="Times New Roman"/>
          <w:sz w:val="17"/>
          <w:szCs w:val="17"/>
        </w:rPr>
        <w:t xml:space="preserve"> and contain all the requested information. For the purposes of this Standard, the Commission has approved separate proformas to be used for applications. </w:t>
      </w:r>
    </w:p>
    <w:p w:rsidR="00E70407" w:rsidRPr="00E70407" w:rsidRDefault="00E70407" w:rsidP="00E70407">
      <w:pPr>
        <w:numPr>
          <w:ilvl w:val="2"/>
          <w:numId w:val="348"/>
        </w:numPr>
        <w:rPr>
          <w:rFonts w:ascii="Times New Roman" w:eastAsia="Times New Roman" w:hAnsi="Times New Roman"/>
          <w:sz w:val="17"/>
          <w:szCs w:val="17"/>
        </w:rPr>
      </w:pPr>
      <w:r w:rsidRPr="00E70407">
        <w:rPr>
          <w:rFonts w:ascii="Times New Roman" w:eastAsia="Times New Roman" w:hAnsi="Times New Roman"/>
          <w:sz w:val="17"/>
          <w:szCs w:val="17"/>
        </w:rPr>
        <w:t>The applicant is responsible for:</w:t>
      </w:r>
    </w:p>
    <w:p w:rsidR="00E70407" w:rsidRPr="00E70407" w:rsidRDefault="00E70407" w:rsidP="00E70407">
      <w:pPr>
        <w:numPr>
          <w:ilvl w:val="0"/>
          <w:numId w:val="226"/>
        </w:numPr>
        <w:ind w:left="1092"/>
        <w:rPr>
          <w:rFonts w:ascii="Times New Roman" w:eastAsia="Times New Roman" w:hAnsi="Times New Roman"/>
          <w:sz w:val="17"/>
          <w:szCs w:val="17"/>
        </w:rPr>
      </w:pPr>
      <w:r w:rsidRPr="00E70407">
        <w:rPr>
          <w:rFonts w:ascii="Times New Roman" w:eastAsia="Times New Roman" w:hAnsi="Times New Roman"/>
          <w:sz w:val="17"/>
          <w:szCs w:val="17"/>
        </w:rPr>
        <w:t>Developing the application for declaring a trade or vocation, including providing information on the proposed apprenticeship(s) or traineeship(s) aligned to that trade or vocation, and relevant industry support for the proposed trade or vocation</w:t>
      </w:r>
    </w:p>
    <w:p w:rsidR="00E70407" w:rsidRPr="00E70407" w:rsidRDefault="00E70407" w:rsidP="00E70407">
      <w:pPr>
        <w:numPr>
          <w:ilvl w:val="0"/>
          <w:numId w:val="226"/>
        </w:numPr>
        <w:ind w:left="1092"/>
        <w:rPr>
          <w:rFonts w:ascii="Times New Roman" w:eastAsia="Times New Roman" w:hAnsi="Times New Roman"/>
          <w:sz w:val="17"/>
          <w:szCs w:val="17"/>
        </w:rPr>
      </w:pPr>
      <w:r w:rsidRPr="00E70407">
        <w:rPr>
          <w:rFonts w:ascii="Times New Roman" w:eastAsia="Times New Roman" w:hAnsi="Times New Roman"/>
          <w:sz w:val="17"/>
          <w:szCs w:val="17"/>
        </w:rPr>
        <w:t>Nominating a contact person who can speak on the applicant’s behalf in discussions with the Commission</w:t>
      </w:r>
    </w:p>
    <w:p w:rsidR="00E70407" w:rsidRPr="00E70407" w:rsidRDefault="00E70407" w:rsidP="00E70407">
      <w:pPr>
        <w:numPr>
          <w:ilvl w:val="0"/>
          <w:numId w:val="226"/>
        </w:numPr>
        <w:ind w:left="1092"/>
        <w:rPr>
          <w:rFonts w:ascii="Times New Roman" w:eastAsia="Times New Roman" w:hAnsi="Times New Roman"/>
          <w:sz w:val="17"/>
          <w:szCs w:val="17"/>
        </w:rPr>
      </w:pPr>
      <w:r w:rsidRPr="00E70407">
        <w:rPr>
          <w:rFonts w:ascii="Times New Roman" w:eastAsia="Times New Roman" w:hAnsi="Times New Roman"/>
          <w:sz w:val="17"/>
          <w:szCs w:val="17"/>
        </w:rPr>
        <w:t>Ensuring the application is signed by the Chair, Chief Executive, or other delegate of the applicant, as approved by the Commission</w:t>
      </w:r>
    </w:p>
    <w:p w:rsidR="00E70407" w:rsidRPr="00E70407" w:rsidRDefault="00E70407" w:rsidP="00E70407">
      <w:pPr>
        <w:numPr>
          <w:ilvl w:val="0"/>
          <w:numId w:val="226"/>
        </w:numPr>
        <w:ind w:left="1092"/>
        <w:rPr>
          <w:rFonts w:ascii="Times New Roman" w:eastAsia="Times New Roman" w:hAnsi="Times New Roman"/>
          <w:sz w:val="17"/>
          <w:szCs w:val="17"/>
        </w:rPr>
      </w:pPr>
      <w:r w:rsidRPr="00E70407">
        <w:rPr>
          <w:rFonts w:ascii="Times New Roman" w:eastAsia="Times New Roman" w:hAnsi="Times New Roman"/>
          <w:sz w:val="17"/>
          <w:szCs w:val="17"/>
        </w:rPr>
        <w:t>Submitting the application to the Commission (or its delegate) for an initial assessment of the application’s completeness, accuracy and suitability. The Commission (or its delegate) may request amendments to the application to address any gaps in information or matters of concern.</w:t>
      </w:r>
    </w:p>
    <w:p w:rsidR="00E70407" w:rsidRPr="00E70407" w:rsidRDefault="00E70407" w:rsidP="00E70407">
      <w:pPr>
        <w:numPr>
          <w:ilvl w:val="0"/>
          <w:numId w:val="226"/>
        </w:numPr>
        <w:ind w:left="1092"/>
        <w:rPr>
          <w:rFonts w:ascii="Times New Roman" w:eastAsia="Times New Roman" w:hAnsi="Times New Roman"/>
          <w:sz w:val="17"/>
          <w:szCs w:val="17"/>
        </w:rPr>
      </w:pPr>
      <w:r w:rsidRPr="00E70407">
        <w:rPr>
          <w:rFonts w:ascii="Times New Roman" w:eastAsia="Times New Roman" w:hAnsi="Times New Roman"/>
          <w:sz w:val="17"/>
          <w:szCs w:val="17"/>
        </w:rPr>
        <w:t>Attending a meeting of a subcommittee of the Commission to present their proposal as outlined in the application and to discuss any concerns or questions raised. Where applicable, the relevant Industry Skills Council Chair will also be invited to attend.</w:t>
      </w:r>
    </w:p>
    <w:p w:rsidR="00E70407" w:rsidRPr="00E70407" w:rsidRDefault="00E70407" w:rsidP="00E70407">
      <w:pPr>
        <w:numPr>
          <w:ilvl w:val="0"/>
          <w:numId w:val="226"/>
        </w:numPr>
        <w:ind w:left="1092"/>
        <w:rPr>
          <w:rFonts w:ascii="Times New Roman" w:eastAsia="Times New Roman" w:hAnsi="Times New Roman"/>
          <w:sz w:val="17"/>
          <w:szCs w:val="17"/>
        </w:rPr>
      </w:pPr>
      <w:r w:rsidRPr="00E70407">
        <w:rPr>
          <w:rFonts w:ascii="Times New Roman" w:eastAsia="Times New Roman" w:hAnsi="Times New Roman"/>
          <w:sz w:val="17"/>
          <w:szCs w:val="17"/>
        </w:rPr>
        <w:t>Where required, addressing any queries or concerns raised by the subcommittee regarding the application. This may include amending and re-submitting the application, and/or attending a further meeting to discuss the amendments. The process by which an application, or responses to the subcommittee’s questions should be re-submitted, will be determined on a case-by-case basis.</w:t>
      </w:r>
    </w:p>
    <w:p w:rsidR="00E70407" w:rsidRPr="00E70407" w:rsidRDefault="00E70407" w:rsidP="00E70407">
      <w:pPr>
        <w:numPr>
          <w:ilvl w:val="2"/>
          <w:numId w:val="349"/>
        </w:numPr>
        <w:rPr>
          <w:rFonts w:ascii="Times New Roman" w:eastAsia="Times New Roman" w:hAnsi="Times New Roman"/>
          <w:sz w:val="17"/>
          <w:szCs w:val="17"/>
        </w:rPr>
      </w:pPr>
      <w:r w:rsidRPr="00E70407">
        <w:rPr>
          <w:rFonts w:ascii="Times New Roman" w:eastAsia="Times New Roman" w:hAnsi="Times New Roman"/>
          <w:sz w:val="17"/>
          <w:szCs w:val="17"/>
        </w:rPr>
        <w:t>Upon receipt of all requested information, the subcommittee of the Commission will recommend whether to approve the application or not. The Commission will make the final determination.</w:t>
      </w:r>
    </w:p>
    <w:p w:rsidR="00E70407" w:rsidRPr="00E70407" w:rsidRDefault="00E70407" w:rsidP="00E70407">
      <w:pPr>
        <w:numPr>
          <w:ilvl w:val="2"/>
          <w:numId w:val="349"/>
        </w:numPr>
        <w:rPr>
          <w:rFonts w:ascii="Times New Roman" w:eastAsia="Times New Roman" w:hAnsi="Times New Roman"/>
          <w:sz w:val="17"/>
          <w:szCs w:val="17"/>
        </w:rPr>
      </w:pPr>
      <w:r w:rsidRPr="00E70407">
        <w:rPr>
          <w:rFonts w:ascii="Times New Roman" w:eastAsia="Times New Roman" w:hAnsi="Times New Roman"/>
          <w:sz w:val="17"/>
          <w:szCs w:val="17"/>
        </w:rPr>
        <w:t>In addition to applicant-driven applications, the Commission may of its own volition elect to declare occupations as trades or declared vocations.</w:t>
      </w:r>
    </w:p>
    <w:p w:rsidR="00E70407" w:rsidRPr="00E70407" w:rsidRDefault="00E70407" w:rsidP="00E70407">
      <w:pPr>
        <w:numPr>
          <w:ilvl w:val="1"/>
          <w:numId w:val="349"/>
        </w:numPr>
        <w:rPr>
          <w:rFonts w:ascii="Times New Roman" w:eastAsia="Times New Roman" w:hAnsi="Times New Roman"/>
          <w:b/>
          <w:bCs/>
          <w:sz w:val="17"/>
          <w:szCs w:val="17"/>
        </w:rPr>
      </w:pPr>
      <w:r w:rsidRPr="00E70407">
        <w:rPr>
          <w:rFonts w:ascii="Times New Roman" w:eastAsia="Times New Roman" w:hAnsi="Times New Roman"/>
          <w:b/>
          <w:bCs/>
          <w:sz w:val="17"/>
          <w:szCs w:val="17"/>
        </w:rPr>
        <w:t>Information required</w:t>
      </w:r>
    </w:p>
    <w:p w:rsidR="00E70407" w:rsidRPr="00E70407" w:rsidRDefault="00E70407" w:rsidP="00E70407">
      <w:pPr>
        <w:numPr>
          <w:ilvl w:val="2"/>
          <w:numId w:val="350"/>
        </w:numPr>
        <w:rPr>
          <w:rFonts w:ascii="Times New Roman" w:eastAsia="Times New Roman" w:hAnsi="Times New Roman"/>
          <w:sz w:val="17"/>
          <w:szCs w:val="17"/>
        </w:rPr>
      </w:pPr>
      <w:r w:rsidRPr="00E70407">
        <w:rPr>
          <w:rFonts w:ascii="Times New Roman" w:eastAsia="Times New Roman" w:hAnsi="Times New Roman"/>
          <w:sz w:val="17"/>
          <w:szCs w:val="17"/>
        </w:rPr>
        <w:t>In the application, the applicant must include the proposed:</w:t>
      </w:r>
    </w:p>
    <w:p w:rsidR="00E70407" w:rsidRPr="00E70407" w:rsidRDefault="00E70407" w:rsidP="00E70407">
      <w:pPr>
        <w:numPr>
          <w:ilvl w:val="0"/>
          <w:numId w:val="232"/>
        </w:numPr>
        <w:rPr>
          <w:rFonts w:ascii="Times New Roman" w:eastAsia="Times New Roman" w:hAnsi="Times New Roman"/>
          <w:sz w:val="17"/>
          <w:szCs w:val="17"/>
        </w:rPr>
      </w:pPr>
      <w:r w:rsidRPr="00E70407">
        <w:rPr>
          <w:rFonts w:ascii="Times New Roman" w:eastAsia="Times New Roman" w:hAnsi="Times New Roman"/>
          <w:sz w:val="17"/>
          <w:szCs w:val="17"/>
        </w:rPr>
        <w:t>Occupational title of the trade or declared vocation</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The applicant should use occupational titles listed on the Australian Apprenticeships Training Information Services (AATIS). For pre-apprenticeships and pre-traineeships, the term ‘pre-apprenticeship’ or ‘pre-traineeship’ may be appended to an existing occupational title, or a unique occupational title may be used. If the occupational title is not listed by AATIS or is not considered appropriate, a case will need to be made in the application for a new occupational title.</w:t>
      </w:r>
    </w:p>
    <w:p w:rsidR="00E70407" w:rsidRPr="00E70407" w:rsidRDefault="00E70407" w:rsidP="00E70407">
      <w:pPr>
        <w:numPr>
          <w:ilvl w:val="0"/>
          <w:numId w:val="232"/>
        </w:numPr>
        <w:rPr>
          <w:rFonts w:ascii="Times New Roman" w:eastAsia="Times New Roman" w:hAnsi="Times New Roman"/>
          <w:sz w:val="17"/>
          <w:szCs w:val="17"/>
        </w:rPr>
      </w:pPr>
      <w:r w:rsidRPr="00E70407">
        <w:rPr>
          <w:rFonts w:ascii="Times New Roman" w:eastAsia="Times New Roman" w:hAnsi="Times New Roman"/>
          <w:sz w:val="17"/>
          <w:szCs w:val="17"/>
        </w:rPr>
        <w:t>Trade or declared vocation status</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 xml:space="preserve">In determining the proposed status, the applicant should be aware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xml:space="preserve"> prohibits employers from training a person in a trade except under a Training Contract, and that many industrial instruments prohibit the employment of juniors in declared trades other than through an apprenticeship. Pre-apprenticeships and pre-traineeships are declared vocations.</w:t>
      </w:r>
    </w:p>
    <w:p w:rsidR="00E70407" w:rsidRPr="00E70407" w:rsidRDefault="00E70407" w:rsidP="00E70407">
      <w:pPr>
        <w:numPr>
          <w:ilvl w:val="0"/>
          <w:numId w:val="232"/>
        </w:numPr>
        <w:rPr>
          <w:rFonts w:ascii="Times New Roman" w:eastAsia="Times New Roman" w:hAnsi="Times New Roman"/>
          <w:sz w:val="17"/>
          <w:szCs w:val="17"/>
        </w:rPr>
      </w:pPr>
      <w:r w:rsidRPr="00E70407">
        <w:rPr>
          <w:rFonts w:ascii="Times New Roman" w:eastAsia="Times New Roman" w:hAnsi="Times New Roman"/>
          <w:sz w:val="17"/>
          <w:szCs w:val="17"/>
        </w:rPr>
        <w:t>Job or occupation, or class of job or occupation, to which the trade or vocation relates</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In most instances, the job or trade title will be the same as the proposed occupational title. However, where the occupational title is broad (for example, Horticulture), the application should list the job or occupation, or class of job or occupation, to which the trade or vocation relates, to demonstrate the connection to an employment outcome.</w:t>
      </w:r>
    </w:p>
    <w:p w:rsidR="00E70407" w:rsidRPr="00E70407" w:rsidRDefault="00E70407" w:rsidP="00E70407">
      <w:pPr>
        <w:numPr>
          <w:ilvl w:val="0"/>
          <w:numId w:val="232"/>
        </w:numPr>
        <w:rPr>
          <w:rFonts w:ascii="Times New Roman" w:eastAsia="Times New Roman" w:hAnsi="Times New Roman"/>
          <w:sz w:val="17"/>
          <w:szCs w:val="17"/>
        </w:rPr>
      </w:pPr>
      <w:r w:rsidRPr="00E70407">
        <w:rPr>
          <w:rFonts w:ascii="Times New Roman" w:eastAsia="Times New Roman" w:hAnsi="Times New Roman"/>
          <w:sz w:val="17"/>
          <w:szCs w:val="17"/>
        </w:rPr>
        <w:t>Training</w:t>
      </w:r>
    </w:p>
    <w:p w:rsidR="00E70407" w:rsidRPr="00E70407" w:rsidRDefault="00E70407" w:rsidP="00E70407">
      <w:pPr>
        <w:numPr>
          <w:ilvl w:val="0"/>
          <w:numId w:val="341"/>
        </w:numPr>
        <w:spacing w:after="0"/>
        <w:ind w:left="1560"/>
        <w:rPr>
          <w:rFonts w:ascii="Times New Roman" w:eastAsia="Times New Roman" w:hAnsi="Times New Roman"/>
          <w:sz w:val="17"/>
          <w:szCs w:val="17"/>
        </w:rPr>
      </w:pPr>
      <w:r w:rsidRPr="00E70407">
        <w:rPr>
          <w:rFonts w:ascii="Times New Roman" w:eastAsia="Times New Roman" w:hAnsi="Times New Roman"/>
          <w:sz w:val="17"/>
          <w:szCs w:val="17"/>
        </w:rPr>
        <w:t xml:space="preserve">The application must demonstrate the alignment between the proposed trade or vocation and the associated AQF aligned qualification. </w:t>
      </w:r>
    </w:p>
    <w:p w:rsidR="00E70407" w:rsidRPr="00E70407" w:rsidRDefault="00E70407" w:rsidP="00E70407">
      <w:pPr>
        <w:numPr>
          <w:ilvl w:val="0"/>
          <w:numId w:val="341"/>
        </w:numPr>
        <w:ind w:left="1560"/>
        <w:rPr>
          <w:rFonts w:ascii="Times New Roman" w:eastAsia="Times New Roman" w:hAnsi="Times New Roman"/>
          <w:sz w:val="17"/>
          <w:szCs w:val="17"/>
        </w:rPr>
      </w:pPr>
      <w:r w:rsidRPr="00E70407">
        <w:rPr>
          <w:rFonts w:ascii="Times New Roman" w:eastAsia="Times New Roman" w:hAnsi="Times New Roman"/>
          <w:sz w:val="17"/>
          <w:szCs w:val="17"/>
        </w:rPr>
        <w:t>The qualification must be either:</w:t>
      </w:r>
    </w:p>
    <w:p w:rsidR="00E70407" w:rsidRPr="00E70407" w:rsidRDefault="00E70407" w:rsidP="00E70407">
      <w:pPr>
        <w:numPr>
          <w:ilvl w:val="0"/>
          <w:numId w:val="411"/>
        </w:numPr>
        <w:spacing w:after="0"/>
        <w:rPr>
          <w:rFonts w:ascii="Times New Roman" w:eastAsia="Times New Roman" w:hAnsi="Times New Roman"/>
          <w:sz w:val="17"/>
          <w:szCs w:val="17"/>
        </w:rPr>
      </w:pPr>
      <w:r w:rsidRPr="00E70407">
        <w:rPr>
          <w:rFonts w:ascii="Times New Roman" w:eastAsia="Times New Roman" w:hAnsi="Times New Roman"/>
          <w:sz w:val="17"/>
          <w:szCs w:val="17"/>
        </w:rPr>
        <w:t>a nationally recognised Vocational Education Training (VET) qualification approved by the Australian Skills Quality Authority (ASQA) and taken from a training package or existing accredited course</w:t>
      </w:r>
    </w:p>
    <w:p w:rsidR="00E70407" w:rsidRPr="00E70407" w:rsidRDefault="00E70407" w:rsidP="00E70407">
      <w:pPr>
        <w:numPr>
          <w:ilvl w:val="0"/>
          <w:numId w:val="411"/>
        </w:numPr>
        <w:rPr>
          <w:rFonts w:ascii="Times New Roman" w:eastAsia="Times New Roman" w:hAnsi="Times New Roman"/>
          <w:sz w:val="17"/>
          <w:szCs w:val="17"/>
        </w:rPr>
      </w:pPr>
      <w:r w:rsidRPr="00E70407">
        <w:rPr>
          <w:rFonts w:ascii="Times New Roman" w:eastAsia="Times New Roman" w:hAnsi="Times New Roman"/>
          <w:sz w:val="17"/>
          <w:szCs w:val="17"/>
        </w:rPr>
        <w:t>a higher education qualification approved by the Tertiary Education Quality and Standards Agency (TEQSA).</w:t>
      </w:r>
    </w:p>
    <w:p w:rsidR="00E70407" w:rsidRPr="00E70407" w:rsidRDefault="00E70407" w:rsidP="00E70407">
      <w:pPr>
        <w:numPr>
          <w:ilvl w:val="0"/>
          <w:numId w:val="341"/>
        </w:numPr>
        <w:ind w:left="1560"/>
        <w:rPr>
          <w:rFonts w:ascii="Times New Roman" w:eastAsia="Times New Roman" w:hAnsi="Times New Roman"/>
          <w:sz w:val="17"/>
          <w:szCs w:val="17"/>
        </w:rPr>
      </w:pPr>
      <w:r w:rsidRPr="00E70407">
        <w:rPr>
          <w:rFonts w:ascii="Times New Roman" w:eastAsia="Times New Roman" w:hAnsi="Times New Roman"/>
          <w:sz w:val="17"/>
          <w:szCs w:val="17"/>
        </w:rPr>
        <w:t xml:space="preserve">Applicants can check available training package qualifications and VET accredited courses through the National Register of VET. </w:t>
      </w:r>
    </w:p>
    <w:p w:rsidR="00E70407" w:rsidRPr="00E70407" w:rsidRDefault="00E70407" w:rsidP="00E70407">
      <w:pPr>
        <w:numPr>
          <w:ilvl w:val="0"/>
          <w:numId w:val="232"/>
        </w:numPr>
        <w:rPr>
          <w:rFonts w:ascii="Times New Roman" w:eastAsia="Times New Roman" w:hAnsi="Times New Roman"/>
          <w:sz w:val="17"/>
          <w:szCs w:val="17"/>
        </w:rPr>
      </w:pPr>
      <w:r w:rsidRPr="00E70407">
        <w:rPr>
          <w:rFonts w:ascii="Times New Roman" w:eastAsia="Times New Roman" w:hAnsi="Times New Roman"/>
          <w:sz w:val="17"/>
          <w:szCs w:val="17"/>
        </w:rPr>
        <w:t>Industrial Arrangements</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The application should include the relevant awards or other industrial arrangements, including enterprise level agreements.</w:t>
      </w:r>
    </w:p>
    <w:p w:rsidR="00E70407" w:rsidRPr="00E70407" w:rsidRDefault="00E70407" w:rsidP="00E70407">
      <w:pPr>
        <w:numPr>
          <w:ilvl w:val="0"/>
          <w:numId w:val="232"/>
        </w:numPr>
        <w:rPr>
          <w:rFonts w:ascii="Times New Roman" w:eastAsia="Times New Roman" w:hAnsi="Times New Roman"/>
          <w:sz w:val="17"/>
          <w:szCs w:val="17"/>
        </w:rPr>
      </w:pPr>
      <w:r w:rsidRPr="00E70407">
        <w:rPr>
          <w:rFonts w:ascii="Times New Roman" w:eastAsia="Times New Roman" w:hAnsi="Times New Roman"/>
          <w:sz w:val="17"/>
          <w:szCs w:val="17"/>
        </w:rPr>
        <w:t>Nominal term of a Training Contract</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The nominal term of a Training Contract will dictate the standard probationary period. For more information, applicants are referred to Standard 8, Training Contract Conditions.</w:t>
      </w:r>
    </w:p>
    <w:p w:rsidR="00E70407" w:rsidRPr="00E70407" w:rsidRDefault="00E70407" w:rsidP="00E70407">
      <w:pPr>
        <w:numPr>
          <w:ilvl w:val="0"/>
          <w:numId w:val="232"/>
        </w:numPr>
        <w:rPr>
          <w:rFonts w:ascii="Times New Roman" w:eastAsia="Times New Roman" w:hAnsi="Times New Roman"/>
          <w:sz w:val="17"/>
          <w:szCs w:val="17"/>
        </w:rPr>
      </w:pPr>
      <w:r w:rsidRPr="00E70407">
        <w:rPr>
          <w:rFonts w:ascii="Times New Roman" w:eastAsia="Times New Roman" w:hAnsi="Times New Roman"/>
          <w:sz w:val="17"/>
          <w:szCs w:val="17"/>
        </w:rPr>
        <w:t>Probationary period for a Training Contract</w:t>
      </w:r>
    </w:p>
    <w:p w:rsidR="003C1800" w:rsidRDefault="00E70407" w:rsidP="003C1800">
      <w:pPr>
        <w:ind w:left="1080"/>
        <w:rPr>
          <w:rFonts w:ascii="Times New Roman" w:eastAsia="Times New Roman" w:hAnsi="Times New Roman"/>
          <w:sz w:val="17"/>
          <w:szCs w:val="17"/>
        </w:rPr>
      </w:pPr>
      <w:r w:rsidRPr="00E70407">
        <w:rPr>
          <w:rFonts w:ascii="Times New Roman" w:eastAsia="Times New Roman" w:hAnsi="Times New Roman"/>
          <w:sz w:val="17"/>
          <w:szCs w:val="17"/>
        </w:rPr>
        <w:lastRenderedPageBreak/>
        <w:t>Standard probationary periods are 60 and 90 days, depending on the nominal term of the Training Contract. For more information, applicants are referred to Standard 8, Training Contract Conditions. If the applicant is seeking a non-standard probationary period, a case will need to be made in the application.</w:t>
      </w:r>
      <w:r w:rsidR="003C1800">
        <w:rPr>
          <w:rFonts w:ascii="Times New Roman" w:eastAsia="Times New Roman" w:hAnsi="Times New Roman"/>
          <w:sz w:val="17"/>
          <w:szCs w:val="17"/>
        </w:rPr>
        <w:br w:type="page"/>
      </w:r>
    </w:p>
    <w:p w:rsidR="00E70407" w:rsidRPr="00E70407" w:rsidRDefault="00E70407" w:rsidP="00E70407">
      <w:pPr>
        <w:numPr>
          <w:ilvl w:val="0"/>
          <w:numId w:val="232"/>
        </w:numPr>
        <w:rPr>
          <w:rFonts w:ascii="Times New Roman" w:eastAsia="Times New Roman" w:hAnsi="Times New Roman"/>
          <w:sz w:val="17"/>
          <w:szCs w:val="17"/>
        </w:rPr>
      </w:pPr>
      <w:r w:rsidRPr="00E70407">
        <w:rPr>
          <w:rFonts w:ascii="Times New Roman" w:eastAsia="Times New Roman" w:hAnsi="Times New Roman"/>
          <w:sz w:val="17"/>
          <w:szCs w:val="17"/>
        </w:rPr>
        <w:lastRenderedPageBreak/>
        <w:t>Level of supervision</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The level of supervision may be Low, Medium, or High. The proposed level must comply with Standard 5, Supervision.</w:t>
      </w:r>
    </w:p>
    <w:p w:rsidR="00E70407" w:rsidRPr="00E70407" w:rsidRDefault="00E70407" w:rsidP="00E70407">
      <w:pPr>
        <w:numPr>
          <w:ilvl w:val="0"/>
          <w:numId w:val="232"/>
        </w:numPr>
        <w:rPr>
          <w:rFonts w:ascii="Times New Roman" w:eastAsia="Times New Roman" w:hAnsi="Times New Roman"/>
          <w:sz w:val="17"/>
          <w:szCs w:val="17"/>
        </w:rPr>
      </w:pPr>
      <w:r w:rsidRPr="00E70407">
        <w:rPr>
          <w:rFonts w:ascii="Times New Roman" w:eastAsia="Times New Roman" w:hAnsi="Times New Roman"/>
          <w:sz w:val="17"/>
          <w:szCs w:val="17"/>
        </w:rPr>
        <w:t>Supervisor requirements</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The application should list the qualifications, experience, and/or licensing required of a person supervising an apprentice or trainee in the trade or vocation.</w:t>
      </w:r>
    </w:p>
    <w:p w:rsidR="00E70407" w:rsidRPr="00E70407" w:rsidRDefault="00E70407" w:rsidP="00E70407">
      <w:pPr>
        <w:numPr>
          <w:ilvl w:val="0"/>
          <w:numId w:val="232"/>
        </w:numPr>
        <w:rPr>
          <w:rFonts w:ascii="Times New Roman" w:eastAsia="Times New Roman" w:hAnsi="Times New Roman"/>
          <w:sz w:val="17"/>
          <w:szCs w:val="17"/>
        </w:rPr>
      </w:pPr>
      <w:r w:rsidRPr="00E70407">
        <w:rPr>
          <w:rFonts w:ascii="Times New Roman" w:eastAsia="Times New Roman" w:hAnsi="Times New Roman"/>
          <w:sz w:val="17"/>
          <w:szCs w:val="17"/>
        </w:rPr>
        <w:t>Entry Requirements</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Entry requirements may include minimum levels of training or experience, certification or licensing requirements, or a combination of these requirements.</w:t>
      </w:r>
    </w:p>
    <w:p w:rsidR="00E70407" w:rsidRPr="00E70407" w:rsidRDefault="00E70407" w:rsidP="00E70407">
      <w:pPr>
        <w:numPr>
          <w:ilvl w:val="0"/>
          <w:numId w:val="232"/>
        </w:numPr>
        <w:rPr>
          <w:rFonts w:ascii="Times New Roman" w:eastAsia="Times New Roman" w:hAnsi="Times New Roman"/>
          <w:sz w:val="17"/>
          <w:szCs w:val="17"/>
        </w:rPr>
      </w:pPr>
      <w:r w:rsidRPr="00E70407">
        <w:rPr>
          <w:rFonts w:ascii="Times New Roman" w:eastAsia="Times New Roman" w:hAnsi="Times New Roman"/>
          <w:sz w:val="17"/>
          <w:szCs w:val="17"/>
        </w:rPr>
        <w:t>Conditions</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In addition to any other relevant conditions, the application should indicate whether the proposed trade or vocation is suitable for school-based Training Contracts, people below a certain age, and new and existing workers.</w:t>
      </w:r>
    </w:p>
    <w:p w:rsidR="00E70407" w:rsidRPr="00E70407" w:rsidRDefault="00E70407" w:rsidP="00E70407">
      <w:pPr>
        <w:numPr>
          <w:ilvl w:val="0"/>
          <w:numId w:val="232"/>
        </w:numPr>
        <w:rPr>
          <w:rFonts w:ascii="Times New Roman" w:eastAsia="Times New Roman" w:hAnsi="Times New Roman"/>
          <w:sz w:val="17"/>
          <w:szCs w:val="17"/>
        </w:rPr>
      </w:pPr>
      <w:r w:rsidRPr="00E70407">
        <w:rPr>
          <w:rFonts w:ascii="Times New Roman" w:eastAsia="Times New Roman" w:hAnsi="Times New Roman"/>
          <w:sz w:val="17"/>
          <w:szCs w:val="17"/>
        </w:rPr>
        <w:t>Identified pathways</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The application should identify any relevant pathways to the trade or vocation, or, in the case of pre-apprenticeships or pre-traineeships, the trade or vocation to which the proposal is a pathway.</w:t>
      </w:r>
    </w:p>
    <w:p w:rsidR="00E70407" w:rsidRPr="00E70407" w:rsidRDefault="00E70407" w:rsidP="00E70407">
      <w:pPr>
        <w:numPr>
          <w:ilvl w:val="0"/>
          <w:numId w:val="232"/>
        </w:numPr>
        <w:rPr>
          <w:rFonts w:ascii="Times New Roman" w:eastAsia="Times New Roman" w:hAnsi="Times New Roman"/>
          <w:sz w:val="17"/>
          <w:szCs w:val="17"/>
        </w:rPr>
      </w:pPr>
      <w:r w:rsidRPr="00E70407">
        <w:rPr>
          <w:rFonts w:ascii="Times New Roman" w:eastAsia="Times New Roman" w:hAnsi="Times New Roman"/>
          <w:sz w:val="17"/>
          <w:szCs w:val="17"/>
        </w:rPr>
        <w:t>Maintenance</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Where a primary qualification is accompanied by non-accredited training, the application should indicate how the applicant will maintain the currency of the training and acknowledge the applicant will participate in any future review of the trade or declared vocation by the Commission.</w:t>
      </w:r>
    </w:p>
    <w:p w:rsidR="00E70407" w:rsidRPr="00E70407" w:rsidRDefault="00E70407" w:rsidP="00E70407">
      <w:pPr>
        <w:numPr>
          <w:ilvl w:val="2"/>
          <w:numId w:val="350"/>
        </w:numPr>
        <w:rPr>
          <w:rFonts w:ascii="Times New Roman" w:eastAsia="Times New Roman" w:hAnsi="Times New Roman"/>
          <w:sz w:val="17"/>
          <w:szCs w:val="17"/>
        </w:rPr>
      </w:pPr>
      <w:r w:rsidRPr="00E70407">
        <w:rPr>
          <w:rFonts w:ascii="Times New Roman" w:eastAsia="Times New Roman" w:hAnsi="Times New Roman"/>
          <w:sz w:val="17"/>
          <w:szCs w:val="17"/>
        </w:rPr>
        <w:t>In addition to the information required in Clause 1.3.1, applications for higher education qualification-aligned trades and vocations must include information on:</w:t>
      </w:r>
    </w:p>
    <w:p w:rsidR="00E70407" w:rsidRPr="00E70407" w:rsidRDefault="00E70407" w:rsidP="00E70407">
      <w:pPr>
        <w:numPr>
          <w:ilvl w:val="0"/>
          <w:numId w:val="409"/>
        </w:numPr>
        <w:rPr>
          <w:rFonts w:ascii="Times New Roman" w:eastAsia="Times New Roman" w:hAnsi="Times New Roman"/>
          <w:sz w:val="17"/>
          <w:szCs w:val="17"/>
        </w:rPr>
      </w:pPr>
      <w:r w:rsidRPr="00E70407">
        <w:rPr>
          <w:rFonts w:ascii="Times New Roman" w:eastAsia="Times New Roman" w:hAnsi="Times New Roman"/>
          <w:sz w:val="17"/>
          <w:szCs w:val="17"/>
        </w:rPr>
        <w:t>Student tuition fees and wages</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The applicant must provide the proposed arrangements regarding the payment of student tuition fees (HECS-HELP; FEE-HELP; tuition fees) and wages under the trade or vocation.</w:t>
      </w:r>
    </w:p>
    <w:p w:rsidR="00E70407" w:rsidRPr="00E70407" w:rsidRDefault="00E70407" w:rsidP="00E70407">
      <w:pPr>
        <w:numPr>
          <w:ilvl w:val="0"/>
          <w:numId w:val="409"/>
        </w:numPr>
        <w:rPr>
          <w:rFonts w:ascii="Times New Roman" w:eastAsia="Times New Roman" w:hAnsi="Times New Roman"/>
          <w:sz w:val="17"/>
          <w:szCs w:val="17"/>
        </w:rPr>
      </w:pPr>
      <w:r w:rsidRPr="00E70407">
        <w:rPr>
          <w:rFonts w:ascii="Times New Roman" w:eastAsia="Times New Roman" w:hAnsi="Times New Roman"/>
          <w:sz w:val="17"/>
          <w:szCs w:val="17"/>
        </w:rPr>
        <w:t xml:space="preserve">Commercial in confidence or intellectual property (IP) </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Where there are commercial in confidence or IP matters arising as a result of the proposed pathway, the applicant must describe how these will be managed.</w:t>
      </w:r>
    </w:p>
    <w:p w:rsidR="00E70407" w:rsidRPr="00E70407" w:rsidRDefault="00E70407" w:rsidP="00E70407">
      <w:pPr>
        <w:numPr>
          <w:ilvl w:val="0"/>
          <w:numId w:val="409"/>
        </w:numPr>
        <w:rPr>
          <w:rFonts w:ascii="Times New Roman" w:eastAsia="Times New Roman" w:hAnsi="Times New Roman"/>
          <w:sz w:val="17"/>
          <w:szCs w:val="17"/>
        </w:rPr>
      </w:pPr>
      <w:r w:rsidRPr="00E70407">
        <w:rPr>
          <w:rFonts w:ascii="Times New Roman" w:eastAsia="Times New Roman" w:hAnsi="Times New Roman"/>
          <w:sz w:val="17"/>
          <w:szCs w:val="17"/>
        </w:rPr>
        <w:t>Work placements</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Under training contract arrangements, work-based training (recorded in a Training Plan) replaces any ‘work placement’ requirements. Where the proposed qualification includes work placement requirements, the applicant must 1) list these, and 2) describe how the requirements will be satisfied under training contract arrangements.</w:t>
      </w:r>
    </w:p>
    <w:p w:rsidR="00E70407" w:rsidRPr="00E70407" w:rsidRDefault="00E70407" w:rsidP="00E70407">
      <w:pPr>
        <w:numPr>
          <w:ilvl w:val="0"/>
          <w:numId w:val="409"/>
        </w:numPr>
        <w:rPr>
          <w:rFonts w:ascii="Times New Roman" w:eastAsia="Times New Roman" w:hAnsi="Times New Roman"/>
          <w:sz w:val="17"/>
          <w:szCs w:val="17"/>
        </w:rPr>
      </w:pPr>
      <w:r w:rsidRPr="00E70407">
        <w:rPr>
          <w:rFonts w:ascii="Times New Roman" w:eastAsia="Times New Roman" w:hAnsi="Times New Roman"/>
          <w:sz w:val="17"/>
          <w:szCs w:val="17"/>
        </w:rPr>
        <w:t>Nominal term of a high education qualification-aligned training contract</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In addition to providing the proposed nominal term, applicants must outline how the proposed term considers the Equivalent Full Time Study Load (EFTSL), AQF requirements for off-job training, and the expectations of employers and industry regarding hours of work and training contract hours.</w:t>
      </w:r>
    </w:p>
    <w:p w:rsidR="00E70407" w:rsidRPr="00E70407" w:rsidRDefault="00E70407" w:rsidP="00E70407">
      <w:pPr>
        <w:numPr>
          <w:ilvl w:val="0"/>
          <w:numId w:val="409"/>
        </w:numPr>
        <w:rPr>
          <w:rFonts w:ascii="Times New Roman" w:eastAsia="Times New Roman" w:hAnsi="Times New Roman"/>
          <w:sz w:val="17"/>
          <w:szCs w:val="17"/>
        </w:rPr>
      </w:pPr>
      <w:r w:rsidRPr="00E70407">
        <w:rPr>
          <w:rFonts w:ascii="Times New Roman" w:eastAsia="Times New Roman" w:hAnsi="Times New Roman"/>
          <w:sz w:val="17"/>
          <w:szCs w:val="17"/>
        </w:rPr>
        <w:t>Delivery providers</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The applicant must list the provider/s or consortia that are approved to deliver the qualification or course.</w:t>
      </w:r>
    </w:p>
    <w:p w:rsidR="00E70407" w:rsidRPr="00E70407" w:rsidRDefault="00E70407" w:rsidP="00E70407">
      <w:pPr>
        <w:numPr>
          <w:ilvl w:val="0"/>
          <w:numId w:val="409"/>
        </w:numPr>
        <w:rPr>
          <w:rFonts w:ascii="Times New Roman" w:eastAsia="Times New Roman" w:hAnsi="Times New Roman"/>
          <w:sz w:val="17"/>
          <w:szCs w:val="17"/>
        </w:rPr>
      </w:pPr>
      <w:r w:rsidRPr="00E70407">
        <w:rPr>
          <w:rFonts w:ascii="Times New Roman" w:eastAsia="Times New Roman" w:hAnsi="Times New Roman"/>
          <w:sz w:val="17"/>
          <w:szCs w:val="17"/>
        </w:rPr>
        <w:t>Conditions</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The applicant must list any proposed conditions or industry requirements associated with the declaration, including any requirements for endorsement by professional associations. The applicant should also note the following standard conditions will apply to all higher education qualification-aligned trades and vocations:</w:t>
      </w:r>
    </w:p>
    <w:p w:rsidR="00E70407" w:rsidRPr="00E70407" w:rsidRDefault="00E70407" w:rsidP="00E70407">
      <w:pPr>
        <w:numPr>
          <w:ilvl w:val="0"/>
          <w:numId w:val="341"/>
        </w:numPr>
        <w:spacing w:after="0"/>
        <w:ind w:left="1560"/>
        <w:rPr>
          <w:rFonts w:ascii="Times New Roman" w:eastAsia="Times New Roman" w:hAnsi="Times New Roman"/>
          <w:sz w:val="17"/>
          <w:szCs w:val="17"/>
        </w:rPr>
      </w:pPr>
      <w:r w:rsidRPr="00E70407">
        <w:rPr>
          <w:rFonts w:ascii="Times New Roman" w:eastAsia="Times New Roman" w:hAnsi="Times New Roman"/>
          <w:sz w:val="17"/>
          <w:szCs w:val="17"/>
        </w:rPr>
        <w:t>any material updates to the qualification/course must be agreed to by the professional associations and industry partners identified in the application; and</w:t>
      </w:r>
    </w:p>
    <w:p w:rsidR="00E70407" w:rsidRPr="00E70407" w:rsidRDefault="00E70407" w:rsidP="00E70407">
      <w:pPr>
        <w:numPr>
          <w:ilvl w:val="0"/>
          <w:numId w:val="341"/>
        </w:numPr>
        <w:spacing w:after="0"/>
        <w:ind w:left="1560"/>
        <w:rPr>
          <w:rFonts w:ascii="Times New Roman" w:eastAsia="Times New Roman" w:hAnsi="Times New Roman"/>
          <w:sz w:val="17"/>
          <w:szCs w:val="17"/>
        </w:rPr>
      </w:pPr>
      <w:r w:rsidRPr="00E70407">
        <w:rPr>
          <w:rFonts w:ascii="Times New Roman" w:eastAsia="Times New Roman" w:hAnsi="Times New Roman"/>
          <w:sz w:val="17"/>
          <w:szCs w:val="17"/>
        </w:rPr>
        <w:t>the higher education partner is required to notify the Department for Innovation and Skills of any material changes to the course/qualification during the term of the declaration; and</w:t>
      </w:r>
    </w:p>
    <w:p w:rsidR="00E70407" w:rsidRPr="00E70407" w:rsidRDefault="00E70407" w:rsidP="00E70407">
      <w:pPr>
        <w:numPr>
          <w:ilvl w:val="0"/>
          <w:numId w:val="341"/>
        </w:numPr>
        <w:ind w:left="1560"/>
        <w:rPr>
          <w:rFonts w:ascii="Times New Roman" w:eastAsia="Times New Roman" w:hAnsi="Times New Roman"/>
          <w:sz w:val="17"/>
          <w:szCs w:val="17"/>
        </w:rPr>
      </w:pPr>
      <w:r w:rsidRPr="00E70407">
        <w:rPr>
          <w:rFonts w:ascii="Times New Roman" w:eastAsia="Times New Roman" w:hAnsi="Times New Roman"/>
          <w:sz w:val="17"/>
          <w:szCs w:val="17"/>
        </w:rPr>
        <w:t>an employment contract and a training contract are both required as a condition of the declaration.</w:t>
      </w:r>
    </w:p>
    <w:p w:rsidR="00E70407" w:rsidRPr="00E70407" w:rsidRDefault="00E70407" w:rsidP="00E70407">
      <w:pPr>
        <w:numPr>
          <w:ilvl w:val="1"/>
          <w:numId w:val="350"/>
        </w:numPr>
        <w:rPr>
          <w:rFonts w:ascii="Times New Roman" w:eastAsia="Times New Roman" w:hAnsi="Times New Roman"/>
          <w:b/>
          <w:bCs/>
          <w:sz w:val="17"/>
          <w:szCs w:val="17"/>
        </w:rPr>
      </w:pPr>
      <w:r w:rsidRPr="00E70407">
        <w:rPr>
          <w:rFonts w:ascii="Times New Roman" w:eastAsia="Times New Roman" w:hAnsi="Times New Roman"/>
          <w:b/>
          <w:bCs/>
          <w:sz w:val="17"/>
          <w:szCs w:val="17"/>
        </w:rPr>
        <w:t>Consultation and evidence of demand and support for the trade or vocation</w:t>
      </w:r>
    </w:p>
    <w:p w:rsidR="00E70407" w:rsidRPr="00E70407" w:rsidRDefault="00E70407" w:rsidP="00E70407">
      <w:pPr>
        <w:numPr>
          <w:ilvl w:val="2"/>
          <w:numId w:val="350"/>
        </w:numPr>
        <w:rPr>
          <w:rFonts w:ascii="Times New Roman" w:eastAsia="Times New Roman" w:hAnsi="Times New Roman"/>
          <w:sz w:val="17"/>
          <w:szCs w:val="17"/>
        </w:rPr>
      </w:pPr>
      <w:r w:rsidRPr="00E70407">
        <w:rPr>
          <w:rFonts w:ascii="Times New Roman" w:eastAsia="Times New Roman" w:hAnsi="Times New Roman"/>
          <w:sz w:val="17"/>
          <w:szCs w:val="17"/>
        </w:rPr>
        <w:t>The applicant must consult with relevant stakeholders when developing the application, in order to provide evidence of:</w:t>
      </w:r>
    </w:p>
    <w:p w:rsidR="00E70407" w:rsidRPr="00E70407" w:rsidRDefault="00E70407" w:rsidP="00E70407">
      <w:pPr>
        <w:numPr>
          <w:ilvl w:val="0"/>
          <w:numId w:val="233"/>
        </w:numPr>
        <w:rPr>
          <w:rFonts w:ascii="Times New Roman" w:eastAsia="Times New Roman" w:hAnsi="Times New Roman"/>
          <w:bCs/>
          <w:sz w:val="17"/>
          <w:szCs w:val="17"/>
        </w:rPr>
      </w:pPr>
      <w:r w:rsidRPr="00E70407">
        <w:rPr>
          <w:rFonts w:ascii="Times New Roman" w:eastAsia="Times New Roman" w:hAnsi="Times New Roman"/>
          <w:sz w:val="17"/>
          <w:szCs w:val="17"/>
        </w:rPr>
        <w:t>Industry demand in South Australia – where possible to include an estimate of annual commencements in the proposed trade or vocation.</w:t>
      </w:r>
    </w:p>
    <w:p w:rsidR="00E70407" w:rsidRPr="00E70407" w:rsidRDefault="00E70407" w:rsidP="00E70407">
      <w:pPr>
        <w:numPr>
          <w:ilvl w:val="0"/>
          <w:numId w:val="233"/>
        </w:numPr>
        <w:rPr>
          <w:rFonts w:ascii="Times New Roman" w:eastAsia="Times New Roman" w:hAnsi="Times New Roman"/>
          <w:bCs/>
          <w:sz w:val="17"/>
          <w:szCs w:val="17"/>
        </w:rPr>
      </w:pPr>
      <w:r w:rsidRPr="00E70407">
        <w:rPr>
          <w:rFonts w:ascii="Times New Roman" w:eastAsia="Times New Roman" w:hAnsi="Times New Roman"/>
          <w:sz w:val="17"/>
          <w:szCs w:val="17"/>
        </w:rPr>
        <w:t>Broad support for the trade or vocation – any alternative or dissenting views should be included in the application for the Commission’s consideration.</w:t>
      </w:r>
    </w:p>
    <w:p w:rsidR="00E70407" w:rsidRPr="00E70407" w:rsidRDefault="00E70407" w:rsidP="00E70407">
      <w:pPr>
        <w:numPr>
          <w:ilvl w:val="2"/>
          <w:numId w:val="350"/>
        </w:numPr>
        <w:rPr>
          <w:rFonts w:ascii="Times New Roman" w:eastAsia="Times New Roman" w:hAnsi="Times New Roman"/>
          <w:sz w:val="17"/>
          <w:szCs w:val="17"/>
        </w:rPr>
      </w:pPr>
      <w:r w:rsidRPr="00E70407">
        <w:rPr>
          <w:rFonts w:ascii="Times New Roman" w:eastAsia="Times New Roman" w:hAnsi="Times New Roman"/>
          <w:sz w:val="17"/>
          <w:szCs w:val="17"/>
        </w:rPr>
        <w:t>At a minimum, consultation should be undertaken with the relevant:</w:t>
      </w:r>
    </w:p>
    <w:p w:rsidR="00E70407" w:rsidRPr="00E70407" w:rsidRDefault="00E70407" w:rsidP="00E70407">
      <w:pPr>
        <w:numPr>
          <w:ilvl w:val="0"/>
          <w:numId w:val="225"/>
        </w:numPr>
        <w:rPr>
          <w:rFonts w:ascii="Times New Roman" w:eastAsia="Times New Roman" w:hAnsi="Times New Roman"/>
          <w:sz w:val="17"/>
          <w:szCs w:val="17"/>
        </w:rPr>
      </w:pPr>
      <w:r w:rsidRPr="00E70407">
        <w:rPr>
          <w:rFonts w:ascii="Times New Roman" w:eastAsia="Times New Roman" w:hAnsi="Times New Roman"/>
          <w:sz w:val="17"/>
          <w:szCs w:val="17"/>
        </w:rPr>
        <w:t>Industry Skills Council, where applicable</w:t>
      </w:r>
    </w:p>
    <w:p w:rsidR="00E70407" w:rsidRPr="00E70407" w:rsidRDefault="00E70407" w:rsidP="00E70407">
      <w:pPr>
        <w:numPr>
          <w:ilvl w:val="0"/>
          <w:numId w:val="225"/>
        </w:numPr>
        <w:rPr>
          <w:rFonts w:ascii="Times New Roman" w:eastAsia="Times New Roman" w:hAnsi="Times New Roman"/>
          <w:sz w:val="17"/>
          <w:szCs w:val="17"/>
        </w:rPr>
      </w:pPr>
      <w:r w:rsidRPr="00E70407">
        <w:rPr>
          <w:rFonts w:ascii="Times New Roman" w:eastAsia="Times New Roman" w:hAnsi="Times New Roman"/>
          <w:sz w:val="17"/>
          <w:szCs w:val="17"/>
        </w:rPr>
        <w:t>Industry and employer association(s)</w:t>
      </w:r>
    </w:p>
    <w:p w:rsidR="00E70407" w:rsidRPr="00E70407" w:rsidRDefault="00E70407" w:rsidP="00E70407">
      <w:pPr>
        <w:numPr>
          <w:ilvl w:val="0"/>
          <w:numId w:val="225"/>
        </w:numPr>
        <w:rPr>
          <w:rFonts w:ascii="Times New Roman" w:eastAsia="Times New Roman" w:hAnsi="Times New Roman"/>
          <w:sz w:val="17"/>
          <w:szCs w:val="17"/>
        </w:rPr>
      </w:pPr>
      <w:r w:rsidRPr="00E70407">
        <w:rPr>
          <w:rFonts w:ascii="Times New Roman" w:eastAsia="Times New Roman" w:hAnsi="Times New Roman"/>
          <w:sz w:val="17"/>
          <w:szCs w:val="17"/>
        </w:rPr>
        <w:t>Professional associations</w:t>
      </w:r>
    </w:p>
    <w:p w:rsidR="00E70407" w:rsidRPr="00E70407" w:rsidRDefault="00E70407" w:rsidP="00E70407">
      <w:pPr>
        <w:numPr>
          <w:ilvl w:val="0"/>
          <w:numId w:val="225"/>
        </w:numPr>
        <w:rPr>
          <w:rFonts w:ascii="Times New Roman" w:eastAsia="Times New Roman" w:hAnsi="Times New Roman"/>
          <w:sz w:val="17"/>
          <w:szCs w:val="17"/>
        </w:rPr>
      </w:pPr>
      <w:r w:rsidRPr="00E70407">
        <w:rPr>
          <w:rFonts w:ascii="Times New Roman" w:eastAsia="Times New Roman" w:hAnsi="Times New Roman"/>
          <w:sz w:val="17"/>
          <w:szCs w:val="17"/>
        </w:rPr>
        <w:t>Registering bodies</w:t>
      </w:r>
    </w:p>
    <w:p w:rsidR="00E70407" w:rsidRPr="00E70407" w:rsidRDefault="00E70407" w:rsidP="00E70407">
      <w:pPr>
        <w:numPr>
          <w:ilvl w:val="0"/>
          <w:numId w:val="225"/>
        </w:numPr>
        <w:rPr>
          <w:rFonts w:ascii="Times New Roman" w:eastAsia="Times New Roman" w:hAnsi="Times New Roman"/>
          <w:sz w:val="17"/>
          <w:szCs w:val="17"/>
        </w:rPr>
      </w:pPr>
      <w:r w:rsidRPr="00E70407">
        <w:rPr>
          <w:rFonts w:ascii="Times New Roman" w:eastAsia="Times New Roman" w:hAnsi="Times New Roman"/>
          <w:sz w:val="17"/>
          <w:szCs w:val="17"/>
        </w:rPr>
        <w:t>Employee representatives</w:t>
      </w:r>
    </w:p>
    <w:p w:rsidR="00E70407" w:rsidRPr="00E70407" w:rsidRDefault="00E70407" w:rsidP="00E70407">
      <w:pPr>
        <w:numPr>
          <w:ilvl w:val="0"/>
          <w:numId w:val="225"/>
        </w:numPr>
        <w:rPr>
          <w:rFonts w:ascii="Times New Roman" w:eastAsia="Times New Roman" w:hAnsi="Times New Roman"/>
          <w:sz w:val="17"/>
          <w:szCs w:val="17"/>
        </w:rPr>
      </w:pPr>
      <w:r w:rsidRPr="00E70407">
        <w:rPr>
          <w:rFonts w:ascii="Times New Roman" w:eastAsia="Times New Roman" w:hAnsi="Times New Roman"/>
          <w:sz w:val="17"/>
          <w:szCs w:val="17"/>
        </w:rPr>
        <w:t>Training organisations.</w:t>
      </w:r>
    </w:p>
    <w:p w:rsidR="00E70407" w:rsidRPr="00E70407" w:rsidRDefault="00E70407" w:rsidP="00E70407">
      <w:pPr>
        <w:numPr>
          <w:ilvl w:val="2"/>
          <w:numId w:val="350"/>
        </w:numPr>
        <w:rPr>
          <w:rFonts w:ascii="Times New Roman" w:eastAsia="Times New Roman" w:hAnsi="Times New Roman"/>
          <w:sz w:val="17"/>
          <w:szCs w:val="17"/>
        </w:rPr>
      </w:pPr>
      <w:r w:rsidRPr="00E70407">
        <w:rPr>
          <w:rFonts w:ascii="Times New Roman" w:eastAsia="Times New Roman" w:hAnsi="Times New Roman"/>
          <w:sz w:val="17"/>
          <w:szCs w:val="17"/>
        </w:rPr>
        <w:t>Evidence to support the application should include submissions from the relevant Industry Skills Council, industry and employer associations and employee representatives.</w:t>
      </w:r>
    </w:p>
    <w:p w:rsidR="00E70407" w:rsidRPr="00E70407" w:rsidRDefault="00E70407" w:rsidP="00E70407">
      <w:pPr>
        <w:numPr>
          <w:ilvl w:val="2"/>
          <w:numId w:val="350"/>
        </w:numPr>
        <w:rPr>
          <w:rFonts w:ascii="Times New Roman" w:eastAsia="Times New Roman" w:hAnsi="Times New Roman"/>
          <w:sz w:val="17"/>
          <w:szCs w:val="17"/>
        </w:rPr>
      </w:pPr>
      <w:r w:rsidRPr="00E70407">
        <w:rPr>
          <w:rFonts w:ascii="Times New Roman" w:eastAsia="Times New Roman" w:hAnsi="Times New Roman"/>
          <w:sz w:val="17"/>
          <w:szCs w:val="17"/>
        </w:rPr>
        <w:t>All submissions must be signed by the Chair, Chief Executive, or other delegate of the organisation, as approved by the Commission.</w:t>
      </w:r>
    </w:p>
    <w:p w:rsidR="00E70407" w:rsidRPr="00E70407" w:rsidRDefault="00E70407" w:rsidP="00E70407">
      <w:pPr>
        <w:numPr>
          <w:ilvl w:val="2"/>
          <w:numId w:val="350"/>
        </w:numPr>
        <w:rPr>
          <w:rFonts w:ascii="Times New Roman" w:eastAsia="Times New Roman" w:hAnsi="Times New Roman"/>
          <w:sz w:val="17"/>
          <w:szCs w:val="17"/>
        </w:rPr>
      </w:pPr>
      <w:r w:rsidRPr="00E70407">
        <w:rPr>
          <w:rFonts w:ascii="Times New Roman" w:eastAsia="Times New Roman" w:hAnsi="Times New Roman"/>
          <w:sz w:val="17"/>
          <w:szCs w:val="17"/>
        </w:rPr>
        <w:lastRenderedPageBreak/>
        <w:t>The submissions should reflect the unique perspective of the stakeholder and must confirm:</w:t>
      </w:r>
    </w:p>
    <w:p w:rsidR="00E70407" w:rsidRPr="00E70407" w:rsidRDefault="00E70407" w:rsidP="00E70407">
      <w:pPr>
        <w:numPr>
          <w:ilvl w:val="0"/>
          <w:numId w:val="224"/>
        </w:numPr>
        <w:rPr>
          <w:rFonts w:ascii="Times New Roman" w:eastAsia="Times New Roman" w:hAnsi="Times New Roman"/>
          <w:sz w:val="17"/>
          <w:szCs w:val="17"/>
        </w:rPr>
      </w:pPr>
      <w:r w:rsidRPr="00E70407">
        <w:rPr>
          <w:rFonts w:ascii="Times New Roman" w:eastAsia="Times New Roman" w:hAnsi="Times New Roman"/>
          <w:sz w:val="17"/>
          <w:szCs w:val="17"/>
        </w:rPr>
        <w:t>Industry demand for the trade or vocation</w:t>
      </w:r>
    </w:p>
    <w:p w:rsidR="00E70407" w:rsidRPr="00E70407" w:rsidRDefault="00E70407" w:rsidP="00E70407">
      <w:pPr>
        <w:numPr>
          <w:ilvl w:val="0"/>
          <w:numId w:val="224"/>
        </w:numPr>
        <w:rPr>
          <w:rFonts w:ascii="Times New Roman" w:eastAsia="Times New Roman" w:hAnsi="Times New Roman"/>
          <w:sz w:val="17"/>
          <w:szCs w:val="17"/>
        </w:rPr>
      </w:pPr>
      <w:r w:rsidRPr="00E70407">
        <w:rPr>
          <w:rFonts w:ascii="Times New Roman" w:eastAsia="Times New Roman" w:hAnsi="Times New Roman"/>
          <w:sz w:val="17"/>
          <w:szCs w:val="17"/>
        </w:rPr>
        <w:t>Support for the proposed:</w:t>
      </w:r>
    </w:p>
    <w:p w:rsidR="00E70407" w:rsidRPr="00E70407" w:rsidRDefault="00E70407" w:rsidP="00E70407">
      <w:pPr>
        <w:numPr>
          <w:ilvl w:val="1"/>
          <w:numId w:val="343"/>
        </w:numPr>
        <w:spacing w:after="0"/>
        <w:rPr>
          <w:rFonts w:ascii="Times New Roman" w:eastAsia="Times New Roman" w:hAnsi="Times New Roman"/>
          <w:sz w:val="17"/>
          <w:szCs w:val="17"/>
        </w:rPr>
      </w:pPr>
      <w:r w:rsidRPr="00E70407">
        <w:rPr>
          <w:rFonts w:ascii="Times New Roman" w:eastAsia="Times New Roman" w:hAnsi="Times New Roman"/>
          <w:sz w:val="17"/>
          <w:szCs w:val="17"/>
        </w:rPr>
        <w:t>Occupational title</w:t>
      </w:r>
    </w:p>
    <w:p w:rsidR="00E70407" w:rsidRPr="00E70407" w:rsidRDefault="00E70407" w:rsidP="00E70407">
      <w:pPr>
        <w:numPr>
          <w:ilvl w:val="1"/>
          <w:numId w:val="343"/>
        </w:numPr>
        <w:spacing w:after="0"/>
        <w:rPr>
          <w:rFonts w:ascii="Times New Roman" w:eastAsia="Times New Roman" w:hAnsi="Times New Roman"/>
          <w:sz w:val="17"/>
          <w:szCs w:val="17"/>
        </w:rPr>
      </w:pPr>
      <w:r w:rsidRPr="00E70407">
        <w:rPr>
          <w:rFonts w:ascii="Times New Roman" w:eastAsia="Times New Roman" w:hAnsi="Times New Roman"/>
          <w:sz w:val="17"/>
          <w:szCs w:val="17"/>
        </w:rPr>
        <w:t>Trade or declared vocation status</w:t>
      </w:r>
    </w:p>
    <w:p w:rsidR="00E70407" w:rsidRPr="00E70407" w:rsidRDefault="00E70407" w:rsidP="00E70407">
      <w:pPr>
        <w:numPr>
          <w:ilvl w:val="1"/>
          <w:numId w:val="343"/>
        </w:numPr>
        <w:spacing w:after="0"/>
        <w:rPr>
          <w:rFonts w:ascii="Times New Roman" w:eastAsia="Times New Roman" w:hAnsi="Times New Roman"/>
          <w:sz w:val="17"/>
          <w:szCs w:val="17"/>
        </w:rPr>
      </w:pPr>
      <w:r w:rsidRPr="00E70407">
        <w:rPr>
          <w:rFonts w:ascii="Times New Roman" w:eastAsia="Times New Roman" w:hAnsi="Times New Roman"/>
          <w:sz w:val="17"/>
          <w:szCs w:val="17"/>
        </w:rPr>
        <w:t>Job or occupation, or class of job or occupation, to which the trade or vocation relates</w:t>
      </w:r>
    </w:p>
    <w:p w:rsidR="00E70407" w:rsidRPr="00E70407" w:rsidRDefault="00E70407" w:rsidP="00E70407">
      <w:pPr>
        <w:numPr>
          <w:ilvl w:val="1"/>
          <w:numId w:val="343"/>
        </w:numPr>
        <w:spacing w:after="0"/>
        <w:rPr>
          <w:rFonts w:ascii="Times New Roman" w:eastAsia="Times New Roman" w:hAnsi="Times New Roman"/>
          <w:sz w:val="17"/>
          <w:szCs w:val="17"/>
        </w:rPr>
      </w:pPr>
      <w:r w:rsidRPr="00E70407">
        <w:rPr>
          <w:rFonts w:ascii="Times New Roman" w:eastAsia="Times New Roman" w:hAnsi="Times New Roman"/>
          <w:sz w:val="17"/>
          <w:szCs w:val="17"/>
        </w:rPr>
        <w:t>Training</w:t>
      </w:r>
    </w:p>
    <w:p w:rsidR="00E70407" w:rsidRPr="00E70407" w:rsidRDefault="00E70407" w:rsidP="00E70407">
      <w:pPr>
        <w:numPr>
          <w:ilvl w:val="1"/>
          <w:numId w:val="343"/>
        </w:numPr>
        <w:spacing w:after="0"/>
        <w:rPr>
          <w:rFonts w:ascii="Times New Roman" w:eastAsia="Times New Roman" w:hAnsi="Times New Roman"/>
          <w:sz w:val="17"/>
          <w:szCs w:val="17"/>
        </w:rPr>
      </w:pPr>
      <w:r w:rsidRPr="00E70407">
        <w:rPr>
          <w:rFonts w:ascii="Times New Roman" w:eastAsia="Times New Roman" w:hAnsi="Times New Roman"/>
          <w:sz w:val="17"/>
          <w:szCs w:val="17"/>
        </w:rPr>
        <w:t>Industrial arrangements</w:t>
      </w:r>
    </w:p>
    <w:p w:rsidR="00E70407" w:rsidRPr="00E70407" w:rsidRDefault="00E70407" w:rsidP="00E70407">
      <w:pPr>
        <w:numPr>
          <w:ilvl w:val="1"/>
          <w:numId w:val="343"/>
        </w:numPr>
        <w:spacing w:after="0"/>
        <w:rPr>
          <w:rFonts w:ascii="Times New Roman" w:eastAsia="Times New Roman" w:hAnsi="Times New Roman"/>
          <w:sz w:val="17"/>
          <w:szCs w:val="17"/>
        </w:rPr>
      </w:pPr>
      <w:r w:rsidRPr="00E70407">
        <w:rPr>
          <w:rFonts w:ascii="Times New Roman" w:eastAsia="Times New Roman" w:hAnsi="Times New Roman"/>
          <w:sz w:val="17"/>
          <w:szCs w:val="17"/>
        </w:rPr>
        <w:t>Nominal term</w:t>
      </w:r>
    </w:p>
    <w:p w:rsidR="00E70407" w:rsidRPr="00E70407" w:rsidRDefault="00E70407" w:rsidP="00E70407">
      <w:pPr>
        <w:numPr>
          <w:ilvl w:val="1"/>
          <w:numId w:val="343"/>
        </w:numPr>
        <w:spacing w:after="0"/>
        <w:rPr>
          <w:rFonts w:ascii="Times New Roman" w:eastAsia="Times New Roman" w:hAnsi="Times New Roman"/>
          <w:sz w:val="17"/>
          <w:szCs w:val="17"/>
        </w:rPr>
      </w:pPr>
      <w:r w:rsidRPr="00E70407">
        <w:rPr>
          <w:rFonts w:ascii="Times New Roman" w:eastAsia="Times New Roman" w:hAnsi="Times New Roman"/>
          <w:sz w:val="17"/>
          <w:szCs w:val="17"/>
        </w:rPr>
        <w:t>Probationary period</w:t>
      </w:r>
    </w:p>
    <w:p w:rsidR="00E70407" w:rsidRPr="00E70407" w:rsidRDefault="00E70407" w:rsidP="00E70407">
      <w:pPr>
        <w:numPr>
          <w:ilvl w:val="1"/>
          <w:numId w:val="343"/>
        </w:numPr>
        <w:spacing w:after="0"/>
        <w:rPr>
          <w:rFonts w:ascii="Times New Roman" w:eastAsia="Times New Roman" w:hAnsi="Times New Roman"/>
          <w:sz w:val="17"/>
          <w:szCs w:val="17"/>
        </w:rPr>
      </w:pPr>
      <w:r w:rsidRPr="00E70407">
        <w:rPr>
          <w:rFonts w:ascii="Times New Roman" w:eastAsia="Times New Roman" w:hAnsi="Times New Roman"/>
          <w:sz w:val="17"/>
          <w:szCs w:val="17"/>
        </w:rPr>
        <w:t>Level of supervision</w:t>
      </w:r>
    </w:p>
    <w:p w:rsidR="00E70407" w:rsidRPr="00E70407" w:rsidRDefault="00E70407" w:rsidP="00E70407">
      <w:pPr>
        <w:numPr>
          <w:ilvl w:val="1"/>
          <w:numId w:val="343"/>
        </w:numPr>
        <w:spacing w:after="0"/>
        <w:rPr>
          <w:rFonts w:ascii="Times New Roman" w:eastAsia="Times New Roman" w:hAnsi="Times New Roman"/>
          <w:sz w:val="17"/>
          <w:szCs w:val="17"/>
        </w:rPr>
      </w:pPr>
      <w:r w:rsidRPr="00E70407">
        <w:rPr>
          <w:rFonts w:ascii="Times New Roman" w:eastAsia="Times New Roman" w:hAnsi="Times New Roman"/>
          <w:sz w:val="17"/>
          <w:szCs w:val="17"/>
        </w:rPr>
        <w:t>Supervisor requirements</w:t>
      </w:r>
    </w:p>
    <w:p w:rsidR="00E70407" w:rsidRPr="00E70407" w:rsidRDefault="00E70407" w:rsidP="00E70407">
      <w:pPr>
        <w:numPr>
          <w:ilvl w:val="1"/>
          <w:numId w:val="343"/>
        </w:numPr>
        <w:spacing w:after="0"/>
        <w:rPr>
          <w:rFonts w:ascii="Times New Roman" w:eastAsia="Times New Roman" w:hAnsi="Times New Roman"/>
          <w:sz w:val="17"/>
          <w:szCs w:val="17"/>
        </w:rPr>
      </w:pPr>
      <w:r w:rsidRPr="00E70407">
        <w:rPr>
          <w:rFonts w:ascii="Times New Roman" w:eastAsia="Times New Roman" w:hAnsi="Times New Roman"/>
          <w:sz w:val="17"/>
          <w:szCs w:val="17"/>
        </w:rPr>
        <w:t>Entry requirements</w:t>
      </w:r>
    </w:p>
    <w:p w:rsidR="00E70407" w:rsidRPr="00E70407" w:rsidRDefault="00E70407" w:rsidP="00E70407">
      <w:pPr>
        <w:numPr>
          <w:ilvl w:val="1"/>
          <w:numId w:val="343"/>
        </w:numPr>
        <w:spacing w:after="0"/>
        <w:rPr>
          <w:rFonts w:ascii="Times New Roman" w:eastAsia="Times New Roman" w:hAnsi="Times New Roman"/>
          <w:sz w:val="17"/>
          <w:szCs w:val="17"/>
        </w:rPr>
      </w:pPr>
      <w:r w:rsidRPr="00E70407">
        <w:rPr>
          <w:rFonts w:ascii="Times New Roman" w:eastAsia="Times New Roman" w:hAnsi="Times New Roman"/>
          <w:sz w:val="17"/>
          <w:szCs w:val="17"/>
        </w:rPr>
        <w:t>Conditions</w:t>
      </w:r>
    </w:p>
    <w:p w:rsidR="00E70407" w:rsidRPr="00E70407" w:rsidRDefault="00E70407" w:rsidP="00E70407">
      <w:pPr>
        <w:numPr>
          <w:ilvl w:val="1"/>
          <w:numId w:val="343"/>
        </w:numPr>
        <w:rPr>
          <w:rFonts w:ascii="Times New Roman" w:eastAsia="Times New Roman" w:hAnsi="Times New Roman"/>
          <w:sz w:val="17"/>
          <w:szCs w:val="17"/>
        </w:rPr>
      </w:pPr>
      <w:r w:rsidRPr="00E70407">
        <w:rPr>
          <w:rFonts w:ascii="Times New Roman" w:eastAsia="Times New Roman" w:hAnsi="Times New Roman"/>
          <w:sz w:val="17"/>
          <w:szCs w:val="17"/>
        </w:rPr>
        <w:t>Identified pathways.</w:t>
      </w:r>
    </w:p>
    <w:p w:rsidR="00E70407" w:rsidRPr="00E70407" w:rsidRDefault="00E70407" w:rsidP="00E70407">
      <w:pPr>
        <w:numPr>
          <w:ilvl w:val="1"/>
          <w:numId w:val="350"/>
        </w:numPr>
        <w:rPr>
          <w:rFonts w:ascii="Times New Roman" w:eastAsia="Times New Roman" w:hAnsi="Times New Roman"/>
          <w:b/>
          <w:bCs/>
          <w:sz w:val="17"/>
          <w:szCs w:val="17"/>
        </w:rPr>
      </w:pPr>
      <w:r w:rsidRPr="00E70407">
        <w:rPr>
          <w:rFonts w:ascii="Times New Roman" w:eastAsia="Times New Roman" w:hAnsi="Times New Roman"/>
          <w:b/>
          <w:bCs/>
          <w:sz w:val="17"/>
          <w:szCs w:val="17"/>
        </w:rPr>
        <w:t>Maintenance and review</w:t>
      </w:r>
    </w:p>
    <w:p w:rsidR="00E70407" w:rsidRPr="00E70407" w:rsidRDefault="00E70407" w:rsidP="00E70407">
      <w:pPr>
        <w:numPr>
          <w:ilvl w:val="2"/>
          <w:numId w:val="350"/>
        </w:numPr>
        <w:rPr>
          <w:rFonts w:ascii="Times New Roman" w:eastAsia="Times New Roman" w:hAnsi="Times New Roman"/>
          <w:sz w:val="17"/>
          <w:szCs w:val="17"/>
        </w:rPr>
      </w:pPr>
      <w:r w:rsidRPr="00E70407">
        <w:rPr>
          <w:rFonts w:ascii="Times New Roman" w:eastAsia="Times New Roman" w:hAnsi="Times New Roman"/>
          <w:sz w:val="17"/>
          <w:szCs w:val="17"/>
        </w:rPr>
        <w:t>Maintenance of the Traineeship and Apprenticeship Pathways (TAP) Schedule will be undertaken by the Commission.</w:t>
      </w:r>
    </w:p>
    <w:p w:rsidR="00E70407" w:rsidRPr="00E70407" w:rsidRDefault="00E70407" w:rsidP="00E70407">
      <w:pPr>
        <w:numPr>
          <w:ilvl w:val="2"/>
          <w:numId w:val="350"/>
        </w:numPr>
        <w:rPr>
          <w:rFonts w:ascii="Times New Roman" w:eastAsia="Times New Roman" w:hAnsi="Times New Roman"/>
          <w:b/>
          <w:bCs/>
          <w:sz w:val="17"/>
          <w:szCs w:val="17"/>
        </w:rPr>
      </w:pPr>
      <w:r w:rsidRPr="00E70407">
        <w:rPr>
          <w:rFonts w:ascii="Times New Roman" w:eastAsia="Times New Roman" w:hAnsi="Times New Roman"/>
          <w:sz w:val="17"/>
          <w:szCs w:val="17"/>
        </w:rPr>
        <w:t>Apprenticeships and traineeships listed on the TAP Schedule will be varied as required, by notice in the Gazette, to maintain the currency of the training associated with the trade or declared vocation.</w:t>
      </w:r>
    </w:p>
    <w:p w:rsidR="00E70407" w:rsidRPr="00E70407" w:rsidRDefault="00E70407" w:rsidP="00E70407">
      <w:pPr>
        <w:numPr>
          <w:ilvl w:val="2"/>
          <w:numId w:val="350"/>
        </w:numPr>
        <w:rPr>
          <w:rFonts w:ascii="Times New Roman" w:eastAsia="Times New Roman" w:hAnsi="Times New Roman"/>
          <w:b/>
          <w:bCs/>
          <w:sz w:val="17"/>
          <w:szCs w:val="17"/>
        </w:rPr>
      </w:pPr>
      <w:r w:rsidRPr="00E70407">
        <w:rPr>
          <w:rFonts w:ascii="Times New Roman" w:eastAsia="Times New Roman" w:hAnsi="Times New Roman"/>
          <w:sz w:val="17"/>
          <w:szCs w:val="17"/>
        </w:rPr>
        <w:t>Where an updated qualification is deemed by ASQA to be equivalent to the one it replaces, no consultation will be undertaken. Where an updated qualification is deemed to be non-equivalent, relevant stakeholders will be consulted prior to any update.</w:t>
      </w:r>
    </w:p>
    <w:p w:rsidR="00E70407" w:rsidRPr="00E70407" w:rsidRDefault="00E70407" w:rsidP="00E70407">
      <w:pPr>
        <w:numPr>
          <w:ilvl w:val="2"/>
          <w:numId w:val="350"/>
        </w:numPr>
        <w:rPr>
          <w:rFonts w:ascii="Times New Roman" w:eastAsia="Times New Roman" w:hAnsi="Times New Roman"/>
          <w:b/>
          <w:bCs/>
          <w:sz w:val="17"/>
          <w:szCs w:val="17"/>
        </w:rPr>
      </w:pPr>
      <w:r w:rsidRPr="00E70407">
        <w:rPr>
          <w:rFonts w:ascii="Times New Roman" w:eastAsia="Times New Roman" w:hAnsi="Times New Roman"/>
          <w:sz w:val="17"/>
          <w:szCs w:val="17"/>
        </w:rPr>
        <w:t>Where a primary qualification is accompanied by non-accredited training, the applicant must participate in any review of the trade or declared vocation undertaken by the Commission to maintain the currency of the training.</w:t>
      </w:r>
    </w:p>
    <w:p w:rsidR="00E70407" w:rsidRPr="00E70407" w:rsidRDefault="00E70407" w:rsidP="00E70407">
      <w:pPr>
        <w:numPr>
          <w:ilvl w:val="2"/>
          <w:numId w:val="350"/>
        </w:numPr>
        <w:rPr>
          <w:rFonts w:ascii="Times New Roman" w:eastAsia="Times New Roman" w:hAnsi="Times New Roman"/>
          <w:b/>
          <w:bCs/>
          <w:sz w:val="17"/>
          <w:szCs w:val="17"/>
        </w:rPr>
      </w:pPr>
      <w:r w:rsidRPr="00E70407">
        <w:rPr>
          <w:rFonts w:ascii="Times New Roman" w:eastAsia="Times New Roman" w:hAnsi="Times New Roman"/>
          <w:sz w:val="17"/>
          <w:szCs w:val="17"/>
        </w:rPr>
        <w:t xml:space="preserve">The Commission will review every new pathway approved after 1 July 2021, where there has been no take-up within 24 months, with the review to ideally include the original applicant. </w:t>
      </w:r>
    </w:p>
    <w:p w:rsidR="00E70407" w:rsidRPr="00E70407" w:rsidRDefault="00E70407" w:rsidP="00E70407">
      <w:pPr>
        <w:numPr>
          <w:ilvl w:val="2"/>
          <w:numId w:val="350"/>
        </w:numPr>
        <w:rPr>
          <w:rFonts w:ascii="Times New Roman" w:eastAsia="Times New Roman" w:hAnsi="Times New Roman"/>
          <w:b/>
          <w:bCs/>
          <w:sz w:val="17"/>
          <w:szCs w:val="17"/>
        </w:rPr>
      </w:pPr>
      <w:r w:rsidRPr="00E70407">
        <w:rPr>
          <w:rFonts w:ascii="Times New Roman" w:eastAsia="Times New Roman" w:hAnsi="Times New Roman"/>
          <w:sz w:val="17"/>
          <w:szCs w:val="17"/>
        </w:rPr>
        <w:t>More comprehensive reviews will be undertaken on an as needs basis as determined by the Commission.</w:t>
      </w:r>
    </w:p>
    <w:p w:rsidR="00E70407" w:rsidRPr="00E70407" w:rsidRDefault="00E70407" w:rsidP="00E70407">
      <w:pPr>
        <w:pBdr>
          <w:top w:val="single" w:sz="4" w:space="1" w:color="auto"/>
        </w:pBdr>
        <w:spacing w:before="100" w:line="14" w:lineRule="exact"/>
        <w:ind w:left="1080" w:right="1080"/>
        <w:jc w:val="center"/>
        <w:rPr>
          <w:rFonts w:ascii="Times New Roman" w:eastAsia="Times New Roman" w:hAnsi="Times New Roman"/>
          <w:b/>
          <w:bCs/>
          <w:sz w:val="17"/>
          <w:szCs w:val="17"/>
        </w:rPr>
      </w:pPr>
    </w:p>
    <w:p w:rsidR="00E70407" w:rsidRPr="00E70407" w:rsidRDefault="00E70407" w:rsidP="00E70407">
      <w:pPr>
        <w:jc w:val="center"/>
        <w:rPr>
          <w:rFonts w:ascii="Times New Roman" w:hAnsi="Times New Roman"/>
          <w:smallCaps/>
          <w:sz w:val="17"/>
          <w:szCs w:val="17"/>
        </w:rPr>
      </w:pPr>
      <w:bookmarkStart w:id="97" w:name="_Toc71813712"/>
      <w:bookmarkStart w:id="98" w:name="_Toc75255244"/>
      <w:r w:rsidRPr="00E70407">
        <w:rPr>
          <w:rFonts w:ascii="Times New Roman" w:hAnsi="Times New Roman"/>
          <w:smallCaps/>
          <w:sz w:val="17"/>
          <w:szCs w:val="17"/>
        </w:rPr>
        <w:t>Standard 2</w:t>
      </w:r>
      <w:r w:rsidRPr="00E70407">
        <w:rPr>
          <w:rFonts w:ascii="Times New Roman" w:hAnsi="Times New Roman"/>
          <w:smallCaps/>
          <w:sz w:val="17"/>
          <w:szCs w:val="17"/>
        </w:rPr>
        <w:tab/>
      </w:r>
      <w:r w:rsidRPr="00E70407">
        <w:rPr>
          <w:rFonts w:ascii="Times New Roman" w:hAnsi="Times New Roman"/>
          <w:smallCaps/>
          <w:sz w:val="17"/>
          <w:szCs w:val="17"/>
        </w:rPr>
        <w:tab/>
        <w:t>Employer Registration</w:t>
      </w:r>
      <w:bookmarkEnd w:id="97"/>
      <w:bookmarkEnd w:id="98"/>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This Standard relates to the registration of employers to train apprentices and trainees under a Training Contract in accordance with the </w:t>
      </w:r>
      <w:r w:rsidRPr="00E70407">
        <w:rPr>
          <w:rFonts w:ascii="Times New Roman" w:eastAsia="Times New Roman" w:hAnsi="Times New Roman"/>
          <w:i/>
          <w:sz w:val="17"/>
          <w:szCs w:val="17"/>
          <w:lang w:val="en-GB"/>
        </w:rPr>
        <w:t>South Australian Skills Act 2008</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Cs/>
          <w:sz w:val="17"/>
          <w:szCs w:val="17"/>
          <w:lang w:val="en-GB"/>
        </w:rPr>
        <w:t>the</w:t>
      </w:r>
      <w:r w:rsidRPr="00E70407">
        <w:rPr>
          <w:rFonts w:ascii="Times New Roman" w:eastAsia="Times New Roman" w:hAnsi="Times New Roman"/>
          <w:i/>
          <w:sz w:val="17"/>
          <w:szCs w:val="17"/>
          <w:lang w:val="en-GB"/>
        </w:rPr>
        <w:t xml:space="preserve"> SAS Act</w:t>
      </w:r>
      <w:r w:rsidRPr="00E70407">
        <w:rPr>
          <w:rFonts w:ascii="Times New Roman" w:eastAsia="Times New Roman" w:hAnsi="Times New Roman"/>
          <w:sz w:val="17"/>
          <w:szCs w:val="17"/>
          <w:lang w:val="en-GB"/>
        </w:rPr>
        <w:t>).</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primary purpose of the Training Contract system is to ensure the provision of quality training for apprentices and trainees while they undertake employment relevant to the trade or vocation.</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Employer registration assists in this process by ensuring employers are made aware of their rights and obligations when employing apprentices and trainees. </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Registered employers will be placed on the South Australian Skills Register at </w:t>
      </w:r>
      <w:hyperlink r:id="rId81" w:history="1">
        <w:r w:rsidRPr="00E70407">
          <w:rPr>
            <w:rFonts w:ascii="Times New Roman" w:eastAsia="Times New Roman" w:hAnsi="Times New Roman"/>
            <w:color w:val="0000FF"/>
            <w:sz w:val="17"/>
            <w:szCs w:val="17"/>
            <w:u w:val="single"/>
            <w:lang w:val="en-GB"/>
          </w:rPr>
          <w:t>www.skillscommission.sa.gov.au/regulations-and-standards/employer-register</w:t>
        </w:r>
      </w:hyperlink>
      <w:r w:rsidRPr="00E70407">
        <w:rPr>
          <w:rFonts w:ascii="Times New Roman" w:eastAsia="Times New Roman" w:hAnsi="Times New Roman"/>
          <w:sz w:val="17"/>
          <w:szCs w:val="17"/>
          <w:lang w:val="en-GB"/>
        </w:rPr>
        <w:t xml:space="preserve"> </w:t>
      </w:r>
    </w:p>
    <w:p w:rsidR="00E70407" w:rsidRPr="00E70407" w:rsidRDefault="00E70407" w:rsidP="00E70407">
      <w:pPr>
        <w:rPr>
          <w:rFonts w:ascii="Times New Roman" w:eastAsia="Times New Roman" w:hAnsi="Times New Roman"/>
          <w:b/>
          <w:sz w:val="17"/>
          <w:szCs w:val="17"/>
          <w:lang w:val="en-GB"/>
        </w:rPr>
      </w:pPr>
      <w:r w:rsidRPr="00E70407">
        <w:rPr>
          <w:rFonts w:ascii="Times New Roman" w:eastAsia="Times New Roman" w:hAnsi="Times New Roman"/>
          <w:b/>
          <w:sz w:val="17"/>
          <w:szCs w:val="17"/>
          <w:lang w:val="en-GB"/>
        </w:rPr>
        <w:t>Governance arrangements</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Under the </w:t>
      </w:r>
      <w:r w:rsidRPr="00E70407">
        <w:rPr>
          <w:rFonts w:ascii="Times New Roman" w:eastAsia="Times New Roman" w:hAnsi="Times New Roman"/>
          <w:i/>
          <w:sz w:val="17"/>
          <w:szCs w:val="17"/>
          <w:lang w:val="en-GB"/>
        </w:rPr>
        <w:t>SAS Act</w:t>
      </w:r>
      <w:r w:rsidRPr="00E70407">
        <w:rPr>
          <w:rFonts w:ascii="Times New Roman" w:eastAsia="Times New Roman" w:hAnsi="Times New Roman"/>
          <w:sz w:val="17"/>
          <w:szCs w:val="17"/>
          <w:lang w:val="en-GB"/>
        </w:rPr>
        <w:t>, the South Australian Skills Commission (the Commission) (or its delegate) is responsible for the regulation of the apprenticeship and traineeship system. To this end, it is empowered to:</w:t>
      </w:r>
    </w:p>
    <w:p w:rsidR="00E70407" w:rsidRPr="00E70407" w:rsidRDefault="00E70407" w:rsidP="00E70407">
      <w:pPr>
        <w:numPr>
          <w:ilvl w:val="0"/>
          <w:numId w:val="234"/>
        </w:numPr>
        <w:spacing w:after="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register an employer to train a person in a Training Contract for a period of up to 5 years</w:t>
      </w:r>
    </w:p>
    <w:p w:rsidR="00E70407" w:rsidRPr="00E70407" w:rsidRDefault="00E70407" w:rsidP="00E70407">
      <w:pPr>
        <w:numPr>
          <w:ilvl w:val="0"/>
          <w:numId w:val="234"/>
        </w:numPr>
        <w:spacing w:after="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renew an employer’s registration for a period of up to 5 years</w:t>
      </w:r>
    </w:p>
    <w:p w:rsidR="00E70407" w:rsidRPr="00E70407" w:rsidRDefault="00E70407" w:rsidP="00E70407">
      <w:pPr>
        <w:numPr>
          <w:ilvl w:val="0"/>
          <w:numId w:val="234"/>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vary, suspend, or cancel an employer’s registration, at any time during the period the registration is in force.</w:t>
      </w:r>
    </w:p>
    <w:p w:rsidR="00E70407" w:rsidRPr="00E70407" w:rsidRDefault="00E70407" w:rsidP="00E70407">
      <w:pPr>
        <w:rPr>
          <w:rFonts w:ascii="Times New Roman" w:eastAsia="Times New Roman" w:hAnsi="Times New Roman"/>
          <w:b/>
          <w:sz w:val="17"/>
          <w:szCs w:val="17"/>
          <w:lang w:val="en-GB"/>
        </w:rPr>
      </w:pPr>
      <w:r w:rsidRPr="00E70407">
        <w:rPr>
          <w:rFonts w:ascii="Times New Roman" w:eastAsia="Times New Roman" w:hAnsi="Times New Roman"/>
          <w:b/>
          <w:sz w:val="17"/>
          <w:szCs w:val="17"/>
          <w:lang w:val="en-GB"/>
        </w:rPr>
        <w:t>Compliance with the Standard</w:t>
      </w:r>
    </w:p>
    <w:p w:rsidR="00E70407" w:rsidRPr="00E70407" w:rsidRDefault="00E70407" w:rsidP="00E70407">
      <w:p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2.1</w:t>
      </w:r>
      <w:r w:rsidRPr="00E70407">
        <w:rPr>
          <w:rFonts w:ascii="Times New Roman" w:eastAsia="Times New Roman" w:hAnsi="Times New Roman"/>
          <w:b/>
          <w:bCs/>
          <w:sz w:val="17"/>
          <w:szCs w:val="17"/>
          <w:lang w:val="en-GB"/>
        </w:rPr>
        <w:tab/>
        <w:t xml:space="preserve">Registration of employers </w:t>
      </w:r>
      <w:r w:rsidRPr="00E70407">
        <w:rPr>
          <w:rFonts w:ascii="Times New Roman" w:eastAsia="Times New Roman" w:hAnsi="Times New Roman"/>
          <w:b/>
          <w:bCs/>
          <w:i/>
          <w:iCs/>
          <w:sz w:val="17"/>
          <w:szCs w:val="17"/>
          <w:lang w:val="en-GB"/>
        </w:rPr>
        <w:t>(SAS Act</w:t>
      </w:r>
      <w:r w:rsidRPr="00E70407">
        <w:rPr>
          <w:rFonts w:ascii="Times New Roman" w:eastAsia="Times New Roman" w:hAnsi="Times New Roman"/>
          <w:b/>
          <w:bCs/>
          <w:sz w:val="17"/>
          <w:szCs w:val="17"/>
          <w:lang w:val="en-GB"/>
        </w:rPr>
        <w:t>, S46, S54F)</w:t>
      </w:r>
    </w:p>
    <w:p w:rsidR="00E70407" w:rsidRPr="00E70407" w:rsidRDefault="00E70407" w:rsidP="00E70407">
      <w:pPr>
        <w:tabs>
          <w:tab w:val="left" w:pos="709"/>
        </w:tabs>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2.1.1</w:t>
      </w:r>
      <w:r w:rsidRPr="00E70407">
        <w:rPr>
          <w:rFonts w:ascii="Times New Roman" w:eastAsia="Times New Roman" w:hAnsi="Times New Roman"/>
          <w:sz w:val="17"/>
          <w:szCs w:val="17"/>
          <w:lang w:val="en-GB"/>
        </w:rPr>
        <w:tab/>
        <w:t>An employer must not enter into a Training Contract to train a person unless the employer is:</w:t>
      </w:r>
    </w:p>
    <w:p w:rsidR="00E70407" w:rsidRPr="00E70407" w:rsidRDefault="00E70407" w:rsidP="00E70407">
      <w:pPr>
        <w:numPr>
          <w:ilvl w:val="0"/>
          <w:numId w:val="243"/>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registered</w:t>
      </w:r>
    </w:p>
    <w:p w:rsidR="00E70407" w:rsidRPr="00E70407" w:rsidRDefault="00E70407" w:rsidP="00E70407">
      <w:pPr>
        <w:numPr>
          <w:ilvl w:val="0"/>
          <w:numId w:val="243"/>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operating within the scope of their registration</w:t>
      </w:r>
    </w:p>
    <w:p w:rsidR="00E70407" w:rsidRPr="00E70407" w:rsidRDefault="00E70407" w:rsidP="00E70407">
      <w:pPr>
        <w:numPr>
          <w:ilvl w:val="0"/>
          <w:numId w:val="243"/>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complying with any other conditions of the registration.</w:t>
      </w:r>
    </w:p>
    <w:p w:rsidR="00E70407" w:rsidRPr="00E70407" w:rsidRDefault="00E70407" w:rsidP="00E70407">
      <w:pPr>
        <w:tabs>
          <w:tab w:val="left" w:pos="709"/>
        </w:tabs>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2.1.2</w:t>
      </w:r>
      <w:r w:rsidRPr="00E70407">
        <w:rPr>
          <w:rFonts w:ascii="Times New Roman" w:eastAsia="Times New Roman" w:hAnsi="Times New Roman"/>
          <w:sz w:val="17"/>
          <w:szCs w:val="17"/>
          <w:lang w:val="en-GB"/>
        </w:rPr>
        <w:tab/>
        <w:t>To become registered, an employer must apply to the Commission.</w:t>
      </w:r>
    </w:p>
    <w:p w:rsidR="00E70407" w:rsidRPr="00E70407" w:rsidRDefault="00E70407" w:rsidP="00E70407">
      <w:pPr>
        <w:tabs>
          <w:tab w:val="left" w:pos="709"/>
        </w:tabs>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2.1.3</w:t>
      </w:r>
      <w:r w:rsidRPr="00E70407">
        <w:rPr>
          <w:rFonts w:ascii="Times New Roman" w:eastAsia="Times New Roman" w:hAnsi="Times New Roman"/>
          <w:sz w:val="17"/>
          <w:szCs w:val="17"/>
          <w:lang w:val="en-GB"/>
        </w:rPr>
        <w:tab/>
        <w:t>Upon application, the Commission will register the employer if:</w:t>
      </w:r>
    </w:p>
    <w:p w:rsidR="00E70407" w:rsidRPr="00E70407" w:rsidRDefault="00E70407" w:rsidP="00E70407">
      <w:pPr>
        <w:numPr>
          <w:ilvl w:val="0"/>
          <w:numId w:val="242"/>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employer is not prohibited</w:t>
      </w:r>
    </w:p>
    <w:p w:rsidR="00E70407" w:rsidRPr="00E70407" w:rsidRDefault="00E70407" w:rsidP="00E70407">
      <w:pPr>
        <w:numPr>
          <w:ilvl w:val="0"/>
          <w:numId w:val="242"/>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employer satisfies the requirements set out in this Standard</w:t>
      </w:r>
    </w:p>
    <w:p w:rsidR="00E70407" w:rsidRPr="00E70407" w:rsidRDefault="00E70407" w:rsidP="00E70407">
      <w:pPr>
        <w:numPr>
          <w:ilvl w:val="0"/>
          <w:numId w:val="242"/>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it is, in the Commission’s opinion, appropriate to do so.</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lang w:val="en-GB"/>
        </w:rPr>
        <w:t>2.1.4</w:t>
      </w:r>
      <w:r w:rsidRPr="00E70407">
        <w:rPr>
          <w:rFonts w:ascii="Times New Roman" w:eastAsia="Times New Roman" w:hAnsi="Times New Roman"/>
          <w:sz w:val="17"/>
          <w:szCs w:val="17"/>
          <w:lang w:val="en-GB"/>
        </w:rPr>
        <w:tab/>
        <w:t xml:space="preserve">An application to be registered as an employer must be made using the online Employer Registration Application Portal available at </w:t>
      </w:r>
      <w:hyperlink r:id="rId82" w:history="1">
        <w:r w:rsidRPr="00E70407">
          <w:rPr>
            <w:rFonts w:ascii="Times New Roman" w:eastAsia="Times New Roman" w:hAnsi="Times New Roman"/>
            <w:color w:val="0000FF"/>
            <w:sz w:val="17"/>
            <w:szCs w:val="17"/>
            <w:u w:val="single"/>
          </w:rPr>
          <w:t>https://atlas.skills.sa.gov.au/</w:t>
        </w:r>
      </w:hyperlink>
    </w:p>
    <w:p w:rsidR="00E70407" w:rsidRPr="00E70407" w:rsidRDefault="00E70407" w:rsidP="00E70407">
      <w:pPr>
        <w:tabs>
          <w:tab w:val="left" w:pos="709"/>
        </w:tabs>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2.1.5</w:t>
      </w:r>
      <w:r w:rsidRPr="00E70407">
        <w:rPr>
          <w:rFonts w:ascii="Times New Roman" w:eastAsia="Times New Roman" w:hAnsi="Times New Roman"/>
          <w:sz w:val="17"/>
          <w:szCs w:val="17"/>
          <w:lang w:val="en-GB"/>
        </w:rPr>
        <w:tab/>
        <w:t>The employer must provide all the information requested in the application form.</w:t>
      </w:r>
    </w:p>
    <w:p w:rsidR="00E70407" w:rsidRPr="00E70407" w:rsidRDefault="00E70407" w:rsidP="00E70407">
      <w:pPr>
        <w:tabs>
          <w:tab w:val="left" w:pos="709"/>
        </w:tabs>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2.1.6</w:t>
      </w:r>
      <w:r w:rsidRPr="00E70407">
        <w:rPr>
          <w:rFonts w:ascii="Times New Roman" w:eastAsia="Times New Roman" w:hAnsi="Times New Roman"/>
          <w:sz w:val="17"/>
          <w:szCs w:val="17"/>
          <w:lang w:val="en-GB"/>
        </w:rPr>
        <w:tab/>
        <w:t>In addition, the employer must:</w:t>
      </w:r>
    </w:p>
    <w:p w:rsidR="00E70407" w:rsidRPr="00E70407" w:rsidRDefault="00E70407" w:rsidP="00E70407">
      <w:pPr>
        <w:numPr>
          <w:ilvl w:val="0"/>
          <w:numId w:val="241"/>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have completed any training exercises included in the application process</w:t>
      </w:r>
    </w:p>
    <w:p w:rsidR="00E70407" w:rsidRPr="00E70407" w:rsidRDefault="00E70407" w:rsidP="00E70407">
      <w:pPr>
        <w:numPr>
          <w:ilvl w:val="0"/>
          <w:numId w:val="241"/>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read and accept the terms and conditions contained in the application form</w:t>
      </w:r>
    </w:p>
    <w:p w:rsidR="00E70407" w:rsidRPr="00E70407" w:rsidRDefault="00E70407" w:rsidP="00E70407">
      <w:pPr>
        <w:numPr>
          <w:ilvl w:val="0"/>
          <w:numId w:val="241"/>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declare the information contained in the application is true and accurate and that the applicant is authorised to make the application on behalf of the employer.</w:t>
      </w:r>
    </w:p>
    <w:p w:rsidR="00E70407" w:rsidRPr="00E70407" w:rsidRDefault="00E70407" w:rsidP="00E70407">
      <w:p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2.2</w:t>
      </w:r>
      <w:r w:rsidRPr="00E70407">
        <w:rPr>
          <w:rFonts w:ascii="Times New Roman" w:eastAsia="Times New Roman" w:hAnsi="Times New Roman"/>
          <w:sz w:val="17"/>
          <w:szCs w:val="17"/>
        </w:rPr>
        <w:tab/>
      </w:r>
      <w:r w:rsidRPr="00E70407">
        <w:rPr>
          <w:rFonts w:ascii="Times New Roman" w:eastAsia="Times New Roman" w:hAnsi="Times New Roman"/>
          <w:b/>
          <w:bCs/>
          <w:sz w:val="17"/>
          <w:szCs w:val="17"/>
          <w:lang w:val="en-GB"/>
        </w:rPr>
        <w:t>Scope of registration (</w:t>
      </w:r>
      <w:r w:rsidRPr="00E70407">
        <w:rPr>
          <w:rFonts w:ascii="Times New Roman" w:eastAsia="Times New Roman" w:hAnsi="Times New Roman"/>
          <w:b/>
          <w:bCs/>
          <w:i/>
          <w:iCs/>
          <w:sz w:val="17"/>
          <w:szCs w:val="17"/>
          <w:lang w:val="en-GB"/>
        </w:rPr>
        <w:t>SAS Act</w:t>
      </w:r>
      <w:r w:rsidRPr="00E70407">
        <w:rPr>
          <w:rFonts w:ascii="Times New Roman" w:eastAsia="Times New Roman" w:hAnsi="Times New Roman"/>
          <w:b/>
          <w:bCs/>
          <w:sz w:val="17"/>
          <w:szCs w:val="17"/>
          <w:lang w:val="en-GB"/>
        </w:rPr>
        <w:t>, S46, S54F)</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lastRenderedPageBreak/>
        <w:t>2.2.1</w:t>
      </w:r>
      <w:r w:rsidRPr="00E70407">
        <w:rPr>
          <w:rFonts w:ascii="Times New Roman" w:eastAsia="Times New Roman" w:hAnsi="Times New Roman"/>
          <w:sz w:val="17"/>
          <w:szCs w:val="17"/>
          <w:lang w:val="en-GB"/>
        </w:rPr>
        <w:tab/>
        <w:t>When applying for registration, an employer must select the trades (apprenticeships) or declared vocations (traineeships) for which they wish to be registered.</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2.2.2</w:t>
      </w:r>
      <w:r w:rsidRPr="00E70407">
        <w:rPr>
          <w:rFonts w:ascii="Times New Roman" w:eastAsia="Times New Roman" w:hAnsi="Times New Roman"/>
          <w:sz w:val="17"/>
          <w:szCs w:val="17"/>
          <w:lang w:val="en-GB"/>
        </w:rPr>
        <w:tab/>
        <w:t>As part of the application, the employer must certify they are able to deliver and support the full range of on and off-job training required for an apprentice or trainee to become competent in the selected trade or vocation, or that they otherwise have arrangements in place to transfer the Training Contract (whether through host employment  arrangements or via the substitution of the employer – for more information, applicants are referred to Standard 4, Host Employment Arrangements, and Standard 9, Transfer of Training Contracts and Substitute Employer, respectively) in order to provide the full range of training.</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2.2.3</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 xml:space="preserve">Each trade or declared vocation selected by the applicant and approved by the Commission represents a condition placed on the employer’s registration under Section 54F(3)(b) of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iCs/>
          <w:sz w:val="17"/>
          <w:szCs w:val="17"/>
          <w:lang w:val="en-GB"/>
        </w:rPr>
        <w:t>Act</w:t>
      </w:r>
      <w:r w:rsidRPr="00E70407">
        <w:rPr>
          <w:rFonts w:ascii="Times New Roman" w:eastAsia="Times New Roman" w:hAnsi="Times New Roman"/>
          <w:sz w:val="17"/>
          <w:szCs w:val="17"/>
          <w:lang w:val="en-GB"/>
        </w:rPr>
        <w:t>. Collectively, the list of one or more trades and declared vocations represents the scope of the employer’s registration.</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2.2.4</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An employer must not enter into a Training Contract to train a person unless the employer is operating within the scope of their registration.</w:t>
      </w:r>
    </w:p>
    <w:p w:rsidR="00E70407" w:rsidRPr="00E70407" w:rsidRDefault="00E70407" w:rsidP="00E70407">
      <w:pPr>
        <w:tabs>
          <w:tab w:val="left" w:pos="709"/>
        </w:tabs>
        <w:ind w:left="709" w:hanging="709"/>
        <w:rPr>
          <w:rFonts w:ascii="Times New Roman" w:eastAsia="Times New Roman" w:hAnsi="Times New Roman"/>
          <w:spacing w:val="-4"/>
          <w:sz w:val="17"/>
          <w:szCs w:val="17"/>
          <w:lang w:val="en-GB"/>
        </w:rPr>
      </w:pPr>
      <w:r w:rsidRPr="00E70407">
        <w:rPr>
          <w:rFonts w:ascii="Times New Roman" w:eastAsia="Times New Roman" w:hAnsi="Times New Roman"/>
          <w:spacing w:val="-4"/>
          <w:sz w:val="17"/>
          <w:szCs w:val="17"/>
          <w:lang w:val="en-GB"/>
        </w:rPr>
        <w:t>2.2.5</w:t>
      </w:r>
      <w:r w:rsidRPr="00E70407">
        <w:rPr>
          <w:rFonts w:ascii="Times New Roman" w:eastAsia="Times New Roman" w:hAnsi="Times New Roman"/>
          <w:spacing w:val="-4"/>
          <w:sz w:val="17"/>
          <w:szCs w:val="17"/>
        </w:rPr>
        <w:tab/>
      </w:r>
      <w:r w:rsidRPr="00E70407">
        <w:rPr>
          <w:rFonts w:ascii="Times New Roman" w:eastAsia="Times New Roman" w:hAnsi="Times New Roman"/>
          <w:spacing w:val="-4"/>
          <w:sz w:val="17"/>
          <w:szCs w:val="17"/>
          <w:lang w:val="en-GB"/>
        </w:rPr>
        <w:t>An employer will be required to select at least one trade or declared vocation to be registered for during the initial registration process.</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lang w:val="en-GB"/>
        </w:rPr>
        <w:t>2.2.6</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 xml:space="preserve">The employer may request additional trades or declared vocations be added to their scope of registration by applying through the online Employer Registration Application Portal available at </w:t>
      </w:r>
      <w:hyperlink r:id="rId83" w:history="1">
        <w:r w:rsidRPr="00E70407">
          <w:rPr>
            <w:rFonts w:ascii="Times New Roman" w:eastAsia="Times New Roman" w:hAnsi="Times New Roman"/>
            <w:color w:val="0000FF"/>
            <w:sz w:val="17"/>
            <w:szCs w:val="17"/>
            <w:u w:val="single"/>
          </w:rPr>
          <w:t>https://atlas.skills.sa.gov.au/</w:t>
        </w:r>
      </w:hyperlink>
    </w:p>
    <w:p w:rsidR="00E70407" w:rsidRPr="00E70407" w:rsidRDefault="00E70407" w:rsidP="00E70407">
      <w:p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2.3</w:t>
      </w:r>
      <w:r w:rsidRPr="00E70407">
        <w:rPr>
          <w:rFonts w:ascii="Times New Roman" w:eastAsia="Times New Roman" w:hAnsi="Times New Roman"/>
          <w:b/>
          <w:bCs/>
          <w:sz w:val="17"/>
          <w:szCs w:val="17"/>
          <w:lang w:val="en-GB"/>
        </w:rPr>
        <w:tab/>
        <w:t>Other conditions of registration (</w:t>
      </w:r>
      <w:r w:rsidRPr="00E70407">
        <w:rPr>
          <w:rFonts w:ascii="Times New Roman" w:eastAsia="Times New Roman" w:hAnsi="Times New Roman"/>
          <w:b/>
          <w:bCs/>
          <w:i/>
          <w:iCs/>
          <w:sz w:val="17"/>
          <w:szCs w:val="17"/>
          <w:lang w:val="en-GB"/>
        </w:rPr>
        <w:t>SAS Act</w:t>
      </w:r>
      <w:r w:rsidRPr="00E70407">
        <w:rPr>
          <w:rFonts w:ascii="Times New Roman" w:eastAsia="Times New Roman" w:hAnsi="Times New Roman"/>
          <w:b/>
          <w:bCs/>
          <w:sz w:val="17"/>
          <w:szCs w:val="17"/>
          <w:lang w:val="en-GB"/>
        </w:rPr>
        <w:t>, S54F, Regulation 9)</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2.3.1</w:t>
      </w:r>
      <w:r w:rsidRPr="00E70407">
        <w:rPr>
          <w:rFonts w:ascii="Times New Roman" w:eastAsia="Times New Roman" w:hAnsi="Times New Roman"/>
          <w:sz w:val="17"/>
          <w:szCs w:val="17"/>
          <w:lang w:val="en-GB"/>
        </w:rPr>
        <w:tab/>
        <w:t xml:space="preserve">In addition to the scope of registration, under Section 54F(3)(b) of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iCs/>
          <w:sz w:val="17"/>
          <w:szCs w:val="17"/>
          <w:lang w:val="en-GB"/>
        </w:rPr>
        <w:t>Act</w:t>
      </w:r>
      <w:r w:rsidRPr="00E70407">
        <w:rPr>
          <w:rFonts w:ascii="Times New Roman" w:eastAsia="Times New Roman" w:hAnsi="Times New Roman"/>
          <w:sz w:val="17"/>
          <w:szCs w:val="17"/>
          <w:lang w:val="en-GB"/>
        </w:rPr>
        <w:t xml:space="preserve"> the Commission may impose such other conditions on an employer’s registration as determined by the Commission. Such conditions may include:</w:t>
      </w:r>
    </w:p>
    <w:p w:rsidR="00E70407" w:rsidRPr="00E70407" w:rsidRDefault="00E70407" w:rsidP="00E70407">
      <w:pPr>
        <w:numPr>
          <w:ilvl w:val="0"/>
          <w:numId w:val="240"/>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limiting the number of apprentices and trainees that the employer may employ at any one time</w:t>
      </w:r>
    </w:p>
    <w:p w:rsidR="00E70407" w:rsidRPr="00E70407" w:rsidRDefault="00E70407" w:rsidP="00E70407">
      <w:pPr>
        <w:numPr>
          <w:ilvl w:val="0"/>
          <w:numId w:val="240"/>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setting a minimum age limit for the apprentices and trainees an employer may employ</w:t>
      </w:r>
    </w:p>
    <w:p w:rsidR="00E70407" w:rsidRPr="00E70407" w:rsidRDefault="00E70407" w:rsidP="00E70407">
      <w:pPr>
        <w:numPr>
          <w:ilvl w:val="0"/>
          <w:numId w:val="240"/>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provision to enter into a host employment arrangement in accordance with Standard 4, Host Employment Arrangements.</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2.3.2</w:t>
      </w:r>
      <w:r w:rsidRPr="00E70407">
        <w:rPr>
          <w:rFonts w:ascii="Times New Roman" w:eastAsia="Times New Roman" w:hAnsi="Times New Roman"/>
          <w:sz w:val="17"/>
          <w:szCs w:val="17"/>
          <w:lang w:val="en-GB"/>
        </w:rPr>
        <w:tab/>
      </w:r>
      <w:r w:rsidRPr="00E70407">
        <w:rPr>
          <w:rFonts w:ascii="Times New Roman" w:eastAsia="Times New Roman" w:hAnsi="Times New Roman"/>
          <w:sz w:val="17"/>
          <w:szCs w:val="17"/>
        </w:rPr>
        <w:t xml:space="preserve">The Commission must impose a condition on registration as prescribed by the </w:t>
      </w:r>
      <w:r w:rsidRPr="00E70407">
        <w:rPr>
          <w:rFonts w:ascii="Times New Roman" w:eastAsia="Times New Roman" w:hAnsi="Times New Roman"/>
          <w:i/>
          <w:sz w:val="17"/>
          <w:szCs w:val="17"/>
        </w:rPr>
        <w:t>South Australian Skills Regulations 2021</w:t>
      </w:r>
      <w:r w:rsidRPr="00E70407">
        <w:rPr>
          <w:rFonts w:ascii="Times New Roman" w:eastAsia="Times New Roman" w:hAnsi="Times New Roman"/>
          <w:sz w:val="17"/>
          <w:szCs w:val="17"/>
        </w:rPr>
        <w:t xml:space="preserve"> (the </w:t>
      </w:r>
      <w:r w:rsidRPr="00E70407">
        <w:rPr>
          <w:rFonts w:ascii="Times New Roman" w:eastAsia="Times New Roman" w:hAnsi="Times New Roman"/>
          <w:i/>
          <w:sz w:val="17"/>
          <w:szCs w:val="17"/>
        </w:rPr>
        <w:t>Regulations</w:t>
      </w:r>
      <w:r w:rsidRPr="00E70407">
        <w:rPr>
          <w:rFonts w:ascii="Times New Roman" w:eastAsia="Times New Roman" w:hAnsi="Times New Roman"/>
          <w:sz w:val="17"/>
          <w:szCs w:val="17"/>
        </w:rPr>
        <w:t xml:space="preserve">). </w:t>
      </w:r>
      <w:r w:rsidRPr="00E70407">
        <w:rPr>
          <w:rFonts w:ascii="Times New Roman" w:eastAsia="Times New Roman" w:hAnsi="Times New Roman"/>
          <w:sz w:val="17"/>
          <w:szCs w:val="17"/>
          <w:lang w:val="en-GB"/>
        </w:rPr>
        <w:t>Regulation</w:t>
      </w:r>
      <w:r w:rsidRPr="00E70407">
        <w:rPr>
          <w:rFonts w:ascii="Times New Roman" w:eastAsia="Times New Roman" w:hAnsi="Times New Roman"/>
          <w:sz w:val="17"/>
          <w:szCs w:val="17"/>
        </w:rPr>
        <w:t xml:space="preserve"> 9 makes it a requirement of the registration that an employer satisfies the employer supervision requirements as set out in Standard 5.</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2.3.3</w:t>
      </w:r>
      <w:r w:rsidRPr="00E70407">
        <w:rPr>
          <w:rFonts w:ascii="Times New Roman" w:eastAsia="Times New Roman" w:hAnsi="Times New Roman"/>
          <w:sz w:val="17"/>
          <w:szCs w:val="17"/>
          <w:lang w:val="en-GB"/>
        </w:rPr>
        <w:tab/>
        <w:t>The Commission may impose conditions on an employer’s registration at the time of the initial registration, or renewal of registration, or during the period of registration.</w:t>
      </w:r>
    </w:p>
    <w:p w:rsidR="00E70407" w:rsidRPr="00E70407" w:rsidRDefault="00E70407" w:rsidP="00E70407">
      <w:p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2.4</w:t>
      </w:r>
      <w:r w:rsidRPr="00E70407">
        <w:rPr>
          <w:rFonts w:ascii="Times New Roman" w:eastAsia="Times New Roman" w:hAnsi="Times New Roman"/>
          <w:b/>
          <w:bCs/>
          <w:sz w:val="17"/>
          <w:szCs w:val="17"/>
          <w:lang w:val="en-GB"/>
        </w:rPr>
        <w:tab/>
        <w:t>Variation, suspension, and cancellation of registration (</w:t>
      </w:r>
      <w:r w:rsidRPr="00E70407">
        <w:rPr>
          <w:rFonts w:ascii="Times New Roman" w:eastAsia="Times New Roman" w:hAnsi="Times New Roman"/>
          <w:b/>
          <w:bCs/>
          <w:i/>
          <w:iCs/>
          <w:sz w:val="17"/>
          <w:szCs w:val="17"/>
          <w:lang w:val="en-GB"/>
        </w:rPr>
        <w:t>SAS Act</w:t>
      </w:r>
      <w:r w:rsidRPr="00E70407">
        <w:rPr>
          <w:rFonts w:ascii="Times New Roman" w:eastAsia="Times New Roman" w:hAnsi="Times New Roman"/>
          <w:b/>
          <w:bCs/>
          <w:sz w:val="17"/>
          <w:szCs w:val="17"/>
          <w:lang w:val="en-GB"/>
        </w:rPr>
        <w:t>, S54G)</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2.4.1</w:t>
      </w:r>
      <w:r w:rsidRPr="00E70407">
        <w:rPr>
          <w:rFonts w:ascii="Times New Roman" w:eastAsia="Times New Roman" w:hAnsi="Times New Roman"/>
          <w:sz w:val="17"/>
          <w:szCs w:val="17"/>
          <w:lang w:val="en-GB"/>
        </w:rPr>
        <w:tab/>
        <w:t>An employer’s registration may be varied, suspended, or cancelled, whether through an application by the employer or on the Commission’s own volition.</w:t>
      </w:r>
    </w:p>
    <w:p w:rsidR="00E70407" w:rsidRPr="00E70407" w:rsidRDefault="00E70407" w:rsidP="00E70407">
      <w:pPr>
        <w:tabs>
          <w:tab w:val="left" w:pos="709"/>
        </w:tabs>
        <w:ind w:left="709" w:hanging="709"/>
        <w:rPr>
          <w:rFonts w:ascii="Times New Roman" w:eastAsia="Times New Roman" w:hAnsi="Times New Roman"/>
          <w:sz w:val="17"/>
          <w:szCs w:val="17"/>
          <w:u w:val="single"/>
        </w:rPr>
      </w:pPr>
      <w:r w:rsidRPr="00E70407">
        <w:rPr>
          <w:rFonts w:ascii="Times New Roman" w:eastAsia="Times New Roman" w:hAnsi="Times New Roman"/>
          <w:sz w:val="17"/>
          <w:szCs w:val="17"/>
          <w:lang w:val="en-GB"/>
        </w:rPr>
        <w:t>2.4.2</w:t>
      </w:r>
      <w:r w:rsidRPr="00E70407">
        <w:rPr>
          <w:rFonts w:ascii="Times New Roman" w:eastAsia="Times New Roman" w:hAnsi="Times New Roman"/>
          <w:sz w:val="17"/>
          <w:szCs w:val="17"/>
          <w:lang w:val="en-GB"/>
        </w:rPr>
        <w:tab/>
        <w:t>An employer may apply to the Commission to vary or revoke a condition placed on their registration, or to cancel their registration. Applications to vary or cancel a registration should be made via</w:t>
      </w:r>
      <w:r w:rsidRPr="00E70407">
        <w:rPr>
          <w:rFonts w:ascii="Times New Roman" w:eastAsia="Times New Roman" w:hAnsi="Times New Roman"/>
          <w:sz w:val="17"/>
          <w:szCs w:val="17"/>
          <w:u w:val="single"/>
          <w:lang w:val="en-GB"/>
        </w:rPr>
        <w:t xml:space="preserve"> </w:t>
      </w:r>
      <w:hyperlink r:id="rId84" w:history="1">
        <w:r w:rsidRPr="00E70407">
          <w:rPr>
            <w:rFonts w:ascii="Times New Roman" w:eastAsia="Times New Roman" w:hAnsi="Times New Roman"/>
            <w:color w:val="0000FF"/>
            <w:sz w:val="17"/>
            <w:szCs w:val="17"/>
            <w:u w:val="single"/>
          </w:rPr>
          <w:t>https://atlas.skills.sa.gov.au/</w:t>
        </w:r>
      </w:hyperlink>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2.4.3</w:t>
      </w:r>
      <w:r w:rsidRPr="00E70407">
        <w:rPr>
          <w:rFonts w:ascii="Times New Roman" w:eastAsia="Times New Roman" w:hAnsi="Times New Roman"/>
          <w:sz w:val="17"/>
          <w:szCs w:val="17"/>
          <w:lang w:val="en-GB"/>
        </w:rPr>
        <w:tab/>
        <w:t xml:space="preserve">The Commission must cancel an employer’s registration upon application by the employer and may vary or revoke a condition (not being a condition imposed by the Regulations) of the registration as outlined in Section 54G(2)(b) of the </w:t>
      </w:r>
      <w:r w:rsidRPr="00E70407">
        <w:rPr>
          <w:rFonts w:ascii="Times New Roman" w:eastAsia="Times New Roman" w:hAnsi="Times New Roman"/>
          <w:i/>
          <w:iCs/>
          <w:sz w:val="17"/>
          <w:szCs w:val="17"/>
          <w:lang w:val="en-GB"/>
        </w:rPr>
        <w:t>SAS Act</w:t>
      </w:r>
      <w:r w:rsidRPr="00E70407">
        <w:rPr>
          <w:rFonts w:ascii="Times New Roman" w:eastAsia="Times New Roman" w:hAnsi="Times New Roman"/>
          <w:sz w:val="17"/>
          <w:szCs w:val="17"/>
          <w:lang w:val="en-GB"/>
        </w:rPr>
        <w:t xml:space="preserve"> and the </w:t>
      </w:r>
      <w:r w:rsidRPr="00E70407">
        <w:rPr>
          <w:rFonts w:ascii="Times New Roman" w:eastAsia="Times New Roman" w:hAnsi="Times New Roman"/>
          <w:i/>
          <w:iCs/>
          <w:sz w:val="17"/>
          <w:szCs w:val="17"/>
          <w:lang w:val="en-GB"/>
        </w:rPr>
        <w:t>Regulations</w:t>
      </w:r>
      <w:r w:rsidRPr="00E70407">
        <w:rPr>
          <w:rFonts w:ascii="Times New Roman" w:eastAsia="Times New Roman" w:hAnsi="Times New Roman"/>
          <w:sz w:val="17"/>
          <w:szCs w:val="17"/>
          <w:lang w:val="en-GB"/>
        </w:rPr>
        <w:t>.</w:t>
      </w:r>
    </w:p>
    <w:p w:rsidR="00E70407" w:rsidRPr="00E70407" w:rsidRDefault="00E70407" w:rsidP="00E70407">
      <w:pPr>
        <w:tabs>
          <w:tab w:val="left" w:pos="709"/>
        </w:tabs>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2.4.4</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If the Commission declares an employer to be prohibited, it must cancel the employer’s registration.</w:t>
      </w:r>
    </w:p>
    <w:p w:rsidR="00E70407" w:rsidRPr="00E70407" w:rsidRDefault="00E70407" w:rsidP="00E70407">
      <w:pPr>
        <w:tabs>
          <w:tab w:val="left" w:pos="709"/>
        </w:tabs>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2.4.5</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Additionally, if the Commission is satisfied that:</w:t>
      </w:r>
    </w:p>
    <w:p w:rsidR="00E70407" w:rsidRPr="00E70407" w:rsidRDefault="00E70407" w:rsidP="00E70407">
      <w:pPr>
        <w:ind w:left="1120" w:hanging="42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a) </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 xml:space="preserve">an employer has contravened a provision of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iCs/>
          <w:sz w:val="17"/>
          <w:szCs w:val="17"/>
          <w:lang w:val="en-GB"/>
        </w:rPr>
        <w:t>Act</w:t>
      </w:r>
      <w:r w:rsidRPr="00E70407">
        <w:rPr>
          <w:rFonts w:ascii="Times New Roman" w:eastAsia="Times New Roman" w:hAnsi="Times New Roman"/>
          <w:sz w:val="17"/>
          <w:szCs w:val="17"/>
          <w:lang w:val="en-GB"/>
        </w:rPr>
        <w:t xml:space="preserve">, or a corresponding law (the corresponding laws are determined in accordance with Section 54G of the </w:t>
      </w:r>
      <w:r w:rsidRPr="00E70407">
        <w:rPr>
          <w:rFonts w:ascii="Times New Roman" w:eastAsia="Times New Roman" w:hAnsi="Times New Roman"/>
          <w:i/>
          <w:iCs/>
          <w:sz w:val="17"/>
          <w:szCs w:val="17"/>
          <w:lang w:val="en-GB"/>
        </w:rPr>
        <w:t>SAS Act</w:t>
      </w:r>
      <w:r w:rsidRPr="00E70407">
        <w:rPr>
          <w:rFonts w:ascii="Times New Roman" w:eastAsia="Times New Roman" w:hAnsi="Times New Roman"/>
          <w:sz w:val="17"/>
          <w:szCs w:val="17"/>
          <w:lang w:val="en-GB"/>
        </w:rPr>
        <w:t xml:space="preserve"> and are contained in the appendices to these Standards)</w:t>
      </w:r>
    </w:p>
    <w:p w:rsidR="00E70407" w:rsidRPr="00E70407" w:rsidRDefault="00E70407" w:rsidP="00E70407">
      <w:pPr>
        <w:ind w:left="1120" w:hanging="42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b)</w:t>
      </w:r>
      <w:r w:rsidRPr="00E70407">
        <w:rPr>
          <w:rFonts w:ascii="Times New Roman" w:eastAsia="Times New Roman" w:hAnsi="Times New Roman"/>
          <w:sz w:val="17"/>
          <w:szCs w:val="17"/>
          <w:lang w:val="en-GB"/>
        </w:rPr>
        <w:tab/>
        <w:t>failed to comply with a compliance notice</w:t>
      </w:r>
    </w:p>
    <w:p w:rsidR="00E70407" w:rsidRPr="00E70407" w:rsidRDefault="00E70407" w:rsidP="00E70407">
      <w:pPr>
        <w:ind w:left="1120" w:hanging="42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c)</w:t>
      </w:r>
      <w:r w:rsidRPr="00E70407">
        <w:rPr>
          <w:rFonts w:ascii="Times New Roman" w:eastAsia="Times New Roman" w:hAnsi="Times New Roman"/>
          <w:sz w:val="17"/>
          <w:szCs w:val="17"/>
          <w:lang w:val="en-GB"/>
        </w:rPr>
        <w:tab/>
        <w:t>contravened a condition of the employer’s registration</w:t>
      </w:r>
    </w:p>
    <w:p w:rsidR="00E70407" w:rsidRPr="00E70407" w:rsidRDefault="00E70407" w:rsidP="00E70407">
      <w:pPr>
        <w:ind w:left="1120" w:hanging="42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d) </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it is otherwise in the public interest, or the interest of the apprentices or trainees employed by the employer, to vary, suspend, or cancel the employer’s registration, it may do such of the following as it thinks fit:</w:t>
      </w:r>
    </w:p>
    <w:p w:rsidR="00E70407" w:rsidRPr="00E70407" w:rsidRDefault="00E70407" w:rsidP="00E70407">
      <w:pPr>
        <w:numPr>
          <w:ilvl w:val="0"/>
          <w:numId w:val="244"/>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vary or revoke a condition of the employer’s registration</w:t>
      </w:r>
    </w:p>
    <w:p w:rsidR="00E70407" w:rsidRPr="00E70407" w:rsidRDefault="00E70407" w:rsidP="00E70407">
      <w:pPr>
        <w:numPr>
          <w:ilvl w:val="0"/>
          <w:numId w:val="244"/>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impose a new condition on the registration</w:t>
      </w:r>
    </w:p>
    <w:p w:rsidR="00E70407" w:rsidRPr="00E70407" w:rsidRDefault="00E70407" w:rsidP="00E70407">
      <w:pPr>
        <w:numPr>
          <w:ilvl w:val="0"/>
          <w:numId w:val="244"/>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suspend the registration for a specified period, or until further notice</w:t>
      </w:r>
    </w:p>
    <w:p w:rsidR="00E70407" w:rsidRPr="00E70407" w:rsidRDefault="00E70407" w:rsidP="00E70407">
      <w:pPr>
        <w:numPr>
          <w:ilvl w:val="0"/>
          <w:numId w:val="244"/>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cancel the registration.</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2.4.6</w:t>
      </w:r>
      <w:r w:rsidRPr="00E70407">
        <w:rPr>
          <w:rFonts w:ascii="Times New Roman" w:eastAsia="Times New Roman" w:hAnsi="Times New Roman"/>
          <w:sz w:val="17"/>
          <w:szCs w:val="17"/>
          <w:lang w:val="en-GB"/>
        </w:rPr>
        <w:tab/>
        <w:t xml:space="preserve">The Commission may exercise one or more of these powers irrespective of </w:t>
      </w:r>
      <w:r w:rsidRPr="00E70407">
        <w:rPr>
          <w:rFonts w:ascii="Times New Roman" w:eastAsia="Times New Roman" w:hAnsi="Times New Roman"/>
          <w:sz w:val="17"/>
          <w:szCs w:val="17"/>
        </w:rPr>
        <w:t xml:space="preserve">   </w:t>
      </w:r>
      <w:r w:rsidRPr="00E70407">
        <w:rPr>
          <w:rFonts w:ascii="Times New Roman" w:eastAsia="Times New Roman" w:hAnsi="Times New Roman"/>
          <w:sz w:val="17"/>
          <w:szCs w:val="17"/>
          <w:lang w:val="en-GB"/>
        </w:rPr>
        <w:t>whether the contravention occurred in South Australia or not.</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2.4.7</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 Commission must give the employer at least 28 days written notice before taking action to vary (or revoke a variation), suspend, or cancel the registration.</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2.4.8</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However, the Commission may suspend an employer’s registration without providing 28 days written notice if it believes on reasonable grounds that:</w:t>
      </w:r>
    </w:p>
    <w:p w:rsidR="00E70407" w:rsidRPr="00E70407" w:rsidRDefault="00E70407" w:rsidP="00E70407">
      <w:pPr>
        <w:numPr>
          <w:ilvl w:val="0"/>
          <w:numId w:val="239"/>
        </w:numPr>
        <w:ind w:left="1134" w:hanging="414"/>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an apprentice or trainee employed by the employer is at imminent risk of harm</w:t>
      </w:r>
    </w:p>
    <w:p w:rsidR="00E70407" w:rsidRPr="00E70407" w:rsidRDefault="00E70407" w:rsidP="00E70407">
      <w:pPr>
        <w:numPr>
          <w:ilvl w:val="0"/>
          <w:numId w:val="239"/>
        </w:numPr>
        <w:ind w:left="1134" w:hanging="414"/>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it is reasonably necessary or appropriate to suspend the employer’s registration without providing 28 days written notice, in order to manage that risk.</w:t>
      </w:r>
    </w:p>
    <w:p w:rsidR="00E70407" w:rsidRPr="00E70407" w:rsidRDefault="00E70407" w:rsidP="00E70407">
      <w:p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2.5</w:t>
      </w:r>
      <w:r w:rsidRPr="00E70407">
        <w:rPr>
          <w:rFonts w:ascii="Times New Roman" w:eastAsia="Times New Roman" w:hAnsi="Times New Roman"/>
          <w:sz w:val="17"/>
          <w:szCs w:val="17"/>
        </w:rPr>
        <w:tab/>
      </w:r>
      <w:r w:rsidRPr="00E70407">
        <w:rPr>
          <w:rFonts w:ascii="Times New Roman" w:eastAsia="Times New Roman" w:hAnsi="Times New Roman"/>
          <w:b/>
          <w:bCs/>
          <w:sz w:val="17"/>
          <w:szCs w:val="17"/>
          <w:lang w:val="en-GB"/>
        </w:rPr>
        <w:t>Substitution of an employer following the variation, suspension, or cancellation of registration (</w:t>
      </w:r>
      <w:r w:rsidRPr="00E70407">
        <w:rPr>
          <w:rFonts w:ascii="Times New Roman" w:eastAsia="Times New Roman" w:hAnsi="Times New Roman"/>
          <w:b/>
          <w:bCs/>
          <w:i/>
          <w:iCs/>
          <w:sz w:val="17"/>
          <w:szCs w:val="17"/>
          <w:lang w:val="en-GB"/>
        </w:rPr>
        <w:t>SAS Act</w:t>
      </w:r>
      <w:r w:rsidRPr="00E70407">
        <w:rPr>
          <w:rFonts w:ascii="Times New Roman" w:eastAsia="Times New Roman" w:hAnsi="Times New Roman"/>
          <w:b/>
          <w:bCs/>
          <w:sz w:val="17"/>
          <w:szCs w:val="17"/>
          <w:lang w:val="en-GB"/>
        </w:rPr>
        <w:t>, S54H)</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2.5.1</w:t>
      </w:r>
      <w:r w:rsidRPr="00E70407">
        <w:rPr>
          <w:rFonts w:ascii="Times New Roman" w:eastAsia="Times New Roman" w:hAnsi="Times New Roman"/>
          <w:sz w:val="17"/>
          <w:szCs w:val="17"/>
          <w:lang w:val="en-GB"/>
        </w:rPr>
        <w:tab/>
        <w:t>When an employer’s registration is suspended or cancelled, or varied such that it is no longer, in the opinion of the Commission, appropriate for the employer to continue as the employer in relation to a Training Contract, the Commission may substitute the employer for another employer.</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2.5.2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 Commission may do so on its own motion or on the application of a party to the Training Contract. A substitution may be permanent, or for a period specified by the Commission.</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2.5.3</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 proposed employer must:</w:t>
      </w:r>
    </w:p>
    <w:p w:rsidR="00E70407" w:rsidRPr="00E70407" w:rsidRDefault="00E70407" w:rsidP="00E70407">
      <w:pPr>
        <w:numPr>
          <w:ilvl w:val="0"/>
          <w:numId w:val="238"/>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not be a prohibited employer</w:t>
      </w:r>
    </w:p>
    <w:p w:rsidR="00E70407" w:rsidRPr="00E70407" w:rsidRDefault="00E70407" w:rsidP="00E70407">
      <w:pPr>
        <w:numPr>
          <w:ilvl w:val="0"/>
          <w:numId w:val="238"/>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lastRenderedPageBreak/>
        <w:t>be registered (or have applied for registration)</w:t>
      </w:r>
    </w:p>
    <w:p w:rsidR="00E70407" w:rsidRPr="00E70407" w:rsidRDefault="00E70407" w:rsidP="00E70407">
      <w:pPr>
        <w:numPr>
          <w:ilvl w:val="0"/>
          <w:numId w:val="238"/>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be complying with all the conditions of their registration</w:t>
      </w:r>
    </w:p>
    <w:p w:rsidR="00E70407" w:rsidRPr="00E70407" w:rsidRDefault="00E70407" w:rsidP="00E70407">
      <w:pPr>
        <w:numPr>
          <w:ilvl w:val="0"/>
          <w:numId w:val="238"/>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consent to the substitution.</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2.5.4</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 xml:space="preserve">When an employer is substituted under Section 54H of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iCs/>
          <w:sz w:val="17"/>
          <w:szCs w:val="17"/>
          <w:lang w:val="en-GB"/>
        </w:rPr>
        <w:t>Act</w:t>
      </w:r>
      <w:r w:rsidRPr="00E70407">
        <w:rPr>
          <w:rFonts w:ascii="Times New Roman" w:eastAsia="Times New Roman" w:hAnsi="Times New Roman"/>
          <w:sz w:val="17"/>
          <w:szCs w:val="17"/>
          <w:lang w:val="en-GB"/>
        </w:rPr>
        <w:t>, the employment of the apprentice or trainee continues with the new employer and the Training Contract continues in force. Any rights, obligations, and liabilities of the former employer in respect of the Training Contract are transferred to the new employer.</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2.5.5</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 party to a Training Contract affected by the variation, suspension, or cancellation of an employer’s registration may apply to substitute another employer for the Training Contract.</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2.5.6</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 xml:space="preserve">Transfer fees will not apply to the substitution of an employer under Section 54H of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iCs/>
          <w:sz w:val="17"/>
          <w:szCs w:val="17"/>
          <w:lang w:val="en-GB"/>
        </w:rPr>
        <w:t>Act</w:t>
      </w:r>
      <w:r w:rsidRPr="00E70407">
        <w:rPr>
          <w:rFonts w:ascii="Times New Roman" w:eastAsia="Times New Roman" w:hAnsi="Times New Roman"/>
          <w:sz w:val="17"/>
          <w:szCs w:val="17"/>
          <w:lang w:val="en-GB"/>
        </w:rPr>
        <w:t>.</w:t>
      </w:r>
    </w:p>
    <w:p w:rsidR="00E70407" w:rsidRPr="00E70407" w:rsidRDefault="00E70407" w:rsidP="00E70407">
      <w:p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2.6</w:t>
      </w:r>
      <w:r w:rsidRPr="00E70407">
        <w:rPr>
          <w:rFonts w:ascii="Times New Roman" w:eastAsia="Times New Roman" w:hAnsi="Times New Roman"/>
          <w:sz w:val="17"/>
          <w:szCs w:val="17"/>
        </w:rPr>
        <w:tab/>
      </w:r>
      <w:r w:rsidRPr="00E70407">
        <w:rPr>
          <w:rFonts w:ascii="Times New Roman" w:eastAsia="Times New Roman" w:hAnsi="Times New Roman"/>
          <w:b/>
          <w:bCs/>
          <w:sz w:val="17"/>
          <w:szCs w:val="17"/>
          <w:lang w:val="en-GB"/>
        </w:rPr>
        <w:t>Renewal of registration (</w:t>
      </w:r>
      <w:r w:rsidRPr="00E70407">
        <w:rPr>
          <w:rFonts w:ascii="Times New Roman" w:eastAsia="Times New Roman" w:hAnsi="Times New Roman"/>
          <w:b/>
          <w:bCs/>
          <w:i/>
          <w:iCs/>
          <w:sz w:val="17"/>
          <w:szCs w:val="17"/>
          <w:lang w:val="en-GB"/>
        </w:rPr>
        <w:t>SAS Act</w:t>
      </w:r>
      <w:r w:rsidRPr="00E70407">
        <w:rPr>
          <w:rFonts w:ascii="Times New Roman" w:eastAsia="Times New Roman" w:hAnsi="Times New Roman"/>
          <w:b/>
          <w:bCs/>
          <w:sz w:val="17"/>
          <w:szCs w:val="17"/>
          <w:lang w:val="en-GB"/>
        </w:rPr>
        <w:t>, S54F)</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2.6.1</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 Commission may register an employer for a period of up to 5 years. To continue to enter into Training Contracts to train a person, the employer must renew their registration prior to the expiry of this period.</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2.6.2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 Commission will notify an employer within 6 months of the expiry of their registration period, inviting them to apply for renewal of their registration for a further period of up to 5 years.</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lang w:val="en-GB"/>
        </w:rPr>
        <w:t>2.6.3</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 xml:space="preserve">An application to renew registration must be made using the online Employer Registration Application Portal available at </w:t>
      </w:r>
      <w:hyperlink r:id="rId85" w:history="1">
        <w:r w:rsidRPr="00E70407">
          <w:rPr>
            <w:rFonts w:ascii="Times New Roman" w:eastAsia="Times New Roman" w:hAnsi="Times New Roman"/>
            <w:color w:val="0000FF"/>
            <w:sz w:val="17"/>
            <w:szCs w:val="17"/>
            <w:u w:val="single"/>
          </w:rPr>
          <w:t>https://atlas.skills.sa.gov.au/</w:t>
        </w:r>
      </w:hyperlink>
    </w:p>
    <w:p w:rsidR="00E70407" w:rsidRPr="00E70407" w:rsidRDefault="00E70407" w:rsidP="00E70407">
      <w:p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2.7</w:t>
      </w:r>
      <w:r w:rsidRPr="00E70407">
        <w:rPr>
          <w:rFonts w:ascii="Times New Roman" w:eastAsia="Times New Roman" w:hAnsi="Times New Roman"/>
          <w:sz w:val="17"/>
          <w:szCs w:val="17"/>
        </w:rPr>
        <w:tab/>
      </w:r>
      <w:r w:rsidRPr="00E70407">
        <w:rPr>
          <w:rFonts w:ascii="Times New Roman" w:eastAsia="Times New Roman" w:hAnsi="Times New Roman"/>
          <w:b/>
          <w:bCs/>
          <w:sz w:val="17"/>
          <w:szCs w:val="17"/>
          <w:lang w:val="en-GB"/>
        </w:rPr>
        <w:t>Other obligations (</w:t>
      </w:r>
      <w:r w:rsidRPr="00E70407">
        <w:rPr>
          <w:rFonts w:ascii="Times New Roman" w:eastAsia="Times New Roman" w:hAnsi="Times New Roman"/>
          <w:b/>
          <w:bCs/>
          <w:i/>
          <w:iCs/>
          <w:sz w:val="17"/>
          <w:szCs w:val="17"/>
          <w:lang w:val="en-GB"/>
        </w:rPr>
        <w:t>SAS Act</w:t>
      </w:r>
      <w:r w:rsidRPr="00E70407">
        <w:rPr>
          <w:rFonts w:ascii="Times New Roman" w:eastAsia="Times New Roman" w:hAnsi="Times New Roman"/>
          <w:b/>
          <w:bCs/>
          <w:sz w:val="17"/>
          <w:szCs w:val="17"/>
          <w:lang w:val="en-GB"/>
        </w:rPr>
        <w:t>, S54K, S54L)</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2.7.1</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 employer is responsible for maintaining the accuracy and currency of their registration. An employer must notify the Commission if:</w:t>
      </w:r>
    </w:p>
    <w:p w:rsidR="00E70407" w:rsidRPr="00E70407" w:rsidRDefault="00E70407" w:rsidP="00E70407">
      <w:pPr>
        <w:numPr>
          <w:ilvl w:val="0"/>
          <w:numId w:val="237"/>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there is a material change in any information provided to the Commission regarding the registration</w:t>
      </w:r>
    </w:p>
    <w:p w:rsidR="00E70407" w:rsidRPr="00E70407" w:rsidRDefault="00E70407" w:rsidP="00E70407">
      <w:pPr>
        <w:numPr>
          <w:ilvl w:val="0"/>
          <w:numId w:val="237"/>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employer sells, or offers for sale, the business relating to the registration</w:t>
      </w:r>
    </w:p>
    <w:p w:rsidR="00E70407" w:rsidRPr="00E70407" w:rsidRDefault="00E70407" w:rsidP="00E70407">
      <w:pPr>
        <w:numPr>
          <w:ilvl w:val="0"/>
          <w:numId w:val="237"/>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employer, or the business relating to the registration, becomes insolvent or bankrupt</w:t>
      </w:r>
    </w:p>
    <w:p w:rsidR="00E70407" w:rsidRPr="00E70407" w:rsidRDefault="00E70407" w:rsidP="00E70407">
      <w:pPr>
        <w:numPr>
          <w:ilvl w:val="0"/>
          <w:numId w:val="237"/>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employer is convicted of an indictable offence or a summary offence for which a term of imprisonment may be imposed.</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2.7.2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 xml:space="preserve">An employer must maintain appropriate records to demonstrate that the obligations in the </w:t>
      </w:r>
      <w:r w:rsidRPr="00E70407">
        <w:rPr>
          <w:rFonts w:ascii="Times New Roman" w:eastAsia="Times New Roman" w:hAnsi="Times New Roman"/>
          <w:i/>
          <w:iCs/>
          <w:sz w:val="17"/>
          <w:szCs w:val="17"/>
          <w:lang w:val="en-GB"/>
        </w:rPr>
        <w:t>SAS Act, Regulations</w:t>
      </w:r>
      <w:r w:rsidRPr="00E70407">
        <w:rPr>
          <w:rFonts w:ascii="Times New Roman" w:eastAsia="Times New Roman" w:hAnsi="Times New Roman"/>
          <w:sz w:val="17"/>
          <w:szCs w:val="17"/>
          <w:lang w:val="en-GB"/>
        </w:rPr>
        <w:t xml:space="preserve"> and </w:t>
      </w:r>
      <w:hyperlink r:id="rId86">
        <w:r w:rsidRPr="00E70407">
          <w:rPr>
            <w:rFonts w:ascii="Times New Roman" w:eastAsia="Times New Roman" w:hAnsi="Times New Roman"/>
            <w:color w:val="0000FF"/>
            <w:sz w:val="17"/>
            <w:szCs w:val="17"/>
            <w:u w:val="single"/>
            <w:lang w:val="en-GB"/>
          </w:rPr>
          <w:t>Standard 14, Record Keeping</w:t>
        </w:r>
      </w:hyperlink>
      <w:r w:rsidRPr="00E70407">
        <w:rPr>
          <w:rFonts w:ascii="Times New Roman" w:eastAsia="Times New Roman" w:hAnsi="Times New Roman"/>
          <w:sz w:val="17"/>
          <w:szCs w:val="17"/>
          <w:lang w:val="en-GB"/>
        </w:rPr>
        <w:t>, have been met.</w:t>
      </w:r>
    </w:p>
    <w:p w:rsidR="00E70407" w:rsidRPr="00E70407" w:rsidRDefault="00E70407" w:rsidP="00E70407">
      <w:p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2.8</w:t>
      </w:r>
      <w:r w:rsidRPr="00E70407">
        <w:rPr>
          <w:rFonts w:ascii="Times New Roman" w:eastAsia="Times New Roman" w:hAnsi="Times New Roman"/>
          <w:sz w:val="17"/>
          <w:szCs w:val="17"/>
        </w:rPr>
        <w:tab/>
      </w:r>
      <w:r w:rsidRPr="00E70407">
        <w:rPr>
          <w:rFonts w:ascii="Times New Roman" w:eastAsia="Times New Roman" w:hAnsi="Times New Roman"/>
          <w:b/>
          <w:bCs/>
          <w:sz w:val="17"/>
          <w:szCs w:val="17"/>
          <w:lang w:val="en-GB"/>
        </w:rPr>
        <w:t>Offences relating to employer registration (</w:t>
      </w:r>
      <w:r w:rsidRPr="00E70407">
        <w:rPr>
          <w:rFonts w:ascii="Times New Roman" w:eastAsia="Times New Roman" w:hAnsi="Times New Roman"/>
          <w:b/>
          <w:bCs/>
          <w:i/>
          <w:iCs/>
          <w:sz w:val="17"/>
          <w:szCs w:val="17"/>
          <w:lang w:val="en-GB"/>
        </w:rPr>
        <w:t>SAS Act</w:t>
      </w:r>
      <w:r w:rsidRPr="00E70407">
        <w:rPr>
          <w:rFonts w:ascii="Times New Roman" w:eastAsia="Times New Roman" w:hAnsi="Times New Roman"/>
          <w:b/>
          <w:bCs/>
          <w:sz w:val="17"/>
          <w:szCs w:val="17"/>
          <w:lang w:val="en-GB"/>
        </w:rPr>
        <w:t>, S54I)</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2.8.1</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 person must not falsely represent that they are a registered employer.</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2.8.2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 registered employer must not falsely represent that the employer’s registration is, or is not, subject to a specified condition, or a condition of a specified kind.</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2.8.3</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 person must not falsely represent that:</w:t>
      </w:r>
    </w:p>
    <w:p w:rsidR="00E70407" w:rsidRPr="00E70407" w:rsidRDefault="00E70407" w:rsidP="00E70407">
      <w:pPr>
        <w:numPr>
          <w:ilvl w:val="0"/>
          <w:numId w:val="236"/>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another person is a registered employer</w:t>
      </w:r>
    </w:p>
    <w:p w:rsidR="00E70407" w:rsidRPr="00E70407" w:rsidRDefault="00E70407" w:rsidP="00E70407">
      <w:pPr>
        <w:numPr>
          <w:ilvl w:val="0"/>
          <w:numId w:val="236"/>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registration of another person is, or is not, subject to a specified condition, or a condition of a specified kind.</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2.8.4</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 maximum penalty for each of these offences is $10,000.</w:t>
      </w:r>
    </w:p>
    <w:p w:rsidR="00E70407" w:rsidRPr="00E70407" w:rsidRDefault="00E70407" w:rsidP="00E70407">
      <w:p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2.9</w:t>
      </w:r>
      <w:r w:rsidRPr="00E70407">
        <w:rPr>
          <w:rFonts w:ascii="Times New Roman" w:eastAsia="Times New Roman" w:hAnsi="Times New Roman"/>
          <w:sz w:val="17"/>
          <w:szCs w:val="17"/>
        </w:rPr>
        <w:tab/>
      </w:r>
      <w:r w:rsidRPr="00E70407">
        <w:rPr>
          <w:rFonts w:ascii="Times New Roman" w:eastAsia="Times New Roman" w:hAnsi="Times New Roman"/>
          <w:b/>
          <w:bCs/>
          <w:sz w:val="17"/>
          <w:szCs w:val="17"/>
          <w:lang w:val="en-GB"/>
        </w:rPr>
        <w:t>Review of decisions by the South Australian Civil and Administrative Tribunal (</w:t>
      </w:r>
      <w:r w:rsidRPr="00E70407">
        <w:rPr>
          <w:rFonts w:ascii="Times New Roman" w:eastAsia="Times New Roman" w:hAnsi="Times New Roman"/>
          <w:b/>
          <w:bCs/>
          <w:i/>
          <w:iCs/>
          <w:sz w:val="17"/>
          <w:szCs w:val="17"/>
          <w:lang w:val="en-GB"/>
        </w:rPr>
        <w:t>SAS Act</w:t>
      </w:r>
      <w:r w:rsidRPr="00E70407">
        <w:rPr>
          <w:rFonts w:ascii="Times New Roman" w:eastAsia="Times New Roman" w:hAnsi="Times New Roman"/>
          <w:b/>
          <w:bCs/>
          <w:sz w:val="17"/>
          <w:szCs w:val="17"/>
          <w:lang w:val="en-GB"/>
        </w:rPr>
        <w:t>, S70F)</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2.9.1</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 xml:space="preserve">The South Australian Civil and Administrative Tribunal (SACAT) has jurisdiction to review a decision of the Commission to refuse to register or renew a registration, to impose a condition on a registration, or to vary, suspend or cancel a registration under Part 4, Division 3A of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iCs/>
          <w:sz w:val="17"/>
          <w:szCs w:val="17"/>
          <w:lang w:val="en-GB"/>
        </w:rPr>
        <w:t>Act</w:t>
      </w:r>
      <w:r w:rsidRPr="00E70407">
        <w:rPr>
          <w:rFonts w:ascii="Times New Roman" w:eastAsia="Times New Roman" w:hAnsi="Times New Roman"/>
          <w:sz w:val="17"/>
          <w:szCs w:val="17"/>
          <w:lang w:val="en-GB"/>
        </w:rPr>
        <w:t>.</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2.9.2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An applicant must apply to the SACAT within 28 days of receiving notice of the relevant decision.</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2.9.3</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 SACAT may allow an extension of time to this application period if it is satisfied that:</w:t>
      </w:r>
    </w:p>
    <w:p w:rsidR="00E70407" w:rsidRPr="00E70407" w:rsidRDefault="00E70407" w:rsidP="00E70407">
      <w:pPr>
        <w:numPr>
          <w:ilvl w:val="0"/>
          <w:numId w:val="235"/>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special circumstances exist</w:t>
      </w:r>
    </w:p>
    <w:p w:rsidR="00E70407" w:rsidRPr="00E70407" w:rsidRDefault="00E70407" w:rsidP="00E70407">
      <w:pPr>
        <w:numPr>
          <w:ilvl w:val="0"/>
          <w:numId w:val="235"/>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another party will not be unreasonably disadvantaged because of the delay in commencing proceedings.</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2.9.4</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 xml:space="preserve">An application to the SACAT to review a decision must be made using the online form available at </w:t>
      </w:r>
      <w:hyperlink r:id="rId87" w:history="1">
        <w:r w:rsidRPr="00E70407">
          <w:rPr>
            <w:rFonts w:ascii="Times New Roman" w:eastAsia="Times New Roman" w:hAnsi="Times New Roman"/>
            <w:color w:val="0000FF"/>
            <w:sz w:val="17"/>
            <w:szCs w:val="17"/>
            <w:u w:val="single"/>
            <w:lang w:val="en-GB"/>
          </w:rPr>
          <w:t>www.sacat.sa.gov.au/application-form</w:t>
        </w:r>
      </w:hyperlink>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2.9.5</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rsidR="00E70407" w:rsidRPr="00E70407" w:rsidRDefault="00E70407" w:rsidP="00E70407">
      <w:pPr>
        <w:pBdr>
          <w:top w:val="single" w:sz="4" w:space="1" w:color="auto"/>
        </w:pBdr>
        <w:tabs>
          <w:tab w:val="left" w:pos="709"/>
        </w:tabs>
        <w:spacing w:before="100" w:line="14" w:lineRule="exact"/>
        <w:ind w:left="1080" w:right="1080"/>
        <w:jc w:val="center"/>
        <w:rPr>
          <w:rFonts w:ascii="Times New Roman" w:eastAsia="Times New Roman" w:hAnsi="Times New Roman"/>
          <w:sz w:val="17"/>
          <w:szCs w:val="17"/>
          <w:lang w:val="en-GB"/>
        </w:rPr>
      </w:pPr>
    </w:p>
    <w:p w:rsidR="00E70407" w:rsidRPr="00E70407" w:rsidRDefault="00E70407" w:rsidP="00E70407">
      <w:pPr>
        <w:jc w:val="center"/>
        <w:rPr>
          <w:rFonts w:ascii="Times New Roman" w:hAnsi="Times New Roman"/>
          <w:smallCaps/>
          <w:sz w:val="17"/>
          <w:szCs w:val="17"/>
        </w:rPr>
      </w:pPr>
      <w:bookmarkStart w:id="99" w:name="_Toc71813713"/>
      <w:bookmarkStart w:id="100" w:name="_Toc75255245"/>
      <w:r w:rsidRPr="00E70407">
        <w:rPr>
          <w:rFonts w:ascii="Times New Roman" w:hAnsi="Times New Roman"/>
          <w:smallCaps/>
          <w:sz w:val="17"/>
          <w:szCs w:val="17"/>
        </w:rPr>
        <w:t>Standard 3</w:t>
      </w:r>
      <w:r w:rsidRPr="00E70407">
        <w:rPr>
          <w:rFonts w:ascii="Times New Roman" w:hAnsi="Times New Roman"/>
          <w:smallCaps/>
          <w:sz w:val="17"/>
          <w:szCs w:val="17"/>
        </w:rPr>
        <w:tab/>
      </w:r>
      <w:r w:rsidRPr="00E70407">
        <w:rPr>
          <w:rFonts w:ascii="Times New Roman" w:hAnsi="Times New Roman"/>
          <w:smallCaps/>
          <w:sz w:val="17"/>
          <w:szCs w:val="17"/>
        </w:rPr>
        <w:tab/>
        <w:t>Prohibited Employers</w:t>
      </w:r>
      <w:bookmarkEnd w:id="99"/>
      <w:bookmarkEnd w:id="100"/>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This Standard outlines the conditions under which an employer may be declared by the South Australian Skills Commission (the Commission) to be a prohibited employer and outlines the conditions under which a declaration may be revoked.</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A prohibited employer is an employer that the Commission reasonably believes (and declares as such) is not suitable to employ an apprentice or trainee. Employers that are declared as prohibited by the Commission reserve the right to seek a review by the South Australian Civil Administrative Tribunal (SACAT).</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This Standard applies to the Commission (including delegate(s) and employers (including prohibited employers and those utilising hosting arrangements).</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Employers must comply with all other legislative requirements of an employer.</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sz w:val="17"/>
          <w:szCs w:val="17"/>
        </w:rPr>
        <w:t>Governance arrangements</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The decision to declare an employer prohibited and to revoke or vary a declaration rests with the Commission.</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sz w:val="17"/>
          <w:szCs w:val="17"/>
        </w:rPr>
        <w:t>Compliance with the Standard</w:t>
      </w:r>
    </w:p>
    <w:p w:rsidR="00E70407" w:rsidRPr="00E70407" w:rsidRDefault="00E70407" w:rsidP="00E70407">
      <w:pPr>
        <w:numPr>
          <w:ilvl w:val="1"/>
          <w:numId w:val="351"/>
        </w:numPr>
        <w:rPr>
          <w:rFonts w:ascii="Times New Roman" w:eastAsia="Times New Roman" w:hAnsi="Times New Roman"/>
          <w:b/>
          <w:bCs/>
          <w:sz w:val="17"/>
          <w:szCs w:val="17"/>
        </w:rPr>
      </w:pPr>
      <w:r w:rsidRPr="00E70407">
        <w:rPr>
          <w:rFonts w:ascii="Times New Roman" w:eastAsia="Times New Roman" w:hAnsi="Times New Roman"/>
          <w:b/>
          <w:bCs/>
          <w:sz w:val="17"/>
          <w:szCs w:val="17"/>
        </w:rPr>
        <w:t>Declaring an employer prohibited (</w:t>
      </w:r>
      <w:r w:rsidRPr="00E70407">
        <w:rPr>
          <w:rFonts w:ascii="Times New Roman" w:eastAsia="Times New Roman" w:hAnsi="Times New Roman"/>
          <w:b/>
          <w:bCs/>
          <w:i/>
          <w:iCs/>
          <w:sz w:val="17"/>
          <w:szCs w:val="17"/>
        </w:rPr>
        <w:t>South Australian Skills Act (SAS Act)</w:t>
      </w:r>
      <w:r w:rsidRPr="00E70407">
        <w:rPr>
          <w:rFonts w:ascii="Times New Roman" w:eastAsia="Times New Roman" w:hAnsi="Times New Roman"/>
          <w:b/>
          <w:bCs/>
          <w:sz w:val="17"/>
          <w:szCs w:val="17"/>
        </w:rPr>
        <w:t xml:space="preserve">, S54B, S54G, S54H </w:t>
      </w:r>
      <w:r w:rsidRPr="00E70407">
        <w:rPr>
          <w:rFonts w:ascii="Times New Roman" w:eastAsia="Times New Roman" w:hAnsi="Times New Roman"/>
          <w:b/>
          <w:bCs/>
          <w:i/>
          <w:iCs/>
          <w:sz w:val="17"/>
          <w:szCs w:val="17"/>
        </w:rPr>
        <w:t>Regulation</w:t>
      </w:r>
      <w:r w:rsidRPr="00E70407">
        <w:rPr>
          <w:rFonts w:ascii="Times New Roman" w:eastAsia="Times New Roman" w:hAnsi="Times New Roman"/>
          <w:b/>
          <w:bCs/>
          <w:sz w:val="17"/>
          <w:szCs w:val="17"/>
        </w:rPr>
        <w:t xml:space="preserve"> 8)</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lastRenderedPageBreak/>
        <w:t xml:space="preserve">The Commission may, by notice in writing and in accordance with any requirements set out in the </w:t>
      </w:r>
      <w:r w:rsidRPr="00E70407">
        <w:rPr>
          <w:rFonts w:ascii="Times New Roman" w:eastAsia="Times New Roman" w:hAnsi="Times New Roman"/>
          <w:i/>
          <w:iCs/>
          <w:sz w:val="17"/>
          <w:szCs w:val="17"/>
          <w:lang w:val="en-GB"/>
        </w:rPr>
        <w:t>South Australian Skills Regulations 2021</w:t>
      </w:r>
      <w:r w:rsidRPr="00E70407">
        <w:rPr>
          <w:rFonts w:ascii="Times New Roman" w:eastAsia="Times New Roman" w:hAnsi="Times New Roman"/>
          <w:sz w:val="17"/>
          <w:szCs w:val="17"/>
          <w:lang w:val="en-GB"/>
        </w:rPr>
        <w:t xml:space="preserve"> (the </w:t>
      </w:r>
      <w:r w:rsidRPr="00E70407">
        <w:rPr>
          <w:rFonts w:ascii="Times New Roman" w:eastAsia="Times New Roman" w:hAnsi="Times New Roman"/>
          <w:i/>
          <w:iCs/>
          <w:sz w:val="17"/>
          <w:szCs w:val="17"/>
          <w:lang w:val="en-GB"/>
        </w:rPr>
        <w:t>Regulations</w:t>
      </w:r>
      <w:r w:rsidRPr="00E70407">
        <w:rPr>
          <w:rFonts w:ascii="Times New Roman" w:eastAsia="Times New Roman" w:hAnsi="Times New Roman"/>
          <w:sz w:val="17"/>
          <w:szCs w:val="17"/>
          <w:lang w:val="en-GB"/>
        </w:rPr>
        <w:t>)</w:t>
      </w:r>
      <w:r w:rsidRPr="00E70407">
        <w:rPr>
          <w:rFonts w:ascii="Times New Roman" w:eastAsia="Times New Roman" w:hAnsi="Times New Roman"/>
          <w:i/>
          <w:iCs/>
          <w:sz w:val="17"/>
          <w:szCs w:val="17"/>
        </w:rPr>
        <w:t>,</w:t>
      </w:r>
      <w:r w:rsidRPr="00E70407">
        <w:rPr>
          <w:rFonts w:ascii="Times New Roman" w:eastAsia="Times New Roman" w:hAnsi="Times New Roman"/>
          <w:sz w:val="17"/>
          <w:szCs w:val="17"/>
        </w:rPr>
        <w:t xml:space="preserve"> declare an employer to be a prohibited employer if the Commission reasonably believes the employer is not a suitable person to employ an apprentice or trainee.</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 xml:space="preserve">To assist the Commission in determining whether or not to declare an employer to be prohibited, more information may be required from or relating to the employer, including: </w:t>
      </w:r>
    </w:p>
    <w:p w:rsidR="00E70407" w:rsidRPr="00E70407" w:rsidRDefault="00E70407" w:rsidP="00E70407">
      <w:pPr>
        <w:numPr>
          <w:ilvl w:val="0"/>
          <w:numId w:val="245"/>
        </w:numPr>
        <w:ind w:left="1078" w:hanging="364"/>
        <w:rPr>
          <w:rFonts w:ascii="Times New Roman" w:eastAsia="Times New Roman" w:hAnsi="Times New Roman"/>
          <w:sz w:val="17"/>
          <w:szCs w:val="17"/>
        </w:rPr>
      </w:pPr>
      <w:r w:rsidRPr="00E70407">
        <w:rPr>
          <w:rFonts w:ascii="Times New Roman" w:eastAsia="Times New Roman" w:hAnsi="Times New Roman"/>
          <w:sz w:val="17"/>
          <w:szCs w:val="17"/>
        </w:rPr>
        <w:t>the safety and wellbeing of apprentices and trainees employed by the employer</w:t>
      </w:r>
    </w:p>
    <w:p w:rsidR="00E70407" w:rsidRPr="00E70407" w:rsidRDefault="00E70407" w:rsidP="00E70407">
      <w:pPr>
        <w:numPr>
          <w:ilvl w:val="0"/>
          <w:numId w:val="245"/>
        </w:numPr>
        <w:ind w:left="1078" w:hanging="364"/>
        <w:rPr>
          <w:rFonts w:ascii="Times New Roman" w:eastAsia="Times New Roman" w:hAnsi="Times New Roman"/>
          <w:sz w:val="17"/>
          <w:szCs w:val="17"/>
        </w:rPr>
      </w:pPr>
      <w:r w:rsidRPr="00E70407">
        <w:rPr>
          <w:rFonts w:ascii="Times New Roman" w:eastAsia="Times New Roman" w:hAnsi="Times New Roman"/>
          <w:sz w:val="17"/>
          <w:szCs w:val="17"/>
        </w:rPr>
        <w:t>whether the employer is able to provide, or arrange to provide, an apprentice or trainee with the facilities, range of work, supervision and training required under a Training Plan for the apprentice or trainee</w:t>
      </w:r>
    </w:p>
    <w:p w:rsidR="00E70407" w:rsidRPr="00E70407" w:rsidRDefault="00E70407" w:rsidP="00E70407">
      <w:pPr>
        <w:numPr>
          <w:ilvl w:val="0"/>
          <w:numId w:val="245"/>
        </w:numPr>
        <w:ind w:left="1078" w:hanging="364"/>
        <w:rPr>
          <w:rFonts w:ascii="Times New Roman" w:eastAsia="Times New Roman" w:hAnsi="Times New Roman"/>
          <w:sz w:val="17"/>
          <w:szCs w:val="17"/>
        </w:rPr>
      </w:pPr>
      <w:r w:rsidRPr="00E70407">
        <w:rPr>
          <w:rFonts w:ascii="Times New Roman" w:eastAsia="Times New Roman" w:hAnsi="Times New Roman"/>
          <w:sz w:val="17"/>
          <w:szCs w:val="17"/>
        </w:rPr>
        <w:t xml:space="preserve">the employer's record in delivering training to apprentices or trainees </w:t>
      </w:r>
    </w:p>
    <w:p w:rsidR="00E70407" w:rsidRPr="00E70407" w:rsidRDefault="00E70407" w:rsidP="00E70407">
      <w:pPr>
        <w:numPr>
          <w:ilvl w:val="0"/>
          <w:numId w:val="245"/>
        </w:numPr>
        <w:ind w:left="1078" w:hanging="364"/>
        <w:rPr>
          <w:rFonts w:ascii="Times New Roman" w:eastAsia="Times New Roman" w:hAnsi="Times New Roman"/>
          <w:sz w:val="17"/>
          <w:szCs w:val="17"/>
        </w:rPr>
      </w:pPr>
      <w:r w:rsidRPr="00E70407">
        <w:rPr>
          <w:rFonts w:ascii="Times New Roman" w:eastAsia="Times New Roman" w:hAnsi="Times New Roman"/>
          <w:sz w:val="17"/>
          <w:szCs w:val="17"/>
        </w:rPr>
        <w:t>whether the employer behaves, or permits their employees to behave, in an objectionable way towards apprentices or trainees</w:t>
      </w:r>
    </w:p>
    <w:p w:rsidR="00E70407" w:rsidRPr="00E70407" w:rsidRDefault="00E70407" w:rsidP="00E70407">
      <w:pPr>
        <w:numPr>
          <w:ilvl w:val="0"/>
          <w:numId w:val="245"/>
        </w:numPr>
        <w:ind w:left="1078" w:hanging="364"/>
        <w:rPr>
          <w:rFonts w:ascii="Times New Roman" w:eastAsia="Times New Roman" w:hAnsi="Times New Roman"/>
          <w:sz w:val="17"/>
          <w:szCs w:val="17"/>
        </w:rPr>
      </w:pPr>
      <w:r w:rsidRPr="00E70407">
        <w:rPr>
          <w:rFonts w:ascii="Times New Roman" w:eastAsia="Times New Roman" w:hAnsi="Times New Roman"/>
          <w:sz w:val="17"/>
          <w:szCs w:val="17"/>
        </w:rPr>
        <w:t>whether the employer has contravened the</w:t>
      </w:r>
      <w:r w:rsidRPr="00E70407">
        <w:rPr>
          <w:rFonts w:ascii="Times New Roman" w:eastAsia="Times New Roman" w:hAnsi="Times New Roman"/>
          <w:i/>
          <w:iCs/>
          <w:sz w:val="17"/>
          <w:szCs w:val="17"/>
        </w:rPr>
        <w:t xml:space="preserve"> SAS Act</w:t>
      </w:r>
      <w:r w:rsidRPr="00E70407">
        <w:rPr>
          <w:rFonts w:ascii="Times New Roman" w:eastAsia="Times New Roman" w:hAnsi="Times New Roman"/>
          <w:sz w:val="17"/>
          <w:szCs w:val="17"/>
        </w:rPr>
        <w:t xml:space="preserve">, or any other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xml:space="preserve"> (whether of the State, another jurisdiction or the Commonwealth) relating to employment</w:t>
      </w:r>
    </w:p>
    <w:p w:rsidR="00E70407" w:rsidRPr="00E70407" w:rsidRDefault="00E70407" w:rsidP="00E70407">
      <w:pPr>
        <w:numPr>
          <w:ilvl w:val="0"/>
          <w:numId w:val="245"/>
        </w:numPr>
        <w:ind w:left="1078" w:hanging="364"/>
        <w:rPr>
          <w:rFonts w:ascii="Times New Roman" w:eastAsia="Times New Roman" w:hAnsi="Times New Roman"/>
          <w:sz w:val="17"/>
          <w:szCs w:val="17"/>
        </w:rPr>
      </w:pPr>
      <w:r w:rsidRPr="00E70407">
        <w:rPr>
          <w:rFonts w:ascii="Times New Roman" w:eastAsia="Times New Roman" w:hAnsi="Times New Roman"/>
          <w:sz w:val="17"/>
          <w:szCs w:val="17"/>
        </w:rPr>
        <w:t>the criminal history of the employer</w:t>
      </w:r>
    </w:p>
    <w:p w:rsidR="00E70407" w:rsidRPr="00E70407" w:rsidRDefault="00E70407" w:rsidP="00E70407">
      <w:pPr>
        <w:numPr>
          <w:ilvl w:val="0"/>
          <w:numId w:val="245"/>
        </w:numPr>
        <w:ind w:left="1078" w:hanging="364"/>
        <w:rPr>
          <w:rFonts w:ascii="Times New Roman" w:eastAsia="Times New Roman" w:hAnsi="Times New Roman"/>
          <w:sz w:val="17"/>
          <w:szCs w:val="17"/>
        </w:rPr>
      </w:pPr>
      <w:r w:rsidRPr="00E70407">
        <w:rPr>
          <w:rFonts w:ascii="Times New Roman" w:eastAsia="Times New Roman" w:hAnsi="Times New Roman"/>
          <w:sz w:val="17"/>
          <w:szCs w:val="17"/>
        </w:rPr>
        <w:t xml:space="preserve">whether the employer is a fit and proper person to employ an apprentice or trainee </w:t>
      </w:r>
    </w:p>
    <w:p w:rsidR="00E70407" w:rsidRPr="00E70407" w:rsidRDefault="00E70407" w:rsidP="00E70407">
      <w:pPr>
        <w:numPr>
          <w:ilvl w:val="0"/>
          <w:numId w:val="245"/>
        </w:numPr>
        <w:ind w:left="1078" w:hanging="364"/>
        <w:rPr>
          <w:rFonts w:ascii="Times New Roman" w:eastAsia="Times New Roman" w:hAnsi="Times New Roman"/>
          <w:sz w:val="17"/>
          <w:szCs w:val="17"/>
        </w:rPr>
      </w:pPr>
      <w:r w:rsidRPr="00E70407">
        <w:rPr>
          <w:rFonts w:ascii="Times New Roman" w:eastAsia="Times New Roman" w:hAnsi="Times New Roman"/>
          <w:sz w:val="17"/>
          <w:szCs w:val="17"/>
        </w:rPr>
        <w:t xml:space="preserve">any other matter prescribed by the </w:t>
      </w:r>
      <w:r w:rsidRPr="00E70407">
        <w:rPr>
          <w:rFonts w:ascii="Times New Roman" w:eastAsia="Times New Roman" w:hAnsi="Times New Roman"/>
          <w:i/>
          <w:iCs/>
          <w:sz w:val="17"/>
          <w:szCs w:val="17"/>
        </w:rPr>
        <w:t>Regulations</w:t>
      </w:r>
      <w:r w:rsidRPr="00E70407">
        <w:rPr>
          <w:rFonts w:ascii="Times New Roman" w:eastAsia="Times New Roman" w:hAnsi="Times New Roman"/>
          <w:sz w:val="17"/>
          <w:szCs w:val="17"/>
        </w:rPr>
        <w:t xml:space="preserve">. </w:t>
      </w:r>
    </w:p>
    <w:p w:rsidR="00E70407" w:rsidRPr="00E70407" w:rsidRDefault="00E70407" w:rsidP="00E70407">
      <w:pPr>
        <w:numPr>
          <w:ilvl w:val="2"/>
          <w:numId w:val="351"/>
        </w:numPr>
        <w:rPr>
          <w:rFonts w:ascii="Times New Roman" w:eastAsia="Times New Roman" w:hAnsi="Times New Roman"/>
          <w:sz w:val="17"/>
          <w:szCs w:val="17"/>
        </w:rPr>
      </w:pPr>
      <w:bookmarkStart w:id="101" w:name="_Hlk72916348"/>
      <w:r w:rsidRPr="00E70407">
        <w:rPr>
          <w:rFonts w:ascii="Times New Roman" w:eastAsia="Times New Roman" w:hAnsi="Times New Roman"/>
          <w:sz w:val="17"/>
          <w:szCs w:val="17"/>
        </w:rPr>
        <w:t>The Commission may seek and take into account more information than indicated in the above clause 3.1.2 and may seek information from more than one person concerned in the ownership and/or management of the employer. The Commission may have regard to any other matter the Commission considers relevant to the decision whether to declare the employer to be a prohibited employer.</w:t>
      </w:r>
      <w:bookmarkEnd w:id="101"/>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Before declaring an employer to be prohibited, the Commission must give notice in writing to the employer of the proposed declaration and allow a period of 14 days (or such longer period as the Commission may allow) to make submissions in writing to the Commission as to why the declaration should not be made.</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The Commission may vary, suspend or cancel the registration of a registered employer without notice if it believes on reasonable grounds that an apprentice or trainee employed by the employer is at imminent risk of harm, and it is necessary or appropriate to vary, suspend or cancel the registration of an employer without giving notice, in order to manage the risk.</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If the Commission declares an employer to be a prohibited employer, that employer’s registration to employ an apprentice or trainee is cancelled from the date of the declaration.</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 xml:space="preserve">Under Section 54B(3)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a declaration may be conditional or unconditional and may be for a stated or indefinite period.</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A notice declaring an employer to be prohibited must set out the following:</w:t>
      </w:r>
    </w:p>
    <w:p w:rsidR="00E70407" w:rsidRPr="00E70407" w:rsidRDefault="00E70407" w:rsidP="00E70407">
      <w:pPr>
        <w:numPr>
          <w:ilvl w:val="0"/>
          <w:numId w:val="247"/>
        </w:numPr>
        <w:rPr>
          <w:rFonts w:ascii="Times New Roman" w:eastAsia="Times New Roman" w:hAnsi="Times New Roman"/>
          <w:sz w:val="17"/>
          <w:szCs w:val="17"/>
        </w:rPr>
      </w:pPr>
      <w:r w:rsidRPr="00E70407">
        <w:rPr>
          <w:rFonts w:ascii="Times New Roman" w:eastAsia="Times New Roman" w:hAnsi="Times New Roman"/>
          <w:sz w:val="17"/>
          <w:szCs w:val="17"/>
        </w:rPr>
        <w:t xml:space="preserve">the conditions (if any) that apply in relation to the declaration under Section 54B(3)(a)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p>
    <w:p w:rsidR="00E70407" w:rsidRPr="00E70407" w:rsidRDefault="00E70407" w:rsidP="00E70407">
      <w:pPr>
        <w:numPr>
          <w:ilvl w:val="0"/>
          <w:numId w:val="247"/>
        </w:numPr>
        <w:rPr>
          <w:rFonts w:ascii="Times New Roman" w:eastAsia="Times New Roman" w:hAnsi="Times New Roman"/>
          <w:sz w:val="17"/>
          <w:szCs w:val="17"/>
        </w:rPr>
      </w:pPr>
      <w:r w:rsidRPr="00E70407">
        <w:rPr>
          <w:rFonts w:ascii="Times New Roman" w:eastAsia="Times New Roman" w:hAnsi="Times New Roman"/>
          <w:sz w:val="17"/>
          <w:szCs w:val="17"/>
        </w:rPr>
        <w:t xml:space="preserve">if the declaration is for a period stated in the notice or an indefinite period in accordance with Section 54B(3)(b)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 xml:space="preserve">Prohibited employers will be listed on the South Australian Skills Register including details of any conditions and the stated period of prohibition. </w:t>
      </w:r>
    </w:p>
    <w:p w:rsidR="00E70407" w:rsidRPr="00E70407" w:rsidRDefault="00E70407" w:rsidP="00E70407">
      <w:pPr>
        <w:numPr>
          <w:ilvl w:val="1"/>
          <w:numId w:val="351"/>
        </w:numPr>
        <w:rPr>
          <w:rFonts w:ascii="Times New Roman" w:eastAsia="Times New Roman" w:hAnsi="Times New Roman"/>
          <w:b/>
          <w:bCs/>
          <w:sz w:val="17"/>
          <w:szCs w:val="17"/>
        </w:rPr>
      </w:pPr>
      <w:r w:rsidRPr="00E70407">
        <w:rPr>
          <w:rFonts w:ascii="Times New Roman" w:eastAsia="Times New Roman" w:hAnsi="Times New Roman"/>
          <w:b/>
          <w:bCs/>
          <w:sz w:val="17"/>
          <w:szCs w:val="17"/>
        </w:rPr>
        <w:t>Obligations for prohibited employers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S54D, S54E)</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A prohibited employer must not:</w:t>
      </w:r>
    </w:p>
    <w:p w:rsidR="00E70407" w:rsidRPr="00E70407" w:rsidRDefault="00E70407" w:rsidP="00E70407">
      <w:pPr>
        <w:numPr>
          <w:ilvl w:val="0"/>
          <w:numId w:val="246"/>
        </w:numPr>
        <w:rPr>
          <w:rFonts w:ascii="Times New Roman" w:eastAsia="Times New Roman" w:hAnsi="Times New Roman"/>
          <w:sz w:val="17"/>
          <w:szCs w:val="17"/>
        </w:rPr>
      </w:pPr>
      <w:r w:rsidRPr="00E70407">
        <w:rPr>
          <w:rFonts w:ascii="Times New Roman" w:eastAsia="Times New Roman" w:hAnsi="Times New Roman"/>
          <w:sz w:val="17"/>
          <w:szCs w:val="17"/>
        </w:rPr>
        <w:t>employ, or offer to employ, a person as an apprentice or trainee</w:t>
      </w:r>
    </w:p>
    <w:p w:rsidR="00E70407" w:rsidRPr="00E70407" w:rsidRDefault="00E70407" w:rsidP="00E70407">
      <w:pPr>
        <w:numPr>
          <w:ilvl w:val="0"/>
          <w:numId w:val="246"/>
        </w:numPr>
        <w:rPr>
          <w:rFonts w:ascii="Times New Roman" w:eastAsia="Times New Roman" w:hAnsi="Times New Roman"/>
          <w:sz w:val="17"/>
          <w:szCs w:val="17"/>
        </w:rPr>
      </w:pPr>
      <w:r w:rsidRPr="00E70407">
        <w:rPr>
          <w:rFonts w:ascii="Times New Roman" w:eastAsia="Times New Roman" w:hAnsi="Times New Roman"/>
          <w:sz w:val="17"/>
          <w:szCs w:val="17"/>
        </w:rPr>
        <w:t>train or undertake to train a person in a trade</w:t>
      </w:r>
    </w:p>
    <w:p w:rsidR="00E70407" w:rsidRPr="00E70407" w:rsidRDefault="00E70407" w:rsidP="00E70407">
      <w:pPr>
        <w:numPr>
          <w:ilvl w:val="0"/>
          <w:numId w:val="246"/>
        </w:numPr>
        <w:rPr>
          <w:rFonts w:ascii="Times New Roman" w:eastAsia="Times New Roman" w:hAnsi="Times New Roman"/>
          <w:sz w:val="17"/>
          <w:szCs w:val="17"/>
        </w:rPr>
      </w:pPr>
      <w:r w:rsidRPr="00E70407">
        <w:rPr>
          <w:rFonts w:ascii="Times New Roman" w:eastAsia="Times New Roman" w:hAnsi="Times New Roman"/>
          <w:sz w:val="17"/>
          <w:szCs w:val="17"/>
        </w:rPr>
        <w:t>train or undertake to train a person in a declared vocation under a Training Contract</w:t>
      </w:r>
    </w:p>
    <w:p w:rsidR="00E70407" w:rsidRPr="00E70407" w:rsidRDefault="00E70407" w:rsidP="00E70407">
      <w:pPr>
        <w:numPr>
          <w:ilvl w:val="0"/>
          <w:numId w:val="246"/>
        </w:numPr>
        <w:rPr>
          <w:rFonts w:ascii="Times New Roman" w:eastAsia="Times New Roman" w:hAnsi="Times New Roman"/>
          <w:sz w:val="17"/>
          <w:szCs w:val="17"/>
        </w:rPr>
      </w:pPr>
      <w:r w:rsidRPr="00E70407">
        <w:rPr>
          <w:rFonts w:ascii="Times New Roman" w:eastAsia="Times New Roman" w:hAnsi="Times New Roman"/>
          <w:sz w:val="17"/>
          <w:szCs w:val="17"/>
        </w:rPr>
        <w:t>permit an apprentice or trainee to be placed with the prohibited employer under a host employment arrangement</w:t>
      </w:r>
    </w:p>
    <w:p w:rsidR="00E70407" w:rsidRPr="00E70407" w:rsidRDefault="00E70407" w:rsidP="00E70407">
      <w:pPr>
        <w:numPr>
          <w:ilvl w:val="0"/>
          <w:numId w:val="246"/>
        </w:numPr>
        <w:rPr>
          <w:rFonts w:ascii="Times New Roman" w:eastAsia="Times New Roman" w:hAnsi="Times New Roman"/>
          <w:sz w:val="17"/>
          <w:szCs w:val="17"/>
        </w:rPr>
      </w:pPr>
      <w:r w:rsidRPr="00E70407">
        <w:rPr>
          <w:rFonts w:ascii="Times New Roman" w:eastAsia="Times New Roman" w:hAnsi="Times New Roman"/>
          <w:sz w:val="17"/>
          <w:szCs w:val="17"/>
        </w:rPr>
        <w:t>falsely represent that they are not a prohibited employer.</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iCs/>
          <w:sz w:val="17"/>
          <w:szCs w:val="17"/>
        </w:rPr>
        <w:t xml:space="preserve">A prohibited employer who is the subject of a conditional declaration under </w:t>
      </w:r>
      <w:r w:rsidRPr="00E70407">
        <w:rPr>
          <w:rFonts w:ascii="Times New Roman" w:eastAsia="Times New Roman" w:hAnsi="Times New Roman"/>
          <w:sz w:val="17"/>
          <w:szCs w:val="17"/>
        </w:rPr>
        <w:t>Section 54B of the</w:t>
      </w:r>
      <w:r w:rsidRPr="00E70407">
        <w:rPr>
          <w:rFonts w:ascii="Times New Roman" w:eastAsia="Times New Roman" w:hAnsi="Times New Roman"/>
          <w:i/>
          <w:iCs/>
          <w:sz w:val="17"/>
          <w:szCs w:val="17"/>
        </w:rPr>
        <w:t xml:space="preserve"> SAS Act</w:t>
      </w:r>
      <w:r w:rsidRPr="00E70407">
        <w:rPr>
          <w:rFonts w:ascii="Times New Roman" w:eastAsia="Times New Roman" w:hAnsi="Times New Roman"/>
          <w:sz w:val="17"/>
          <w:szCs w:val="17"/>
        </w:rPr>
        <w:t xml:space="preserve"> must not falsely represent that the declaration is, or is not, subject to a specified condition, or a condition of a specified kind.</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A person must not falsely represent that:</w:t>
      </w:r>
    </w:p>
    <w:p w:rsidR="00E70407" w:rsidRPr="00E70407" w:rsidRDefault="00E70407" w:rsidP="00E70407">
      <w:pPr>
        <w:numPr>
          <w:ilvl w:val="0"/>
          <w:numId w:val="248"/>
        </w:numPr>
        <w:rPr>
          <w:rFonts w:ascii="Times New Roman" w:eastAsia="Times New Roman" w:hAnsi="Times New Roman"/>
          <w:sz w:val="17"/>
          <w:szCs w:val="17"/>
        </w:rPr>
      </w:pPr>
      <w:r w:rsidRPr="00E70407">
        <w:rPr>
          <w:rFonts w:ascii="Times New Roman" w:eastAsia="Times New Roman" w:hAnsi="Times New Roman"/>
          <w:sz w:val="17"/>
          <w:szCs w:val="17"/>
        </w:rPr>
        <w:t>another person is not a prohibited employer</w:t>
      </w:r>
    </w:p>
    <w:p w:rsidR="00E70407" w:rsidRPr="00E70407" w:rsidRDefault="00E70407" w:rsidP="00E70407">
      <w:pPr>
        <w:numPr>
          <w:ilvl w:val="0"/>
          <w:numId w:val="248"/>
        </w:numPr>
        <w:rPr>
          <w:rFonts w:ascii="Times New Roman" w:eastAsia="Times New Roman" w:hAnsi="Times New Roman"/>
          <w:sz w:val="17"/>
          <w:szCs w:val="17"/>
        </w:rPr>
      </w:pPr>
      <w:r w:rsidRPr="00E70407">
        <w:rPr>
          <w:rFonts w:ascii="Times New Roman" w:eastAsia="Times New Roman" w:hAnsi="Times New Roman"/>
          <w:sz w:val="17"/>
          <w:szCs w:val="17"/>
        </w:rPr>
        <w:t xml:space="preserve">a declaration under Section 54B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xml:space="preserve"> that another person is a prohibited employer is, or is not, subject to a specified condition, or a condition of a specified kind.</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A breach of these obligations may result in a maximum penalty of $10,000.</w:t>
      </w:r>
    </w:p>
    <w:p w:rsidR="00E70407" w:rsidRPr="00E70407" w:rsidRDefault="00E70407" w:rsidP="00E70407">
      <w:pPr>
        <w:numPr>
          <w:ilvl w:val="1"/>
          <w:numId w:val="351"/>
        </w:numPr>
        <w:rPr>
          <w:rFonts w:ascii="Times New Roman" w:eastAsia="Times New Roman" w:hAnsi="Times New Roman"/>
          <w:b/>
          <w:bCs/>
          <w:sz w:val="17"/>
          <w:szCs w:val="17"/>
        </w:rPr>
      </w:pPr>
      <w:r w:rsidRPr="00E70407">
        <w:rPr>
          <w:rFonts w:ascii="Times New Roman" w:eastAsia="Times New Roman" w:hAnsi="Times New Roman"/>
          <w:b/>
          <w:bCs/>
          <w:sz w:val="17"/>
          <w:szCs w:val="17"/>
        </w:rPr>
        <w:t>Revocation of declaration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S54C)</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The Commission may, by notice in writing vary or revoke a declaration or a condition of a declaration if the Commission is satisfied that it is, in all circumstances, appropriate to do so.</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 xml:space="preserve">An application to vary or revoke a declaration or a condition of a declaration by a prohibited employer must be made using the application form, available at </w:t>
      </w:r>
      <w:hyperlink r:id="rId88" w:history="1">
        <w:r w:rsidRPr="00E70407">
          <w:rPr>
            <w:rFonts w:ascii="Times New Roman" w:eastAsia="Times New Roman" w:hAnsi="Times New Roman"/>
            <w:color w:val="0000FF"/>
            <w:sz w:val="17"/>
            <w:szCs w:val="17"/>
            <w:u w:val="single"/>
          </w:rPr>
          <w:t>www.skills.sa.gov.au/business/forms</w:t>
        </w:r>
      </w:hyperlink>
      <w:r w:rsidRPr="00E70407">
        <w:rPr>
          <w:rFonts w:ascii="Times New Roman" w:eastAsia="Times New Roman" w:hAnsi="Times New Roman"/>
          <w:sz w:val="17"/>
          <w:szCs w:val="17"/>
        </w:rPr>
        <w:t xml:space="preserve"> and include the following information:</w:t>
      </w:r>
    </w:p>
    <w:p w:rsidR="00E70407" w:rsidRPr="00E70407" w:rsidRDefault="00E70407" w:rsidP="00E70407">
      <w:pPr>
        <w:numPr>
          <w:ilvl w:val="0"/>
          <w:numId w:val="249"/>
        </w:numPr>
        <w:rPr>
          <w:rFonts w:ascii="Times New Roman" w:eastAsia="Times New Roman" w:hAnsi="Times New Roman"/>
          <w:sz w:val="17"/>
          <w:szCs w:val="17"/>
        </w:rPr>
      </w:pPr>
      <w:r w:rsidRPr="00E70407">
        <w:rPr>
          <w:rFonts w:ascii="Times New Roman" w:eastAsia="Times New Roman" w:hAnsi="Times New Roman"/>
          <w:sz w:val="17"/>
          <w:szCs w:val="17"/>
        </w:rPr>
        <w:t>name of the employer</w:t>
      </w:r>
    </w:p>
    <w:p w:rsidR="00E70407" w:rsidRPr="00E70407" w:rsidRDefault="00E70407" w:rsidP="00E70407">
      <w:pPr>
        <w:numPr>
          <w:ilvl w:val="0"/>
          <w:numId w:val="249"/>
        </w:numPr>
        <w:rPr>
          <w:rFonts w:ascii="Times New Roman" w:eastAsia="Times New Roman" w:hAnsi="Times New Roman"/>
          <w:sz w:val="17"/>
          <w:szCs w:val="17"/>
        </w:rPr>
      </w:pPr>
      <w:r w:rsidRPr="00E70407">
        <w:rPr>
          <w:rFonts w:ascii="Times New Roman" w:eastAsia="Times New Roman" w:hAnsi="Times New Roman"/>
          <w:sz w:val="17"/>
          <w:szCs w:val="17"/>
        </w:rPr>
        <w:t>contact details of the parties to the application</w:t>
      </w:r>
    </w:p>
    <w:p w:rsidR="00E70407" w:rsidRPr="00E70407" w:rsidRDefault="00E70407" w:rsidP="00E70407">
      <w:pPr>
        <w:numPr>
          <w:ilvl w:val="0"/>
          <w:numId w:val="249"/>
        </w:numPr>
        <w:rPr>
          <w:rFonts w:ascii="Times New Roman" w:eastAsia="Times New Roman" w:hAnsi="Times New Roman"/>
          <w:sz w:val="17"/>
          <w:szCs w:val="17"/>
        </w:rPr>
      </w:pPr>
      <w:r w:rsidRPr="00E70407">
        <w:rPr>
          <w:rFonts w:ascii="Times New Roman" w:eastAsia="Times New Roman" w:hAnsi="Times New Roman"/>
          <w:sz w:val="17"/>
          <w:szCs w:val="17"/>
        </w:rPr>
        <w:t>reasons for the request to vary or revoke a condition</w:t>
      </w:r>
    </w:p>
    <w:p w:rsidR="00E70407" w:rsidRPr="00E70407" w:rsidRDefault="00E70407" w:rsidP="00E70407">
      <w:pPr>
        <w:numPr>
          <w:ilvl w:val="0"/>
          <w:numId w:val="249"/>
        </w:numPr>
        <w:rPr>
          <w:rFonts w:ascii="Times New Roman" w:eastAsia="Times New Roman" w:hAnsi="Times New Roman"/>
          <w:sz w:val="17"/>
          <w:szCs w:val="17"/>
        </w:rPr>
      </w:pPr>
      <w:r w:rsidRPr="00E70407">
        <w:rPr>
          <w:rFonts w:ascii="Times New Roman" w:eastAsia="Times New Roman" w:hAnsi="Times New Roman"/>
          <w:sz w:val="17"/>
          <w:szCs w:val="17"/>
        </w:rPr>
        <w:t>evidence to support the application.</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If the Commission varies or revokes a declaration or a condition of a declaration the South Australian Skills Register must be updated to reflect the revocation or variation.</w:t>
      </w:r>
    </w:p>
    <w:p w:rsidR="00E70407" w:rsidRPr="00E70407" w:rsidRDefault="00E70407" w:rsidP="00E70407">
      <w:pPr>
        <w:numPr>
          <w:ilvl w:val="1"/>
          <w:numId w:val="351"/>
        </w:numPr>
        <w:rPr>
          <w:rFonts w:ascii="Times New Roman" w:eastAsia="Times New Roman" w:hAnsi="Times New Roman"/>
          <w:b/>
          <w:bCs/>
          <w:sz w:val="17"/>
          <w:szCs w:val="17"/>
        </w:rPr>
      </w:pPr>
      <w:r w:rsidRPr="00E70407">
        <w:rPr>
          <w:rFonts w:ascii="Times New Roman" w:eastAsia="Times New Roman" w:hAnsi="Times New Roman"/>
          <w:b/>
          <w:bCs/>
          <w:sz w:val="17"/>
          <w:szCs w:val="17"/>
        </w:rPr>
        <w:t>Obligations for employers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S54J)</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lastRenderedPageBreak/>
        <w:t>An employer must not place, or permit the placement of, an apprentice or trainee under the Training Contract with a prohibited employer.</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A list of prohibited employers will be available on the South Australian Skills Register, including details of any conditions and whether the declaration is for a specified or indefinite period.</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If an employer places, or permits placement of, an apprentice or trainee under the Training Contract with a prohibited employer the Commission may do one or more of the following:</w:t>
      </w:r>
    </w:p>
    <w:p w:rsidR="00E70407" w:rsidRPr="00E70407" w:rsidRDefault="00E70407" w:rsidP="00E70407">
      <w:pPr>
        <w:numPr>
          <w:ilvl w:val="0"/>
          <w:numId w:val="250"/>
        </w:numPr>
        <w:rPr>
          <w:rFonts w:ascii="Times New Roman" w:eastAsia="Times New Roman" w:hAnsi="Times New Roman"/>
          <w:sz w:val="17"/>
          <w:szCs w:val="17"/>
        </w:rPr>
      </w:pPr>
      <w:r w:rsidRPr="00E70407">
        <w:rPr>
          <w:rFonts w:ascii="Times New Roman" w:eastAsia="Times New Roman" w:hAnsi="Times New Roman"/>
          <w:sz w:val="17"/>
          <w:szCs w:val="17"/>
        </w:rPr>
        <w:t>give the employer a written warning</w:t>
      </w:r>
    </w:p>
    <w:p w:rsidR="00E70407" w:rsidRPr="00E70407" w:rsidRDefault="00E70407" w:rsidP="00E70407">
      <w:pPr>
        <w:numPr>
          <w:ilvl w:val="0"/>
          <w:numId w:val="250"/>
        </w:numPr>
        <w:rPr>
          <w:rFonts w:ascii="Times New Roman" w:eastAsia="Times New Roman" w:hAnsi="Times New Roman"/>
          <w:sz w:val="17"/>
          <w:szCs w:val="17"/>
        </w:rPr>
      </w:pPr>
      <w:r w:rsidRPr="00E70407">
        <w:rPr>
          <w:rFonts w:ascii="Times New Roman" w:eastAsia="Times New Roman" w:hAnsi="Times New Roman"/>
          <w:sz w:val="17"/>
          <w:szCs w:val="17"/>
        </w:rPr>
        <w:t>vary, suspend or cancel the employers registration under Section 54G(3) of the</w:t>
      </w:r>
      <w:r w:rsidRPr="00E70407">
        <w:rPr>
          <w:rFonts w:ascii="Times New Roman" w:eastAsia="Times New Roman" w:hAnsi="Times New Roman"/>
          <w:i/>
          <w:iCs/>
          <w:sz w:val="17"/>
          <w:szCs w:val="17"/>
        </w:rPr>
        <w:t xml:space="preserve"> SAS Act</w:t>
      </w:r>
    </w:p>
    <w:p w:rsidR="00E70407" w:rsidRPr="00E70407" w:rsidRDefault="00E70407" w:rsidP="00E70407">
      <w:pPr>
        <w:numPr>
          <w:ilvl w:val="0"/>
          <w:numId w:val="250"/>
        </w:numPr>
        <w:rPr>
          <w:rFonts w:ascii="Times New Roman" w:eastAsia="Times New Roman" w:hAnsi="Times New Roman"/>
          <w:sz w:val="17"/>
          <w:szCs w:val="17"/>
        </w:rPr>
      </w:pPr>
      <w:r w:rsidRPr="00E70407">
        <w:rPr>
          <w:rFonts w:ascii="Times New Roman" w:eastAsia="Times New Roman" w:hAnsi="Times New Roman"/>
          <w:sz w:val="17"/>
          <w:szCs w:val="17"/>
        </w:rPr>
        <w:t xml:space="preserve">issue a compliance notice under Section 63 of the </w:t>
      </w:r>
      <w:r w:rsidRPr="00E70407">
        <w:rPr>
          <w:rFonts w:ascii="Times New Roman" w:eastAsia="Times New Roman" w:hAnsi="Times New Roman"/>
          <w:i/>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p>
    <w:p w:rsidR="00E70407" w:rsidRPr="00E70407" w:rsidRDefault="00E70407" w:rsidP="00E70407">
      <w:pPr>
        <w:numPr>
          <w:ilvl w:val="0"/>
          <w:numId w:val="250"/>
        </w:numPr>
        <w:rPr>
          <w:rFonts w:ascii="Times New Roman" w:eastAsia="Times New Roman" w:hAnsi="Times New Roman"/>
          <w:sz w:val="17"/>
          <w:szCs w:val="17"/>
        </w:rPr>
      </w:pPr>
      <w:r w:rsidRPr="00E70407">
        <w:rPr>
          <w:rFonts w:ascii="Times New Roman" w:eastAsia="Times New Roman" w:hAnsi="Times New Roman"/>
          <w:sz w:val="17"/>
          <w:szCs w:val="17"/>
        </w:rPr>
        <w:t>declare the employer to be a prohibited employer.</w:t>
      </w:r>
    </w:p>
    <w:p w:rsidR="00E70407" w:rsidRPr="00E70407" w:rsidRDefault="00E70407" w:rsidP="00E70407">
      <w:pPr>
        <w:numPr>
          <w:ilvl w:val="1"/>
          <w:numId w:val="351"/>
        </w:numPr>
        <w:rPr>
          <w:rFonts w:ascii="Times New Roman" w:eastAsia="Times New Roman" w:hAnsi="Times New Roman"/>
          <w:b/>
          <w:bCs/>
          <w:sz w:val="17"/>
          <w:szCs w:val="17"/>
        </w:rPr>
      </w:pPr>
      <w:r w:rsidRPr="00E70407">
        <w:rPr>
          <w:rFonts w:ascii="Times New Roman" w:eastAsia="Times New Roman" w:hAnsi="Times New Roman"/>
          <w:b/>
          <w:bCs/>
          <w:sz w:val="17"/>
          <w:szCs w:val="17"/>
        </w:rPr>
        <w:t>Other conditions related to prohibited employers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S48, S54F, S54H)</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The Commission must refuse to approve an agreement as a Training Contract if the employer is a prohibited employer, and may refuse to approve a Training Contract if the Commission reasonably suspects that the employer has engaged in conduct that is likely to result in the employer being declared a prohibited employer.</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The Commission must confirm that an employer is not prohibited prior to:</w:t>
      </w:r>
    </w:p>
    <w:p w:rsidR="00E70407" w:rsidRPr="00E70407" w:rsidRDefault="00E70407" w:rsidP="00E70407">
      <w:pPr>
        <w:numPr>
          <w:ilvl w:val="0"/>
          <w:numId w:val="251"/>
        </w:numPr>
        <w:rPr>
          <w:rFonts w:ascii="Times New Roman" w:eastAsia="Times New Roman" w:hAnsi="Times New Roman"/>
          <w:sz w:val="17"/>
          <w:szCs w:val="17"/>
        </w:rPr>
      </w:pPr>
      <w:r w:rsidRPr="00E70407">
        <w:rPr>
          <w:rFonts w:ascii="Times New Roman" w:eastAsia="Times New Roman" w:hAnsi="Times New Roman"/>
          <w:sz w:val="17"/>
          <w:szCs w:val="17"/>
        </w:rPr>
        <w:t>registering an employer</w:t>
      </w:r>
    </w:p>
    <w:p w:rsidR="00E70407" w:rsidRPr="00E70407" w:rsidRDefault="00E70407" w:rsidP="00E70407">
      <w:pPr>
        <w:numPr>
          <w:ilvl w:val="0"/>
          <w:numId w:val="251"/>
        </w:numPr>
        <w:rPr>
          <w:rFonts w:ascii="Times New Roman" w:eastAsia="Times New Roman" w:hAnsi="Times New Roman"/>
          <w:sz w:val="17"/>
          <w:szCs w:val="17"/>
        </w:rPr>
      </w:pPr>
      <w:r w:rsidRPr="00E70407">
        <w:rPr>
          <w:rFonts w:ascii="Times New Roman" w:eastAsia="Times New Roman" w:hAnsi="Times New Roman"/>
          <w:sz w:val="17"/>
          <w:szCs w:val="17"/>
        </w:rPr>
        <w:t>substituting an employer in relation to a Training Contract.</w:t>
      </w:r>
    </w:p>
    <w:p w:rsidR="00E70407" w:rsidRPr="00E70407" w:rsidRDefault="00E70407" w:rsidP="00E70407">
      <w:pPr>
        <w:numPr>
          <w:ilvl w:val="1"/>
          <w:numId w:val="351"/>
        </w:numPr>
        <w:rPr>
          <w:rFonts w:ascii="Times New Roman" w:eastAsia="Times New Roman" w:hAnsi="Times New Roman"/>
          <w:b/>
          <w:bCs/>
          <w:sz w:val="17"/>
          <w:szCs w:val="17"/>
        </w:rPr>
      </w:pPr>
      <w:r w:rsidRPr="00E70407">
        <w:rPr>
          <w:rFonts w:ascii="Times New Roman" w:eastAsia="Times New Roman" w:hAnsi="Times New Roman"/>
          <w:b/>
          <w:bCs/>
          <w:sz w:val="17"/>
          <w:szCs w:val="17"/>
        </w:rPr>
        <w:t>Review of decisions by the South Australian Civil and Administrative Tribunal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S70F) </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The South Australian Civil and Administrative Tribunal (SACAT) has jurisdiction to review a decision of the Commission to prohibit an employer. </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An applicant must apply to the SACAT within 28 days of receiving notice of the relevant decision. </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The SACAT may allow an extension of time to this application period if it is satisfied that: </w:t>
      </w:r>
    </w:p>
    <w:p w:rsidR="00E70407" w:rsidRPr="00E70407" w:rsidRDefault="00E70407" w:rsidP="00E70407">
      <w:pPr>
        <w:numPr>
          <w:ilvl w:val="0"/>
          <w:numId w:val="252"/>
        </w:numPr>
        <w:rPr>
          <w:rFonts w:ascii="Times New Roman" w:eastAsia="Times New Roman" w:hAnsi="Times New Roman"/>
          <w:sz w:val="17"/>
          <w:szCs w:val="17"/>
        </w:rPr>
      </w:pPr>
      <w:r w:rsidRPr="00E70407">
        <w:rPr>
          <w:rFonts w:ascii="Times New Roman" w:eastAsia="Times New Roman" w:hAnsi="Times New Roman"/>
          <w:sz w:val="17"/>
          <w:szCs w:val="17"/>
        </w:rPr>
        <w:t>special circumstances exist</w:t>
      </w:r>
    </w:p>
    <w:p w:rsidR="00E70407" w:rsidRPr="00E70407" w:rsidRDefault="00E70407" w:rsidP="00E70407">
      <w:pPr>
        <w:numPr>
          <w:ilvl w:val="0"/>
          <w:numId w:val="252"/>
        </w:numPr>
        <w:rPr>
          <w:rFonts w:ascii="Times New Roman" w:eastAsia="Times New Roman" w:hAnsi="Times New Roman"/>
          <w:sz w:val="17"/>
          <w:szCs w:val="17"/>
        </w:rPr>
      </w:pPr>
      <w:r w:rsidRPr="00E70407">
        <w:rPr>
          <w:rFonts w:ascii="Times New Roman" w:eastAsia="Times New Roman" w:hAnsi="Times New Roman"/>
          <w:sz w:val="17"/>
          <w:szCs w:val="17"/>
        </w:rPr>
        <w:t>another party will not be unreasonably disadvantaged because of the delay in commencing proceedings. </w:t>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 xml:space="preserve">An application to the SACAT to review a decision must be made using the online form available at </w:t>
      </w:r>
      <w:bookmarkStart w:id="102" w:name="_Hlk75509630"/>
      <w:r w:rsidRPr="00E70407">
        <w:rPr>
          <w:rFonts w:ascii="Times New Roman" w:eastAsia="Times New Roman" w:hAnsi="Times New Roman"/>
          <w:sz w:val="17"/>
          <w:szCs w:val="17"/>
        </w:rPr>
        <w:fldChar w:fldCharType="begin"/>
      </w:r>
      <w:r w:rsidRPr="00E70407">
        <w:rPr>
          <w:rFonts w:ascii="Times New Roman" w:eastAsia="Times New Roman" w:hAnsi="Times New Roman"/>
          <w:sz w:val="17"/>
          <w:szCs w:val="17"/>
        </w:rPr>
        <w:instrText xml:space="preserve"> HYPERLINK "http://www.sacat.sa.gov.au/application-form" </w:instrText>
      </w:r>
      <w:r w:rsidRPr="00E70407">
        <w:rPr>
          <w:rFonts w:ascii="Times New Roman" w:eastAsia="Times New Roman" w:hAnsi="Times New Roman"/>
          <w:sz w:val="17"/>
          <w:szCs w:val="17"/>
        </w:rPr>
        <w:fldChar w:fldCharType="separate"/>
      </w:r>
      <w:r w:rsidRPr="00E70407">
        <w:rPr>
          <w:rFonts w:ascii="Times New Roman" w:eastAsia="Times New Roman" w:hAnsi="Times New Roman"/>
          <w:color w:val="0000FF"/>
          <w:sz w:val="17"/>
          <w:szCs w:val="17"/>
          <w:u w:val="single"/>
        </w:rPr>
        <w:t>www.sacat.sa.gov.au/application-form</w:t>
      </w:r>
      <w:bookmarkEnd w:id="102"/>
      <w:r w:rsidRPr="00E70407">
        <w:rPr>
          <w:rFonts w:ascii="Times New Roman" w:eastAsia="Times New Roman" w:hAnsi="Times New Roman"/>
          <w:sz w:val="17"/>
          <w:szCs w:val="17"/>
        </w:rPr>
        <w:fldChar w:fldCharType="end"/>
      </w:r>
    </w:p>
    <w:p w:rsidR="00E70407" w:rsidRPr="00E70407" w:rsidRDefault="00E70407" w:rsidP="00E70407">
      <w:pPr>
        <w:numPr>
          <w:ilvl w:val="2"/>
          <w:numId w:val="351"/>
        </w:numPr>
        <w:rPr>
          <w:rFonts w:ascii="Times New Roman" w:eastAsia="Times New Roman" w:hAnsi="Times New Roman"/>
          <w:sz w:val="17"/>
          <w:szCs w:val="17"/>
        </w:rPr>
      </w:pPr>
      <w:r w:rsidRPr="00E70407">
        <w:rPr>
          <w:rFonts w:ascii="Times New Roman" w:eastAsia="Times New Roman" w:hAnsi="Times New Roman"/>
          <w:sz w:val="17"/>
          <w:szCs w:val="17"/>
        </w:rPr>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w:t>
      </w:r>
      <w:r w:rsidRPr="00E70407">
        <w:rPr>
          <w:rFonts w:ascii="Times New Roman" w:eastAsia="Times New Roman" w:hAnsi="Times New Roman"/>
          <w:sz w:val="17"/>
          <w:szCs w:val="17"/>
          <w:lang w:val="en-GB"/>
        </w:rPr>
        <w:t xml:space="preserve"> of the fee if they hold a valid concession card.</w:t>
      </w:r>
    </w:p>
    <w:p w:rsidR="00E70407" w:rsidRPr="00E70407" w:rsidRDefault="00E70407" w:rsidP="00E70407">
      <w:pPr>
        <w:pBdr>
          <w:top w:val="single" w:sz="4" w:space="1" w:color="auto"/>
        </w:pBdr>
        <w:spacing w:before="100" w:line="14" w:lineRule="exact"/>
        <w:ind w:left="1080" w:right="1080"/>
        <w:jc w:val="center"/>
        <w:rPr>
          <w:rFonts w:ascii="Times New Roman" w:eastAsia="Times New Roman" w:hAnsi="Times New Roman"/>
          <w:sz w:val="17"/>
          <w:szCs w:val="17"/>
        </w:rPr>
      </w:pPr>
    </w:p>
    <w:p w:rsidR="00E70407" w:rsidRPr="00E70407" w:rsidRDefault="00E70407" w:rsidP="00E70407">
      <w:pPr>
        <w:jc w:val="center"/>
        <w:rPr>
          <w:rFonts w:ascii="Times New Roman" w:hAnsi="Times New Roman"/>
          <w:smallCaps/>
          <w:sz w:val="17"/>
          <w:szCs w:val="17"/>
        </w:rPr>
      </w:pPr>
      <w:bookmarkStart w:id="103" w:name="_Toc71813714"/>
      <w:bookmarkStart w:id="104" w:name="_Toc75255246"/>
      <w:r w:rsidRPr="00E70407">
        <w:rPr>
          <w:rFonts w:ascii="Times New Roman" w:hAnsi="Times New Roman"/>
          <w:smallCaps/>
          <w:sz w:val="17"/>
          <w:szCs w:val="17"/>
        </w:rPr>
        <w:t>Standard 4</w:t>
      </w:r>
      <w:r w:rsidRPr="00E70407">
        <w:rPr>
          <w:rFonts w:ascii="Times New Roman" w:hAnsi="Times New Roman"/>
          <w:smallCaps/>
          <w:sz w:val="17"/>
          <w:szCs w:val="17"/>
        </w:rPr>
        <w:tab/>
      </w:r>
      <w:r w:rsidRPr="00E70407">
        <w:rPr>
          <w:rFonts w:ascii="Times New Roman" w:hAnsi="Times New Roman"/>
          <w:smallCaps/>
          <w:sz w:val="17"/>
          <w:szCs w:val="17"/>
        </w:rPr>
        <w:tab/>
        <w:t>Host Employment Arrangements</w:t>
      </w:r>
      <w:bookmarkEnd w:id="103"/>
      <w:bookmarkEnd w:id="104"/>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This Standard relates to the hosting of apprentices and trainees to a host employer (or employers) providing on the job training and experience. It supplements and should be read in conjunction with </w:t>
      </w:r>
      <w:hyperlink r:id="rId89" w:history="1">
        <w:r w:rsidRPr="00E70407">
          <w:rPr>
            <w:rFonts w:ascii="Times New Roman" w:eastAsia="Times New Roman" w:hAnsi="Times New Roman"/>
            <w:color w:val="0000FF"/>
            <w:sz w:val="17"/>
            <w:szCs w:val="17"/>
            <w:u w:val="single"/>
            <w:lang w:val="en-GB"/>
          </w:rPr>
          <w:t>Standard 2, Employer Registration</w:t>
        </w:r>
      </w:hyperlink>
      <w:r w:rsidRPr="00E70407">
        <w:rPr>
          <w:rFonts w:ascii="Times New Roman" w:eastAsia="Times New Roman" w:hAnsi="Times New Roman"/>
          <w:sz w:val="17"/>
          <w:szCs w:val="17"/>
          <w:lang w:val="en-GB"/>
        </w:rPr>
        <w:t>.</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Host employment arrangements apply to the:</w:t>
      </w:r>
    </w:p>
    <w:p w:rsidR="00E70407" w:rsidRPr="00E70407" w:rsidRDefault="00E70407" w:rsidP="00E70407">
      <w:pPr>
        <w:numPr>
          <w:ilvl w:val="0"/>
          <w:numId w:val="253"/>
        </w:numPr>
        <w:spacing w:after="0"/>
        <w:rPr>
          <w:rFonts w:ascii="Times New Roman" w:eastAsia="Times New Roman" w:hAnsi="Times New Roman"/>
          <w:sz w:val="17"/>
          <w:szCs w:val="17"/>
        </w:rPr>
      </w:pPr>
      <w:r w:rsidRPr="00E70407">
        <w:rPr>
          <w:rFonts w:ascii="Times New Roman" w:eastAsia="Times New Roman" w:hAnsi="Times New Roman"/>
          <w:sz w:val="17"/>
          <w:szCs w:val="17"/>
        </w:rPr>
        <w:t xml:space="preserve">employer, registered under the </w:t>
      </w:r>
      <w:r w:rsidRPr="00E70407">
        <w:rPr>
          <w:rFonts w:ascii="Times New Roman" w:eastAsia="Times New Roman" w:hAnsi="Times New Roman"/>
          <w:i/>
          <w:iCs/>
          <w:sz w:val="17"/>
          <w:szCs w:val="17"/>
        </w:rPr>
        <w:t>South Australian Skills Act 2008</w:t>
      </w:r>
      <w:r w:rsidRPr="00E70407">
        <w:rPr>
          <w:rFonts w:ascii="Times New Roman" w:eastAsia="Times New Roman" w:hAnsi="Times New Roman"/>
          <w:sz w:val="17"/>
          <w:szCs w:val="17"/>
        </w:rPr>
        <w:t xml:space="preserve">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who is party to a Training Contract utilising hosting arrangements</w:t>
      </w:r>
    </w:p>
    <w:p w:rsidR="00E70407" w:rsidRPr="00E70407" w:rsidRDefault="00E70407" w:rsidP="00E70407">
      <w:pPr>
        <w:numPr>
          <w:ilvl w:val="0"/>
          <w:numId w:val="253"/>
        </w:numPr>
        <w:spacing w:after="0"/>
        <w:rPr>
          <w:rFonts w:ascii="Times New Roman" w:eastAsia="Times New Roman" w:hAnsi="Times New Roman"/>
          <w:sz w:val="17"/>
          <w:szCs w:val="17"/>
        </w:rPr>
      </w:pPr>
      <w:r w:rsidRPr="00E70407">
        <w:rPr>
          <w:rFonts w:ascii="Times New Roman" w:eastAsia="Times New Roman" w:hAnsi="Times New Roman"/>
          <w:sz w:val="17"/>
          <w:szCs w:val="17"/>
        </w:rPr>
        <w:t>apprentice or trainee who is party to the Training Contract in question</w:t>
      </w:r>
    </w:p>
    <w:p w:rsidR="00E70407" w:rsidRPr="00E70407" w:rsidRDefault="00E70407" w:rsidP="00E70407">
      <w:pPr>
        <w:numPr>
          <w:ilvl w:val="0"/>
          <w:numId w:val="253"/>
        </w:numPr>
        <w:spacing w:after="0"/>
        <w:rPr>
          <w:rFonts w:ascii="Times New Roman" w:eastAsia="Times New Roman" w:hAnsi="Times New Roman"/>
          <w:sz w:val="17"/>
          <w:szCs w:val="17"/>
        </w:rPr>
      </w:pPr>
      <w:r w:rsidRPr="00E70407">
        <w:rPr>
          <w:rFonts w:ascii="Times New Roman" w:eastAsia="Times New Roman" w:hAnsi="Times New Roman"/>
          <w:sz w:val="17"/>
          <w:szCs w:val="17"/>
        </w:rPr>
        <w:t>Nominated Training Organisation (NTO) for the Training Contract in question</w:t>
      </w:r>
    </w:p>
    <w:p w:rsidR="00E70407" w:rsidRPr="00E70407" w:rsidRDefault="00E70407" w:rsidP="00E70407">
      <w:pPr>
        <w:numPr>
          <w:ilvl w:val="0"/>
          <w:numId w:val="253"/>
        </w:numPr>
        <w:rPr>
          <w:rFonts w:ascii="Times New Roman" w:eastAsia="Times New Roman" w:hAnsi="Times New Roman"/>
          <w:sz w:val="17"/>
          <w:szCs w:val="17"/>
        </w:rPr>
      </w:pPr>
      <w:r w:rsidRPr="00E70407">
        <w:rPr>
          <w:rFonts w:ascii="Times New Roman" w:eastAsia="Times New Roman" w:hAnsi="Times New Roman"/>
          <w:sz w:val="17"/>
          <w:szCs w:val="17"/>
        </w:rPr>
        <w:t>host employer or employers hosting the apprentice or trainee.</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Governance arrangements</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Under the </w:t>
      </w:r>
      <w:r w:rsidRPr="00E70407">
        <w:rPr>
          <w:rFonts w:ascii="Times New Roman" w:eastAsia="Times New Roman" w:hAnsi="Times New Roman"/>
          <w:i/>
          <w:iCs/>
          <w:sz w:val="17"/>
          <w:szCs w:val="17"/>
          <w:lang w:val="en-GB"/>
        </w:rPr>
        <w:t>SAS Act</w:t>
      </w:r>
      <w:r w:rsidRPr="00E70407">
        <w:rPr>
          <w:rFonts w:ascii="Times New Roman" w:eastAsia="Times New Roman" w:hAnsi="Times New Roman"/>
          <w:sz w:val="17"/>
          <w:szCs w:val="17"/>
          <w:lang w:val="en-GB"/>
        </w:rPr>
        <w:t>, the South Australian Skills Commission (the Commission) (or its delegate) is responsible for the regulation of the apprenticeship and traineeship system.</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Compliance with the Standard</w:t>
      </w:r>
    </w:p>
    <w:p w:rsidR="00E70407" w:rsidRPr="00E70407" w:rsidRDefault="00E70407" w:rsidP="00E70407">
      <w:pPr>
        <w:numPr>
          <w:ilvl w:val="1"/>
          <w:numId w:val="352"/>
        </w:numPr>
        <w:ind w:left="364"/>
        <w:rPr>
          <w:rFonts w:ascii="Times New Roman" w:eastAsia="Times New Roman" w:hAnsi="Times New Roman"/>
          <w:b/>
          <w:bCs/>
          <w:sz w:val="17"/>
          <w:szCs w:val="17"/>
        </w:rPr>
      </w:pPr>
      <w:r w:rsidRPr="00E70407">
        <w:rPr>
          <w:rFonts w:ascii="Times New Roman" w:eastAsia="Times New Roman" w:hAnsi="Times New Roman"/>
          <w:b/>
          <w:bCs/>
          <w:sz w:val="17"/>
          <w:szCs w:val="17"/>
        </w:rPr>
        <w:t>Registration of employers and host employment arrangements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S46)</w:t>
      </w:r>
    </w:p>
    <w:p w:rsidR="00E70407" w:rsidRPr="00E70407" w:rsidRDefault="00E70407" w:rsidP="00E70407">
      <w:pPr>
        <w:tabs>
          <w:tab w:val="left" w:pos="709"/>
        </w:tabs>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4.1.1</w:t>
      </w:r>
      <w:r w:rsidRPr="00E70407">
        <w:rPr>
          <w:rFonts w:ascii="Times New Roman" w:eastAsia="Times New Roman" w:hAnsi="Times New Roman"/>
          <w:sz w:val="17"/>
          <w:szCs w:val="17"/>
          <w:lang w:val="en-GB"/>
        </w:rPr>
        <w:tab/>
        <w:t>An employer must not enter into a Training Contract to train a person unless the employer is:</w:t>
      </w:r>
    </w:p>
    <w:p w:rsidR="00E70407" w:rsidRPr="00E70407" w:rsidRDefault="00E70407" w:rsidP="00E70407">
      <w:pPr>
        <w:numPr>
          <w:ilvl w:val="0"/>
          <w:numId w:val="254"/>
        </w:numPr>
        <w:ind w:left="1092" w:hanging="378"/>
        <w:rPr>
          <w:rFonts w:ascii="Times New Roman" w:eastAsia="Times New Roman" w:hAnsi="Times New Roman"/>
          <w:sz w:val="17"/>
          <w:szCs w:val="17"/>
        </w:rPr>
      </w:pPr>
      <w:r w:rsidRPr="00E70407">
        <w:rPr>
          <w:rFonts w:ascii="Times New Roman" w:eastAsia="Times New Roman" w:hAnsi="Times New Roman"/>
          <w:sz w:val="17"/>
          <w:szCs w:val="17"/>
          <w:lang w:val="en-GB"/>
        </w:rPr>
        <w:t>registered,</w:t>
      </w:r>
      <w:r w:rsidRPr="00E70407">
        <w:rPr>
          <w:rFonts w:ascii="Times New Roman" w:eastAsia="Times New Roman" w:hAnsi="Times New Roman"/>
          <w:sz w:val="17"/>
          <w:szCs w:val="17"/>
        </w:rPr>
        <w:t xml:space="preserve"> however see paragraph 4.3.2, below, regarding the Commission’s general authority to registered employers to host to unregistered employers.</w:t>
      </w:r>
    </w:p>
    <w:p w:rsidR="00E70407" w:rsidRPr="00E70407" w:rsidRDefault="00E70407" w:rsidP="00E70407">
      <w:pPr>
        <w:numPr>
          <w:ilvl w:val="0"/>
          <w:numId w:val="254"/>
        </w:numPr>
        <w:ind w:left="1092" w:hanging="378"/>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operating within the scope of their registration</w:t>
      </w:r>
    </w:p>
    <w:p w:rsidR="00E70407" w:rsidRPr="00E70407" w:rsidRDefault="00E70407" w:rsidP="00E70407">
      <w:pPr>
        <w:numPr>
          <w:ilvl w:val="0"/>
          <w:numId w:val="254"/>
        </w:numPr>
        <w:ind w:left="1092" w:hanging="378"/>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complying with any other conditions of the registration, including any provision to enter into host employment arrangements</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4.1.2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However, an employer that does not wish to directly employ an apprentice or trainee may enter into a host employment arrangement with a registered employer, whereby:</w:t>
      </w:r>
    </w:p>
    <w:p w:rsidR="00E70407" w:rsidRPr="00E70407" w:rsidRDefault="00E70407" w:rsidP="00E70407">
      <w:pPr>
        <w:numPr>
          <w:ilvl w:val="0"/>
          <w:numId w:val="255"/>
        </w:numPr>
        <w:ind w:left="1134" w:hanging="42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registered employer remains the legal employer of the apprentice or trainee in question</w:t>
      </w:r>
    </w:p>
    <w:p w:rsidR="00E70407" w:rsidRPr="00E70407" w:rsidRDefault="00E70407" w:rsidP="00E70407">
      <w:pPr>
        <w:numPr>
          <w:ilvl w:val="0"/>
          <w:numId w:val="255"/>
        </w:numPr>
        <w:ind w:left="1134" w:hanging="42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host employer trains the apprentice or trainee on-job and otherwise meets its responsibilities and obligations as outlined in a written agreement with the registered employer.</w:t>
      </w:r>
    </w:p>
    <w:p w:rsidR="00E70407" w:rsidRPr="00E70407" w:rsidRDefault="00E70407" w:rsidP="00E70407">
      <w:pPr>
        <w:numPr>
          <w:ilvl w:val="1"/>
          <w:numId w:val="352"/>
        </w:numPr>
        <w:ind w:left="364"/>
        <w:rPr>
          <w:rFonts w:ascii="Times New Roman" w:eastAsia="Times New Roman" w:hAnsi="Times New Roman"/>
          <w:b/>
          <w:bCs/>
          <w:sz w:val="17"/>
          <w:szCs w:val="17"/>
        </w:rPr>
      </w:pPr>
      <w:r w:rsidRPr="00E70407">
        <w:rPr>
          <w:rFonts w:ascii="Times New Roman" w:eastAsia="Times New Roman" w:hAnsi="Times New Roman"/>
          <w:b/>
          <w:bCs/>
          <w:sz w:val="17"/>
          <w:szCs w:val="17"/>
        </w:rPr>
        <w:t>Prohibited employer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xml:space="preserve">, S54B, S54D, </w:t>
      </w:r>
      <w:r w:rsidRPr="00E70407">
        <w:rPr>
          <w:rFonts w:ascii="Times New Roman" w:eastAsia="Times New Roman" w:hAnsi="Times New Roman"/>
          <w:b/>
          <w:bCs/>
          <w:i/>
          <w:iCs/>
          <w:sz w:val="17"/>
          <w:szCs w:val="17"/>
        </w:rPr>
        <w:t>Regulation</w:t>
      </w:r>
      <w:r w:rsidRPr="00E70407">
        <w:rPr>
          <w:rFonts w:ascii="Times New Roman" w:eastAsia="Times New Roman" w:hAnsi="Times New Roman"/>
          <w:b/>
          <w:bCs/>
          <w:sz w:val="17"/>
          <w:szCs w:val="17"/>
        </w:rPr>
        <w:t xml:space="preserve"> 8)</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4.2.1</w:t>
      </w:r>
      <w:r w:rsidRPr="00E70407">
        <w:rPr>
          <w:rFonts w:ascii="Times New Roman" w:eastAsia="Times New Roman" w:hAnsi="Times New Roman"/>
          <w:sz w:val="17"/>
          <w:szCs w:val="17"/>
          <w:lang w:val="en-GB"/>
        </w:rPr>
        <w:tab/>
        <w:t xml:space="preserve">The Commission may declare an employer to be a prohibited employer in accordance with the </w:t>
      </w:r>
      <w:hyperlink r:id="rId90">
        <w:r w:rsidRPr="00E70407">
          <w:rPr>
            <w:rFonts w:ascii="Times New Roman" w:eastAsia="Times New Roman" w:hAnsi="Times New Roman"/>
            <w:color w:val="0000FF"/>
            <w:sz w:val="17"/>
            <w:szCs w:val="17"/>
            <w:u w:val="single"/>
            <w:lang w:val="en-GB"/>
          </w:rPr>
          <w:t xml:space="preserve"> Standard 3, Prohibited Employers</w:t>
        </w:r>
      </w:hyperlink>
      <w:r w:rsidRPr="00E70407">
        <w:rPr>
          <w:rFonts w:ascii="Times New Roman" w:eastAsia="Times New Roman" w:hAnsi="Times New Roman"/>
          <w:sz w:val="17"/>
          <w:szCs w:val="17"/>
          <w:lang w:val="en-GB"/>
        </w:rPr>
        <w:t xml:space="preserve">. Prohibited employers will be recorded on the </w:t>
      </w:r>
      <w:bookmarkStart w:id="105" w:name="_Hlk75509266"/>
      <w:r w:rsidRPr="00E70407">
        <w:rPr>
          <w:rFonts w:ascii="Times New Roman" w:eastAsia="Times New Roman" w:hAnsi="Times New Roman"/>
          <w:sz w:val="17"/>
          <w:szCs w:val="17"/>
          <w:lang w:val="en-GB"/>
        </w:rPr>
        <w:fldChar w:fldCharType="begin"/>
      </w:r>
      <w:r w:rsidRPr="00E70407">
        <w:rPr>
          <w:rFonts w:ascii="Times New Roman" w:eastAsia="Times New Roman" w:hAnsi="Times New Roman"/>
          <w:sz w:val="17"/>
          <w:szCs w:val="17"/>
          <w:lang w:val="en-GB"/>
        </w:rPr>
        <w:instrText xml:space="preserve"> HYPERLINK "http://www.skillscommission.sa.gov.au/regulations-and-standards/employer-register" </w:instrText>
      </w:r>
      <w:r w:rsidRPr="00E70407">
        <w:rPr>
          <w:rFonts w:ascii="Times New Roman" w:eastAsia="Times New Roman" w:hAnsi="Times New Roman"/>
          <w:sz w:val="17"/>
          <w:szCs w:val="17"/>
          <w:lang w:val="en-GB"/>
        </w:rPr>
        <w:fldChar w:fldCharType="separate"/>
      </w:r>
      <w:r w:rsidRPr="00E70407">
        <w:rPr>
          <w:rFonts w:ascii="Times New Roman" w:eastAsia="Times New Roman" w:hAnsi="Times New Roman"/>
          <w:color w:val="0000FF"/>
          <w:sz w:val="17"/>
          <w:szCs w:val="17"/>
          <w:u w:val="single"/>
          <w:lang w:val="en-GB"/>
        </w:rPr>
        <w:t>South Australian Skills Register</w:t>
      </w:r>
      <w:r w:rsidRPr="00E70407">
        <w:rPr>
          <w:rFonts w:ascii="Times New Roman" w:eastAsia="Times New Roman" w:hAnsi="Times New Roman"/>
          <w:sz w:val="17"/>
          <w:szCs w:val="17"/>
        </w:rPr>
        <w:fldChar w:fldCharType="end"/>
      </w:r>
      <w:bookmarkEnd w:id="105"/>
      <w:r w:rsidRPr="00E70407">
        <w:rPr>
          <w:rFonts w:ascii="Times New Roman" w:eastAsia="Times New Roman" w:hAnsi="Times New Roman"/>
          <w:sz w:val="17"/>
          <w:szCs w:val="17"/>
          <w:lang w:val="en-GB"/>
        </w:rPr>
        <w:t>.</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4.2.2</w:t>
      </w:r>
      <w:r w:rsidRPr="00E70407">
        <w:rPr>
          <w:rFonts w:ascii="Times New Roman" w:eastAsia="Times New Roman" w:hAnsi="Times New Roman"/>
          <w:sz w:val="17"/>
          <w:szCs w:val="17"/>
          <w:lang w:val="en-GB"/>
        </w:rPr>
        <w:tab/>
        <w:t xml:space="preserve">A prohibited employer must not permit an apprentice or trainee to be placed with the prohibited employer under a host employment arrangement. </w:t>
      </w:r>
    </w:p>
    <w:p w:rsidR="00E70407" w:rsidRPr="00E70407" w:rsidRDefault="00E70407" w:rsidP="00E70407">
      <w:pPr>
        <w:ind w:left="80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maximum penalty for a breach of this requirement is $10,000.</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lastRenderedPageBreak/>
        <w:t>4.2.3</w:t>
      </w:r>
      <w:r w:rsidRPr="00E70407">
        <w:rPr>
          <w:rFonts w:ascii="Times New Roman" w:eastAsia="Times New Roman" w:hAnsi="Times New Roman"/>
          <w:sz w:val="17"/>
          <w:szCs w:val="17"/>
          <w:lang w:val="en-GB"/>
        </w:rPr>
        <w:tab/>
        <w:t xml:space="preserve">To ensure an apprentice or trainee is not unintentionally or inadvertently placed with a prohibited employer, registered employers seeking to place an apprentice or traineewith a host employer must refer to the </w:t>
      </w:r>
      <w:hyperlink r:id="rId91" w:history="1">
        <w:r w:rsidRPr="00E70407">
          <w:rPr>
            <w:rFonts w:ascii="Times New Roman" w:eastAsia="Times New Roman" w:hAnsi="Times New Roman"/>
            <w:color w:val="0000FF"/>
            <w:sz w:val="17"/>
            <w:szCs w:val="17"/>
            <w:u w:val="single"/>
            <w:lang w:val="en-GB"/>
          </w:rPr>
          <w:t>South Australian Skills Register</w:t>
        </w:r>
      </w:hyperlink>
      <w:r w:rsidRPr="00E70407">
        <w:rPr>
          <w:rFonts w:ascii="Times New Roman" w:eastAsia="Times New Roman" w:hAnsi="Times New Roman"/>
          <w:sz w:val="17"/>
          <w:szCs w:val="17"/>
          <w:lang w:val="en-GB"/>
        </w:rPr>
        <w:t xml:space="preserve"> prior to entering into a host employment arrangement.</w:t>
      </w:r>
    </w:p>
    <w:p w:rsidR="00E70407" w:rsidRPr="00E70407" w:rsidRDefault="00E70407" w:rsidP="00E70407">
      <w:pPr>
        <w:numPr>
          <w:ilvl w:val="1"/>
          <w:numId w:val="352"/>
        </w:numPr>
        <w:ind w:left="364"/>
        <w:rPr>
          <w:rFonts w:ascii="Times New Roman" w:eastAsia="Times New Roman" w:hAnsi="Times New Roman"/>
          <w:b/>
          <w:bCs/>
          <w:sz w:val="17"/>
          <w:szCs w:val="17"/>
        </w:rPr>
      </w:pPr>
      <w:r w:rsidRPr="00E70407">
        <w:rPr>
          <w:rFonts w:ascii="Times New Roman" w:eastAsia="Times New Roman" w:hAnsi="Times New Roman"/>
          <w:b/>
          <w:bCs/>
          <w:sz w:val="17"/>
          <w:szCs w:val="17"/>
        </w:rPr>
        <w:t>Obligations for registered employers under a host employment arrangement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S54F, S54J)</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4.3.1</w:t>
      </w:r>
      <w:r w:rsidRPr="00E70407">
        <w:rPr>
          <w:rFonts w:ascii="Times New Roman" w:eastAsia="Times New Roman" w:hAnsi="Times New Roman"/>
          <w:sz w:val="17"/>
          <w:szCs w:val="17"/>
          <w:lang w:val="en-GB"/>
        </w:rPr>
        <w:tab/>
        <w:t>In addition to meeting any other obligation of their registration, registered employers seeking to enter into host employment arrangements are required to:</w:t>
      </w:r>
    </w:p>
    <w:p w:rsidR="00E70407" w:rsidRPr="00E70407" w:rsidRDefault="00E70407" w:rsidP="00E70407">
      <w:pPr>
        <w:numPr>
          <w:ilvl w:val="0"/>
          <w:numId w:val="256"/>
        </w:numPr>
        <w:ind w:left="1092" w:hanging="374"/>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develop an upfront written agreement between the registered employer and the host employer regarding their respective roles and responsibilities with regard to the apprentice or trainee</w:t>
      </w:r>
    </w:p>
    <w:p w:rsidR="00E70407" w:rsidRPr="00E70407" w:rsidRDefault="00E70407" w:rsidP="00E70407">
      <w:pPr>
        <w:numPr>
          <w:ilvl w:val="0"/>
          <w:numId w:val="256"/>
        </w:numPr>
        <w:ind w:left="1092" w:hanging="374"/>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ensure apprentices/trainees are able to raise issues of concern with the registered employer at any time</w:t>
      </w:r>
    </w:p>
    <w:p w:rsidR="00E70407" w:rsidRPr="00E70407" w:rsidRDefault="00E70407" w:rsidP="00E70407">
      <w:pPr>
        <w:numPr>
          <w:ilvl w:val="0"/>
          <w:numId w:val="256"/>
        </w:numPr>
        <w:ind w:left="1092" w:hanging="374"/>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provide a timely, responsive service to their apprentices and trainees, and an immediate response where there is an alleged workplace health and safety risk to an apprentice or trainee, who has a genuine fear for their safety</w:t>
      </w:r>
    </w:p>
    <w:p w:rsidR="00E70407" w:rsidRPr="00E70407" w:rsidRDefault="00E70407" w:rsidP="00E70407">
      <w:pPr>
        <w:numPr>
          <w:ilvl w:val="0"/>
          <w:numId w:val="256"/>
        </w:numPr>
        <w:ind w:left="1092" w:hanging="374"/>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ensure the off-job training arrangements are meeting the needs of their apprentices and trainees in accordance with the Training Plans entered into with those apprentices and trainees</w:t>
      </w:r>
    </w:p>
    <w:p w:rsidR="00E70407" w:rsidRPr="00E70407" w:rsidRDefault="00E70407" w:rsidP="00E70407">
      <w:pPr>
        <w:numPr>
          <w:ilvl w:val="0"/>
          <w:numId w:val="256"/>
        </w:numPr>
        <w:ind w:left="1092" w:hanging="374"/>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rotate apprentices and trainees to alternative work sites, as necessary, to ensure that all work-based learning requirements are met</w:t>
      </w:r>
    </w:p>
    <w:p w:rsidR="00E70407" w:rsidRPr="00E70407" w:rsidRDefault="00E70407" w:rsidP="00E70407">
      <w:pPr>
        <w:numPr>
          <w:ilvl w:val="0"/>
          <w:numId w:val="256"/>
        </w:numPr>
        <w:ind w:left="1092" w:hanging="374"/>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provide pastoral care/monitoring support to the apprentice or trainee in line with the requirements described below</w:t>
      </w:r>
    </w:p>
    <w:p w:rsidR="00E70407" w:rsidRPr="00E70407" w:rsidRDefault="00E70407" w:rsidP="00E70407">
      <w:pPr>
        <w:numPr>
          <w:ilvl w:val="0"/>
          <w:numId w:val="256"/>
        </w:numPr>
        <w:ind w:left="1092" w:hanging="374"/>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provide the Commission with a list of the host employers utilised in all host employment arrangements, and the apprentices and trainees placed with each of those host employers on a 6 monthly basis</w:t>
      </w:r>
    </w:p>
    <w:p w:rsidR="00E70407" w:rsidRPr="00E70407" w:rsidRDefault="00E70407" w:rsidP="00E70407">
      <w:pPr>
        <w:numPr>
          <w:ilvl w:val="0"/>
          <w:numId w:val="256"/>
        </w:numPr>
        <w:ind w:left="1092" w:hanging="374"/>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notify the Commission in the event they believe a host employer is not suitable to either directly employ, or host apprentices or trainees under a host employment arrangement</w:t>
      </w:r>
    </w:p>
    <w:p w:rsidR="00E70407" w:rsidRPr="00E70407" w:rsidRDefault="00E70407" w:rsidP="00E70407">
      <w:pPr>
        <w:numPr>
          <w:ilvl w:val="0"/>
          <w:numId w:val="256"/>
        </w:numPr>
        <w:ind w:left="1092" w:hanging="374"/>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maintain appropriate records to demonstrate that the obligations in the </w:t>
      </w:r>
      <w:r w:rsidRPr="00E70407">
        <w:rPr>
          <w:rFonts w:ascii="Times New Roman" w:eastAsia="Times New Roman" w:hAnsi="Times New Roman"/>
          <w:i/>
          <w:iCs/>
          <w:sz w:val="17"/>
          <w:szCs w:val="17"/>
          <w:lang w:val="en-GB"/>
        </w:rPr>
        <w:t>SAS Act, South Australian Skills Regulations 2021</w:t>
      </w:r>
      <w:r w:rsidRPr="00E70407">
        <w:rPr>
          <w:rFonts w:ascii="Times New Roman" w:eastAsia="Times New Roman" w:hAnsi="Times New Roman"/>
          <w:iCs/>
          <w:sz w:val="17"/>
          <w:szCs w:val="17"/>
          <w:lang w:val="en-GB"/>
        </w:rPr>
        <w:t xml:space="preserve"> (the </w:t>
      </w:r>
      <w:r w:rsidRPr="00E70407">
        <w:rPr>
          <w:rFonts w:ascii="Times New Roman" w:eastAsia="Times New Roman" w:hAnsi="Times New Roman"/>
          <w:i/>
          <w:iCs/>
          <w:sz w:val="17"/>
          <w:szCs w:val="17"/>
          <w:lang w:val="en-GB"/>
        </w:rPr>
        <w:t>Regulations</w:t>
      </w:r>
      <w:r w:rsidRPr="00E70407">
        <w:rPr>
          <w:rFonts w:ascii="Times New Roman" w:eastAsia="Times New Roman" w:hAnsi="Times New Roman"/>
          <w:iCs/>
          <w:sz w:val="17"/>
          <w:szCs w:val="17"/>
          <w:lang w:val="en-GB"/>
        </w:rPr>
        <w:t>)</w:t>
      </w:r>
      <w:r w:rsidRPr="00E70407">
        <w:rPr>
          <w:rFonts w:ascii="Times New Roman" w:eastAsia="Times New Roman" w:hAnsi="Times New Roman"/>
          <w:sz w:val="17"/>
          <w:szCs w:val="17"/>
          <w:lang w:val="en-GB"/>
        </w:rPr>
        <w:t xml:space="preserve"> and Standard 14, Record Keeping have been met.</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4.3.2</w:t>
      </w:r>
      <w:r w:rsidRPr="00E70407">
        <w:rPr>
          <w:rFonts w:ascii="Times New Roman" w:eastAsia="Times New Roman" w:hAnsi="Times New Roman"/>
          <w:sz w:val="17"/>
          <w:szCs w:val="17"/>
          <w:lang w:val="en-GB"/>
        </w:rPr>
        <w:tab/>
        <w:t xml:space="preserve">The registered employer must not, without authorisation of the Commission: </w:t>
      </w:r>
    </w:p>
    <w:p w:rsidR="00E70407" w:rsidRPr="00E70407" w:rsidRDefault="00E70407" w:rsidP="00E70407">
      <w:pPr>
        <w:tabs>
          <w:tab w:val="left" w:pos="1134"/>
        </w:tabs>
        <w:ind w:left="1134" w:hanging="42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a) </w:t>
      </w:r>
      <w:r w:rsidRPr="00E70407">
        <w:rPr>
          <w:rFonts w:ascii="Times New Roman" w:eastAsia="Times New Roman" w:hAnsi="Times New Roman"/>
          <w:sz w:val="17"/>
          <w:szCs w:val="17"/>
          <w:lang w:val="en-GB"/>
        </w:rPr>
        <w:tab/>
        <w:t>place, or permit the placement of, an apprentice or trainee under the Training Contract with an employer who is not a registered employer</w:t>
      </w:r>
    </w:p>
    <w:p w:rsidR="00E70407" w:rsidRPr="00E70407" w:rsidRDefault="00E70407" w:rsidP="00E70407">
      <w:pPr>
        <w:tabs>
          <w:tab w:val="left" w:pos="1134"/>
        </w:tabs>
        <w:ind w:left="1134" w:hanging="42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b) </w:t>
      </w:r>
      <w:r w:rsidRPr="00E70407">
        <w:rPr>
          <w:rFonts w:ascii="Times New Roman" w:eastAsia="Times New Roman" w:hAnsi="Times New Roman"/>
          <w:sz w:val="17"/>
          <w:szCs w:val="17"/>
          <w:lang w:val="en-GB"/>
        </w:rPr>
        <w:tab/>
        <w:t>For the purposes of the above clause 4.3.2 (a), and subject to the requirements of this Standard, the Commission provides a general authorisation for registered employers to place apprentices/trainees with unregistered host employers.</w:t>
      </w:r>
    </w:p>
    <w:p w:rsidR="00E70407" w:rsidRPr="00E70407" w:rsidRDefault="00E70407" w:rsidP="00E70407">
      <w:pPr>
        <w:numPr>
          <w:ilvl w:val="1"/>
          <w:numId w:val="352"/>
        </w:numPr>
        <w:ind w:left="364"/>
        <w:rPr>
          <w:rFonts w:ascii="Times New Roman" w:eastAsia="Times New Roman" w:hAnsi="Times New Roman"/>
          <w:b/>
          <w:bCs/>
          <w:sz w:val="17"/>
          <w:szCs w:val="17"/>
        </w:rPr>
      </w:pPr>
      <w:r w:rsidRPr="00E70407">
        <w:rPr>
          <w:rFonts w:ascii="Times New Roman" w:eastAsia="Times New Roman" w:hAnsi="Times New Roman"/>
          <w:b/>
          <w:bCs/>
          <w:sz w:val="17"/>
          <w:szCs w:val="17"/>
        </w:rPr>
        <w:t>Pastoral and monitoring support meetings</w:t>
      </w:r>
    </w:p>
    <w:p w:rsidR="00E70407" w:rsidRPr="00E70407" w:rsidRDefault="00E70407" w:rsidP="00E70407">
      <w:pPr>
        <w:numPr>
          <w:ilvl w:val="2"/>
          <w:numId w:val="352"/>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In addition to responding as required to any issues of concern raised by apprentices and trainees, registered employers must provide pastoral and monitoring support to individual apprentices and trainees at least every 8 weeks, in accordance with the following matrix:</w:t>
      </w:r>
    </w:p>
    <w:tbl>
      <w:tblPr>
        <w:tblStyle w:val="TableGrid"/>
        <w:tblW w:w="7873" w:type="dxa"/>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35"/>
        <w:gridCol w:w="2770"/>
      </w:tblGrid>
      <w:tr w:rsidR="00E70407" w:rsidRPr="00E70407" w:rsidTr="00491D21">
        <w:trPr>
          <w:jc w:val="right"/>
        </w:trPr>
        <w:tc>
          <w:tcPr>
            <w:tcW w:w="2268" w:type="dxa"/>
            <w:tcBorders>
              <w:top w:val="single" w:sz="4" w:space="0" w:color="auto"/>
              <w:bottom w:val="single" w:sz="4" w:space="0" w:color="auto"/>
            </w:tcBorders>
          </w:tcPr>
          <w:p w:rsidR="00E70407" w:rsidRPr="00E70407" w:rsidRDefault="00E70407" w:rsidP="00E70407">
            <w:pPr>
              <w:spacing w:before="20" w:after="20"/>
              <w:jc w:val="center"/>
              <w:rPr>
                <w:b/>
                <w:bCs/>
                <w:sz w:val="17"/>
                <w:szCs w:val="17"/>
              </w:rPr>
            </w:pPr>
            <w:r w:rsidRPr="00E70407">
              <w:rPr>
                <w:b/>
                <w:bCs/>
                <w:sz w:val="17"/>
                <w:szCs w:val="17"/>
              </w:rPr>
              <w:t>Apprentice / Trainee Year</w:t>
            </w:r>
          </w:p>
        </w:tc>
        <w:tc>
          <w:tcPr>
            <w:tcW w:w="2835" w:type="dxa"/>
            <w:tcBorders>
              <w:top w:val="single" w:sz="4" w:space="0" w:color="auto"/>
              <w:bottom w:val="single" w:sz="4" w:space="0" w:color="auto"/>
            </w:tcBorders>
          </w:tcPr>
          <w:p w:rsidR="00E70407" w:rsidRPr="00E70407" w:rsidRDefault="00E70407" w:rsidP="00E70407">
            <w:pPr>
              <w:spacing w:before="20" w:after="20"/>
              <w:jc w:val="center"/>
              <w:rPr>
                <w:b/>
                <w:bCs/>
                <w:sz w:val="17"/>
                <w:szCs w:val="17"/>
              </w:rPr>
            </w:pPr>
            <w:r w:rsidRPr="00E70407">
              <w:rPr>
                <w:b/>
                <w:bCs/>
                <w:sz w:val="17"/>
                <w:szCs w:val="17"/>
              </w:rPr>
              <w:t>Minimum pastoral care meetings per year</w:t>
            </w:r>
          </w:p>
        </w:tc>
        <w:tc>
          <w:tcPr>
            <w:tcW w:w="2770" w:type="dxa"/>
            <w:tcBorders>
              <w:top w:val="single" w:sz="4" w:space="0" w:color="auto"/>
              <w:bottom w:val="single" w:sz="4" w:space="0" w:color="auto"/>
            </w:tcBorders>
          </w:tcPr>
          <w:p w:rsidR="00E70407" w:rsidRPr="00E70407" w:rsidRDefault="00E70407" w:rsidP="00E70407">
            <w:pPr>
              <w:spacing w:before="20" w:after="20"/>
              <w:jc w:val="center"/>
              <w:rPr>
                <w:b/>
                <w:bCs/>
                <w:sz w:val="17"/>
                <w:szCs w:val="17"/>
              </w:rPr>
            </w:pPr>
            <w:r w:rsidRPr="00E70407">
              <w:rPr>
                <w:b/>
                <w:bCs/>
                <w:sz w:val="17"/>
                <w:szCs w:val="17"/>
              </w:rPr>
              <w:t>Face-to-face pastoral care meetings per year</w:t>
            </w:r>
          </w:p>
        </w:tc>
      </w:tr>
      <w:tr w:rsidR="00E70407" w:rsidRPr="00E70407" w:rsidTr="00491D21">
        <w:trPr>
          <w:jc w:val="right"/>
        </w:trPr>
        <w:tc>
          <w:tcPr>
            <w:tcW w:w="2268" w:type="dxa"/>
            <w:tcBorders>
              <w:top w:val="single" w:sz="4" w:space="0" w:color="auto"/>
            </w:tcBorders>
          </w:tcPr>
          <w:p w:rsidR="00E70407" w:rsidRPr="00E70407" w:rsidRDefault="00E70407" w:rsidP="00E70407">
            <w:pPr>
              <w:spacing w:before="20" w:after="20"/>
              <w:rPr>
                <w:sz w:val="17"/>
                <w:szCs w:val="17"/>
              </w:rPr>
            </w:pPr>
            <w:r w:rsidRPr="00E70407">
              <w:rPr>
                <w:sz w:val="17"/>
                <w:szCs w:val="17"/>
              </w:rPr>
              <w:t>1 or 2</w:t>
            </w:r>
          </w:p>
        </w:tc>
        <w:tc>
          <w:tcPr>
            <w:tcW w:w="2835" w:type="dxa"/>
            <w:tcBorders>
              <w:top w:val="single" w:sz="4" w:space="0" w:color="auto"/>
            </w:tcBorders>
          </w:tcPr>
          <w:p w:rsidR="00E70407" w:rsidRPr="00E70407" w:rsidRDefault="00E70407" w:rsidP="00E70407">
            <w:pPr>
              <w:spacing w:before="20" w:after="20"/>
              <w:rPr>
                <w:sz w:val="17"/>
                <w:szCs w:val="17"/>
              </w:rPr>
            </w:pPr>
            <w:r w:rsidRPr="00E70407">
              <w:rPr>
                <w:sz w:val="17"/>
                <w:szCs w:val="17"/>
              </w:rPr>
              <w:t>6</w:t>
            </w:r>
          </w:p>
        </w:tc>
        <w:tc>
          <w:tcPr>
            <w:tcW w:w="2770" w:type="dxa"/>
            <w:tcBorders>
              <w:top w:val="single" w:sz="4" w:space="0" w:color="auto"/>
            </w:tcBorders>
          </w:tcPr>
          <w:p w:rsidR="00E70407" w:rsidRPr="00E70407" w:rsidRDefault="00E70407" w:rsidP="00E70407">
            <w:pPr>
              <w:spacing w:before="20" w:after="20"/>
              <w:rPr>
                <w:sz w:val="17"/>
                <w:szCs w:val="17"/>
              </w:rPr>
            </w:pPr>
            <w:r w:rsidRPr="00E70407">
              <w:rPr>
                <w:sz w:val="17"/>
                <w:szCs w:val="17"/>
              </w:rPr>
              <w:t>6</w:t>
            </w:r>
          </w:p>
          <w:p w:rsidR="00E70407" w:rsidRPr="00E70407" w:rsidRDefault="00E70407" w:rsidP="00E70407">
            <w:pPr>
              <w:spacing w:before="20" w:after="20"/>
              <w:rPr>
                <w:sz w:val="17"/>
                <w:szCs w:val="17"/>
              </w:rPr>
            </w:pPr>
            <w:r w:rsidRPr="00E70407">
              <w:rPr>
                <w:sz w:val="17"/>
                <w:szCs w:val="17"/>
              </w:rPr>
              <w:t>(3 of these must be at the worksite)</w:t>
            </w:r>
          </w:p>
        </w:tc>
      </w:tr>
      <w:tr w:rsidR="00E70407" w:rsidRPr="00E70407" w:rsidTr="00491D21">
        <w:trPr>
          <w:jc w:val="right"/>
        </w:trPr>
        <w:tc>
          <w:tcPr>
            <w:tcW w:w="2268" w:type="dxa"/>
          </w:tcPr>
          <w:p w:rsidR="00E70407" w:rsidRPr="00E70407" w:rsidRDefault="00E70407" w:rsidP="00E70407">
            <w:pPr>
              <w:spacing w:before="20" w:after="20"/>
              <w:rPr>
                <w:sz w:val="17"/>
                <w:szCs w:val="17"/>
              </w:rPr>
            </w:pPr>
            <w:r w:rsidRPr="00E70407">
              <w:rPr>
                <w:sz w:val="17"/>
                <w:szCs w:val="17"/>
              </w:rPr>
              <w:t>3 or more</w:t>
            </w:r>
          </w:p>
        </w:tc>
        <w:tc>
          <w:tcPr>
            <w:tcW w:w="2835" w:type="dxa"/>
          </w:tcPr>
          <w:p w:rsidR="00E70407" w:rsidRPr="00E70407" w:rsidRDefault="00E70407" w:rsidP="00E70407">
            <w:pPr>
              <w:spacing w:before="20" w:after="20"/>
              <w:rPr>
                <w:sz w:val="17"/>
                <w:szCs w:val="17"/>
              </w:rPr>
            </w:pPr>
            <w:r w:rsidRPr="00E70407">
              <w:rPr>
                <w:sz w:val="17"/>
                <w:szCs w:val="17"/>
              </w:rPr>
              <w:t>6</w:t>
            </w:r>
          </w:p>
        </w:tc>
        <w:tc>
          <w:tcPr>
            <w:tcW w:w="2770" w:type="dxa"/>
          </w:tcPr>
          <w:p w:rsidR="00E70407" w:rsidRPr="00E70407" w:rsidRDefault="00E70407" w:rsidP="00E70407">
            <w:pPr>
              <w:spacing w:before="20" w:after="20"/>
              <w:rPr>
                <w:sz w:val="17"/>
                <w:szCs w:val="17"/>
              </w:rPr>
            </w:pPr>
            <w:r w:rsidRPr="00E70407">
              <w:rPr>
                <w:sz w:val="17"/>
                <w:szCs w:val="17"/>
              </w:rPr>
              <w:t xml:space="preserve">3 </w:t>
            </w:r>
          </w:p>
          <w:p w:rsidR="00E70407" w:rsidRPr="00E70407" w:rsidRDefault="00E70407" w:rsidP="00E70407">
            <w:pPr>
              <w:spacing w:before="20" w:after="20"/>
              <w:rPr>
                <w:sz w:val="17"/>
                <w:szCs w:val="17"/>
              </w:rPr>
            </w:pPr>
            <w:r w:rsidRPr="00E70407">
              <w:rPr>
                <w:sz w:val="17"/>
                <w:szCs w:val="17"/>
              </w:rPr>
              <w:t>(1 of these must be at the worksite)</w:t>
            </w:r>
          </w:p>
        </w:tc>
      </w:tr>
    </w:tbl>
    <w:p w:rsidR="00E70407" w:rsidRPr="00E70407" w:rsidRDefault="00E70407" w:rsidP="00E70407">
      <w:pPr>
        <w:spacing w:before="80"/>
        <w:ind w:left="709" w:hanging="709"/>
        <w:rPr>
          <w:rFonts w:ascii="Times New Roman" w:eastAsia="Times New Roman" w:hAnsi="Times New Roman"/>
          <w:spacing w:val="-2"/>
          <w:sz w:val="17"/>
          <w:szCs w:val="17"/>
          <w:lang w:val="en-GB"/>
        </w:rPr>
      </w:pPr>
      <w:r w:rsidRPr="00E70407">
        <w:rPr>
          <w:rFonts w:ascii="Times New Roman" w:eastAsia="Times New Roman" w:hAnsi="Times New Roman"/>
          <w:spacing w:val="-2"/>
          <w:sz w:val="17"/>
          <w:szCs w:val="17"/>
          <w:lang w:val="en-GB"/>
        </w:rPr>
        <w:t>4.4.2</w:t>
      </w:r>
      <w:r w:rsidRPr="00E70407">
        <w:rPr>
          <w:rFonts w:ascii="Times New Roman" w:eastAsia="Times New Roman" w:hAnsi="Times New Roman"/>
          <w:spacing w:val="-2"/>
          <w:sz w:val="17"/>
          <w:szCs w:val="17"/>
          <w:lang w:val="en-GB"/>
        </w:rPr>
        <w:tab/>
        <w:t>For apprentices and trainees in the third or greater year of their apprenticeship/traineeship, communication methods such as phone, email or video calls may be used, where it is not practicable to hold a face-to-face meeting (either at the worksite or away from it).</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4.4.3</w:t>
      </w:r>
      <w:r w:rsidRPr="00E70407">
        <w:rPr>
          <w:rFonts w:ascii="Times New Roman" w:eastAsia="Times New Roman" w:hAnsi="Times New Roman"/>
          <w:sz w:val="17"/>
          <w:szCs w:val="17"/>
          <w:lang w:val="en-GB"/>
        </w:rPr>
        <w:tab/>
        <w:t>In the event of exceptional or unforeseen circumstances (for example, restrictions caused by COVID-19 outbreaks), the Commission may determine that all face-to-face pastoral care meetings with apprentices and trainees at all year levels can be held using communication methods such as phone, email, or video calls. The Commission will publish any such determinations on its website, and include (where known) the duration for which the determination applies.</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4.4.4</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These meetings should confirm that the on-job training is commensurate with the level and stage of the apprenticeship or traineeship and the qualification.</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4.4.5</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 written record of these discussions must be kept.</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4.4.6</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Apprentices and trainees must be given the opportunity to speak with their legal employer in a confidential manner, irrespective of the method of communication. Some pastoral care meetings may also occur away from the worksite.</w:t>
      </w:r>
    </w:p>
    <w:p w:rsidR="00E70407" w:rsidRPr="00E70407" w:rsidRDefault="00E70407" w:rsidP="00E70407">
      <w:pPr>
        <w:numPr>
          <w:ilvl w:val="1"/>
          <w:numId w:val="352"/>
        </w:numPr>
        <w:ind w:left="364"/>
        <w:rPr>
          <w:rFonts w:ascii="Times New Roman" w:eastAsia="Times New Roman" w:hAnsi="Times New Roman"/>
          <w:b/>
          <w:bCs/>
          <w:sz w:val="17"/>
          <w:szCs w:val="17"/>
        </w:rPr>
      </w:pPr>
      <w:r w:rsidRPr="00E70407">
        <w:rPr>
          <w:rFonts w:ascii="Times New Roman" w:eastAsia="Times New Roman" w:hAnsi="Times New Roman"/>
          <w:b/>
          <w:bCs/>
          <w:sz w:val="17"/>
          <w:szCs w:val="17"/>
        </w:rPr>
        <w:t>Obligations for employers under a host employment arrangement</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4.5.1</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An employer, operating as a host employer, must comply with all obligations contained in a written agreement with the registered employer. In addition, employers operating as host employers must:</w:t>
      </w:r>
    </w:p>
    <w:p w:rsidR="00E70407" w:rsidRPr="00E70407" w:rsidRDefault="00E70407" w:rsidP="00E70407">
      <w:pPr>
        <w:numPr>
          <w:ilvl w:val="0"/>
          <w:numId w:val="257"/>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provide suitable work to enable the apprentice or trainee to develop some or all of the required competencies, as outlined in the upfront written agreement, to the required standard</w:t>
      </w:r>
    </w:p>
    <w:p w:rsidR="00E70407" w:rsidRPr="00E70407" w:rsidRDefault="00E70407" w:rsidP="00E70407">
      <w:pPr>
        <w:numPr>
          <w:ilvl w:val="0"/>
          <w:numId w:val="257"/>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ensure the apprentice or trainee has access to a suitable range of equipment, tools, materials, personnel, and other resources to achieve some or all of the required competencies, as outlined in the upfront written agreement, to the required standard</w:t>
      </w:r>
    </w:p>
    <w:p w:rsidR="00E70407" w:rsidRPr="00E70407" w:rsidRDefault="00E70407" w:rsidP="00E70407">
      <w:pPr>
        <w:numPr>
          <w:ilvl w:val="0"/>
          <w:numId w:val="257"/>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 xml:space="preserve">provide supervision to the apprentice or trainee in accordance with the </w:t>
      </w:r>
      <w:hyperlink r:id="rId92">
        <w:r w:rsidRPr="00E70407">
          <w:rPr>
            <w:rFonts w:ascii="Times New Roman" w:eastAsia="Times New Roman" w:hAnsi="Times New Roman"/>
            <w:color w:val="0000FF"/>
            <w:sz w:val="17"/>
            <w:szCs w:val="17"/>
            <w:u w:val="single"/>
          </w:rPr>
          <w:t>Standard 5, Supervision</w:t>
        </w:r>
      </w:hyperlink>
      <w:r w:rsidRPr="00E70407">
        <w:rPr>
          <w:rFonts w:ascii="Times New Roman" w:eastAsia="Times New Roman" w:hAnsi="Times New Roman"/>
          <w:sz w:val="17"/>
          <w:szCs w:val="17"/>
        </w:rPr>
        <w:t xml:space="preserve"> </w:t>
      </w:r>
    </w:p>
    <w:p w:rsidR="00E70407" w:rsidRPr="00E70407" w:rsidRDefault="00E70407" w:rsidP="00E70407">
      <w:pPr>
        <w:numPr>
          <w:ilvl w:val="0"/>
          <w:numId w:val="257"/>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support the apprentice or trainee to speak with the registered employer in a confidential manner and to raise any issues of concern both directly with the host employer and with the registered employer.</w:t>
      </w:r>
    </w:p>
    <w:p w:rsidR="00E70407" w:rsidRPr="00E70407" w:rsidRDefault="00E70407" w:rsidP="00E70407">
      <w:pPr>
        <w:numPr>
          <w:ilvl w:val="1"/>
          <w:numId w:val="352"/>
        </w:numPr>
        <w:ind w:left="364"/>
        <w:rPr>
          <w:rFonts w:ascii="Times New Roman" w:eastAsia="Times New Roman" w:hAnsi="Times New Roman"/>
          <w:b/>
          <w:bCs/>
          <w:sz w:val="17"/>
          <w:szCs w:val="17"/>
        </w:rPr>
      </w:pPr>
      <w:r w:rsidRPr="00E70407">
        <w:rPr>
          <w:rFonts w:ascii="Times New Roman" w:eastAsia="Times New Roman" w:hAnsi="Times New Roman"/>
          <w:b/>
          <w:bCs/>
          <w:sz w:val="17"/>
          <w:szCs w:val="17"/>
        </w:rPr>
        <w:t>Commission may require information from a prescribed person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xml:space="preserve">, S70C, </w:t>
      </w:r>
      <w:r w:rsidRPr="00E70407">
        <w:rPr>
          <w:rFonts w:ascii="Times New Roman" w:eastAsia="Times New Roman" w:hAnsi="Times New Roman"/>
          <w:b/>
          <w:bCs/>
          <w:i/>
          <w:iCs/>
          <w:sz w:val="17"/>
          <w:szCs w:val="17"/>
        </w:rPr>
        <w:t>Regulations</w:t>
      </w:r>
      <w:r w:rsidRPr="00E70407">
        <w:rPr>
          <w:rFonts w:ascii="Times New Roman" w:eastAsia="Times New Roman" w:hAnsi="Times New Roman"/>
          <w:b/>
          <w:bCs/>
          <w:sz w:val="17"/>
          <w:szCs w:val="17"/>
        </w:rPr>
        <w:t>, 17, 18)</w:t>
      </w:r>
    </w:p>
    <w:p w:rsidR="00E70407" w:rsidRPr="00E70407" w:rsidRDefault="00E70407" w:rsidP="00E70407">
      <w:pPr>
        <w:ind w:left="709" w:hanging="709"/>
        <w:rPr>
          <w:rFonts w:ascii="Times New Roman" w:eastAsia="Times New Roman" w:hAnsi="Times New Roman"/>
          <w:sz w:val="17"/>
          <w:szCs w:val="17"/>
          <w:lang w:val="en-GB"/>
        </w:rPr>
      </w:pPr>
      <w:bookmarkStart w:id="106" w:name="_Hlk71547905"/>
      <w:r w:rsidRPr="00E70407">
        <w:rPr>
          <w:rFonts w:ascii="Times New Roman" w:eastAsia="Times New Roman" w:hAnsi="Times New Roman"/>
          <w:sz w:val="17"/>
          <w:szCs w:val="17"/>
          <w:lang w:val="en-GB"/>
        </w:rPr>
        <w:t>4.6.1</w:t>
      </w:r>
      <w:r w:rsidRPr="00E70407">
        <w:rPr>
          <w:rFonts w:ascii="Times New Roman" w:eastAsia="Times New Roman" w:hAnsi="Times New Roman"/>
          <w:sz w:val="17"/>
          <w:szCs w:val="17"/>
          <w:lang w:val="en-GB"/>
        </w:rPr>
        <w:tab/>
        <w:t xml:space="preserve">For the purposes of Section 70C of the </w:t>
      </w:r>
      <w:r w:rsidRPr="00E70407">
        <w:rPr>
          <w:rFonts w:ascii="Times New Roman" w:eastAsia="Times New Roman" w:hAnsi="Times New Roman"/>
          <w:i/>
          <w:iCs/>
          <w:sz w:val="17"/>
          <w:szCs w:val="17"/>
          <w:lang w:val="en-GB"/>
        </w:rPr>
        <w:t>SAS Act</w:t>
      </w:r>
      <w:r w:rsidRPr="00E70407">
        <w:rPr>
          <w:rFonts w:ascii="Times New Roman" w:eastAsia="Times New Roman" w:hAnsi="Times New Roman"/>
          <w:sz w:val="17"/>
          <w:szCs w:val="17"/>
          <w:lang w:val="en-GB"/>
        </w:rPr>
        <w:t xml:space="preserve">, a prescribed person as stated in the </w:t>
      </w:r>
      <w:r w:rsidRPr="00E70407">
        <w:rPr>
          <w:rFonts w:ascii="Times New Roman" w:eastAsia="Times New Roman" w:hAnsi="Times New Roman"/>
          <w:i/>
          <w:iCs/>
          <w:sz w:val="17"/>
          <w:szCs w:val="17"/>
          <w:lang w:val="en-GB"/>
        </w:rPr>
        <w:t>Regulations</w:t>
      </w:r>
      <w:r w:rsidRPr="00E70407">
        <w:rPr>
          <w:rFonts w:ascii="Times New Roman" w:eastAsia="Times New Roman" w:hAnsi="Times New Roman"/>
          <w:sz w:val="17"/>
          <w:szCs w:val="17"/>
          <w:lang w:val="en-GB"/>
        </w:rPr>
        <w:t xml:space="preserve"> includes:</w:t>
      </w:r>
    </w:p>
    <w:p w:rsidR="00E70407" w:rsidRPr="00E70407" w:rsidRDefault="00E70407" w:rsidP="00E70407">
      <w:pPr>
        <w:numPr>
          <w:ilvl w:val="0"/>
          <w:numId w:val="258"/>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a host employer with whom an apprentice or trainee is or was placed</w:t>
      </w:r>
    </w:p>
    <w:p w:rsidR="00E70407" w:rsidRPr="00E70407" w:rsidRDefault="00E70407" w:rsidP="00E70407">
      <w:pPr>
        <w:numPr>
          <w:ilvl w:val="0"/>
          <w:numId w:val="258"/>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a supervisor of an apprentice or trainee under a Training Contract</w:t>
      </w:r>
      <w:bookmarkEnd w:id="106"/>
      <w:r w:rsidRPr="00E70407">
        <w:rPr>
          <w:rFonts w:ascii="Times New Roman" w:eastAsia="Times New Roman" w:hAnsi="Times New Roman"/>
          <w:sz w:val="17"/>
          <w:szCs w:val="17"/>
        </w:rPr>
        <w:t>.</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4.6.2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 xml:space="preserve">Employers (including both registered and host employers), supervisors and Apprenticeship Network Providers are required to provide information or documents related to the host employment arrangement or the apprentice or trainee to the Commission, </w:t>
      </w:r>
      <w:r w:rsidRPr="00E70407">
        <w:rPr>
          <w:rFonts w:ascii="Times New Roman" w:eastAsia="Times New Roman" w:hAnsi="Times New Roman"/>
          <w:sz w:val="17"/>
          <w:szCs w:val="17"/>
          <w:lang w:val="en-GB"/>
        </w:rPr>
        <w:lastRenderedPageBreak/>
        <w:t xml:space="preserve">if requested. The request must be in the form of a notice in writing and specify the nature of the information or documents required and the time in which they must be provided. </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4.6.3</w:t>
      </w:r>
      <w:r w:rsidRPr="00E70407">
        <w:rPr>
          <w:rFonts w:ascii="Times New Roman" w:eastAsia="Times New Roman" w:hAnsi="Times New Roman"/>
          <w:sz w:val="17"/>
          <w:szCs w:val="17"/>
          <w:lang w:val="en-GB"/>
        </w:rPr>
        <w:tab/>
        <w:t>The maximum penalty for a breach of this requirement is $10,000.</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4.6.4</w:t>
      </w:r>
      <w:r w:rsidRPr="00E70407">
        <w:rPr>
          <w:rFonts w:ascii="Times New Roman" w:eastAsia="Times New Roman" w:hAnsi="Times New Roman"/>
          <w:sz w:val="17"/>
          <w:szCs w:val="17"/>
          <w:lang w:val="en-GB"/>
        </w:rPr>
        <w:tab/>
        <w:t>If a host employer that is a public sector agency refuses or fails to comply with a notice to provide information or documents, the Commission may, after consultation with the public sector agency:</w:t>
      </w:r>
    </w:p>
    <w:p w:rsidR="00E70407" w:rsidRPr="00E70407" w:rsidRDefault="00E70407" w:rsidP="00E70407">
      <w:pPr>
        <w:numPr>
          <w:ilvl w:val="0"/>
          <w:numId w:val="259"/>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report the refusal or failure to the Minister for Innovation and Skills (the Minister) and to the Minister responsible for the public sector agency (if any)</w:t>
      </w:r>
    </w:p>
    <w:p w:rsidR="00E70407" w:rsidRPr="00E70407" w:rsidRDefault="00E70407" w:rsidP="00E70407">
      <w:pPr>
        <w:numPr>
          <w:ilvl w:val="0"/>
          <w:numId w:val="259"/>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 xml:space="preserve">include details of the refusal or failure in the annual report of the Commission. </w:t>
      </w:r>
    </w:p>
    <w:p w:rsidR="00E70407" w:rsidRPr="00E70407" w:rsidRDefault="00E70407" w:rsidP="00E70407">
      <w:pPr>
        <w:pBdr>
          <w:top w:val="single" w:sz="4" w:space="1" w:color="auto"/>
        </w:pBdr>
        <w:spacing w:before="100" w:line="14" w:lineRule="exact"/>
        <w:ind w:left="1080" w:right="1080"/>
        <w:jc w:val="center"/>
        <w:rPr>
          <w:rFonts w:ascii="Times New Roman" w:eastAsia="Times New Roman" w:hAnsi="Times New Roman"/>
          <w:sz w:val="17"/>
          <w:szCs w:val="17"/>
        </w:rPr>
      </w:pPr>
    </w:p>
    <w:p w:rsidR="00E70407" w:rsidRPr="00E70407" w:rsidRDefault="00E70407" w:rsidP="00E70407">
      <w:pPr>
        <w:jc w:val="center"/>
        <w:rPr>
          <w:rFonts w:ascii="Times New Roman" w:hAnsi="Times New Roman"/>
          <w:smallCaps/>
          <w:sz w:val="17"/>
          <w:szCs w:val="17"/>
        </w:rPr>
      </w:pPr>
      <w:bookmarkStart w:id="107" w:name="_Toc71813715"/>
      <w:bookmarkStart w:id="108" w:name="_Toc75255247"/>
      <w:r w:rsidRPr="00E70407">
        <w:rPr>
          <w:rFonts w:ascii="Times New Roman" w:hAnsi="Times New Roman"/>
          <w:smallCaps/>
          <w:sz w:val="17"/>
          <w:szCs w:val="17"/>
        </w:rPr>
        <w:t>Standard 5</w:t>
      </w:r>
      <w:r w:rsidRPr="00E70407">
        <w:rPr>
          <w:rFonts w:ascii="Times New Roman" w:hAnsi="Times New Roman"/>
          <w:smallCaps/>
          <w:sz w:val="17"/>
          <w:szCs w:val="17"/>
        </w:rPr>
        <w:tab/>
      </w:r>
      <w:r w:rsidRPr="00E70407">
        <w:rPr>
          <w:rFonts w:ascii="Times New Roman" w:hAnsi="Times New Roman"/>
          <w:smallCaps/>
          <w:sz w:val="17"/>
          <w:szCs w:val="17"/>
        </w:rPr>
        <w:tab/>
        <w:t>Supervision</w:t>
      </w:r>
      <w:bookmarkEnd w:id="107"/>
      <w:bookmarkEnd w:id="108"/>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lang w:val="en-GB"/>
        </w:rPr>
        <w:t xml:space="preserve">This Standard relates to the requirements for the training and supervision of apprentices and trainees in the workplace in accordance with </w:t>
      </w:r>
      <w:r w:rsidRPr="00E70407">
        <w:rPr>
          <w:rFonts w:ascii="Times New Roman" w:eastAsia="Times New Roman" w:hAnsi="Times New Roman"/>
          <w:i/>
          <w:iCs/>
          <w:sz w:val="17"/>
          <w:szCs w:val="17"/>
        </w:rPr>
        <w:t>South Australian Skills Act</w:t>
      </w:r>
      <w:r w:rsidRPr="00E70407">
        <w:rPr>
          <w:rFonts w:ascii="Times New Roman" w:eastAsia="Times New Roman" w:hAnsi="Times New Roman"/>
          <w:sz w:val="17"/>
          <w:szCs w:val="17"/>
          <w:lang w:val="en-GB"/>
        </w:rPr>
        <w:t xml:space="preserve"> 2008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iCs/>
          <w:sz w:val="17"/>
          <w:szCs w:val="17"/>
          <w:lang w:val="en-GB"/>
        </w:rPr>
        <w:t>Act)</w:t>
      </w:r>
      <w:r w:rsidRPr="00E70407">
        <w:rPr>
          <w:rFonts w:ascii="Times New Roman" w:eastAsia="Times New Roman" w:hAnsi="Times New Roman"/>
          <w:sz w:val="17"/>
          <w:szCs w:val="17"/>
          <w:lang w:val="en-GB"/>
        </w:rPr>
        <w:t xml:space="preserve">. </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lang w:val="en-GB"/>
        </w:rPr>
        <w:t>The primary purpose of the Training Contract system is to ensure the provision of quality training for apprentices and trainees while they undertake employment relevant to the trade or declared vocation. Appropriate and effective supervision is a key element in achieving this purpose.</w:t>
      </w:r>
      <w:r w:rsidRPr="00E70407">
        <w:rPr>
          <w:rFonts w:ascii="Times New Roman" w:eastAsia="Times New Roman" w:hAnsi="Times New Roman"/>
          <w:sz w:val="17"/>
          <w:szCs w:val="17"/>
        </w:rPr>
        <w:t xml:space="preserve"> It is intended to create minimum standards that all employers must meet, to develop apprentices’ and trainees’ skills, knowledge, and experience to a standard where they can work safely, confidently and effectively in their occupation, trade or declared vocation. This includes setting maximum supervision ratios and defining what types of supervision can be used.</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lang w:val="en-GB"/>
        </w:rPr>
        <w:t>Governance arrangements</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lang w:val="en-GB"/>
        </w:rPr>
        <w:t xml:space="preserve">Under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iCs/>
          <w:sz w:val="17"/>
          <w:szCs w:val="17"/>
          <w:lang w:val="en-GB"/>
        </w:rPr>
        <w:t>Act</w:t>
      </w:r>
      <w:r w:rsidRPr="00E70407">
        <w:rPr>
          <w:rFonts w:ascii="Times New Roman" w:eastAsia="Times New Roman" w:hAnsi="Times New Roman"/>
          <w:sz w:val="17"/>
          <w:szCs w:val="17"/>
          <w:lang w:val="en-GB"/>
        </w:rPr>
        <w:t>, the South Australian Skills Commission (the Commission) (or its delegate) is responsible for the regulation of the apprenticeship and traineeship system. To this end, it is empowered to:</w:t>
      </w:r>
    </w:p>
    <w:p w:rsidR="00E70407" w:rsidRPr="00E70407" w:rsidRDefault="00E70407" w:rsidP="00E70407">
      <w:pPr>
        <w:numPr>
          <w:ilvl w:val="0"/>
          <w:numId w:val="334"/>
        </w:numPr>
        <w:spacing w:after="0"/>
        <w:rPr>
          <w:rFonts w:ascii="Times New Roman" w:eastAsia="Times New Roman" w:hAnsi="Times New Roman"/>
          <w:sz w:val="17"/>
          <w:szCs w:val="17"/>
        </w:rPr>
      </w:pPr>
      <w:r w:rsidRPr="00E70407">
        <w:rPr>
          <w:rFonts w:ascii="Times New Roman" w:eastAsia="Times New Roman" w:hAnsi="Times New Roman"/>
          <w:sz w:val="17"/>
          <w:szCs w:val="17"/>
          <w:lang w:val="en-GB"/>
        </w:rPr>
        <w:t>register an employer to train a person in a Training Contract for a period of up to 5 years</w:t>
      </w:r>
    </w:p>
    <w:p w:rsidR="00E70407" w:rsidRPr="00E70407" w:rsidRDefault="00E70407" w:rsidP="00E70407">
      <w:pPr>
        <w:numPr>
          <w:ilvl w:val="0"/>
          <w:numId w:val="335"/>
        </w:numPr>
        <w:spacing w:after="0"/>
        <w:rPr>
          <w:rFonts w:ascii="Times New Roman" w:eastAsia="Times New Roman" w:hAnsi="Times New Roman"/>
          <w:sz w:val="17"/>
          <w:szCs w:val="17"/>
        </w:rPr>
      </w:pPr>
      <w:r w:rsidRPr="00E70407">
        <w:rPr>
          <w:rFonts w:ascii="Times New Roman" w:eastAsia="Times New Roman" w:hAnsi="Times New Roman"/>
          <w:sz w:val="17"/>
          <w:szCs w:val="17"/>
          <w:lang w:val="en-GB"/>
        </w:rPr>
        <w:t>renew an employer’s registration for a period of up to 5 years</w:t>
      </w:r>
    </w:p>
    <w:p w:rsidR="00E70407" w:rsidRPr="00E70407" w:rsidRDefault="00E70407" w:rsidP="00E70407">
      <w:pPr>
        <w:numPr>
          <w:ilvl w:val="0"/>
          <w:numId w:val="335"/>
        </w:numPr>
        <w:rPr>
          <w:rFonts w:ascii="Times New Roman" w:eastAsia="Times New Roman" w:hAnsi="Times New Roman"/>
          <w:sz w:val="17"/>
          <w:szCs w:val="17"/>
        </w:rPr>
      </w:pPr>
      <w:r w:rsidRPr="00E70407">
        <w:rPr>
          <w:rFonts w:ascii="Times New Roman" w:eastAsia="Times New Roman" w:hAnsi="Times New Roman"/>
          <w:sz w:val="17"/>
          <w:szCs w:val="17"/>
          <w:lang w:val="en-GB"/>
        </w:rPr>
        <w:t>vary, suspend, or cancel an employer’s registration, at any time during the period the registration is in force.</w:t>
      </w:r>
    </w:p>
    <w:p w:rsidR="00E70407" w:rsidRPr="00E70407" w:rsidRDefault="00E70407" w:rsidP="00E70407">
      <w:p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Compliance with the Standard</w:t>
      </w:r>
    </w:p>
    <w:p w:rsidR="00E70407" w:rsidRPr="00E70407" w:rsidRDefault="00E70407" w:rsidP="00E70407">
      <w:pPr>
        <w:numPr>
          <w:ilvl w:val="1"/>
          <w:numId w:val="353"/>
        </w:numPr>
        <w:rPr>
          <w:rFonts w:ascii="Times New Roman" w:eastAsia="Times New Roman" w:hAnsi="Times New Roman"/>
          <w:b/>
          <w:sz w:val="17"/>
          <w:szCs w:val="17"/>
        </w:rPr>
      </w:pPr>
      <w:r w:rsidRPr="00E70407">
        <w:rPr>
          <w:rFonts w:ascii="Times New Roman" w:eastAsia="Times New Roman" w:hAnsi="Times New Roman"/>
          <w:b/>
          <w:sz w:val="17"/>
          <w:szCs w:val="17"/>
        </w:rPr>
        <w:t>Supervision of apprentices and trainees</w:t>
      </w:r>
    </w:p>
    <w:p w:rsidR="00E70407" w:rsidRPr="00E70407" w:rsidRDefault="00E70407" w:rsidP="00E70407">
      <w:pPr>
        <w:ind w:left="709" w:hanging="709"/>
        <w:rPr>
          <w:rFonts w:ascii="Times New Roman" w:eastAsia="Times New Roman" w:hAnsi="Times New Roman"/>
          <w:spacing w:val="-4"/>
          <w:sz w:val="17"/>
          <w:szCs w:val="17"/>
        </w:rPr>
      </w:pPr>
      <w:r w:rsidRPr="00E70407">
        <w:rPr>
          <w:rFonts w:ascii="Times New Roman" w:eastAsia="Times New Roman" w:hAnsi="Times New Roman"/>
          <w:spacing w:val="-4"/>
          <w:sz w:val="17"/>
          <w:szCs w:val="17"/>
        </w:rPr>
        <w:t>5.1.1</w:t>
      </w:r>
      <w:r w:rsidRPr="00E70407">
        <w:rPr>
          <w:rFonts w:ascii="Times New Roman" w:eastAsia="Times New Roman" w:hAnsi="Times New Roman"/>
          <w:spacing w:val="-4"/>
          <w:sz w:val="17"/>
          <w:szCs w:val="17"/>
        </w:rPr>
        <w:tab/>
      </w:r>
      <w:r w:rsidRPr="00E70407">
        <w:rPr>
          <w:rFonts w:ascii="Times New Roman" w:eastAsia="Times New Roman" w:hAnsi="Times New Roman"/>
          <w:spacing w:val="-4"/>
          <w:sz w:val="17"/>
          <w:szCs w:val="17"/>
          <w:lang w:val="en-GB"/>
        </w:rPr>
        <w:t>Supervision</w:t>
      </w:r>
      <w:r w:rsidRPr="00E70407">
        <w:rPr>
          <w:rFonts w:ascii="Times New Roman" w:eastAsia="Times New Roman" w:hAnsi="Times New Roman"/>
          <w:spacing w:val="-4"/>
          <w:sz w:val="17"/>
          <w:szCs w:val="17"/>
        </w:rPr>
        <w:t xml:space="preserve"> is the oversight and coordination of on-job training provided to an apprentice or trainee learning a trade or declared vocation.</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5.1.2</w:t>
      </w:r>
      <w:r w:rsidRPr="00E70407">
        <w:rPr>
          <w:rFonts w:ascii="Times New Roman" w:eastAsia="Times New Roman" w:hAnsi="Times New Roman"/>
          <w:sz w:val="17"/>
          <w:szCs w:val="17"/>
        </w:rPr>
        <w:tab/>
        <w:t xml:space="preserve">Employers are responsible for ensuring an apprentice or trainee: </w:t>
      </w:r>
    </w:p>
    <w:p w:rsidR="00E70407" w:rsidRPr="00E70407" w:rsidRDefault="00E70407" w:rsidP="00E70407">
      <w:pPr>
        <w:numPr>
          <w:ilvl w:val="2"/>
          <w:numId w:val="336"/>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is supervised</w:t>
      </w:r>
    </w:p>
    <w:p w:rsidR="00E70407" w:rsidRPr="00E70407" w:rsidRDefault="00E70407" w:rsidP="00E70407">
      <w:pPr>
        <w:numPr>
          <w:ilvl w:val="2"/>
          <w:numId w:val="336"/>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receives on-job training by a skilled or qualified person in the competencies laid out in the agreed Training Plan</w:t>
      </w:r>
    </w:p>
    <w:p w:rsidR="00E70407" w:rsidRPr="00E70407" w:rsidRDefault="00E70407" w:rsidP="00E70407">
      <w:pPr>
        <w:numPr>
          <w:ilvl w:val="2"/>
          <w:numId w:val="336"/>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is provided with work relevant and appropriate to the trade or declared vocation.</w:t>
      </w:r>
    </w:p>
    <w:p w:rsidR="00E70407" w:rsidRPr="00E70407" w:rsidRDefault="00E70407" w:rsidP="00E70407">
      <w:pPr>
        <w:ind w:left="709" w:hanging="709"/>
        <w:rPr>
          <w:rFonts w:ascii="Times New Roman" w:eastAsia="Times New Roman" w:hAnsi="Times New Roman"/>
          <w:spacing w:val="-2"/>
          <w:sz w:val="17"/>
          <w:szCs w:val="17"/>
        </w:rPr>
      </w:pPr>
      <w:r w:rsidRPr="00E70407">
        <w:rPr>
          <w:rFonts w:ascii="Times New Roman" w:eastAsia="Times New Roman" w:hAnsi="Times New Roman"/>
          <w:spacing w:val="-2"/>
          <w:sz w:val="17"/>
          <w:szCs w:val="17"/>
        </w:rPr>
        <w:t>5.1.3</w:t>
      </w:r>
      <w:r w:rsidRPr="00E70407">
        <w:rPr>
          <w:rFonts w:ascii="Times New Roman" w:eastAsia="Times New Roman" w:hAnsi="Times New Roman"/>
          <w:spacing w:val="-2"/>
          <w:sz w:val="17"/>
          <w:szCs w:val="17"/>
        </w:rPr>
        <w:tab/>
        <w:t xml:space="preserve">If an employer delegates or assigns the responsibility of supervising or providing on-job training to any staff member, or a contractor, </w:t>
      </w:r>
      <w:r w:rsidRPr="00E70407">
        <w:rPr>
          <w:rFonts w:ascii="Times New Roman" w:eastAsia="Times New Roman" w:hAnsi="Times New Roman"/>
          <w:spacing w:val="-2"/>
          <w:sz w:val="17"/>
          <w:szCs w:val="17"/>
          <w:lang w:val="en-GB"/>
        </w:rPr>
        <w:t>the</w:t>
      </w:r>
      <w:r w:rsidRPr="00E70407">
        <w:rPr>
          <w:rFonts w:ascii="Times New Roman" w:eastAsia="Times New Roman" w:hAnsi="Times New Roman"/>
          <w:spacing w:val="-2"/>
          <w:sz w:val="17"/>
          <w:szCs w:val="17"/>
        </w:rPr>
        <w:t xml:space="preserve"> employer must make sure that the staff member or contractor understands these requirements and adheres to them. </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5.1.4</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Employers</w:t>
      </w:r>
      <w:r w:rsidRPr="00E70407">
        <w:rPr>
          <w:rFonts w:ascii="Times New Roman" w:eastAsia="Times New Roman" w:hAnsi="Times New Roman"/>
          <w:sz w:val="17"/>
          <w:szCs w:val="17"/>
        </w:rPr>
        <w:t xml:space="preserve"> are responsible for ensuring that supervisors:</w:t>
      </w:r>
    </w:p>
    <w:p w:rsidR="00E70407" w:rsidRPr="00E70407" w:rsidRDefault="00E70407" w:rsidP="00E70407">
      <w:pPr>
        <w:numPr>
          <w:ilvl w:val="2"/>
          <w:numId w:val="408"/>
        </w:numPr>
        <w:ind w:left="1134" w:hanging="436"/>
        <w:rPr>
          <w:rFonts w:ascii="Times New Roman" w:eastAsia="Times New Roman" w:hAnsi="Times New Roman"/>
          <w:sz w:val="17"/>
          <w:szCs w:val="17"/>
        </w:rPr>
      </w:pPr>
      <w:r w:rsidRPr="00E70407">
        <w:rPr>
          <w:rFonts w:ascii="Times New Roman" w:eastAsia="Times New Roman" w:hAnsi="Times New Roman"/>
          <w:sz w:val="17"/>
          <w:szCs w:val="17"/>
        </w:rPr>
        <w:t xml:space="preserve">have not been convicted of an indictable offence under a law of the </w:t>
      </w:r>
      <w:r w:rsidRPr="00E70407">
        <w:rPr>
          <w:rFonts w:ascii="Times New Roman" w:eastAsia="Times New Roman" w:hAnsi="Times New Roman"/>
          <w:sz w:val="17"/>
          <w:szCs w:val="17"/>
        </w:rPr>
        <w:tab/>
        <w:t xml:space="preserve">Commonwealth or any Australian state or territory, where these offences </w:t>
      </w:r>
      <w:r w:rsidRPr="00E70407">
        <w:rPr>
          <w:rFonts w:ascii="Times New Roman" w:eastAsia="Times New Roman" w:hAnsi="Times New Roman"/>
          <w:sz w:val="17"/>
          <w:szCs w:val="17"/>
        </w:rPr>
        <w:tab/>
        <w:t>have been disclosed to the employer</w:t>
      </w:r>
    </w:p>
    <w:p w:rsidR="00E70407" w:rsidRPr="00E70407" w:rsidRDefault="00E70407" w:rsidP="00E70407">
      <w:pPr>
        <w:numPr>
          <w:ilvl w:val="2"/>
          <w:numId w:val="408"/>
        </w:numPr>
        <w:ind w:left="1134" w:hanging="436"/>
        <w:rPr>
          <w:rFonts w:ascii="Times New Roman" w:eastAsia="Times New Roman" w:hAnsi="Times New Roman"/>
          <w:sz w:val="17"/>
          <w:szCs w:val="17"/>
        </w:rPr>
      </w:pPr>
      <w:r w:rsidRPr="00E70407">
        <w:rPr>
          <w:rFonts w:ascii="Times New Roman" w:eastAsia="Times New Roman" w:hAnsi="Times New Roman"/>
          <w:sz w:val="17"/>
          <w:szCs w:val="17"/>
        </w:rPr>
        <w:t>have an aptitude for and interest in training others</w:t>
      </w:r>
    </w:p>
    <w:p w:rsidR="00E70407" w:rsidRPr="00E70407" w:rsidRDefault="00E70407" w:rsidP="00E70407">
      <w:pPr>
        <w:numPr>
          <w:ilvl w:val="2"/>
          <w:numId w:val="408"/>
        </w:numPr>
        <w:ind w:left="1134" w:hanging="436"/>
        <w:rPr>
          <w:rFonts w:ascii="Times New Roman" w:eastAsia="Times New Roman" w:hAnsi="Times New Roman"/>
          <w:sz w:val="17"/>
          <w:szCs w:val="17"/>
        </w:rPr>
      </w:pPr>
      <w:r w:rsidRPr="00E70407">
        <w:rPr>
          <w:rFonts w:ascii="Times New Roman" w:eastAsia="Times New Roman" w:hAnsi="Times New Roman"/>
          <w:sz w:val="17"/>
          <w:szCs w:val="17"/>
        </w:rPr>
        <w:t>have the relevant technical skill and qualifications and good understanding of the trade or declared vocation</w:t>
      </w:r>
    </w:p>
    <w:p w:rsidR="00E70407" w:rsidRPr="00E70407" w:rsidRDefault="00E70407" w:rsidP="00E70407">
      <w:pPr>
        <w:numPr>
          <w:ilvl w:val="2"/>
          <w:numId w:val="408"/>
        </w:numPr>
        <w:ind w:left="1134" w:hanging="436"/>
        <w:rPr>
          <w:rFonts w:ascii="Times New Roman" w:eastAsia="Times New Roman" w:hAnsi="Times New Roman"/>
          <w:sz w:val="17"/>
          <w:szCs w:val="17"/>
        </w:rPr>
      </w:pPr>
      <w:r w:rsidRPr="00E70407">
        <w:rPr>
          <w:rFonts w:ascii="Times New Roman" w:eastAsia="Times New Roman" w:hAnsi="Times New Roman"/>
          <w:sz w:val="17"/>
          <w:szCs w:val="17"/>
        </w:rPr>
        <w:t>are competent and experienced in the activities in which they will be providing training and instruction</w:t>
      </w:r>
    </w:p>
    <w:p w:rsidR="00E70407" w:rsidRPr="00E70407" w:rsidRDefault="00E70407" w:rsidP="00E70407">
      <w:pPr>
        <w:numPr>
          <w:ilvl w:val="2"/>
          <w:numId w:val="408"/>
        </w:numPr>
        <w:ind w:left="1134" w:hanging="436"/>
        <w:rPr>
          <w:rFonts w:ascii="Times New Roman" w:eastAsia="Times New Roman" w:hAnsi="Times New Roman"/>
          <w:sz w:val="17"/>
          <w:szCs w:val="17"/>
        </w:rPr>
      </w:pPr>
      <w:r w:rsidRPr="00E70407">
        <w:rPr>
          <w:rFonts w:ascii="Times New Roman" w:eastAsia="Times New Roman" w:hAnsi="Times New Roman"/>
          <w:sz w:val="17"/>
          <w:szCs w:val="17"/>
        </w:rPr>
        <w:t>do not supervise more apprentices or trainees than is permitted by the supervision ratios specified in this Standard</w:t>
      </w:r>
    </w:p>
    <w:p w:rsidR="00E70407" w:rsidRPr="00E70407" w:rsidRDefault="00E70407" w:rsidP="00E70407">
      <w:pPr>
        <w:numPr>
          <w:ilvl w:val="2"/>
          <w:numId w:val="408"/>
        </w:numPr>
        <w:ind w:left="1134" w:hanging="436"/>
        <w:rPr>
          <w:rFonts w:ascii="Times New Roman" w:eastAsia="Times New Roman" w:hAnsi="Times New Roman"/>
          <w:sz w:val="17"/>
          <w:szCs w:val="17"/>
        </w:rPr>
      </w:pPr>
      <w:r w:rsidRPr="00E70407">
        <w:rPr>
          <w:rFonts w:ascii="Times New Roman" w:eastAsia="Times New Roman" w:hAnsi="Times New Roman"/>
          <w:sz w:val="17"/>
          <w:szCs w:val="17"/>
        </w:rPr>
        <w:t>use the correct supervision type in accordance with this Standard</w:t>
      </w:r>
    </w:p>
    <w:p w:rsidR="00E70407" w:rsidRPr="00E70407" w:rsidRDefault="00E70407" w:rsidP="00E70407">
      <w:pPr>
        <w:numPr>
          <w:ilvl w:val="2"/>
          <w:numId w:val="408"/>
        </w:numPr>
        <w:ind w:left="1134" w:hanging="436"/>
        <w:rPr>
          <w:rFonts w:ascii="Times New Roman" w:eastAsia="Times New Roman" w:hAnsi="Times New Roman"/>
          <w:sz w:val="17"/>
          <w:szCs w:val="17"/>
        </w:rPr>
      </w:pPr>
      <w:r w:rsidRPr="00E70407">
        <w:rPr>
          <w:rFonts w:ascii="Times New Roman" w:eastAsia="Times New Roman" w:hAnsi="Times New Roman"/>
          <w:sz w:val="17"/>
          <w:szCs w:val="17"/>
        </w:rPr>
        <w:t>are not themselves an apprentice or trainee, unless Commission approval for this to occur has been obtained.</w:t>
      </w:r>
    </w:p>
    <w:p w:rsidR="00E70407" w:rsidRPr="00E70407" w:rsidRDefault="00E70407" w:rsidP="00E70407">
      <w:pPr>
        <w:rPr>
          <w:rFonts w:ascii="Times New Roman" w:eastAsia="Times New Roman" w:hAnsi="Times New Roman"/>
          <w:b/>
          <w:sz w:val="17"/>
          <w:szCs w:val="17"/>
        </w:rPr>
      </w:pPr>
      <w:r w:rsidRPr="00E70407">
        <w:rPr>
          <w:rFonts w:ascii="Times New Roman" w:eastAsia="Times New Roman" w:hAnsi="Times New Roman"/>
          <w:b/>
          <w:sz w:val="17"/>
          <w:szCs w:val="17"/>
        </w:rPr>
        <w:t>5.2</w:t>
      </w:r>
      <w:r w:rsidRPr="00E70407">
        <w:rPr>
          <w:rFonts w:ascii="Times New Roman" w:eastAsia="Times New Roman" w:hAnsi="Times New Roman"/>
          <w:b/>
          <w:sz w:val="17"/>
          <w:szCs w:val="17"/>
        </w:rPr>
        <w:tab/>
        <w:t>Provision of on-job training</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5.2.1</w:t>
      </w:r>
      <w:r w:rsidRPr="00E70407">
        <w:rPr>
          <w:rFonts w:ascii="Times New Roman" w:eastAsia="Times New Roman" w:hAnsi="Times New Roman"/>
          <w:sz w:val="17"/>
          <w:szCs w:val="17"/>
        </w:rPr>
        <w:tab/>
        <w:t>The employer appointed to provide on-job training to an apprentice or trainee must meet specific quality standards of training.</w:t>
      </w:r>
    </w:p>
    <w:p w:rsidR="00E70407" w:rsidRPr="00E70407" w:rsidRDefault="00E70407" w:rsidP="00E70407">
      <w:pPr>
        <w:ind w:left="709" w:hanging="709"/>
        <w:rPr>
          <w:rFonts w:ascii="Times New Roman" w:eastAsia="Times New Roman" w:hAnsi="Times New Roman"/>
          <w:spacing w:val="-2"/>
          <w:sz w:val="17"/>
          <w:szCs w:val="17"/>
        </w:rPr>
      </w:pPr>
      <w:r w:rsidRPr="00E70407">
        <w:rPr>
          <w:rFonts w:ascii="Times New Roman" w:eastAsia="Times New Roman" w:hAnsi="Times New Roman"/>
          <w:spacing w:val="-2"/>
          <w:sz w:val="17"/>
          <w:szCs w:val="17"/>
        </w:rPr>
        <w:t>5.2.2</w:t>
      </w:r>
      <w:r w:rsidRPr="00E70407">
        <w:rPr>
          <w:rFonts w:ascii="Times New Roman" w:eastAsia="Times New Roman" w:hAnsi="Times New Roman"/>
          <w:spacing w:val="-2"/>
          <w:sz w:val="17"/>
          <w:szCs w:val="17"/>
        </w:rPr>
        <w:tab/>
        <w:t>While providing on-job training in a task to an apprentice or trainee, employers must ensure that they, or the nominated supervisor:</w:t>
      </w:r>
    </w:p>
    <w:p w:rsidR="00E70407" w:rsidRPr="00E70407" w:rsidRDefault="00E70407" w:rsidP="00E70407">
      <w:pPr>
        <w:numPr>
          <w:ilvl w:val="2"/>
          <w:numId w:val="338"/>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formally induct the apprentice(s) or trainee(s) into the workplace</w:t>
      </w:r>
    </w:p>
    <w:p w:rsidR="00E70407" w:rsidRPr="00E70407" w:rsidRDefault="00E70407" w:rsidP="00E70407">
      <w:pPr>
        <w:numPr>
          <w:ilvl w:val="2"/>
          <w:numId w:val="338"/>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give clear instructions, and set clear expectations, about what the apprentice or trainee is being asked to complete, and to what standard</w:t>
      </w:r>
    </w:p>
    <w:p w:rsidR="00E70407" w:rsidRPr="00E70407" w:rsidRDefault="00E70407" w:rsidP="00E70407">
      <w:pPr>
        <w:numPr>
          <w:ilvl w:val="2"/>
          <w:numId w:val="338"/>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explain how the task relates to other tasks undertaken in the trade/declared vocation</w:t>
      </w:r>
    </w:p>
    <w:p w:rsidR="00E70407" w:rsidRPr="00E70407" w:rsidRDefault="00E70407" w:rsidP="00E70407">
      <w:pPr>
        <w:numPr>
          <w:ilvl w:val="2"/>
          <w:numId w:val="338"/>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discuss safety issues connected to the task before the apprentice or trainees commences the task</w:t>
      </w:r>
    </w:p>
    <w:p w:rsidR="00E70407" w:rsidRPr="00E70407" w:rsidRDefault="00E70407" w:rsidP="00E70407">
      <w:pPr>
        <w:numPr>
          <w:ilvl w:val="2"/>
          <w:numId w:val="338"/>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break down the task into a step-by-step process</w:t>
      </w:r>
    </w:p>
    <w:p w:rsidR="00E70407" w:rsidRPr="00E70407" w:rsidRDefault="00E70407" w:rsidP="00E70407">
      <w:pPr>
        <w:numPr>
          <w:ilvl w:val="2"/>
          <w:numId w:val="338"/>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demonstrate how the task is performed, and explain its steps while the apprentice or trainee observes</w:t>
      </w:r>
    </w:p>
    <w:p w:rsidR="00E70407" w:rsidRPr="00E70407" w:rsidRDefault="00E70407" w:rsidP="00E70407">
      <w:pPr>
        <w:numPr>
          <w:ilvl w:val="2"/>
          <w:numId w:val="338"/>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observe the apprentice or trainee while they attempt the task</w:t>
      </w:r>
    </w:p>
    <w:p w:rsidR="00E70407" w:rsidRPr="00E70407" w:rsidRDefault="00E70407" w:rsidP="00E70407">
      <w:pPr>
        <w:numPr>
          <w:ilvl w:val="2"/>
          <w:numId w:val="338"/>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provide opportunities for the apprentice or trainee to practice the task</w:t>
      </w:r>
    </w:p>
    <w:p w:rsidR="00E70407" w:rsidRPr="00E70407" w:rsidRDefault="00E70407" w:rsidP="00E70407">
      <w:pPr>
        <w:numPr>
          <w:ilvl w:val="2"/>
          <w:numId w:val="338"/>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provide feedback about what they did well and what they need to do differently</w:t>
      </w:r>
    </w:p>
    <w:p w:rsidR="00E70407" w:rsidRPr="00E70407" w:rsidRDefault="00E70407" w:rsidP="00E70407">
      <w:pPr>
        <w:numPr>
          <w:ilvl w:val="2"/>
          <w:numId w:val="338"/>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coach the apprentice or trainee to develop their confidence in performing the task</w:t>
      </w:r>
    </w:p>
    <w:p w:rsidR="00E70407" w:rsidRPr="00E70407" w:rsidRDefault="00E70407" w:rsidP="00E70407">
      <w:pPr>
        <w:numPr>
          <w:ilvl w:val="2"/>
          <w:numId w:val="338"/>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routinely check the apprentice or trainee’s subsequent work in that task</w:t>
      </w:r>
    </w:p>
    <w:p w:rsidR="00E70407" w:rsidRPr="00E70407" w:rsidRDefault="00E70407" w:rsidP="00E70407">
      <w:pPr>
        <w:numPr>
          <w:ilvl w:val="2"/>
          <w:numId w:val="338"/>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provide positive constructive feedback that assists the apprentice or trainee to become proficient in the task.</w:t>
      </w:r>
    </w:p>
    <w:p w:rsidR="00E70407" w:rsidRPr="00E70407" w:rsidRDefault="00E70407" w:rsidP="00E70407">
      <w:pPr>
        <w:numPr>
          <w:ilvl w:val="1"/>
          <w:numId w:val="354"/>
        </w:numPr>
        <w:rPr>
          <w:rFonts w:ascii="Times New Roman" w:eastAsia="Times New Roman" w:hAnsi="Times New Roman"/>
          <w:b/>
          <w:sz w:val="17"/>
          <w:szCs w:val="17"/>
        </w:rPr>
      </w:pPr>
      <w:r w:rsidRPr="00E70407">
        <w:rPr>
          <w:rFonts w:ascii="Times New Roman" w:eastAsia="Times New Roman" w:hAnsi="Times New Roman"/>
          <w:b/>
          <w:sz w:val="17"/>
          <w:szCs w:val="17"/>
        </w:rPr>
        <w:t>Supervision ratios</w:t>
      </w:r>
    </w:p>
    <w:p w:rsidR="00E70407" w:rsidRPr="00E70407" w:rsidRDefault="00E70407" w:rsidP="00E70407">
      <w:pPr>
        <w:numPr>
          <w:ilvl w:val="2"/>
          <w:numId w:val="354"/>
        </w:numPr>
        <w:rPr>
          <w:rFonts w:ascii="Times New Roman" w:eastAsia="Times New Roman" w:hAnsi="Times New Roman"/>
          <w:sz w:val="17"/>
          <w:szCs w:val="17"/>
        </w:rPr>
      </w:pPr>
      <w:r w:rsidRPr="00E70407">
        <w:rPr>
          <w:rFonts w:ascii="Times New Roman" w:eastAsia="Times New Roman" w:hAnsi="Times New Roman"/>
          <w:sz w:val="17"/>
          <w:szCs w:val="17"/>
        </w:rPr>
        <w:t>Some apprentices or trainees need more supervision than others. To make sure that all apprentices or trainees are adequately supervised, employers must not exceed the supervision ratios that apply to them.</w:t>
      </w:r>
    </w:p>
    <w:p w:rsidR="00E70407" w:rsidRPr="00E70407" w:rsidRDefault="00E70407" w:rsidP="00E70407">
      <w:pPr>
        <w:numPr>
          <w:ilvl w:val="2"/>
          <w:numId w:val="354"/>
        </w:numPr>
        <w:rPr>
          <w:rFonts w:ascii="Times New Roman" w:eastAsia="Times New Roman" w:hAnsi="Times New Roman"/>
          <w:sz w:val="17"/>
          <w:szCs w:val="17"/>
        </w:rPr>
      </w:pPr>
      <w:r w:rsidRPr="00E70407">
        <w:rPr>
          <w:rFonts w:ascii="Times New Roman" w:eastAsia="Times New Roman" w:hAnsi="Times New Roman"/>
          <w:sz w:val="17"/>
          <w:szCs w:val="17"/>
        </w:rPr>
        <w:lastRenderedPageBreak/>
        <w:t xml:space="preserve">There are different supervision ratios, depending on the ‘prescribed supervision level’ for the trade or vocation which is published in the </w:t>
      </w:r>
      <w:hyperlink r:id="rId93" w:history="1">
        <w:r w:rsidRPr="00E70407">
          <w:rPr>
            <w:rFonts w:ascii="Times New Roman" w:eastAsia="Times New Roman" w:hAnsi="Times New Roman"/>
            <w:color w:val="0000FF"/>
            <w:sz w:val="17"/>
            <w:szCs w:val="17"/>
            <w:u w:val="single"/>
          </w:rPr>
          <w:t>Traineeship and Apprenticeship Pathways (TAP) Schedule</w:t>
        </w:r>
      </w:hyperlink>
      <w:r w:rsidRPr="00E70407">
        <w:rPr>
          <w:rFonts w:ascii="Times New Roman" w:eastAsia="Times New Roman" w:hAnsi="Times New Roman"/>
          <w:sz w:val="17"/>
          <w:szCs w:val="17"/>
        </w:rPr>
        <w:t>. Employers must refer to the schedule, to find the prescribed supervision level that applies to the apprentices or trainees they employ.</w:t>
      </w:r>
    </w:p>
    <w:p w:rsidR="00E70407" w:rsidRPr="00E70407" w:rsidRDefault="00E70407" w:rsidP="00E70407">
      <w:pPr>
        <w:numPr>
          <w:ilvl w:val="2"/>
          <w:numId w:val="354"/>
        </w:numPr>
        <w:rPr>
          <w:rFonts w:ascii="Times New Roman" w:eastAsia="Times New Roman" w:hAnsi="Times New Roman"/>
          <w:sz w:val="17"/>
          <w:szCs w:val="17"/>
        </w:rPr>
      </w:pPr>
      <w:r w:rsidRPr="00E70407">
        <w:rPr>
          <w:rFonts w:ascii="Times New Roman" w:eastAsia="Times New Roman" w:hAnsi="Times New Roman"/>
          <w:sz w:val="17"/>
          <w:szCs w:val="17"/>
        </w:rPr>
        <w:t>If an employer employs apprentices or trainees with different</w:t>
      </w:r>
      <w:r w:rsidRPr="00E70407">
        <w:rPr>
          <w:rFonts w:ascii="Times New Roman" w:eastAsia="Times New Roman" w:hAnsi="Times New Roman"/>
          <w:i/>
          <w:iCs/>
          <w:sz w:val="17"/>
          <w:szCs w:val="17"/>
        </w:rPr>
        <w:t xml:space="preserve"> </w:t>
      </w:r>
      <w:r w:rsidRPr="00E70407">
        <w:rPr>
          <w:rFonts w:ascii="Times New Roman" w:eastAsia="Times New Roman" w:hAnsi="Times New Roman"/>
          <w:sz w:val="17"/>
          <w:szCs w:val="17"/>
        </w:rPr>
        <w:t xml:space="preserve">prescribed supervision levels, then they must use the supervision ratio for the highest of those levels.  </w:t>
      </w:r>
    </w:p>
    <w:p w:rsidR="00E70407" w:rsidRPr="00E70407" w:rsidRDefault="00E70407" w:rsidP="00E70407">
      <w:pPr>
        <w:numPr>
          <w:ilvl w:val="2"/>
          <w:numId w:val="354"/>
        </w:numPr>
        <w:rPr>
          <w:rFonts w:ascii="Times New Roman" w:eastAsia="Times New Roman" w:hAnsi="Times New Roman"/>
          <w:sz w:val="17"/>
          <w:szCs w:val="17"/>
        </w:rPr>
      </w:pPr>
      <w:r w:rsidRPr="00E70407">
        <w:rPr>
          <w:rFonts w:ascii="Times New Roman" w:eastAsia="Times New Roman" w:hAnsi="Times New Roman"/>
          <w:sz w:val="17"/>
          <w:szCs w:val="17"/>
        </w:rPr>
        <w:t xml:space="preserve">The table below sets out the supervision ratios that employers must not exceed and is drawn from the </w:t>
      </w:r>
      <w:hyperlink w:anchor="_TRAINEESHIP_AND_APPRENTICESHIP" w:history="1">
        <w:r w:rsidRPr="00E70407">
          <w:rPr>
            <w:rFonts w:ascii="Times New Roman" w:eastAsia="Times New Roman" w:hAnsi="Times New Roman"/>
            <w:color w:val="0000FF"/>
            <w:sz w:val="17"/>
            <w:szCs w:val="17"/>
            <w:u w:val="single"/>
          </w:rPr>
          <w:t>Traineeship and Apprenticeship Pathways (TAP) Schedule</w:t>
        </w:r>
      </w:hyperlink>
      <w:r w:rsidRPr="00E70407">
        <w:rPr>
          <w:rFonts w:ascii="Times New Roman" w:eastAsia="Times New Roman" w:hAnsi="Times New Roman"/>
          <w:sz w:val="17"/>
          <w:szCs w:val="17"/>
        </w:rPr>
        <w:t>.</w:t>
      </w:r>
    </w:p>
    <w:tbl>
      <w:tblPr>
        <w:tblStyle w:val="TableGrid"/>
        <w:tblW w:w="0" w:type="auto"/>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812"/>
      </w:tblGrid>
      <w:tr w:rsidR="00E70407" w:rsidRPr="00E70407" w:rsidTr="00491D21">
        <w:trPr>
          <w:trHeight w:val="20"/>
          <w:jc w:val="right"/>
        </w:trPr>
        <w:tc>
          <w:tcPr>
            <w:tcW w:w="2835" w:type="dxa"/>
            <w:tcBorders>
              <w:top w:val="single" w:sz="4" w:space="0" w:color="auto"/>
              <w:bottom w:val="single" w:sz="4" w:space="0" w:color="auto"/>
            </w:tcBorders>
          </w:tcPr>
          <w:p w:rsidR="00E70407" w:rsidRPr="00E70407" w:rsidRDefault="00E70407" w:rsidP="00E70407">
            <w:pPr>
              <w:spacing w:before="20" w:after="20"/>
              <w:jc w:val="center"/>
              <w:rPr>
                <w:b/>
                <w:sz w:val="17"/>
                <w:szCs w:val="17"/>
              </w:rPr>
            </w:pPr>
            <w:r w:rsidRPr="00E70407">
              <w:rPr>
                <w:b/>
                <w:sz w:val="17"/>
                <w:szCs w:val="17"/>
              </w:rPr>
              <w:t>Supervision Level Rating</w:t>
            </w:r>
          </w:p>
        </w:tc>
        <w:tc>
          <w:tcPr>
            <w:tcW w:w="5812" w:type="dxa"/>
            <w:tcBorders>
              <w:top w:val="single" w:sz="4" w:space="0" w:color="auto"/>
              <w:bottom w:val="single" w:sz="4" w:space="0" w:color="auto"/>
            </w:tcBorders>
          </w:tcPr>
          <w:p w:rsidR="00E70407" w:rsidRPr="00E70407" w:rsidRDefault="00E70407" w:rsidP="00E70407">
            <w:pPr>
              <w:spacing w:before="20" w:after="20"/>
              <w:jc w:val="center"/>
              <w:rPr>
                <w:b/>
                <w:sz w:val="17"/>
                <w:szCs w:val="17"/>
              </w:rPr>
            </w:pPr>
            <w:r w:rsidRPr="00E70407">
              <w:rPr>
                <w:b/>
                <w:sz w:val="17"/>
                <w:szCs w:val="17"/>
              </w:rPr>
              <w:t>Maximum Supervision Ratio</w:t>
            </w:r>
          </w:p>
        </w:tc>
      </w:tr>
      <w:tr w:rsidR="00E70407" w:rsidRPr="00E70407" w:rsidTr="00491D21">
        <w:trPr>
          <w:trHeight w:val="20"/>
          <w:jc w:val="right"/>
        </w:trPr>
        <w:tc>
          <w:tcPr>
            <w:tcW w:w="2835" w:type="dxa"/>
            <w:tcBorders>
              <w:top w:val="single" w:sz="4" w:space="0" w:color="auto"/>
            </w:tcBorders>
          </w:tcPr>
          <w:p w:rsidR="00E70407" w:rsidRPr="00E70407" w:rsidRDefault="00E70407" w:rsidP="00E70407">
            <w:pPr>
              <w:spacing w:before="20" w:after="20"/>
              <w:rPr>
                <w:b/>
                <w:sz w:val="17"/>
                <w:szCs w:val="17"/>
              </w:rPr>
            </w:pPr>
          </w:p>
          <w:p w:rsidR="00E70407" w:rsidRPr="00E70407" w:rsidRDefault="00E70407" w:rsidP="00E70407">
            <w:pPr>
              <w:spacing w:before="20" w:after="20"/>
              <w:rPr>
                <w:sz w:val="17"/>
                <w:szCs w:val="17"/>
              </w:rPr>
            </w:pPr>
            <w:r w:rsidRPr="00E70407">
              <w:rPr>
                <w:b/>
                <w:sz w:val="17"/>
                <w:szCs w:val="17"/>
              </w:rPr>
              <w:t>HIGH</w:t>
            </w:r>
          </w:p>
        </w:tc>
        <w:tc>
          <w:tcPr>
            <w:tcW w:w="5812" w:type="dxa"/>
            <w:tcBorders>
              <w:top w:val="single" w:sz="4" w:space="0" w:color="auto"/>
            </w:tcBorders>
          </w:tcPr>
          <w:p w:rsidR="00E70407" w:rsidRPr="00E70407" w:rsidRDefault="00E70407" w:rsidP="00E70407">
            <w:pPr>
              <w:spacing w:before="20" w:after="20"/>
              <w:rPr>
                <w:b/>
                <w:bCs/>
                <w:sz w:val="17"/>
                <w:szCs w:val="17"/>
              </w:rPr>
            </w:pPr>
            <w:r w:rsidRPr="00E70407">
              <w:rPr>
                <w:b/>
                <w:bCs/>
                <w:sz w:val="17"/>
                <w:szCs w:val="17"/>
              </w:rPr>
              <w:t>1:3</w:t>
            </w:r>
          </w:p>
          <w:p w:rsidR="00E70407" w:rsidRPr="00E70407" w:rsidRDefault="00E70407" w:rsidP="00E70407">
            <w:pPr>
              <w:spacing w:before="20" w:after="20"/>
              <w:rPr>
                <w:sz w:val="17"/>
                <w:szCs w:val="17"/>
              </w:rPr>
            </w:pPr>
            <w:r w:rsidRPr="00E70407">
              <w:rPr>
                <w:sz w:val="17"/>
                <w:szCs w:val="17"/>
              </w:rPr>
              <w:t>A single supervisor may not supervise any more than 3 apprentices or trainees at any one time.</w:t>
            </w:r>
          </w:p>
        </w:tc>
      </w:tr>
      <w:tr w:rsidR="00E70407" w:rsidRPr="00E70407" w:rsidTr="00491D21">
        <w:trPr>
          <w:trHeight w:val="20"/>
          <w:jc w:val="right"/>
        </w:trPr>
        <w:tc>
          <w:tcPr>
            <w:tcW w:w="2835" w:type="dxa"/>
          </w:tcPr>
          <w:p w:rsidR="00E70407" w:rsidRPr="00E70407" w:rsidRDefault="00E70407" w:rsidP="00E70407">
            <w:pPr>
              <w:spacing w:before="20" w:after="20"/>
              <w:rPr>
                <w:sz w:val="17"/>
                <w:szCs w:val="17"/>
              </w:rPr>
            </w:pPr>
          </w:p>
          <w:p w:rsidR="00E70407" w:rsidRPr="00E70407" w:rsidRDefault="00E70407" w:rsidP="00E70407">
            <w:pPr>
              <w:spacing w:before="20" w:after="20"/>
              <w:rPr>
                <w:sz w:val="17"/>
                <w:szCs w:val="17"/>
              </w:rPr>
            </w:pPr>
            <w:r w:rsidRPr="00E70407">
              <w:rPr>
                <w:b/>
                <w:sz w:val="17"/>
                <w:szCs w:val="17"/>
              </w:rPr>
              <w:t>MEDIUM</w:t>
            </w:r>
          </w:p>
        </w:tc>
        <w:tc>
          <w:tcPr>
            <w:tcW w:w="5812" w:type="dxa"/>
          </w:tcPr>
          <w:p w:rsidR="00E70407" w:rsidRPr="00E70407" w:rsidRDefault="00E70407" w:rsidP="00E70407">
            <w:pPr>
              <w:spacing w:before="20" w:after="20"/>
              <w:rPr>
                <w:b/>
                <w:bCs/>
                <w:sz w:val="17"/>
                <w:szCs w:val="17"/>
              </w:rPr>
            </w:pPr>
            <w:r w:rsidRPr="00E70407">
              <w:rPr>
                <w:b/>
                <w:bCs/>
                <w:sz w:val="17"/>
                <w:szCs w:val="17"/>
              </w:rPr>
              <w:t>1:6</w:t>
            </w:r>
          </w:p>
          <w:p w:rsidR="00E70407" w:rsidRPr="00E70407" w:rsidRDefault="00E70407" w:rsidP="00E70407">
            <w:pPr>
              <w:spacing w:before="20" w:after="20"/>
              <w:rPr>
                <w:sz w:val="17"/>
                <w:szCs w:val="17"/>
              </w:rPr>
            </w:pPr>
            <w:r w:rsidRPr="00E70407">
              <w:rPr>
                <w:sz w:val="17"/>
                <w:szCs w:val="17"/>
              </w:rPr>
              <w:t>A single supervisor may not supervise any more than 6 apprentices or trainees at any one time.</w:t>
            </w:r>
          </w:p>
        </w:tc>
      </w:tr>
      <w:tr w:rsidR="00E70407" w:rsidRPr="00E70407" w:rsidTr="00491D21">
        <w:trPr>
          <w:trHeight w:val="20"/>
          <w:jc w:val="right"/>
        </w:trPr>
        <w:tc>
          <w:tcPr>
            <w:tcW w:w="2835" w:type="dxa"/>
          </w:tcPr>
          <w:p w:rsidR="00E70407" w:rsidRPr="00E70407" w:rsidRDefault="00E70407" w:rsidP="00E70407">
            <w:pPr>
              <w:spacing w:before="20" w:after="20"/>
              <w:rPr>
                <w:sz w:val="17"/>
                <w:szCs w:val="17"/>
              </w:rPr>
            </w:pPr>
          </w:p>
          <w:p w:rsidR="00E70407" w:rsidRPr="00E70407" w:rsidRDefault="00E70407" w:rsidP="00E70407">
            <w:pPr>
              <w:spacing w:before="20" w:after="20"/>
              <w:rPr>
                <w:sz w:val="17"/>
                <w:szCs w:val="17"/>
              </w:rPr>
            </w:pPr>
            <w:r w:rsidRPr="00E70407">
              <w:rPr>
                <w:b/>
                <w:sz w:val="17"/>
                <w:szCs w:val="17"/>
              </w:rPr>
              <w:t>LOW</w:t>
            </w:r>
          </w:p>
        </w:tc>
        <w:tc>
          <w:tcPr>
            <w:tcW w:w="5812" w:type="dxa"/>
          </w:tcPr>
          <w:p w:rsidR="00E70407" w:rsidRPr="00E70407" w:rsidRDefault="00E70407" w:rsidP="00E70407">
            <w:pPr>
              <w:spacing w:before="20" w:after="20"/>
              <w:rPr>
                <w:b/>
                <w:bCs/>
                <w:sz w:val="17"/>
                <w:szCs w:val="17"/>
              </w:rPr>
            </w:pPr>
            <w:r w:rsidRPr="00E70407">
              <w:rPr>
                <w:b/>
                <w:bCs/>
                <w:sz w:val="17"/>
                <w:szCs w:val="17"/>
              </w:rPr>
              <w:t>1:10</w:t>
            </w:r>
          </w:p>
          <w:p w:rsidR="00E70407" w:rsidRPr="00E70407" w:rsidRDefault="00E70407" w:rsidP="00E70407">
            <w:pPr>
              <w:spacing w:before="20" w:after="20"/>
              <w:rPr>
                <w:sz w:val="17"/>
                <w:szCs w:val="17"/>
              </w:rPr>
            </w:pPr>
            <w:r w:rsidRPr="00E70407">
              <w:rPr>
                <w:sz w:val="17"/>
                <w:szCs w:val="17"/>
              </w:rPr>
              <w:t>A single supervisor may not supervise any more than 10 apprentices or trainees at any one time.</w:t>
            </w:r>
          </w:p>
        </w:tc>
      </w:tr>
    </w:tbl>
    <w:p w:rsidR="00E70407" w:rsidRPr="00E70407" w:rsidRDefault="00E70407" w:rsidP="00E70407">
      <w:pPr>
        <w:numPr>
          <w:ilvl w:val="2"/>
          <w:numId w:val="354"/>
        </w:numPr>
        <w:spacing w:before="80"/>
        <w:rPr>
          <w:rFonts w:ascii="Times New Roman" w:eastAsia="Times New Roman" w:hAnsi="Times New Roman"/>
          <w:sz w:val="17"/>
          <w:szCs w:val="17"/>
        </w:rPr>
      </w:pPr>
      <w:r w:rsidRPr="00E70407">
        <w:rPr>
          <w:rFonts w:ascii="Times New Roman" w:eastAsia="Times New Roman" w:hAnsi="Times New Roman"/>
          <w:sz w:val="17"/>
          <w:szCs w:val="17"/>
        </w:rPr>
        <w:t xml:space="preserve">An employer must not exceed these supervision ratios unless they have applied for and received written approval from the Commission to do so (and they must also comply with any conditions set out in that written approval). Application form available at </w:t>
      </w:r>
      <w:hyperlink r:id="rId94" w:history="1">
        <w:r w:rsidRPr="00E70407">
          <w:rPr>
            <w:rFonts w:ascii="Times New Roman" w:eastAsia="Times New Roman" w:hAnsi="Times New Roman"/>
            <w:color w:val="0000FF"/>
            <w:sz w:val="17"/>
            <w:szCs w:val="17"/>
            <w:u w:val="single"/>
          </w:rPr>
          <w:t>www.skills.sa.gov.au/business/forms</w:t>
        </w:r>
      </w:hyperlink>
      <w:r w:rsidRPr="00E70407">
        <w:rPr>
          <w:rFonts w:ascii="Times New Roman" w:eastAsia="Times New Roman" w:hAnsi="Times New Roman"/>
          <w:sz w:val="17"/>
          <w:szCs w:val="17"/>
        </w:rPr>
        <w:t xml:space="preserve">. </w:t>
      </w:r>
    </w:p>
    <w:p w:rsidR="00E70407" w:rsidRPr="00E70407" w:rsidRDefault="00E70407" w:rsidP="00E70407">
      <w:pPr>
        <w:rPr>
          <w:rFonts w:ascii="Times New Roman" w:eastAsia="Times New Roman" w:hAnsi="Times New Roman"/>
          <w:b/>
          <w:sz w:val="17"/>
          <w:szCs w:val="17"/>
        </w:rPr>
      </w:pPr>
      <w:r w:rsidRPr="00E70407">
        <w:rPr>
          <w:rFonts w:ascii="Times New Roman" w:eastAsia="Times New Roman" w:hAnsi="Times New Roman"/>
          <w:b/>
          <w:sz w:val="17"/>
          <w:szCs w:val="17"/>
        </w:rPr>
        <w:t>5.4</w:t>
      </w:r>
      <w:r w:rsidRPr="00E70407">
        <w:rPr>
          <w:rFonts w:ascii="Times New Roman" w:eastAsia="Times New Roman" w:hAnsi="Times New Roman"/>
          <w:b/>
          <w:sz w:val="17"/>
          <w:szCs w:val="17"/>
        </w:rPr>
        <w:tab/>
        <w:t>Types of supervision</w:t>
      </w:r>
    </w:p>
    <w:p w:rsidR="00E70407" w:rsidRPr="00E70407" w:rsidRDefault="00E70407" w:rsidP="00E70407">
      <w:pPr>
        <w:ind w:left="160" w:firstLine="160"/>
        <w:rPr>
          <w:rFonts w:ascii="Times New Roman" w:eastAsia="Times New Roman" w:hAnsi="Times New Roman"/>
          <w:sz w:val="17"/>
          <w:szCs w:val="17"/>
        </w:rPr>
      </w:pPr>
      <w:r w:rsidRPr="00E70407">
        <w:rPr>
          <w:rFonts w:ascii="Times New Roman" w:eastAsia="Times New Roman" w:hAnsi="Times New Roman"/>
          <w:sz w:val="17"/>
          <w:szCs w:val="17"/>
        </w:rPr>
        <w:t xml:space="preserve">In </w:t>
      </w:r>
      <w:hyperlink w:anchor="_DETERMINING_THE_APPROPRIATE" w:history="1">
        <w:r w:rsidRPr="00E70407">
          <w:rPr>
            <w:rFonts w:ascii="Times New Roman" w:eastAsia="Times New Roman" w:hAnsi="Times New Roman"/>
            <w:color w:val="0000FF"/>
            <w:sz w:val="17"/>
            <w:szCs w:val="17"/>
            <w:u w:val="single"/>
          </w:rPr>
          <w:t>determining the appropriate type of supervision</w:t>
        </w:r>
      </w:hyperlink>
      <w:r w:rsidRPr="00E70407">
        <w:rPr>
          <w:rFonts w:ascii="Times New Roman" w:eastAsia="Times New Roman" w:hAnsi="Times New Roman"/>
          <w:sz w:val="17"/>
          <w:szCs w:val="17"/>
        </w:rPr>
        <w:t>, refer to clause 5.5 of this Standard.</w:t>
      </w:r>
    </w:p>
    <w:p w:rsidR="00E70407" w:rsidRPr="00E70407" w:rsidRDefault="00E70407" w:rsidP="00E70407">
      <w:pPr>
        <w:tabs>
          <w:tab w:val="left" w:pos="709"/>
        </w:tabs>
        <w:rPr>
          <w:rFonts w:ascii="Times New Roman" w:eastAsia="Times New Roman" w:hAnsi="Times New Roman"/>
          <w:sz w:val="17"/>
          <w:szCs w:val="17"/>
        </w:rPr>
      </w:pPr>
      <w:r w:rsidRPr="00E70407">
        <w:rPr>
          <w:rFonts w:ascii="Times New Roman" w:eastAsia="Times New Roman" w:hAnsi="Times New Roman"/>
          <w:sz w:val="17"/>
          <w:szCs w:val="17"/>
        </w:rPr>
        <w:t>5.4.1</w:t>
      </w:r>
      <w:r w:rsidRPr="00E70407">
        <w:rPr>
          <w:rFonts w:ascii="Times New Roman" w:eastAsia="Times New Roman" w:hAnsi="Times New Roman"/>
          <w:sz w:val="17"/>
          <w:szCs w:val="17"/>
        </w:rPr>
        <w:tab/>
        <w:t xml:space="preserve">An apprentice or trainee’s supervision may be: </w:t>
      </w:r>
    </w:p>
    <w:p w:rsidR="00E70407" w:rsidRPr="00E70407" w:rsidRDefault="00BE58B6" w:rsidP="00E70407">
      <w:pPr>
        <w:numPr>
          <w:ilvl w:val="2"/>
          <w:numId w:val="337"/>
        </w:numPr>
        <w:ind w:left="1134" w:hanging="414"/>
        <w:rPr>
          <w:rFonts w:ascii="Times New Roman" w:eastAsia="Times New Roman" w:hAnsi="Times New Roman"/>
          <w:sz w:val="17"/>
          <w:szCs w:val="17"/>
        </w:rPr>
      </w:pPr>
      <w:hyperlink w:anchor="_DIRECT" w:history="1">
        <w:r w:rsidR="00E70407" w:rsidRPr="00E70407">
          <w:rPr>
            <w:rFonts w:ascii="Times New Roman" w:eastAsia="Times New Roman" w:hAnsi="Times New Roman"/>
            <w:color w:val="0000FF"/>
            <w:sz w:val="17"/>
            <w:szCs w:val="17"/>
            <w:u w:val="single"/>
          </w:rPr>
          <w:t>direct</w:t>
        </w:r>
      </w:hyperlink>
    </w:p>
    <w:p w:rsidR="00E70407" w:rsidRPr="00E70407" w:rsidRDefault="00BE58B6" w:rsidP="00E70407">
      <w:pPr>
        <w:numPr>
          <w:ilvl w:val="2"/>
          <w:numId w:val="337"/>
        </w:numPr>
        <w:ind w:left="1134" w:hanging="414"/>
        <w:rPr>
          <w:rFonts w:ascii="Times New Roman" w:eastAsia="Times New Roman" w:hAnsi="Times New Roman"/>
          <w:sz w:val="17"/>
          <w:szCs w:val="17"/>
        </w:rPr>
      </w:pPr>
      <w:hyperlink w:anchor="_INDIRECT" w:history="1">
        <w:r w:rsidR="00E70407" w:rsidRPr="00E70407">
          <w:rPr>
            <w:rFonts w:ascii="Times New Roman" w:eastAsia="Times New Roman" w:hAnsi="Times New Roman"/>
            <w:color w:val="0000FF"/>
            <w:sz w:val="17"/>
            <w:szCs w:val="17"/>
            <w:u w:val="single"/>
          </w:rPr>
          <w:t>indirect</w:t>
        </w:r>
      </w:hyperlink>
      <w:r w:rsidR="00E70407" w:rsidRPr="00E70407">
        <w:rPr>
          <w:rFonts w:ascii="Times New Roman" w:eastAsia="Times New Roman" w:hAnsi="Times New Roman"/>
          <w:sz w:val="17"/>
          <w:szCs w:val="17"/>
        </w:rPr>
        <w:t>; and/or</w:t>
      </w:r>
    </w:p>
    <w:p w:rsidR="00E70407" w:rsidRPr="00E70407" w:rsidRDefault="00E70407" w:rsidP="00E70407">
      <w:pPr>
        <w:numPr>
          <w:ilvl w:val="2"/>
          <w:numId w:val="337"/>
        </w:numPr>
        <w:ind w:left="1134" w:hanging="414"/>
        <w:rPr>
          <w:rFonts w:ascii="Times New Roman" w:eastAsia="Times New Roman" w:hAnsi="Times New Roman"/>
          <w:sz w:val="17"/>
          <w:szCs w:val="17"/>
        </w:rPr>
      </w:pPr>
      <w:r w:rsidRPr="00E70407">
        <w:rPr>
          <w:rFonts w:ascii="Times New Roman" w:eastAsia="Times New Roman" w:hAnsi="Times New Roman"/>
          <w:sz w:val="17"/>
          <w:szCs w:val="17"/>
        </w:rPr>
        <w:t xml:space="preserve">in some special circumstances, remote. </w:t>
      </w:r>
    </w:p>
    <w:p w:rsidR="00E70407" w:rsidRPr="00E70407" w:rsidRDefault="00E70407" w:rsidP="00E70407">
      <w:pPr>
        <w:ind w:left="720"/>
        <w:rPr>
          <w:rFonts w:ascii="Times New Roman" w:eastAsia="Times New Roman" w:hAnsi="Times New Roman"/>
          <w:sz w:val="17"/>
          <w:szCs w:val="17"/>
        </w:rPr>
      </w:pPr>
      <w:r w:rsidRPr="00E70407">
        <w:rPr>
          <w:rFonts w:ascii="Times New Roman" w:eastAsia="Times New Roman" w:hAnsi="Times New Roman"/>
          <w:sz w:val="17"/>
          <w:szCs w:val="17"/>
        </w:rPr>
        <w:t xml:space="preserve">The default type of supervision is direct supervision, which must be provided until an employer can demonstrate that they have assessed the apprentice or trainee as being able to work under indirect supervision in relation to a task. Remote supervision cannot occur without the written approval of the Commission. </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5.4.2</w:t>
      </w:r>
      <w:r w:rsidRPr="00E70407">
        <w:rPr>
          <w:rFonts w:ascii="Times New Roman" w:eastAsia="Times New Roman" w:hAnsi="Times New Roman"/>
          <w:sz w:val="17"/>
          <w:szCs w:val="17"/>
        </w:rPr>
        <w:tab/>
        <w:t xml:space="preserve">If an apprentice or trainee is carrying out work requiring a </w:t>
      </w:r>
      <w:hyperlink w:anchor="_HIGH_RISK_WORK" w:history="1">
        <w:r w:rsidRPr="00E70407">
          <w:rPr>
            <w:rFonts w:ascii="Times New Roman" w:eastAsia="Times New Roman" w:hAnsi="Times New Roman"/>
            <w:color w:val="0000FF"/>
            <w:sz w:val="17"/>
            <w:szCs w:val="17"/>
            <w:u w:val="single"/>
          </w:rPr>
          <w:t>high-risk work licence</w:t>
        </w:r>
      </w:hyperlink>
      <w:r w:rsidRPr="00E70407">
        <w:rPr>
          <w:rFonts w:ascii="Times New Roman" w:eastAsia="Times New Roman" w:hAnsi="Times New Roman"/>
          <w:sz w:val="17"/>
          <w:szCs w:val="17"/>
        </w:rPr>
        <w:t xml:space="preserve"> under the </w:t>
      </w:r>
      <w:r w:rsidRPr="00E70407">
        <w:rPr>
          <w:rFonts w:ascii="Times New Roman" w:eastAsia="Times New Roman" w:hAnsi="Times New Roman"/>
          <w:i/>
          <w:iCs/>
          <w:sz w:val="17"/>
          <w:szCs w:val="17"/>
        </w:rPr>
        <w:t>Work Health and Safety Regulations</w:t>
      </w:r>
      <w:r w:rsidRPr="00E70407">
        <w:rPr>
          <w:rFonts w:ascii="Times New Roman" w:eastAsia="Times New Roman" w:hAnsi="Times New Roman"/>
          <w:sz w:val="17"/>
          <w:szCs w:val="17"/>
        </w:rPr>
        <w:t xml:space="preserve"> 2012 (SA), the:</w:t>
      </w:r>
    </w:p>
    <w:p w:rsidR="00E70407" w:rsidRPr="00E70407" w:rsidRDefault="00E70407" w:rsidP="00E70407">
      <w:pPr>
        <w:numPr>
          <w:ilvl w:val="4"/>
          <w:numId w:val="231"/>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apprentice must be enrolled in the applicable course to obtain that high-risk work licence</w:t>
      </w:r>
    </w:p>
    <w:p w:rsidR="00E70407" w:rsidRPr="00E70407" w:rsidRDefault="00E70407" w:rsidP="00E70407">
      <w:pPr>
        <w:numPr>
          <w:ilvl w:val="4"/>
          <w:numId w:val="231"/>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employer must make sure the apprentice is under the direct supervision of a person who holds a high-risk work licence of the same class, until the apprentice has successfully passed the high-risk work licence assessment.</w:t>
      </w:r>
    </w:p>
    <w:p w:rsidR="00E70407" w:rsidRPr="00E70407" w:rsidRDefault="00E70407" w:rsidP="00E70407">
      <w:pPr>
        <w:rPr>
          <w:rFonts w:ascii="Times New Roman" w:eastAsia="Times New Roman" w:hAnsi="Times New Roman"/>
          <w:i/>
          <w:sz w:val="17"/>
          <w:szCs w:val="17"/>
        </w:rPr>
      </w:pPr>
      <w:r w:rsidRPr="00E70407">
        <w:rPr>
          <w:rFonts w:ascii="Times New Roman" w:eastAsia="Times New Roman" w:hAnsi="Times New Roman"/>
          <w:i/>
          <w:sz w:val="17"/>
          <w:szCs w:val="17"/>
        </w:rPr>
        <w:t>Direct Supervision</w:t>
      </w:r>
    </w:p>
    <w:p w:rsidR="00E70407" w:rsidRPr="00E70407" w:rsidRDefault="00E70407" w:rsidP="00E70407">
      <w:pPr>
        <w:numPr>
          <w:ilvl w:val="2"/>
          <w:numId w:val="355"/>
        </w:numPr>
        <w:rPr>
          <w:rFonts w:ascii="Times New Roman" w:eastAsia="Times New Roman" w:hAnsi="Times New Roman"/>
          <w:sz w:val="17"/>
          <w:szCs w:val="17"/>
        </w:rPr>
      </w:pPr>
      <w:r w:rsidRPr="00E70407">
        <w:rPr>
          <w:rFonts w:ascii="Times New Roman" w:eastAsia="Times New Roman" w:hAnsi="Times New Roman"/>
          <w:sz w:val="17"/>
          <w:szCs w:val="17"/>
        </w:rPr>
        <w:t>Direct supervision means that the apprentice or trainee’s supervisor (a person qualified or experienced in the apprentice or trainee’s trade or declared vocation) is:</w:t>
      </w:r>
    </w:p>
    <w:p w:rsidR="00E70407" w:rsidRPr="00E70407" w:rsidRDefault="00E70407" w:rsidP="00E70407">
      <w:pPr>
        <w:numPr>
          <w:ilvl w:val="2"/>
          <w:numId w:val="356"/>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physically able to see and hear the apprentice or trainee; and</w:t>
      </w:r>
    </w:p>
    <w:p w:rsidR="00E70407" w:rsidRPr="00E70407" w:rsidRDefault="00E70407" w:rsidP="00E70407">
      <w:pPr>
        <w:numPr>
          <w:ilvl w:val="2"/>
          <w:numId w:val="356"/>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physically present in the workplace with them (i.e. they must not provide supervision electronically by phone, radio or webcam); and</w:t>
      </w:r>
    </w:p>
    <w:p w:rsidR="00E70407" w:rsidRPr="00E70407" w:rsidRDefault="00E70407" w:rsidP="00E70407">
      <w:pPr>
        <w:numPr>
          <w:ilvl w:val="2"/>
          <w:numId w:val="356"/>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working with them to provide training and instruction on a given task; and</w:t>
      </w:r>
    </w:p>
    <w:p w:rsidR="00E70407" w:rsidRPr="00E70407" w:rsidRDefault="00E70407" w:rsidP="00E70407">
      <w:pPr>
        <w:numPr>
          <w:ilvl w:val="2"/>
          <w:numId w:val="356"/>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accessible to them at all times on site and available to respond to their issues as they arise, or answer questions.</w:t>
      </w:r>
    </w:p>
    <w:p w:rsidR="00E70407" w:rsidRPr="00E70407" w:rsidRDefault="00E70407" w:rsidP="00E70407">
      <w:pPr>
        <w:rPr>
          <w:rFonts w:ascii="Times New Roman" w:eastAsia="Times New Roman" w:hAnsi="Times New Roman"/>
          <w:i/>
          <w:sz w:val="17"/>
          <w:szCs w:val="17"/>
        </w:rPr>
      </w:pPr>
      <w:r w:rsidRPr="00E70407">
        <w:rPr>
          <w:rFonts w:ascii="Times New Roman" w:eastAsia="Times New Roman" w:hAnsi="Times New Roman"/>
          <w:i/>
          <w:sz w:val="17"/>
          <w:szCs w:val="17"/>
        </w:rPr>
        <w:t>Indirect Supervision</w:t>
      </w:r>
    </w:p>
    <w:p w:rsidR="00E70407" w:rsidRPr="00E70407" w:rsidRDefault="00E70407" w:rsidP="00E70407">
      <w:pPr>
        <w:numPr>
          <w:ilvl w:val="2"/>
          <w:numId w:val="355"/>
        </w:numPr>
        <w:rPr>
          <w:rFonts w:ascii="Times New Roman" w:eastAsia="Times New Roman" w:hAnsi="Times New Roman"/>
          <w:sz w:val="17"/>
          <w:szCs w:val="17"/>
        </w:rPr>
      </w:pPr>
      <w:r w:rsidRPr="00E70407">
        <w:rPr>
          <w:rFonts w:ascii="Times New Roman" w:eastAsia="Times New Roman" w:hAnsi="Times New Roman"/>
          <w:sz w:val="17"/>
          <w:szCs w:val="17"/>
        </w:rPr>
        <w:t>An employer may provide indirect supervision for an apprentice or trainee performing a task if:</w:t>
      </w:r>
    </w:p>
    <w:p w:rsidR="00E70407" w:rsidRPr="00E70407" w:rsidRDefault="00E70407" w:rsidP="00E70407">
      <w:pPr>
        <w:numPr>
          <w:ilvl w:val="2"/>
          <w:numId w:val="357"/>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It is reasonable in the circumstances and has regard for any health and safety risks to the apprentice or trainee undertaking the task independently; and</w:t>
      </w:r>
    </w:p>
    <w:p w:rsidR="00E70407" w:rsidRPr="00E70407" w:rsidRDefault="00E70407" w:rsidP="00E70407">
      <w:pPr>
        <w:numPr>
          <w:ilvl w:val="2"/>
          <w:numId w:val="357"/>
        </w:numPr>
        <w:ind w:left="1134" w:hanging="425"/>
        <w:rPr>
          <w:rFonts w:ascii="Times New Roman" w:eastAsia="Times New Roman" w:hAnsi="Times New Roman"/>
          <w:sz w:val="17"/>
          <w:szCs w:val="17"/>
        </w:rPr>
      </w:pPr>
      <w:r w:rsidRPr="00E70407">
        <w:rPr>
          <w:rFonts w:ascii="Times New Roman" w:eastAsia="Times New Roman" w:hAnsi="Times New Roman"/>
          <w:sz w:val="17"/>
          <w:szCs w:val="17"/>
        </w:rPr>
        <w:t>before the task is undertaken, the employer can demonstrate that a supervisor has assessed the apprentice or trainee as having the required skills, technical knowledge and experience to safely, correctly, effectively and autonomously perform the task without risk to their safety or the safety of others.</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5.4.5</w:t>
      </w:r>
      <w:r w:rsidRPr="00E70407">
        <w:rPr>
          <w:rFonts w:ascii="Times New Roman" w:eastAsia="Times New Roman" w:hAnsi="Times New Roman"/>
          <w:sz w:val="17"/>
          <w:szCs w:val="17"/>
        </w:rPr>
        <w:tab/>
        <w:t>Indirect supervision means that:</w:t>
      </w:r>
    </w:p>
    <w:p w:rsidR="00E70407" w:rsidRPr="00E70407" w:rsidRDefault="00E70407" w:rsidP="00E70407">
      <w:pPr>
        <w:numPr>
          <w:ilvl w:val="0"/>
          <w:numId w:val="358"/>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before the apprentice or trainee commences a work task under indirect supervision for the first time, the supervisor must discuss and plan that task with them in person; and</w:t>
      </w:r>
    </w:p>
    <w:p w:rsidR="00E70407" w:rsidRPr="00E70407" w:rsidRDefault="00E70407" w:rsidP="00E70407">
      <w:pPr>
        <w:numPr>
          <w:ilvl w:val="0"/>
          <w:numId w:val="358"/>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while</w:t>
      </w:r>
      <w:r w:rsidRPr="00E70407">
        <w:rPr>
          <w:rFonts w:ascii="Times New Roman" w:eastAsia="Times New Roman" w:hAnsi="Times New Roman"/>
          <w:i/>
          <w:iCs/>
          <w:sz w:val="17"/>
          <w:szCs w:val="17"/>
        </w:rPr>
        <w:t xml:space="preserve"> </w:t>
      </w:r>
      <w:r w:rsidRPr="00E70407">
        <w:rPr>
          <w:rFonts w:ascii="Times New Roman" w:eastAsia="Times New Roman" w:hAnsi="Times New Roman"/>
          <w:sz w:val="17"/>
          <w:szCs w:val="17"/>
        </w:rPr>
        <w:t>the apprentice or trainee is performing a task:</w:t>
      </w:r>
    </w:p>
    <w:p w:rsidR="00E70407" w:rsidRPr="00E70407" w:rsidRDefault="00E70407" w:rsidP="00E70407">
      <w:pPr>
        <w:numPr>
          <w:ilvl w:val="2"/>
          <w:numId w:val="358"/>
        </w:numPr>
        <w:ind w:left="1560"/>
        <w:rPr>
          <w:rFonts w:ascii="Times New Roman" w:eastAsia="Times New Roman" w:hAnsi="Times New Roman"/>
          <w:sz w:val="17"/>
          <w:szCs w:val="17"/>
        </w:rPr>
      </w:pPr>
      <w:r w:rsidRPr="00E70407">
        <w:rPr>
          <w:rFonts w:ascii="Times New Roman" w:eastAsia="Times New Roman" w:hAnsi="Times New Roman"/>
          <w:sz w:val="17"/>
          <w:szCs w:val="17"/>
        </w:rPr>
        <w:t>the supervisor must intermittently observe the apprentice or trainee to ensure that the task is being completed safely and to a satisfactory standard; or</w:t>
      </w:r>
    </w:p>
    <w:p w:rsidR="00E70407" w:rsidRPr="00E70407" w:rsidRDefault="00E70407" w:rsidP="00E70407">
      <w:pPr>
        <w:numPr>
          <w:ilvl w:val="2"/>
          <w:numId w:val="358"/>
        </w:numPr>
        <w:ind w:left="1560"/>
        <w:rPr>
          <w:rFonts w:ascii="Times New Roman" w:eastAsia="Times New Roman" w:hAnsi="Times New Roman"/>
          <w:sz w:val="17"/>
          <w:szCs w:val="17"/>
        </w:rPr>
      </w:pPr>
      <w:r w:rsidRPr="00E70407">
        <w:rPr>
          <w:rFonts w:ascii="Times New Roman" w:eastAsia="Times New Roman" w:hAnsi="Times New Roman"/>
          <w:sz w:val="17"/>
          <w:szCs w:val="17"/>
        </w:rPr>
        <w:t>if working separately from their supervisor intermittently or temporarily (for example, attending a job at a client’s premises), the apprentice or trainee must be able to communicate with their supervisor via telephone, radio, webcam or other technology; and</w:t>
      </w:r>
    </w:p>
    <w:p w:rsidR="00E70407" w:rsidRPr="00E70407" w:rsidRDefault="00E70407" w:rsidP="00E70407">
      <w:pPr>
        <w:numPr>
          <w:ilvl w:val="0"/>
          <w:numId w:val="358"/>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if the supervisor leaves the worksite for any reason (for example, to take a lunch break), the apprentice or trainee is not engaged on a task for which direct supervision is required and/or that is a high-risk task.</w:t>
      </w:r>
    </w:p>
    <w:p w:rsidR="00E70407" w:rsidRPr="00E70407" w:rsidRDefault="00E70407" w:rsidP="00E70407">
      <w:pPr>
        <w:rPr>
          <w:rFonts w:ascii="Times New Roman" w:eastAsia="Times New Roman" w:hAnsi="Times New Roman"/>
          <w:i/>
          <w:sz w:val="17"/>
          <w:szCs w:val="17"/>
        </w:rPr>
      </w:pPr>
      <w:r w:rsidRPr="00E70407">
        <w:rPr>
          <w:rFonts w:ascii="Times New Roman" w:eastAsia="Times New Roman" w:hAnsi="Times New Roman"/>
          <w:i/>
          <w:sz w:val="17"/>
          <w:szCs w:val="17"/>
        </w:rPr>
        <w:t>Remote Supervision</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5.4.6</w:t>
      </w:r>
      <w:r w:rsidRPr="00E70407">
        <w:rPr>
          <w:rFonts w:ascii="Times New Roman" w:eastAsia="Times New Roman" w:hAnsi="Times New Roman"/>
          <w:sz w:val="17"/>
          <w:szCs w:val="17"/>
        </w:rPr>
        <w:tab/>
        <w:t>Remote supervision, where a supervisor is not present</w:t>
      </w:r>
      <w:r w:rsidRPr="00E70407">
        <w:rPr>
          <w:rFonts w:ascii="Times New Roman" w:eastAsia="Times New Roman" w:hAnsi="Times New Roman"/>
          <w:i/>
          <w:iCs/>
          <w:sz w:val="17"/>
          <w:szCs w:val="17"/>
        </w:rPr>
        <w:t xml:space="preserve"> </w:t>
      </w:r>
      <w:r w:rsidRPr="00E70407">
        <w:rPr>
          <w:rFonts w:ascii="Times New Roman" w:eastAsia="Times New Roman" w:hAnsi="Times New Roman"/>
          <w:sz w:val="17"/>
          <w:szCs w:val="17"/>
        </w:rPr>
        <w:t>at the site where the apprentice or trainee is working, is prohibited unless the Commission has given its written approval. An application for remote supervision should only be made where:</w:t>
      </w:r>
    </w:p>
    <w:p w:rsidR="00E70407" w:rsidRPr="00E70407" w:rsidRDefault="00E70407" w:rsidP="00E70407">
      <w:pPr>
        <w:numPr>
          <w:ilvl w:val="0"/>
          <w:numId w:val="410"/>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lastRenderedPageBreak/>
        <w:t>the apprentice or trainee is geographically remote from their supervisor; and</w:t>
      </w:r>
    </w:p>
    <w:p w:rsidR="00E70407" w:rsidRPr="00E70407" w:rsidRDefault="00E70407" w:rsidP="00E70407">
      <w:pPr>
        <w:numPr>
          <w:ilvl w:val="0"/>
          <w:numId w:val="410"/>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the apprentice or trainee’s separation from their supervisor is not intermittent or of a temporary nature (in this situation, indirect supervision may be appropriate); and</w:t>
      </w:r>
    </w:p>
    <w:p w:rsidR="00E70407" w:rsidRPr="00E70407" w:rsidRDefault="00E70407" w:rsidP="00E70407">
      <w:pPr>
        <w:numPr>
          <w:ilvl w:val="0"/>
          <w:numId w:val="410"/>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the apprentice or trainee is able to communicate with their supervisor via telephone, radio, webcam or other technology; and</w:t>
      </w:r>
    </w:p>
    <w:p w:rsidR="00E70407" w:rsidRPr="00E70407" w:rsidRDefault="00E70407" w:rsidP="00E70407">
      <w:pPr>
        <w:numPr>
          <w:ilvl w:val="0"/>
          <w:numId w:val="410"/>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the supervisor (or another suitably qualified supervisor) can attend the apprentice or trainee’s physical location within a reasonable time if an issue arises.</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5.4.7 </w:t>
      </w:r>
      <w:r w:rsidRPr="00E70407">
        <w:rPr>
          <w:rFonts w:ascii="Times New Roman" w:eastAsia="Times New Roman" w:hAnsi="Times New Roman"/>
          <w:sz w:val="17"/>
          <w:szCs w:val="17"/>
        </w:rPr>
        <w:tab/>
        <w:t xml:space="preserve">An employer must record all periods of work that an apprentice or trainee undertakes under remote supervision and maintain appropriate records, to demonstrate obligations in the </w:t>
      </w:r>
      <w:r w:rsidRPr="00E70407">
        <w:rPr>
          <w:rFonts w:ascii="Times New Roman" w:eastAsia="Times New Roman" w:hAnsi="Times New Roman"/>
          <w:i/>
          <w:iCs/>
          <w:sz w:val="17"/>
          <w:szCs w:val="17"/>
        </w:rPr>
        <w:t>SAS Act, South Australian Skills Regulations 2021</w:t>
      </w:r>
      <w:r w:rsidRPr="00E70407">
        <w:rPr>
          <w:rFonts w:ascii="Times New Roman" w:eastAsia="Times New Roman" w:hAnsi="Times New Roman"/>
          <w:iCs/>
          <w:sz w:val="17"/>
          <w:szCs w:val="17"/>
        </w:rPr>
        <w:t xml:space="preserve"> (the </w:t>
      </w:r>
      <w:r w:rsidRPr="00E70407">
        <w:rPr>
          <w:rFonts w:ascii="Times New Roman" w:eastAsia="Times New Roman" w:hAnsi="Times New Roman"/>
          <w:i/>
          <w:iCs/>
          <w:sz w:val="17"/>
          <w:szCs w:val="17"/>
        </w:rPr>
        <w:t>Regulations</w:t>
      </w:r>
      <w:r w:rsidRPr="00E70407">
        <w:rPr>
          <w:rFonts w:ascii="Times New Roman" w:eastAsia="Times New Roman" w:hAnsi="Times New Roman"/>
          <w:iCs/>
          <w:sz w:val="17"/>
          <w:szCs w:val="17"/>
        </w:rPr>
        <w:t>)</w:t>
      </w:r>
      <w:r w:rsidRPr="00E70407">
        <w:rPr>
          <w:rFonts w:ascii="Times New Roman" w:eastAsia="Times New Roman" w:hAnsi="Times New Roman"/>
          <w:sz w:val="17"/>
          <w:szCs w:val="17"/>
        </w:rPr>
        <w:t xml:space="preserve"> and Standard 14, Record Keeping have been met.</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noProof/>
          <w:sz w:val="17"/>
          <w:szCs w:val="17"/>
          <w:lang w:eastAsia="en-AU"/>
        </w:rPr>
        <w:drawing>
          <wp:anchor distT="0" distB="0" distL="114300" distR="114300" simplePos="0" relativeHeight="251666944" behindDoc="0" locked="0" layoutInCell="1" allowOverlap="1" wp14:anchorId="504B0B5B" wp14:editId="69FF77C6">
            <wp:simplePos x="0" y="0"/>
            <wp:positionH relativeFrom="column">
              <wp:posOffset>38100</wp:posOffset>
            </wp:positionH>
            <wp:positionV relativeFrom="paragraph">
              <wp:posOffset>133350</wp:posOffset>
            </wp:positionV>
            <wp:extent cx="5915025" cy="2536825"/>
            <wp:effectExtent l="0" t="0" r="9525" b="15875"/>
            <wp:wrapTopAndBottom/>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anchor>
        </w:drawing>
      </w:r>
      <w:r w:rsidRPr="00E70407">
        <w:rPr>
          <w:rFonts w:ascii="Times New Roman" w:eastAsia="Times New Roman" w:hAnsi="Times New Roman"/>
          <w:b/>
          <w:bCs/>
          <w:sz w:val="17"/>
          <w:szCs w:val="17"/>
        </w:rPr>
        <w:t>Table 2:  How to determine the type of supervision required</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 </w:t>
      </w:r>
    </w:p>
    <w:p w:rsidR="00E70407" w:rsidRPr="00E70407" w:rsidRDefault="00E70407" w:rsidP="00E70407">
      <w:pPr>
        <w:numPr>
          <w:ilvl w:val="1"/>
          <w:numId w:val="357"/>
        </w:numPr>
        <w:rPr>
          <w:rFonts w:ascii="Times New Roman" w:eastAsia="Times New Roman" w:hAnsi="Times New Roman"/>
          <w:b/>
          <w:sz w:val="17"/>
          <w:szCs w:val="17"/>
        </w:rPr>
      </w:pPr>
      <w:bookmarkStart w:id="109" w:name="_DETERMINING_THE_APPROPRIATE"/>
      <w:bookmarkEnd w:id="109"/>
      <w:r w:rsidRPr="00E70407">
        <w:rPr>
          <w:rFonts w:ascii="Times New Roman" w:eastAsia="Times New Roman" w:hAnsi="Times New Roman"/>
          <w:b/>
          <w:sz w:val="17"/>
          <w:szCs w:val="17"/>
        </w:rPr>
        <w:t>Determining whether direct or indirect supervision is the appropriate supervision type</w:t>
      </w:r>
    </w:p>
    <w:p w:rsidR="00E70407" w:rsidRPr="00E70407" w:rsidRDefault="00E70407" w:rsidP="00E70407">
      <w:pPr>
        <w:numPr>
          <w:ilvl w:val="2"/>
          <w:numId w:val="359"/>
        </w:numPr>
        <w:rPr>
          <w:rFonts w:ascii="Times New Roman" w:eastAsia="Times New Roman" w:hAnsi="Times New Roman"/>
          <w:sz w:val="17"/>
          <w:szCs w:val="17"/>
        </w:rPr>
      </w:pPr>
      <w:r w:rsidRPr="00E70407">
        <w:rPr>
          <w:rFonts w:ascii="Times New Roman" w:eastAsia="Times New Roman" w:hAnsi="Times New Roman"/>
          <w:sz w:val="17"/>
          <w:szCs w:val="17"/>
        </w:rPr>
        <w:t xml:space="preserve">Employers are required to use direct supervision until they have made an assessment about the task, and about the apprentice or trainee, which permits them to use indirect supervision.  </w:t>
      </w:r>
    </w:p>
    <w:p w:rsidR="00E70407" w:rsidRPr="00E70407" w:rsidRDefault="00E70407" w:rsidP="00E70407">
      <w:pPr>
        <w:numPr>
          <w:ilvl w:val="2"/>
          <w:numId w:val="359"/>
        </w:numPr>
        <w:rPr>
          <w:rFonts w:ascii="Times New Roman" w:eastAsia="Times New Roman" w:hAnsi="Times New Roman"/>
          <w:sz w:val="17"/>
          <w:szCs w:val="17"/>
        </w:rPr>
      </w:pPr>
      <w:r w:rsidRPr="00E70407">
        <w:rPr>
          <w:rFonts w:ascii="Times New Roman" w:eastAsia="Times New Roman" w:hAnsi="Times New Roman"/>
          <w:sz w:val="17"/>
          <w:szCs w:val="17"/>
        </w:rPr>
        <w:t>The type of supervision provided at any given time must be consistent with the purpose of developing an apprentice’s or trainees’ skills, knowledge and experience such that, upon completion, they can work confidently, effectively and safely in the trade or vocation in which they are being trained according to their Training Contract.</w:t>
      </w:r>
    </w:p>
    <w:p w:rsidR="00E70407" w:rsidRPr="00E70407" w:rsidRDefault="00E70407" w:rsidP="00E70407">
      <w:pPr>
        <w:numPr>
          <w:ilvl w:val="2"/>
          <w:numId w:val="359"/>
        </w:numPr>
        <w:rPr>
          <w:rFonts w:ascii="Times New Roman" w:eastAsia="Times New Roman" w:hAnsi="Times New Roman"/>
          <w:sz w:val="17"/>
          <w:szCs w:val="17"/>
        </w:rPr>
      </w:pPr>
      <w:r w:rsidRPr="00E70407">
        <w:rPr>
          <w:rFonts w:ascii="Times New Roman" w:eastAsia="Times New Roman" w:hAnsi="Times New Roman"/>
          <w:sz w:val="17"/>
          <w:szCs w:val="17"/>
        </w:rPr>
        <w:t>Employers should start from the assumption that an apprentice or trainee has minimal or no capability or awareness of the work to be undertaken or the risks associated with it. They should only depart from that assumption if they can see (either from their work, or from some evidence of previous training) that the apprentice or trainee has some relevant prior knowledge or experience.</w:t>
      </w:r>
    </w:p>
    <w:p w:rsidR="00E70407" w:rsidRPr="00E70407" w:rsidRDefault="00E70407" w:rsidP="00E70407">
      <w:pPr>
        <w:numPr>
          <w:ilvl w:val="2"/>
          <w:numId w:val="359"/>
        </w:numPr>
        <w:rPr>
          <w:rFonts w:ascii="Times New Roman" w:eastAsia="Times New Roman" w:hAnsi="Times New Roman"/>
          <w:sz w:val="17"/>
          <w:szCs w:val="17"/>
        </w:rPr>
      </w:pPr>
      <w:r w:rsidRPr="00E70407">
        <w:rPr>
          <w:rFonts w:ascii="Times New Roman" w:eastAsia="Times New Roman" w:hAnsi="Times New Roman"/>
          <w:sz w:val="17"/>
          <w:szCs w:val="17"/>
        </w:rPr>
        <w:t>To avoid any uncertainty, in relation to tasks or activities undertaken, direct supervision must be provided where an apprentice or trainee is attempting or undertaking activities or tasks they have not previously performed.</w:t>
      </w:r>
    </w:p>
    <w:p w:rsidR="00E70407" w:rsidRPr="00E70407" w:rsidRDefault="00E70407" w:rsidP="00E70407">
      <w:pPr>
        <w:numPr>
          <w:ilvl w:val="2"/>
          <w:numId w:val="359"/>
        </w:numPr>
        <w:rPr>
          <w:rFonts w:ascii="Times New Roman" w:eastAsia="Times New Roman" w:hAnsi="Times New Roman"/>
          <w:sz w:val="17"/>
          <w:szCs w:val="17"/>
        </w:rPr>
      </w:pPr>
      <w:r w:rsidRPr="00E70407">
        <w:rPr>
          <w:rFonts w:ascii="Times New Roman" w:eastAsia="Times New Roman" w:hAnsi="Times New Roman"/>
          <w:sz w:val="17"/>
          <w:szCs w:val="17"/>
        </w:rPr>
        <w:t>For apprentices and trainees who commence an apprenticeship or traineeship while they are at school, or are otherwise under 18 years of age, a presumption should be made in favour of constant and direct supervision, unless a risk assessment determines otherwise. However, this presumption only applies for that part of the Training Contract served while the student is at school, or under 18 years of age, and not for the full duration of the Training Contract.</w:t>
      </w:r>
    </w:p>
    <w:p w:rsidR="00E70407" w:rsidRPr="00E70407" w:rsidRDefault="00E70407" w:rsidP="00E70407">
      <w:pPr>
        <w:numPr>
          <w:ilvl w:val="2"/>
          <w:numId w:val="359"/>
        </w:numPr>
        <w:rPr>
          <w:rFonts w:ascii="Times New Roman" w:eastAsia="Times New Roman" w:hAnsi="Times New Roman"/>
          <w:sz w:val="17"/>
          <w:szCs w:val="17"/>
        </w:rPr>
      </w:pPr>
      <w:r w:rsidRPr="00E70407">
        <w:rPr>
          <w:rFonts w:ascii="Times New Roman" w:eastAsia="Times New Roman" w:hAnsi="Times New Roman"/>
          <w:sz w:val="17"/>
          <w:szCs w:val="17"/>
        </w:rPr>
        <w:t>Indirect supervision by an employer is only permitted:</w:t>
      </w:r>
    </w:p>
    <w:p w:rsidR="00E70407" w:rsidRPr="00E70407" w:rsidRDefault="00E70407" w:rsidP="00E70407">
      <w:pPr>
        <w:numPr>
          <w:ilvl w:val="2"/>
          <w:numId w:val="333"/>
        </w:numPr>
        <w:rPr>
          <w:rFonts w:ascii="Times New Roman" w:eastAsia="Times New Roman" w:hAnsi="Times New Roman"/>
          <w:sz w:val="17"/>
          <w:szCs w:val="17"/>
        </w:rPr>
      </w:pPr>
      <w:r w:rsidRPr="00E70407">
        <w:rPr>
          <w:rFonts w:ascii="Times New Roman" w:eastAsia="Times New Roman" w:hAnsi="Times New Roman"/>
          <w:sz w:val="17"/>
          <w:szCs w:val="17"/>
        </w:rPr>
        <w:t>where the task/activity is not inherently dangerous or hazardous</w:t>
      </w:r>
    </w:p>
    <w:p w:rsidR="00E70407" w:rsidRPr="00E70407" w:rsidRDefault="00E70407" w:rsidP="00E70407">
      <w:pPr>
        <w:numPr>
          <w:ilvl w:val="2"/>
          <w:numId w:val="333"/>
        </w:numPr>
        <w:rPr>
          <w:rFonts w:ascii="Times New Roman" w:eastAsia="Times New Roman" w:hAnsi="Times New Roman"/>
          <w:sz w:val="17"/>
          <w:szCs w:val="17"/>
        </w:rPr>
      </w:pPr>
      <w:r w:rsidRPr="00E70407">
        <w:rPr>
          <w:rFonts w:ascii="Times New Roman" w:eastAsia="Times New Roman" w:hAnsi="Times New Roman"/>
          <w:sz w:val="17"/>
          <w:szCs w:val="17"/>
        </w:rPr>
        <w:t>where the apprentice or trainee has:</w:t>
      </w:r>
    </w:p>
    <w:p w:rsidR="00E70407" w:rsidRPr="00E70407" w:rsidRDefault="00E70407" w:rsidP="00E70407">
      <w:pPr>
        <w:numPr>
          <w:ilvl w:val="3"/>
          <w:numId w:val="360"/>
        </w:numPr>
        <w:ind w:left="1701"/>
        <w:rPr>
          <w:rFonts w:ascii="Times New Roman" w:eastAsia="Times New Roman" w:hAnsi="Times New Roman"/>
          <w:sz w:val="17"/>
          <w:szCs w:val="17"/>
        </w:rPr>
      </w:pPr>
      <w:r w:rsidRPr="00E70407">
        <w:rPr>
          <w:rFonts w:ascii="Times New Roman" w:eastAsia="Times New Roman" w:hAnsi="Times New Roman"/>
          <w:sz w:val="17"/>
          <w:szCs w:val="17"/>
        </w:rPr>
        <w:t>been provided with on-job training and instruction relevant to the task in the workplace</w:t>
      </w:r>
    </w:p>
    <w:p w:rsidR="00E70407" w:rsidRPr="00E70407" w:rsidRDefault="00E70407" w:rsidP="00E70407">
      <w:pPr>
        <w:numPr>
          <w:ilvl w:val="3"/>
          <w:numId w:val="360"/>
        </w:numPr>
        <w:ind w:left="1701"/>
        <w:rPr>
          <w:rFonts w:ascii="Times New Roman" w:eastAsia="Times New Roman" w:hAnsi="Times New Roman"/>
          <w:sz w:val="17"/>
          <w:szCs w:val="17"/>
        </w:rPr>
      </w:pPr>
      <w:r w:rsidRPr="00E70407">
        <w:rPr>
          <w:rFonts w:ascii="Times New Roman" w:eastAsia="Times New Roman" w:hAnsi="Times New Roman"/>
          <w:sz w:val="17"/>
          <w:szCs w:val="17"/>
        </w:rPr>
        <w:t>been provided with training relevant to the task by the Nominated Training Organisation (NTO)</w:t>
      </w:r>
    </w:p>
    <w:p w:rsidR="00E70407" w:rsidRPr="00E70407" w:rsidRDefault="00E70407" w:rsidP="00E70407">
      <w:pPr>
        <w:numPr>
          <w:ilvl w:val="3"/>
          <w:numId w:val="360"/>
        </w:numPr>
        <w:ind w:left="1701"/>
        <w:rPr>
          <w:rFonts w:ascii="Times New Roman" w:eastAsia="Times New Roman" w:hAnsi="Times New Roman"/>
          <w:sz w:val="17"/>
          <w:szCs w:val="17"/>
        </w:rPr>
      </w:pPr>
      <w:r w:rsidRPr="00E70407">
        <w:rPr>
          <w:rFonts w:ascii="Times New Roman" w:eastAsia="Times New Roman" w:hAnsi="Times New Roman"/>
          <w:sz w:val="17"/>
          <w:szCs w:val="17"/>
        </w:rPr>
        <w:t>routinely performed the task or activity proficiently and safely under supervision</w:t>
      </w:r>
    </w:p>
    <w:p w:rsidR="00E70407" w:rsidRPr="00E70407" w:rsidRDefault="00E70407" w:rsidP="00E70407">
      <w:pPr>
        <w:numPr>
          <w:ilvl w:val="3"/>
          <w:numId w:val="360"/>
        </w:numPr>
        <w:ind w:left="1701"/>
        <w:rPr>
          <w:rFonts w:ascii="Times New Roman" w:eastAsia="Times New Roman" w:hAnsi="Times New Roman"/>
          <w:sz w:val="17"/>
          <w:szCs w:val="17"/>
        </w:rPr>
      </w:pPr>
      <w:r w:rsidRPr="00E70407">
        <w:rPr>
          <w:rFonts w:ascii="Times New Roman" w:eastAsia="Times New Roman" w:hAnsi="Times New Roman"/>
          <w:sz w:val="17"/>
          <w:szCs w:val="17"/>
        </w:rPr>
        <w:t>demonstrated the ability to understand when to seek guidance and support.</w:t>
      </w:r>
    </w:p>
    <w:p w:rsidR="00E70407" w:rsidRPr="00E70407" w:rsidRDefault="00E70407" w:rsidP="00E70407">
      <w:pPr>
        <w:numPr>
          <w:ilvl w:val="2"/>
          <w:numId w:val="359"/>
        </w:numPr>
        <w:rPr>
          <w:rFonts w:ascii="Times New Roman" w:eastAsia="Times New Roman" w:hAnsi="Times New Roman"/>
          <w:sz w:val="17"/>
          <w:szCs w:val="17"/>
        </w:rPr>
      </w:pPr>
      <w:r w:rsidRPr="00E70407">
        <w:rPr>
          <w:rFonts w:ascii="Times New Roman" w:eastAsia="Times New Roman" w:hAnsi="Times New Roman"/>
          <w:sz w:val="17"/>
          <w:szCs w:val="17"/>
        </w:rPr>
        <w:t>In determining whether supervision can progress from direct supervision to indirect supervision, employers must consider the tasks/activities the apprentice or trainee is to undertake, before considering the following factors, in consultation with the apprentice or trainee’s NTO:</w:t>
      </w:r>
    </w:p>
    <w:p w:rsidR="00E70407" w:rsidRPr="00E70407" w:rsidRDefault="00E70407" w:rsidP="00E70407">
      <w:pPr>
        <w:numPr>
          <w:ilvl w:val="2"/>
          <w:numId w:val="332"/>
        </w:numPr>
        <w:ind w:left="1134"/>
        <w:rPr>
          <w:rFonts w:ascii="Times New Roman" w:eastAsia="Times New Roman" w:hAnsi="Times New Roman"/>
          <w:sz w:val="17"/>
          <w:szCs w:val="17"/>
        </w:rPr>
      </w:pPr>
      <w:r w:rsidRPr="00E70407">
        <w:rPr>
          <w:rFonts w:ascii="Times New Roman" w:eastAsia="Times New Roman" w:hAnsi="Times New Roman"/>
          <w:sz w:val="17"/>
          <w:szCs w:val="17"/>
        </w:rPr>
        <w:t xml:space="preserve">any accepted industry supervision standards and Codes of Practice (for example, the National Electrical and Communications Association’s </w:t>
      </w:r>
      <w:r w:rsidRPr="00E70407">
        <w:rPr>
          <w:rFonts w:ascii="Times New Roman" w:eastAsia="Times New Roman" w:hAnsi="Times New Roman"/>
          <w:i/>
          <w:sz w:val="17"/>
          <w:szCs w:val="17"/>
        </w:rPr>
        <w:t>Guidelines for the Supervision of Apprentices/Trainees in the Electrical, Electricity Supply, Refrigeration, Instrumentation, Electronics, and Communications Declared Vocations</w:t>
      </w:r>
      <w:r w:rsidRPr="00E70407">
        <w:rPr>
          <w:rFonts w:ascii="Times New Roman" w:eastAsia="Times New Roman" w:hAnsi="Times New Roman"/>
          <w:iCs/>
          <w:sz w:val="17"/>
          <w:szCs w:val="17"/>
        </w:rPr>
        <w:t>)</w:t>
      </w:r>
    </w:p>
    <w:p w:rsidR="00E70407" w:rsidRPr="00E70407" w:rsidRDefault="00E70407" w:rsidP="00E70407">
      <w:pPr>
        <w:numPr>
          <w:ilvl w:val="2"/>
          <w:numId w:val="332"/>
        </w:numPr>
        <w:ind w:left="1134"/>
        <w:rPr>
          <w:rFonts w:ascii="Times New Roman" w:eastAsia="Times New Roman" w:hAnsi="Times New Roman"/>
          <w:sz w:val="17"/>
          <w:szCs w:val="17"/>
        </w:rPr>
      </w:pPr>
      <w:r w:rsidRPr="00E70407">
        <w:rPr>
          <w:rFonts w:ascii="Times New Roman" w:eastAsia="Times New Roman" w:hAnsi="Times New Roman"/>
          <w:sz w:val="17"/>
          <w:szCs w:val="17"/>
        </w:rPr>
        <w:t>the apprentice or trainee’s age and maturity</w:t>
      </w:r>
    </w:p>
    <w:p w:rsidR="00E70407" w:rsidRPr="00E70407" w:rsidRDefault="00E70407" w:rsidP="00E70407">
      <w:pPr>
        <w:numPr>
          <w:ilvl w:val="2"/>
          <w:numId w:val="332"/>
        </w:numPr>
        <w:ind w:left="1134"/>
        <w:rPr>
          <w:rFonts w:ascii="Times New Roman" w:eastAsia="Times New Roman" w:hAnsi="Times New Roman"/>
          <w:sz w:val="17"/>
          <w:szCs w:val="17"/>
        </w:rPr>
      </w:pPr>
      <w:r w:rsidRPr="00E70407">
        <w:rPr>
          <w:rFonts w:ascii="Times New Roman" w:eastAsia="Times New Roman" w:hAnsi="Times New Roman"/>
          <w:sz w:val="17"/>
          <w:szCs w:val="17"/>
        </w:rPr>
        <w:t>whether the apprentice or trainee is a new or existing worker</w:t>
      </w:r>
    </w:p>
    <w:p w:rsidR="00E70407" w:rsidRPr="00E70407" w:rsidRDefault="00E70407" w:rsidP="00E70407">
      <w:pPr>
        <w:numPr>
          <w:ilvl w:val="2"/>
          <w:numId w:val="332"/>
        </w:numPr>
        <w:ind w:left="1134"/>
        <w:rPr>
          <w:rFonts w:ascii="Times New Roman" w:eastAsia="Times New Roman" w:hAnsi="Times New Roman"/>
          <w:sz w:val="17"/>
          <w:szCs w:val="17"/>
        </w:rPr>
      </w:pPr>
      <w:r w:rsidRPr="00E70407">
        <w:rPr>
          <w:rFonts w:ascii="Times New Roman" w:eastAsia="Times New Roman" w:hAnsi="Times New Roman"/>
          <w:sz w:val="17"/>
          <w:szCs w:val="17"/>
        </w:rPr>
        <w:t>the complexity of the task</w:t>
      </w:r>
    </w:p>
    <w:p w:rsidR="00E70407" w:rsidRPr="00E70407" w:rsidRDefault="00E70407" w:rsidP="00E70407">
      <w:pPr>
        <w:numPr>
          <w:ilvl w:val="2"/>
          <w:numId w:val="332"/>
        </w:numPr>
        <w:ind w:left="1134"/>
        <w:rPr>
          <w:rFonts w:ascii="Times New Roman" w:eastAsia="Times New Roman" w:hAnsi="Times New Roman"/>
          <w:sz w:val="17"/>
          <w:szCs w:val="17"/>
        </w:rPr>
      </w:pPr>
      <w:r w:rsidRPr="00E70407">
        <w:rPr>
          <w:rFonts w:ascii="Times New Roman" w:eastAsia="Times New Roman" w:hAnsi="Times New Roman"/>
          <w:sz w:val="17"/>
          <w:szCs w:val="17"/>
        </w:rPr>
        <w:t>whether the task is new to the apprentice or trainee</w:t>
      </w:r>
    </w:p>
    <w:p w:rsidR="00E70407" w:rsidRPr="00E70407" w:rsidRDefault="00E70407" w:rsidP="00E70407">
      <w:pPr>
        <w:numPr>
          <w:ilvl w:val="2"/>
          <w:numId w:val="332"/>
        </w:numPr>
        <w:ind w:left="1134"/>
        <w:rPr>
          <w:rFonts w:ascii="Times New Roman" w:eastAsia="Times New Roman" w:hAnsi="Times New Roman"/>
          <w:sz w:val="17"/>
          <w:szCs w:val="17"/>
        </w:rPr>
      </w:pPr>
      <w:r w:rsidRPr="00E70407">
        <w:rPr>
          <w:rFonts w:ascii="Times New Roman" w:eastAsia="Times New Roman" w:hAnsi="Times New Roman"/>
          <w:sz w:val="17"/>
          <w:szCs w:val="17"/>
        </w:rPr>
        <w:lastRenderedPageBreak/>
        <w:t>the apprentice or trainee’s level of experience in performing the task</w:t>
      </w:r>
    </w:p>
    <w:p w:rsidR="00E70407" w:rsidRPr="00E70407" w:rsidRDefault="00E70407" w:rsidP="00E70407">
      <w:pPr>
        <w:numPr>
          <w:ilvl w:val="2"/>
          <w:numId w:val="332"/>
        </w:numPr>
        <w:ind w:left="1134"/>
        <w:rPr>
          <w:rFonts w:ascii="Times New Roman" w:eastAsia="Times New Roman" w:hAnsi="Times New Roman"/>
          <w:sz w:val="17"/>
          <w:szCs w:val="17"/>
        </w:rPr>
      </w:pPr>
      <w:r w:rsidRPr="00E70407">
        <w:rPr>
          <w:rFonts w:ascii="Times New Roman" w:eastAsia="Times New Roman" w:hAnsi="Times New Roman"/>
          <w:sz w:val="17"/>
          <w:szCs w:val="17"/>
        </w:rPr>
        <w:t>the apprentice or trainee’s level of skill in performing the task</w:t>
      </w:r>
    </w:p>
    <w:p w:rsidR="00E70407" w:rsidRPr="00E70407" w:rsidRDefault="00E70407" w:rsidP="00E70407">
      <w:pPr>
        <w:numPr>
          <w:ilvl w:val="2"/>
          <w:numId w:val="332"/>
        </w:numPr>
        <w:ind w:left="1134"/>
        <w:rPr>
          <w:rFonts w:ascii="Times New Roman" w:eastAsia="Times New Roman" w:hAnsi="Times New Roman"/>
          <w:sz w:val="17"/>
          <w:szCs w:val="17"/>
        </w:rPr>
      </w:pPr>
      <w:r w:rsidRPr="00E70407">
        <w:rPr>
          <w:rFonts w:ascii="Times New Roman" w:eastAsia="Times New Roman" w:hAnsi="Times New Roman"/>
          <w:sz w:val="17"/>
          <w:szCs w:val="17"/>
        </w:rPr>
        <w:t>the apprentice or trainee’s level of confidence in performing the task</w:t>
      </w:r>
    </w:p>
    <w:p w:rsidR="00E70407" w:rsidRPr="00E70407" w:rsidRDefault="00E70407" w:rsidP="00E70407">
      <w:pPr>
        <w:numPr>
          <w:ilvl w:val="2"/>
          <w:numId w:val="332"/>
        </w:numPr>
        <w:ind w:left="1134"/>
        <w:rPr>
          <w:rFonts w:ascii="Times New Roman" w:eastAsia="Times New Roman" w:hAnsi="Times New Roman"/>
          <w:sz w:val="17"/>
          <w:szCs w:val="17"/>
        </w:rPr>
      </w:pPr>
      <w:r w:rsidRPr="00E70407">
        <w:rPr>
          <w:rFonts w:ascii="Times New Roman" w:eastAsia="Times New Roman" w:hAnsi="Times New Roman"/>
          <w:sz w:val="17"/>
          <w:szCs w:val="17"/>
        </w:rPr>
        <w:t>the apprentice or trainee’s willingness to seek guidance and support when required</w:t>
      </w:r>
    </w:p>
    <w:p w:rsidR="00E70407" w:rsidRPr="00E70407" w:rsidRDefault="00E70407" w:rsidP="00E70407">
      <w:pPr>
        <w:numPr>
          <w:ilvl w:val="2"/>
          <w:numId w:val="332"/>
        </w:numPr>
        <w:ind w:left="1134"/>
        <w:rPr>
          <w:rFonts w:ascii="Times New Roman" w:eastAsia="Times New Roman" w:hAnsi="Times New Roman"/>
          <w:sz w:val="17"/>
          <w:szCs w:val="17"/>
        </w:rPr>
      </w:pPr>
      <w:r w:rsidRPr="00E70407">
        <w:rPr>
          <w:rFonts w:ascii="Times New Roman" w:eastAsia="Times New Roman" w:hAnsi="Times New Roman"/>
          <w:sz w:val="17"/>
          <w:szCs w:val="17"/>
        </w:rPr>
        <w:t>the workplace, health and safety risks involved in performing the task</w:t>
      </w:r>
    </w:p>
    <w:p w:rsidR="00E70407" w:rsidRPr="00E70407" w:rsidRDefault="00E70407" w:rsidP="00E70407">
      <w:pPr>
        <w:numPr>
          <w:ilvl w:val="2"/>
          <w:numId w:val="332"/>
        </w:numPr>
        <w:ind w:left="1134"/>
        <w:rPr>
          <w:rFonts w:ascii="Times New Roman" w:eastAsia="Times New Roman" w:hAnsi="Times New Roman"/>
          <w:sz w:val="17"/>
          <w:szCs w:val="17"/>
        </w:rPr>
      </w:pPr>
      <w:r w:rsidRPr="00E70407">
        <w:rPr>
          <w:rFonts w:ascii="Times New Roman" w:eastAsia="Times New Roman" w:hAnsi="Times New Roman"/>
          <w:sz w:val="17"/>
          <w:szCs w:val="17"/>
        </w:rPr>
        <w:t>the training risks associated with the worksite and the task arising from:</w:t>
      </w:r>
    </w:p>
    <w:p w:rsidR="00E70407" w:rsidRPr="00E70407" w:rsidRDefault="00E70407" w:rsidP="00E70407">
      <w:pPr>
        <w:numPr>
          <w:ilvl w:val="3"/>
          <w:numId w:val="361"/>
        </w:numPr>
        <w:ind w:left="1701"/>
        <w:rPr>
          <w:rFonts w:ascii="Times New Roman" w:eastAsia="Times New Roman" w:hAnsi="Times New Roman"/>
          <w:sz w:val="17"/>
          <w:szCs w:val="17"/>
        </w:rPr>
      </w:pPr>
      <w:r w:rsidRPr="00E70407">
        <w:rPr>
          <w:rFonts w:ascii="Times New Roman" w:eastAsia="Times New Roman" w:hAnsi="Times New Roman"/>
          <w:sz w:val="17"/>
          <w:szCs w:val="17"/>
        </w:rPr>
        <w:t>characteristics of people (for example, co-workers, clients, customers, patients) with whom they will be interacting</w:t>
      </w:r>
    </w:p>
    <w:p w:rsidR="00E70407" w:rsidRPr="00E70407" w:rsidRDefault="00E70407" w:rsidP="00E70407">
      <w:pPr>
        <w:numPr>
          <w:ilvl w:val="3"/>
          <w:numId w:val="361"/>
        </w:numPr>
        <w:ind w:left="1701"/>
        <w:rPr>
          <w:rFonts w:ascii="Times New Roman" w:eastAsia="Times New Roman" w:hAnsi="Times New Roman"/>
          <w:sz w:val="17"/>
          <w:szCs w:val="17"/>
        </w:rPr>
      </w:pPr>
      <w:r w:rsidRPr="00E70407">
        <w:rPr>
          <w:rFonts w:ascii="Times New Roman" w:eastAsia="Times New Roman" w:hAnsi="Times New Roman"/>
          <w:sz w:val="17"/>
          <w:szCs w:val="17"/>
        </w:rPr>
        <w:t>the tools, machinery, equipment and materials to be used</w:t>
      </w:r>
    </w:p>
    <w:p w:rsidR="00E70407" w:rsidRPr="00E70407" w:rsidRDefault="00E70407" w:rsidP="00E70407">
      <w:pPr>
        <w:numPr>
          <w:ilvl w:val="3"/>
          <w:numId w:val="361"/>
        </w:numPr>
        <w:ind w:left="1701"/>
        <w:rPr>
          <w:rFonts w:ascii="Times New Roman" w:eastAsia="Times New Roman" w:hAnsi="Times New Roman"/>
          <w:sz w:val="17"/>
          <w:szCs w:val="17"/>
        </w:rPr>
      </w:pPr>
      <w:r w:rsidRPr="00E70407">
        <w:rPr>
          <w:rFonts w:ascii="Times New Roman" w:eastAsia="Times New Roman" w:hAnsi="Times New Roman"/>
          <w:sz w:val="17"/>
          <w:szCs w:val="17"/>
        </w:rPr>
        <w:t>characteristics of animals with which they will be working or may encounter</w:t>
      </w:r>
    </w:p>
    <w:p w:rsidR="00E70407" w:rsidRPr="00E70407" w:rsidRDefault="00E70407" w:rsidP="00E70407">
      <w:pPr>
        <w:numPr>
          <w:ilvl w:val="3"/>
          <w:numId w:val="361"/>
        </w:numPr>
        <w:ind w:left="1701"/>
        <w:rPr>
          <w:rFonts w:ascii="Times New Roman" w:eastAsia="Times New Roman" w:hAnsi="Times New Roman"/>
          <w:sz w:val="17"/>
          <w:szCs w:val="17"/>
        </w:rPr>
      </w:pPr>
      <w:r w:rsidRPr="00E70407">
        <w:rPr>
          <w:rFonts w:ascii="Times New Roman" w:eastAsia="Times New Roman" w:hAnsi="Times New Roman"/>
          <w:sz w:val="17"/>
          <w:szCs w:val="17"/>
        </w:rPr>
        <w:t>the environment in which they are working.</w:t>
      </w:r>
    </w:p>
    <w:p w:rsidR="00E70407" w:rsidRPr="00E70407" w:rsidRDefault="00E70407" w:rsidP="00E70407">
      <w:pPr>
        <w:numPr>
          <w:ilvl w:val="2"/>
          <w:numId w:val="332"/>
        </w:numPr>
        <w:ind w:left="1134"/>
        <w:rPr>
          <w:rFonts w:ascii="Times New Roman" w:eastAsia="Times New Roman" w:hAnsi="Times New Roman"/>
          <w:sz w:val="17"/>
          <w:szCs w:val="17"/>
        </w:rPr>
      </w:pPr>
      <w:r w:rsidRPr="00E70407">
        <w:rPr>
          <w:rFonts w:ascii="Times New Roman" w:eastAsia="Times New Roman" w:hAnsi="Times New Roman"/>
          <w:sz w:val="17"/>
          <w:szCs w:val="17"/>
        </w:rPr>
        <w:t>for apprentices or trainees with a disability, any additional supervision or other supports to ensure the apprentice or trainee can undertake their task/s effectively and safely.</w:t>
      </w:r>
    </w:p>
    <w:p w:rsidR="00E70407" w:rsidRPr="00E70407" w:rsidRDefault="00E70407" w:rsidP="00E70407">
      <w:pPr>
        <w:numPr>
          <w:ilvl w:val="2"/>
          <w:numId w:val="359"/>
        </w:numPr>
        <w:rPr>
          <w:rFonts w:ascii="Times New Roman" w:eastAsia="Times New Roman" w:hAnsi="Times New Roman"/>
          <w:sz w:val="17"/>
          <w:szCs w:val="17"/>
        </w:rPr>
      </w:pPr>
      <w:r w:rsidRPr="00E70407">
        <w:rPr>
          <w:rFonts w:ascii="Times New Roman" w:eastAsia="Times New Roman" w:hAnsi="Times New Roman"/>
          <w:sz w:val="17"/>
          <w:szCs w:val="17"/>
        </w:rPr>
        <w:t xml:space="preserve">An employer must be able to demonstrate that they made their assessment of the apprentice or trainee, and the task, before permitting indirect supervision, and maintain appropriate records to demonstrate that the obligations in the </w:t>
      </w:r>
      <w:r w:rsidRPr="00E70407">
        <w:rPr>
          <w:rFonts w:ascii="Times New Roman" w:eastAsia="Times New Roman" w:hAnsi="Times New Roman"/>
          <w:i/>
          <w:iCs/>
          <w:sz w:val="17"/>
          <w:szCs w:val="17"/>
        </w:rPr>
        <w:t>SAS Act, Regulations</w:t>
      </w:r>
      <w:r w:rsidRPr="00E70407">
        <w:rPr>
          <w:rFonts w:ascii="Times New Roman" w:eastAsia="Times New Roman" w:hAnsi="Times New Roman"/>
          <w:sz w:val="17"/>
          <w:szCs w:val="17"/>
        </w:rPr>
        <w:t xml:space="preserve"> and Standard 14, Record Keeping have been met.</w:t>
      </w:r>
    </w:p>
    <w:p w:rsidR="00E70407" w:rsidRPr="00E70407" w:rsidRDefault="00E70407" w:rsidP="00E70407">
      <w:pPr>
        <w:numPr>
          <w:ilvl w:val="2"/>
          <w:numId w:val="359"/>
        </w:numPr>
        <w:rPr>
          <w:rFonts w:ascii="Times New Roman" w:eastAsia="Times New Roman" w:hAnsi="Times New Roman"/>
          <w:sz w:val="17"/>
          <w:szCs w:val="17"/>
        </w:rPr>
      </w:pPr>
      <w:r w:rsidRPr="00E70407">
        <w:rPr>
          <w:rFonts w:ascii="Times New Roman" w:eastAsia="Times New Roman" w:hAnsi="Times New Roman"/>
          <w:sz w:val="17"/>
          <w:szCs w:val="17"/>
        </w:rPr>
        <w:t xml:space="preserve">Some apprentices or trainees will be in greater need of direct supervision. A supervisor may find themselves with some apprentices or trainees who require direct supervision, and others who they have assessed as requiring indirect supervision. In such situations: </w:t>
      </w:r>
    </w:p>
    <w:p w:rsidR="00E70407" w:rsidRPr="00E70407" w:rsidRDefault="00E70407" w:rsidP="00E70407">
      <w:pPr>
        <w:numPr>
          <w:ilvl w:val="2"/>
          <w:numId w:val="346"/>
        </w:numPr>
        <w:ind w:left="1134" w:hanging="392"/>
        <w:rPr>
          <w:rFonts w:ascii="Times New Roman" w:eastAsia="Times New Roman" w:hAnsi="Times New Roman"/>
          <w:sz w:val="17"/>
          <w:szCs w:val="17"/>
        </w:rPr>
      </w:pPr>
      <w:r w:rsidRPr="00E70407">
        <w:rPr>
          <w:rFonts w:ascii="Times New Roman" w:eastAsia="Times New Roman" w:hAnsi="Times New Roman"/>
          <w:sz w:val="17"/>
          <w:szCs w:val="17"/>
        </w:rPr>
        <w:t>the supervisor’s supervision ratio remains unchanged, however</w:t>
      </w:r>
    </w:p>
    <w:p w:rsidR="00E70407" w:rsidRPr="00E70407" w:rsidRDefault="00E70407" w:rsidP="00E70407">
      <w:pPr>
        <w:numPr>
          <w:ilvl w:val="2"/>
          <w:numId w:val="346"/>
        </w:numPr>
        <w:ind w:left="1134" w:hanging="392"/>
        <w:rPr>
          <w:rFonts w:ascii="Times New Roman" w:eastAsia="Times New Roman" w:hAnsi="Times New Roman"/>
          <w:sz w:val="17"/>
          <w:szCs w:val="17"/>
        </w:rPr>
      </w:pPr>
      <w:r w:rsidRPr="00E70407">
        <w:rPr>
          <w:rFonts w:ascii="Times New Roman" w:eastAsia="Times New Roman" w:hAnsi="Times New Roman"/>
          <w:sz w:val="17"/>
          <w:szCs w:val="17"/>
        </w:rPr>
        <w:t>the supervisor may simultaneously provide direct supervision of apprentices or trainees who require it, while at the same time permitting indirect supervision of those apprentices or trainees who have been assessed as capable of performing the relevant task under indirect supervision.</w:t>
      </w:r>
    </w:p>
    <w:p w:rsidR="00E70407" w:rsidRPr="00E70407" w:rsidRDefault="00E70407" w:rsidP="00E70407">
      <w:pPr>
        <w:numPr>
          <w:ilvl w:val="2"/>
          <w:numId w:val="359"/>
        </w:numPr>
        <w:rPr>
          <w:rFonts w:ascii="Times New Roman" w:eastAsia="Times New Roman" w:hAnsi="Times New Roman"/>
          <w:sz w:val="17"/>
          <w:szCs w:val="17"/>
        </w:rPr>
      </w:pPr>
      <w:r w:rsidRPr="00E70407">
        <w:rPr>
          <w:rFonts w:ascii="Times New Roman" w:eastAsia="Times New Roman" w:hAnsi="Times New Roman"/>
          <w:sz w:val="17"/>
          <w:szCs w:val="17"/>
        </w:rPr>
        <w:t xml:space="preserve">The supervisor’s duties for direct and indirect supervision will remain the same. </w:t>
      </w:r>
    </w:p>
    <w:p w:rsidR="00E70407" w:rsidRPr="00E70407" w:rsidRDefault="00E70407" w:rsidP="00E70407">
      <w:pPr>
        <w:numPr>
          <w:ilvl w:val="1"/>
          <w:numId w:val="359"/>
        </w:numPr>
        <w:rPr>
          <w:rFonts w:ascii="Times New Roman" w:eastAsia="Times New Roman" w:hAnsi="Times New Roman"/>
          <w:b/>
          <w:sz w:val="17"/>
          <w:szCs w:val="17"/>
        </w:rPr>
      </w:pPr>
      <w:r w:rsidRPr="00E70407">
        <w:rPr>
          <w:rFonts w:ascii="Times New Roman" w:eastAsia="Times New Roman" w:hAnsi="Times New Roman"/>
          <w:b/>
          <w:sz w:val="17"/>
          <w:szCs w:val="17"/>
        </w:rPr>
        <w:t>Approved exemptions and variations</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5.6.1 </w:t>
      </w:r>
      <w:r w:rsidRPr="00E70407">
        <w:rPr>
          <w:rFonts w:ascii="Times New Roman" w:eastAsia="Times New Roman" w:hAnsi="Times New Roman"/>
          <w:sz w:val="17"/>
          <w:szCs w:val="17"/>
        </w:rPr>
        <w:tab/>
        <w:t>Employers may apply to the Commission for:</w:t>
      </w:r>
    </w:p>
    <w:p w:rsidR="00E70407" w:rsidRPr="00E70407" w:rsidRDefault="00E70407" w:rsidP="00E70407">
      <w:pPr>
        <w:numPr>
          <w:ilvl w:val="2"/>
          <w:numId w:val="363"/>
        </w:numPr>
        <w:ind w:left="1134" w:hanging="406"/>
        <w:rPr>
          <w:rFonts w:ascii="Times New Roman" w:eastAsia="Times New Roman" w:hAnsi="Times New Roman"/>
          <w:sz w:val="17"/>
          <w:szCs w:val="17"/>
        </w:rPr>
      </w:pPr>
      <w:r w:rsidRPr="00E70407">
        <w:rPr>
          <w:rFonts w:ascii="Times New Roman" w:eastAsia="Times New Roman" w:hAnsi="Times New Roman"/>
          <w:sz w:val="17"/>
          <w:szCs w:val="17"/>
        </w:rPr>
        <w:t>approval to exceed the maximum supervision ratio applicable to them (Low, Medium or High)</w:t>
      </w:r>
    </w:p>
    <w:p w:rsidR="00E70407" w:rsidRPr="00E70407" w:rsidRDefault="00E70407" w:rsidP="00E70407">
      <w:pPr>
        <w:numPr>
          <w:ilvl w:val="2"/>
          <w:numId w:val="363"/>
        </w:numPr>
        <w:ind w:left="1134" w:hanging="406"/>
        <w:rPr>
          <w:rFonts w:ascii="Times New Roman" w:eastAsia="Times New Roman" w:hAnsi="Times New Roman"/>
          <w:sz w:val="17"/>
          <w:szCs w:val="17"/>
        </w:rPr>
      </w:pPr>
      <w:r w:rsidRPr="00E70407">
        <w:rPr>
          <w:rFonts w:ascii="Times New Roman" w:eastAsia="Times New Roman" w:hAnsi="Times New Roman"/>
          <w:sz w:val="17"/>
          <w:szCs w:val="17"/>
        </w:rPr>
        <w:t>approval to provide remote supervision for an individual apprentice or trainee.</w:t>
      </w:r>
    </w:p>
    <w:p w:rsidR="00E70407" w:rsidRPr="00E70407" w:rsidRDefault="00E70407" w:rsidP="00E70407">
      <w:pPr>
        <w:numPr>
          <w:ilvl w:val="2"/>
          <w:numId w:val="362"/>
        </w:numPr>
        <w:rPr>
          <w:rFonts w:ascii="Times New Roman" w:eastAsia="Times New Roman" w:hAnsi="Times New Roman"/>
          <w:sz w:val="17"/>
          <w:szCs w:val="17"/>
        </w:rPr>
      </w:pPr>
      <w:r w:rsidRPr="00E70407">
        <w:rPr>
          <w:rFonts w:ascii="Times New Roman" w:eastAsia="Times New Roman" w:hAnsi="Times New Roman"/>
          <w:sz w:val="17"/>
          <w:szCs w:val="17"/>
        </w:rPr>
        <w:t xml:space="preserve">Employers must make their application in writing, using the </w:t>
      </w:r>
      <w:hyperlink r:id="rId100" w:history="1">
        <w:r w:rsidRPr="00E70407">
          <w:rPr>
            <w:rFonts w:ascii="Times New Roman" w:eastAsia="Times New Roman" w:hAnsi="Times New Roman"/>
            <w:color w:val="0000FF"/>
            <w:sz w:val="17"/>
            <w:szCs w:val="17"/>
            <w:u w:val="single"/>
          </w:rPr>
          <w:t>online application template</w:t>
        </w:r>
      </w:hyperlink>
      <w:r w:rsidRPr="00E70407">
        <w:rPr>
          <w:rFonts w:ascii="Times New Roman" w:eastAsia="Times New Roman" w:hAnsi="Times New Roman"/>
          <w:sz w:val="17"/>
          <w:szCs w:val="17"/>
        </w:rPr>
        <w:t>.</w:t>
      </w:r>
    </w:p>
    <w:p w:rsidR="00E70407" w:rsidRPr="00E70407" w:rsidRDefault="00E70407" w:rsidP="00E70407">
      <w:pPr>
        <w:numPr>
          <w:ilvl w:val="2"/>
          <w:numId w:val="362"/>
        </w:numPr>
        <w:rPr>
          <w:rFonts w:ascii="Times New Roman" w:eastAsia="Times New Roman" w:hAnsi="Times New Roman"/>
          <w:sz w:val="17"/>
          <w:szCs w:val="17"/>
        </w:rPr>
      </w:pPr>
      <w:r w:rsidRPr="00E70407">
        <w:rPr>
          <w:rFonts w:ascii="Times New Roman" w:eastAsia="Times New Roman" w:hAnsi="Times New Roman"/>
          <w:sz w:val="17"/>
          <w:szCs w:val="17"/>
        </w:rPr>
        <w:t xml:space="preserve">Employers applying for approval to exceed the maximum supervision ratio must: </w:t>
      </w:r>
    </w:p>
    <w:p w:rsidR="00E70407" w:rsidRPr="00E70407" w:rsidRDefault="00E70407" w:rsidP="00E70407">
      <w:pPr>
        <w:numPr>
          <w:ilvl w:val="2"/>
          <w:numId w:val="364"/>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 xml:space="preserve">state their reasons for wishing to exceed the maximum supervision ratio (including the rationale for engaging additional apprentices or trainees instead of additional tradespersons or qualified persons) </w:t>
      </w:r>
    </w:p>
    <w:p w:rsidR="00E70407" w:rsidRPr="00E70407" w:rsidRDefault="00E70407" w:rsidP="00E70407">
      <w:pPr>
        <w:numPr>
          <w:ilvl w:val="2"/>
          <w:numId w:val="364"/>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demonstrate how appropriate supervision will be maintained under an alternative ratio regime</w:t>
      </w:r>
    </w:p>
    <w:p w:rsidR="00E70407" w:rsidRPr="00E70407" w:rsidRDefault="00E70407" w:rsidP="00E70407">
      <w:pPr>
        <w:numPr>
          <w:ilvl w:val="2"/>
          <w:numId w:val="364"/>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demonstrate how they would manage on-job training under an alternative ratio regime</w:t>
      </w:r>
    </w:p>
    <w:p w:rsidR="00E70407" w:rsidRPr="00E70407" w:rsidRDefault="00E70407" w:rsidP="00E70407">
      <w:pPr>
        <w:numPr>
          <w:ilvl w:val="2"/>
          <w:numId w:val="364"/>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demonstrate how they would mitigate the risks associated with their type of work under an alternative ratio regime</w:t>
      </w:r>
    </w:p>
    <w:p w:rsidR="00E70407" w:rsidRPr="00E70407" w:rsidRDefault="00E70407" w:rsidP="00E70407">
      <w:pPr>
        <w:numPr>
          <w:ilvl w:val="2"/>
          <w:numId w:val="364"/>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demonstrate that they have a good completion rate at or above the South Australian average for that trade or declared vocation</w:t>
      </w:r>
    </w:p>
    <w:p w:rsidR="00E70407" w:rsidRPr="00E70407" w:rsidRDefault="00E70407" w:rsidP="00E70407">
      <w:pPr>
        <w:numPr>
          <w:ilvl w:val="2"/>
          <w:numId w:val="364"/>
        </w:numPr>
        <w:ind w:left="1134" w:hanging="420"/>
        <w:rPr>
          <w:rFonts w:ascii="Times New Roman" w:eastAsia="Times New Roman" w:hAnsi="Times New Roman"/>
          <w:sz w:val="17"/>
          <w:szCs w:val="17"/>
        </w:rPr>
      </w:pPr>
      <w:r w:rsidRPr="00E70407">
        <w:rPr>
          <w:rFonts w:ascii="Times New Roman" w:eastAsia="Times New Roman" w:hAnsi="Times New Roman"/>
          <w:sz w:val="17"/>
          <w:szCs w:val="17"/>
        </w:rPr>
        <w:t xml:space="preserve">provide evidence to substantiate their application. </w:t>
      </w:r>
    </w:p>
    <w:p w:rsidR="00E70407" w:rsidRPr="00E70407" w:rsidRDefault="00E70407" w:rsidP="00E70407">
      <w:pPr>
        <w:numPr>
          <w:ilvl w:val="2"/>
          <w:numId w:val="362"/>
        </w:numPr>
        <w:rPr>
          <w:rFonts w:ascii="Times New Roman" w:eastAsia="Times New Roman" w:hAnsi="Times New Roman"/>
          <w:sz w:val="17"/>
          <w:szCs w:val="17"/>
        </w:rPr>
      </w:pPr>
      <w:r w:rsidRPr="00E70407">
        <w:rPr>
          <w:rFonts w:ascii="Times New Roman" w:eastAsia="Times New Roman" w:hAnsi="Times New Roman"/>
          <w:sz w:val="17"/>
          <w:szCs w:val="17"/>
        </w:rPr>
        <w:t>Industry sectors and Industry Skills Councils may apply in writing to the Commission for a variation, including a strengthening or relaxation, of existing supervision ratios for specific occupational areas. Each application will require evidence to support the proposed variation and will be considered on its merits by the Commission. If the Commission approves an application by an industry sector or Industry Skills Council, it will publish the decision (including any conditions attaching to the decision) on its website.</w:t>
      </w:r>
    </w:p>
    <w:p w:rsidR="00E70407" w:rsidRPr="00E70407" w:rsidRDefault="00E70407" w:rsidP="00E70407">
      <w:pPr>
        <w:pBdr>
          <w:top w:val="single" w:sz="4" w:space="1" w:color="auto"/>
        </w:pBdr>
        <w:spacing w:before="100" w:line="14" w:lineRule="exact"/>
        <w:ind w:left="1080" w:right="1080"/>
        <w:jc w:val="center"/>
        <w:rPr>
          <w:rFonts w:ascii="Times New Roman" w:eastAsia="Times New Roman" w:hAnsi="Times New Roman"/>
          <w:sz w:val="17"/>
          <w:szCs w:val="17"/>
        </w:rPr>
      </w:pPr>
    </w:p>
    <w:p w:rsidR="00E70407" w:rsidRPr="00E70407" w:rsidRDefault="00E70407" w:rsidP="00E70407">
      <w:pPr>
        <w:jc w:val="center"/>
        <w:rPr>
          <w:rFonts w:ascii="Times New Roman" w:hAnsi="Times New Roman"/>
          <w:smallCaps/>
          <w:sz w:val="17"/>
          <w:szCs w:val="17"/>
        </w:rPr>
      </w:pPr>
      <w:bookmarkStart w:id="110" w:name="_Toc71813716"/>
      <w:bookmarkStart w:id="111" w:name="_Toc75255248"/>
      <w:r w:rsidRPr="00E70407">
        <w:rPr>
          <w:rFonts w:ascii="Times New Roman" w:hAnsi="Times New Roman"/>
          <w:smallCaps/>
          <w:sz w:val="17"/>
          <w:szCs w:val="17"/>
        </w:rPr>
        <w:t>Standard 6</w:t>
      </w:r>
      <w:r w:rsidRPr="00E70407">
        <w:rPr>
          <w:rFonts w:ascii="Times New Roman" w:hAnsi="Times New Roman"/>
          <w:smallCaps/>
          <w:sz w:val="17"/>
          <w:szCs w:val="17"/>
        </w:rPr>
        <w:tab/>
      </w:r>
      <w:bookmarkEnd w:id="110"/>
      <w:r w:rsidRPr="00E70407">
        <w:rPr>
          <w:rFonts w:ascii="Times New Roman" w:hAnsi="Times New Roman"/>
          <w:smallCaps/>
          <w:sz w:val="17"/>
          <w:szCs w:val="17"/>
        </w:rPr>
        <w:tab/>
        <w:t>Training Plan And Nominated Training Organisations</w:t>
      </w:r>
      <w:bookmarkEnd w:id="111"/>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This Standard relates to training organisations and their requirement to provide a workable framework for parties to Training Contracts and their Nominated Training Organisation (NTO). NTOs have requirements under the </w:t>
      </w:r>
      <w:r w:rsidRPr="00E70407">
        <w:rPr>
          <w:rFonts w:ascii="Times New Roman" w:eastAsia="Times New Roman" w:hAnsi="Times New Roman"/>
          <w:i/>
          <w:iCs/>
          <w:sz w:val="17"/>
          <w:szCs w:val="17"/>
        </w:rPr>
        <w:t>South Australian Skills Act</w:t>
      </w:r>
      <w:r w:rsidRPr="00E70407">
        <w:rPr>
          <w:rFonts w:ascii="Times New Roman" w:eastAsia="Times New Roman" w:hAnsi="Times New Roman"/>
          <w:i/>
          <w:sz w:val="17"/>
          <w:szCs w:val="17"/>
        </w:rPr>
        <w:t xml:space="preserve"> </w:t>
      </w:r>
      <w:r w:rsidRPr="00E70407">
        <w:rPr>
          <w:rFonts w:ascii="Times New Roman" w:eastAsia="Times New Roman" w:hAnsi="Times New Roman"/>
          <w:i/>
          <w:iCs/>
          <w:sz w:val="17"/>
          <w:szCs w:val="17"/>
        </w:rPr>
        <w:t>2008</w:t>
      </w:r>
      <w:r w:rsidRPr="00E70407">
        <w:rPr>
          <w:rFonts w:ascii="Times New Roman" w:eastAsia="Times New Roman" w:hAnsi="Times New Roman"/>
          <w:sz w:val="17"/>
          <w:szCs w:val="17"/>
        </w:rPr>
        <w:t xml:space="preserve"> (the</w:t>
      </w:r>
      <w:r w:rsidRPr="00E70407">
        <w:rPr>
          <w:rFonts w:ascii="Times New Roman" w:eastAsia="Times New Roman" w:hAnsi="Times New Roman"/>
          <w:i/>
          <w:iCs/>
          <w:sz w:val="17"/>
          <w:szCs w:val="17"/>
        </w:rPr>
        <w:t xml:space="preserve"> SAS Act</w:t>
      </w:r>
      <w:r w:rsidRPr="00E70407">
        <w:rPr>
          <w:rFonts w:ascii="Times New Roman" w:eastAsia="Times New Roman" w:hAnsi="Times New Roman"/>
          <w:sz w:val="17"/>
          <w:szCs w:val="17"/>
        </w:rPr>
        <w:t>) where they are nominated for an apprentice or trainee in relation to each Training Contract.</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The NTO must be a:</w:t>
      </w:r>
    </w:p>
    <w:p w:rsidR="00E70407" w:rsidRPr="00E70407" w:rsidRDefault="00E70407" w:rsidP="00E70407">
      <w:pPr>
        <w:numPr>
          <w:ilvl w:val="0"/>
          <w:numId w:val="261"/>
        </w:numPr>
        <w:spacing w:after="0"/>
        <w:rPr>
          <w:rFonts w:ascii="Times New Roman" w:eastAsia="Times New Roman" w:hAnsi="Times New Roman"/>
          <w:sz w:val="17"/>
          <w:szCs w:val="17"/>
        </w:rPr>
      </w:pPr>
      <w:r w:rsidRPr="00E70407">
        <w:rPr>
          <w:rFonts w:ascii="Times New Roman" w:eastAsia="Times New Roman" w:hAnsi="Times New Roman"/>
          <w:sz w:val="17"/>
          <w:szCs w:val="17"/>
        </w:rPr>
        <w:t>Registered Training Organisation (RTO)</w:t>
      </w:r>
    </w:p>
    <w:p w:rsidR="00E70407" w:rsidRPr="00E70407" w:rsidRDefault="00E70407" w:rsidP="00E70407">
      <w:pPr>
        <w:numPr>
          <w:ilvl w:val="0"/>
          <w:numId w:val="261"/>
        </w:numPr>
        <w:rPr>
          <w:rFonts w:ascii="Times New Roman" w:eastAsia="Times New Roman" w:hAnsi="Times New Roman"/>
          <w:sz w:val="17"/>
          <w:szCs w:val="17"/>
        </w:rPr>
      </w:pPr>
      <w:r w:rsidRPr="00E70407">
        <w:rPr>
          <w:rFonts w:ascii="Times New Roman" w:eastAsia="Times New Roman" w:hAnsi="Times New Roman"/>
          <w:sz w:val="17"/>
          <w:szCs w:val="17"/>
        </w:rPr>
        <w:t>recognised higher education provider.</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The NTO Standard applies to the:</w:t>
      </w:r>
    </w:p>
    <w:p w:rsidR="00E70407" w:rsidRPr="00E70407" w:rsidRDefault="00E70407" w:rsidP="00E70407">
      <w:pPr>
        <w:numPr>
          <w:ilvl w:val="0"/>
          <w:numId w:val="253"/>
        </w:numPr>
        <w:spacing w:after="0"/>
        <w:rPr>
          <w:rFonts w:ascii="Times New Roman" w:eastAsia="Times New Roman" w:hAnsi="Times New Roman"/>
          <w:sz w:val="17"/>
          <w:szCs w:val="17"/>
        </w:rPr>
      </w:pPr>
      <w:r w:rsidRPr="00E70407">
        <w:rPr>
          <w:rFonts w:ascii="Times New Roman" w:eastAsia="Times New Roman" w:hAnsi="Times New Roman"/>
          <w:sz w:val="17"/>
          <w:szCs w:val="17"/>
        </w:rPr>
        <w:t>RTO or higher education provider nominated for an apprentice or trainee under each Training Contract to which the apprentice or trainee is a party</w:t>
      </w:r>
    </w:p>
    <w:p w:rsidR="00E70407" w:rsidRPr="00E70407" w:rsidRDefault="00E70407" w:rsidP="00E70407">
      <w:pPr>
        <w:numPr>
          <w:ilvl w:val="0"/>
          <w:numId w:val="253"/>
        </w:numPr>
        <w:spacing w:after="0"/>
        <w:rPr>
          <w:rFonts w:ascii="Times New Roman" w:eastAsia="Times New Roman" w:hAnsi="Times New Roman"/>
          <w:sz w:val="17"/>
          <w:szCs w:val="17"/>
        </w:rPr>
      </w:pPr>
      <w:r w:rsidRPr="00E70407">
        <w:rPr>
          <w:rFonts w:ascii="Times New Roman" w:eastAsia="Times New Roman" w:hAnsi="Times New Roman"/>
          <w:sz w:val="17"/>
          <w:szCs w:val="17"/>
        </w:rPr>
        <w:t>employer who is party to the Training Contract</w:t>
      </w:r>
    </w:p>
    <w:p w:rsidR="00E70407" w:rsidRPr="00E70407" w:rsidRDefault="00E70407" w:rsidP="00E70407">
      <w:pPr>
        <w:numPr>
          <w:ilvl w:val="0"/>
          <w:numId w:val="253"/>
        </w:numPr>
        <w:rPr>
          <w:rFonts w:ascii="Times New Roman" w:eastAsia="Times New Roman" w:hAnsi="Times New Roman"/>
          <w:sz w:val="17"/>
          <w:szCs w:val="17"/>
        </w:rPr>
      </w:pPr>
      <w:r w:rsidRPr="00E70407">
        <w:rPr>
          <w:rFonts w:ascii="Times New Roman" w:eastAsia="Times New Roman" w:hAnsi="Times New Roman"/>
          <w:sz w:val="17"/>
          <w:szCs w:val="17"/>
        </w:rPr>
        <w:t>apprentice or trainee who is party to the Training Contract.</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Governance arrangements</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NTOs are providers and assessors of nationally recognised training that have been registered by the Australian Skills Quality Authority (ASQA) in the case of RTOs or the Tertiary Education Quality and Standards Agency (TEQSA) in the case of higher education providers. Only NTOs can issue nationally recognised qualifications. </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The South Australian Skills Commission (the Commission) (or its delegate) regulates apprenticeships and traineeships in South Australia under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Obligations of NTOs under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will be regulated by the Commission.</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Compliance with the Standard</w:t>
      </w:r>
    </w:p>
    <w:p w:rsidR="00E70407" w:rsidRPr="00E70407" w:rsidRDefault="00E70407" w:rsidP="00E70407">
      <w:pPr>
        <w:numPr>
          <w:ilvl w:val="1"/>
          <w:numId w:val="365"/>
        </w:numPr>
        <w:ind w:left="364"/>
        <w:rPr>
          <w:rFonts w:ascii="Times New Roman" w:eastAsia="Times New Roman" w:hAnsi="Times New Roman"/>
          <w:b/>
          <w:bCs/>
          <w:sz w:val="17"/>
          <w:szCs w:val="17"/>
        </w:rPr>
      </w:pPr>
      <w:r w:rsidRPr="00E70407">
        <w:rPr>
          <w:rFonts w:ascii="Times New Roman" w:eastAsia="Times New Roman" w:hAnsi="Times New Roman"/>
          <w:b/>
          <w:bCs/>
          <w:sz w:val="17"/>
          <w:szCs w:val="17"/>
        </w:rPr>
        <w:lastRenderedPageBreak/>
        <w:t>Selection of a Nominated Training Organisation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S54P)</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As part of the process to establish a Training Contract, the employer and apprentice or trainee must agree on which RTO or higher education provider will be the NTO for the Training Contract.</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Having agreed, the employer and apprentice or trainee must obtain the acceptance of the NTO in relation to the nomination.</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Apprenticeship Network Provider (ANP) facilitating the establishment of the Training Contract may assist the employer and apprentice or trainee to select the NTO and may obtain the proposed NTOs acceptance on their behalf.</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The NTO must accept or decline their nomination in the online portal located at </w:t>
      </w:r>
      <w:r w:rsidRPr="00E70407">
        <w:rPr>
          <w:rFonts w:ascii="Times New Roman" w:eastAsia="Times New Roman" w:hAnsi="Times New Roman"/>
          <w:sz w:val="17"/>
          <w:szCs w:val="17"/>
          <w:u w:val="single"/>
        </w:rPr>
        <w:t xml:space="preserve">https://atlas.skills.sa.gov.au, </w:t>
      </w:r>
      <w:r w:rsidRPr="00E70407">
        <w:rPr>
          <w:rFonts w:ascii="Times New Roman" w:eastAsia="Times New Roman" w:hAnsi="Times New Roman"/>
          <w:sz w:val="17"/>
          <w:szCs w:val="17"/>
          <w:lang w:val="en-GB"/>
        </w:rPr>
        <w:t>within 30 calendar days of the data becoming available in the portal.</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NTO becomes responsible for their obligations when they accept the nomination.</w:t>
      </w:r>
    </w:p>
    <w:p w:rsidR="00E70407" w:rsidRPr="00E70407" w:rsidRDefault="00E70407" w:rsidP="00E70407">
      <w:pPr>
        <w:numPr>
          <w:ilvl w:val="1"/>
          <w:numId w:val="365"/>
        </w:numPr>
        <w:ind w:left="364"/>
        <w:rPr>
          <w:rFonts w:ascii="Times New Roman" w:eastAsia="Times New Roman" w:hAnsi="Times New Roman"/>
          <w:b/>
          <w:bCs/>
          <w:sz w:val="17"/>
          <w:szCs w:val="17"/>
        </w:rPr>
      </w:pPr>
      <w:r w:rsidRPr="00E70407">
        <w:rPr>
          <w:rFonts w:ascii="Times New Roman" w:eastAsia="Times New Roman" w:hAnsi="Times New Roman"/>
          <w:b/>
          <w:bCs/>
          <w:sz w:val="17"/>
          <w:szCs w:val="17"/>
        </w:rPr>
        <w:t>Training Plan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S54Q, S54R, Regulation 14)</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NTO for a Training Contract must prepare (and obtain the necessary endorsement of) the Training Plan for that contract within 28 days of accepting a nomination.</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If the NTO is unable to prepare a Training Plan within this timeframe, it must apply to the Commission for an extension via </w:t>
      </w:r>
      <w:hyperlink r:id="rId101" w:history="1">
        <w:r w:rsidRPr="00E70407">
          <w:rPr>
            <w:rFonts w:ascii="Times New Roman" w:eastAsia="Times New Roman" w:hAnsi="Times New Roman"/>
            <w:color w:val="0000FF"/>
            <w:sz w:val="17"/>
            <w:szCs w:val="17"/>
            <w:u w:val="single"/>
            <w:lang w:val="en-GB"/>
          </w:rPr>
          <w:t>www.providers.skills.sa.gov.au/resources-and-publications</w:t>
        </w:r>
      </w:hyperlink>
      <w:r w:rsidRPr="00E70407">
        <w:rPr>
          <w:rFonts w:ascii="Times New Roman" w:eastAsia="Times New Roman" w:hAnsi="Times New Roman"/>
          <w:sz w:val="17"/>
          <w:szCs w:val="17"/>
          <w:lang w:val="en-GB"/>
        </w:rPr>
        <w:t xml:space="preserve"> and in the prescribed manner, at least 7 days in advance of the 28 day deadline. Note: an extension to inform the Commission a training plan has been developed, if granted, will apply for a further period of 28 days only and not an indeterminate or other period of time.</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The Training Plan must be presented on the form approved by the Commission and contain all the requested information. The Commission has approved a proforma Training Plan, available at </w:t>
      </w:r>
      <w:hyperlink r:id="rId102" w:history="1">
        <w:r w:rsidRPr="00E70407">
          <w:rPr>
            <w:rFonts w:ascii="Times New Roman" w:eastAsia="Times New Roman" w:hAnsi="Times New Roman"/>
            <w:color w:val="0000FF"/>
            <w:sz w:val="17"/>
            <w:szCs w:val="17"/>
            <w:u w:val="single"/>
            <w:lang w:val="en-GB"/>
          </w:rPr>
          <w:t>www.providers.skills.sa.gov.au/resources-and-publications</w:t>
        </w:r>
      </w:hyperlink>
      <w:r w:rsidRPr="00E70407">
        <w:rPr>
          <w:rFonts w:ascii="Times New Roman" w:eastAsia="Times New Roman" w:hAnsi="Times New Roman"/>
          <w:sz w:val="17"/>
          <w:szCs w:val="17"/>
          <w:lang w:val="en-GB"/>
        </w:rPr>
        <w:t>.</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Training Plan must contain the following information:</w:t>
      </w:r>
    </w:p>
    <w:p w:rsidR="00E70407" w:rsidRPr="00E70407" w:rsidRDefault="00E70407" w:rsidP="00E70407">
      <w:pPr>
        <w:numPr>
          <w:ilvl w:val="0"/>
          <w:numId w:val="263"/>
        </w:numPr>
        <w:rPr>
          <w:rFonts w:ascii="Times New Roman" w:eastAsia="Times New Roman" w:hAnsi="Times New Roman"/>
          <w:sz w:val="17"/>
          <w:szCs w:val="17"/>
        </w:rPr>
      </w:pPr>
      <w:r w:rsidRPr="00E70407">
        <w:rPr>
          <w:rFonts w:ascii="Times New Roman" w:eastAsia="Times New Roman" w:hAnsi="Times New Roman"/>
          <w:sz w:val="17"/>
          <w:szCs w:val="17"/>
        </w:rPr>
        <w:t>contact details of the apprentice or trainee, employer and NTO</w:t>
      </w:r>
    </w:p>
    <w:p w:rsidR="00E70407" w:rsidRPr="00E70407" w:rsidRDefault="00E70407" w:rsidP="00E70407">
      <w:pPr>
        <w:numPr>
          <w:ilvl w:val="0"/>
          <w:numId w:val="263"/>
        </w:numPr>
        <w:rPr>
          <w:rFonts w:ascii="Times New Roman" w:eastAsia="Times New Roman" w:hAnsi="Times New Roman"/>
          <w:sz w:val="17"/>
          <w:szCs w:val="17"/>
        </w:rPr>
      </w:pPr>
      <w:r w:rsidRPr="00E70407">
        <w:rPr>
          <w:rFonts w:ascii="Times New Roman" w:eastAsia="Times New Roman" w:hAnsi="Times New Roman"/>
          <w:sz w:val="17"/>
          <w:szCs w:val="17"/>
        </w:rPr>
        <w:t>details of the school (for school-based apprenticeships or traineeships)</w:t>
      </w:r>
    </w:p>
    <w:p w:rsidR="00E70407" w:rsidRPr="00E70407" w:rsidRDefault="00E70407" w:rsidP="00E70407">
      <w:pPr>
        <w:numPr>
          <w:ilvl w:val="0"/>
          <w:numId w:val="263"/>
        </w:numPr>
        <w:rPr>
          <w:rFonts w:ascii="Times New Roman" w:eastAsia="Times New Roman" w:hAnsi="Times New Roman"/>
          <w:sz w:val="17"/>
          <w:szCs w:val="17"/>
        </w:rPr>
      </w:pPr>
      <w:r w:rsidRPr="00E70407">
        <w:rPr>
          <w:rFonts w:ascii="Times New Roman" w:eastAsia="Times New Roman" w:hAnsi="Times New Roman"/>
          <w:sz w:val="17"/>
          <w:szCs w:val="17"/>
        </w:rPr>
        <w:t>details of the apprenticeship or traineeship being undertaken</w:t>
      </w:r>
    </w:p>
    <w:p w:rsidR="00E70407" w:rsidRPr="00E70407" w:rsidRDefault="00E70407" w:rsidP="00E70407">
      <w:pPr>
        <w:numPr>
          <w:ilvl w:val="0"/>
          <w:numId w:val="263"/>
        </w:numPr>
        <w:rPr>
          <w:rFonts w:ascii="Times New Roman" w:eastAsia="Times New Roman" w:hAnsi="Times New Roman"/>
          <w:sz w:val="17"/>
          <w:szCs w:val="17"/>
        </w:rPr>
      </w:pPr>
      <w:r w:rsidRPr="00E70407">
        <w:rPr>
          <w:rFonts w:ascii="Times New Roman" w:eastAsia="Times New Roman" w:hAnsi="Times New Roman"/>
          <w:sz w:val="17"/>
          <w:szCs w:val="17"/>
        </w:rPr>
        <w:t>the Australian Qualification Framework (AQF) qualification to be undertaken and any other relevant pathway to a trade or declared vocation (including non-accredited training) that the Commission has aligned to the qualification as part of the trade vocational declaration process</w:t>
      </w:r>
    </w:p>
    <w:p w:rsidR="00E70407" w:rsidRPr="00E70407" w:rsidRDefault="00E70407" w:rsidP="00E70407">
      <w:pPr>
        <w:numPr>
          <w:ilvl w:val="0"/>
          <w:numId w:val="263"/>
        </w:numPr>
        <w:rPr>
          <w:rFonts w:ascii="Times New Roman" w:eastAsia="Times New Roman" w:hAnsi="Times New Roman"/>
          <w:sz w:val="17"/>
          <w:szCs w:val="17"/>
        </w:rPr>
      </w:pPr>
      <w:r w:rsidRPr="00E70407">
        <w:rPr>
          <w:rFonts w:ascii="Times New Roman" w:eastAsia="Times New Roman" w:hAnsi="Times New Roman"/>
          <w:sz w:val="17"/>
          <w:szCs w:val="17"/>
        </w:rPr>
        <w:t>the units of competence/units of study and any other training (accredited/non-accredited) that will make up the AQF qualification (including elective units) and a timeline of when these units will be undertaken by the apprentice or trainee</w:t>
      </w:r>
    </w:p>
    <w:p w:rsidR="00E70407" w:rsidRPr="00E70407" w:rsidRDefault="00E70407" w:rsidP="00E70407">
      <w:pPr>
        <w:numPr>
          <w:ilvl w:val="0"/>
          <w:numId w:val="263"/>
        </w:numPr>
        <w:rPr>
          <w:rFonts w:ascii="Times New Roman" w:eastAsia="Times New Roman" w:hAnsi="Times New Roman"/>
          <w:sz w:val="17"/>
          <w:szCs w:val="17"/>
        </w:rPr>
      </w:pPr>
      <w:r w:rsidRPr="00E70407">
        <w:rPr>
          <w:rFonts w:ascii="Times New Roman" w:eastAsia="Times New Roman" w:hAnsi="Times New Roman"/>
          <w:sz w:val="17"/>
          <w:szCs w:val="17"/>
        </w:rPr>
        <w:t>the mode of delivery of formal training (on-job or off-job)</w:t>
      </w:r>
    </w:p>
    <w:p w:rsidR="00E70407" w:rsidRPr="00E70407" w:rsidRDefault="00E70407" w:rsidP="00E70407">
      <w:pPr>
        <w:numPr>
          <w:ilvl w:val="0"/>
          <w:numId w:val="263"/>
        </w:numPr>
        <w:rPr>
          <w:rFonts w:ascii="Times New Roman" w:eastAsia="Times New Roman" w:hAnsi="Times New Roman"/>
          <w:sz w:val="17"/>
          <w:szCs w:val="17"/>
        </w:rPr>
      </w:pPr>
      <w:r w:rsidRPr="00E70407">
        <w:rPr>
          <w:rFonts w:ascii="Times New Roman" w:eastAsia="Times New Roman" w:hAnsi="Times New Roman"/>
          <w:sz w:val="17"/>
          <w:szCs w:val="17"/>
        </w:rPr>
        <w:t>the developmental goals of the apprentice or trainee under the Training Plan</w:t>
      </w:r>
    </w:p>
    <w:p w:rsidR="00E70407" w:rsidRPr="00E70407" w:rsidRDefault="00E70407" w:rsidP="00E70407">
      <w:pPr>
        <w:numPr>
          <w:ilvl w:val="0"/>
          <w:numId w:val="263"/>
        </w:numPr>
        <w:rPr>
          <w:rFonts w:ascii="Times New Roman" w:eastAsia="Times New Roman" w:hAnsi="Times New Roman"/>
          <w:sz w:val="17"/>
          <w:szCs w:val="17"/>
        </w:rPr>
      </w:pPr>
      <w:r w:rsidRPr="00E70407">
        <w:rPr>
          <w:rFonts w:ascii="Times New Roman" w:eastAsia="Times New Roman" w:hAnsi="Times New Roman"/>
          <w:sz w:val="17"/>
          <w:szCs w:val="17"/>
        </w:rPr>
        <w:t>the responsibilities of the apprentice or trainee, employer and NTO, with respect to training under the Training Contract</w:t>
      </w:r>
    </w:p>
    <w:p w:rsidR="00E70407" w:rsidRPr="00E70407" w:rsidRDefault="00E70407" w:rsidP="00E70407">
      <w:pPr>
        <w:numPr>
          <w:ilvl w:val="0"/>
          <w:numId w:val="263"/>
        </w:numPr>
        <w:rPr>
          <w:rFonts w:ascii="Times New Roman" w:eastAsia="Times New Roman" w:hAnsi="Times New Roman"/>
          <w:sz w:val="17"/>
          <w:szCs w:val="17"/>
        </w:rPr>
      </w:pPr>
      <w:r w:rsidRPr="00E70407">
        <w:rPr>
          <w:rFonts w:ascii="Times New Roman" w:eastAsia="Times New Roman" w:hAnsi="Times New Roman"/>
          <w:sz w:val="17"/>
          <w:szCs w:val="17"/>
        </w:rPr>
        <w:t>any additional expectations of the apprentice or trainee, employer or NTO that are agreed to by the parties to the Training Contract.</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When developing the Training Plan, the NTO must engage with the employer and the apprentice or trainee and discuss:</w:t>
      </w:r>
    </w:p>
    <w:p w:rsidR="00E70407" w:rsidRPr="00E70407" w:rsidRDefault="00E70407" w:rsidP="00E70407">
      <w:pPr>
        <w:numPr>
          <w:ilvl w:val="0"/>
          <w:numId w:val="264"/>
        </w:numPr>
        <w:rPr>
          <w:rFonts w:ascii="Times New Roman" w:eastAsia="Times New Roman" w:hAnsi="Times New Roman"/>
          <w:sz w:val="17"/>
          <w:szCs w:val="17"/>
        </w:rPr>
      </w:pPr>
      <w:r w:rsidRPr="00E70407">
        <w:rPr>
          <w:rFonts w:ascii="Times New Roman" w:eastAsia="Times New Roman" w:hAnsi="Times New Roman"/>
          <w:sz w:val="17"/>
          <w:szCs w:val="17"/>
        </w:rPr>
        <w:t>how, when and where the training will be delivered</w:t>
      </w:r>
    </w:p>
    <w:p w:rsidR="00E70407" w:rsidRPr="00E70407" w:rsidRDefault="00E70407" w:rsidP="00E70407">
      <w:pPr>
        <w:numPr>
          <w:ilvl w:val="0"/>
          <w:numId w:val="264"/>
        </w:numPr>
        <w:rPr>
          <w:rFonts w:ascii="Times New Roman" w:eastAsia="Times New Roman" w:hAnsi="Times New Roman"/>
          <w:sz w:val="17"/>
          <w:szCs w:val="17"/>
        </w:rPr>
      </w:pPr>
      <w:r w:rsidRPr="00E70407">
        <w:rPr>
          <w:rFonts w:ascii="Times New Roman" w:eastAsia="Times New Roman" w:hAnsi="Times New Roman"/>
          <w:sz w:val="17"/>
          <w:szCs w:val="17"/>
        </w:rPr>
        <w:t>the units of competence/units of study that will be delivered</w:t>
      </w:r>
    </w:p>
    <w:p w:rsidR="00E70407" w:rsidRPr="00E70407" w:rsidRDefault="00E70407" w:rsidP="00E70407">
      <w:pPr>
        <w:numPr>
          <w:ilvl w:val="0"/>
          <w:numId w:val="264"/>
        </w:numPr>
        <w:rPr>
          <w:rFonts w:ascii="Times New Roman" w:eastAsia="Times New Roman" w:hAnsi="Times New Roman"/>
          <w:sz w:val="17"/>
          <w:szCs w:val="17"/>
        </w:rPr>
      </w:pPr>
      <w:r w:rsidRPr="00E70407">
        <w:rPr>
          <w:rFonts w:ascii="Times New Roman" w:eastAsia="Times New Roman" w:hAnsi="Times New Roman"/>
          <w:sz w:val="17"/>
          <w:szCs w:val="17"/>
        </w:rPr>
        <w:t>who will assess the apprentice or trainee</w:t>
      </w:r>
    </w:p>
    <w:p w:rsidR="00E70407" w:rsidRPr="00E70407" w:rsidRDefault="00E70407" w:rsidP="00E70407">
      <w:pPr>
        <w:numPr>
          <w:ilvl w:val="0"/>
          <w:numId w:val="264"/>
        </w:numPr>
        <w:rPr>
          <w:rFonts w:ascii="Times New Roman" w:eastAsia="Times New Roman" w:hAnsi="Times New Roman"/>
          <w:sz w:val="17"/>
          <w:szCs w:val="17"/>
        </w:rPr>
      </w:pPr>
      <w:r w:rsidRPr="00E70407">
        <w:rPr>
          <w:rFonts w:ascii="Times New Roman" w:eastAsia="Times New Roman" w:hAnsi="Times New Roman"/>
          <w:sz w:val="17"/>
          <w:szCs w:val="17"/>
        </w:rPr>
        <w:t>the type of assessments that will be conducted.</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Training Plan must be endorsed by the employer and the apprentice or trainee, as well as additional endorsement (as appropriate) from:</w:t>
      </w:r>
    </w:p>
    <w:p w:rsidR="00E70407" w:rsidRPr="00E70407" w:rsidRDefault="00E70407" w:rsidP="00E70407">
      <w:pPr>
        <w:numPr>
          <w:ilvl w:val="0"/>
          <w:numId w:val="265"/>
        </w:numPr>
        <w:rPr>
          <w:rFonts w:ascii="Times New Roman" w:eastAsia="Times New Roman" w:hAnsi="Times New Roman"/>
          <w:sz w:val="17"/>
          <w:szCs w:val="17"/>
        </w:rPr>
      </w:pPr>
      <w:r w:rsidRPr="00E70407">
        <w:rPr>
          <w:rFonts w:ascii="Times New Roman" w:eastAsia="Times New Roman" w:hAnsi="Times New Roman"/>
          <w:sz w:val="17"/>
          <w:szCs w:val="17"/>
        </w:rPr>
        <w:t>an apprentice’s or trainee’s parent or guardian, where the apprentice or trainee is under 18, and where the apprentice or trainee’s parents are party to the Training Contract</w:t>
      </w:r>
    </w:p>
    <w:p w:rsidR="00E70407" w:rsidRPr="00E70407" w:rsidRDefault="00E70407" w:rsidP="00E70407">
      <w:pPr>
        <w:numPr>
          <w:ilvl w:val="0"/>
          <w:numId w:val="265"/>
        </w:numPr>
        <w:rPr>
          <w:rFonts w:ascii="Times New Roman" w:eastAsia="Times New Roman" w:hAnsi="Times New Roman"/>
          <w:sz w:val="17"/>
          <w:szCs w:val="17"/>
        </w:rPr>
      </w:pPr>
      <w:r w:rsidRPr="00E70407">
        <w:rPr>
          <w:rFonts w:ascii="Times New Roman" w:eastAsia="Times New Roman" w:hAnsi="Times New Roman"/>
          <w:sz w:val="17"/>
          <w:szCs w:val="17"/>
        </w:rPr>
        <w:t>a school principal (or delegate of the principal), where the Training Plan is for a school-based Training Contract.</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Once a Training Plan has been endorsed by all parties, the NTO must notify the Commission within 28 days.</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Training Plan comes into effect from any commencement date specified in the document.</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NTO must provide a copy of the Training Plan to the employer and the    apprentice or trainee within 14 days of the Training Plan coming into effect.</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NTO is responsible for delivering training in accordance with the Training Plan and as agreed with the employer and the apprentice or trainee.</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NTO must maintain the currency and suitability of the Training Plan, and monitor the apprentice’s or trainee’s progress towards meeting the required training, over the life of the Training Contract, until all outcomes are achieved, or the Training Contract ceases.</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NTO must review the Training Plan as required, including:</w:t>
      </w:r>
    </w:p>
    <w:p w:rsidR="00E70407" w:rsidRPr="00E70407" w:rsidRDefault="00E70407" w:rsidP="00E70407">
      <w:pPr>
        <w:numPr>
          <w:ilvl w:val="0"/>
          <w:numId w:val="266"/>
        </w:numPr>
        <w:rPr>
          <w:rFonts w:ascii="Times New Roman" w:eastAsia="Times New Roman" w:hAnsi="Times New Roman"/>
          <w:sz w:val="17"/>
          <w:szCs w:val="17"/>
        </w:rPr>
      </w:pPr>
      <w:r w:rsidRPr="00E70407">
        <w:rPr>
          <w:rFonts w:ascii="Times New Roman" w:eastAsia="Times New Roman" w:hAnsi="Times New Roman"/>
          <w:sz w:val="17"/>
          <w:szCs w:val="17"/>
        </w:rPr>
        <w:t>if the training that is the subject of the Training Plan is modified</w:t>
      </w:r>
    </w:p>
    <w:p w:rsidR="00E70407" w:rsidRPr="00E70407" w:rsidRDefault="00E70407" w:rsidP="00E70407">
      <w:pPr>
        <w:numPr>
          <w:ilvl w:val="0"/>
          <w:numId w:val="266"/>
        </w:numPr>
        <w:rPr>
          <w:rFonts w:ascii="Times New Roman" w:eastAsia="Times New Roman" w:hAnsi="Times New Roman"/>
          <w:sz w:val="17"/>
          <w:szCs w:val="17"/>
        </w:rPr>
      </w:pPr>
      <w:r w:rsidRPr="00E70407">
        <w:rPr>
          <w:rFonts w:ascii="Times New Roman" w:eastAsia="Times New Roman" w:hAnsi="Times New Roman"/>
          <w:sz w:val="17"/>
          <w:szCs w:val="17"/>
        </w:rPr>
        <w:t>upon request by the parties to the Training Contract</w:t>
      </w:r>
    </w:p>
    <w:p w:rsidR="00E70407" w:rsidRPr="00E70407" w:rsidRDefault="00E70407" w:rsidP="00E70407">
      <w:pPr>
        <w:numPr>
          <w:ilvl w:val="0"/>
          <w:numId w:val="266"/>
        </w:numPr>
        <w:rPr>
          <w:rFonts w:ascii="Times New Roman" w:eastAsia="Times New Roman" w:hAnsi="Times New Roman"/>
          <w:sz w:val="17"/>
          <w:szCs w:val="17"/>
        </w:rPr>
      </w:pPr>
      <w:r w:rsidRPr="00E70407">
        <w:rPr>
          <w:rFonts w:ascii="Times New Roman" w:eastAsia="Times New Roman" w:hAnsi="Times New Roman"/>
          <w:sz w:val="17"/>
          <w:szCs w:val="17"/>
        </w:rPr>
        <w:t>at a minimum, every 6 months regardless.</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 variation to the Training Plan must be endorsed by all the relevant parties and will come into effect from a date specified in the Training Plan.</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NTO must provide a copy of the revised Training Plan to the employer and the apprentice or trainee within 14 days of the revised Training Plan coming into effect, and must notify the Commission of the variation within 28 days.</w:t>
      </w:r>
    </w:p>
    <w:p w:rsidR="00E70407" w:rsidRPr="00E70407" w:rsidRDefault="00E70407" w:rsidP="00E70407">
      <w:pPr>
        <w:numPr>
          <w:ilvl w:val="1"/>
          <w:numId w:val="365"/>
        </w:numPr>
        <w:ind w:left="364"/>
        <w:rPr>
          <w:rFonts w:ascii="Times New Roman" w:eastAsia="Times New Roman" w:hAnsi="Times New Roman"/>
          <w:b/>
          <w:bCs/>
          <w:sz w:val="17"/>
          <w:szCs w:val="17"/>
        </w:rPr>
      </w:pPr>
      <w:r w:rsidRPr="00E70407">
        <w:rPr>
          <w:rFonts w:ascii="Times New Roman" w:eastAsia="Times New Roman" w:hAnsi="Times New Roman"/>
          <w:b/>
          <w:bCs/>
          <w:sz w:val="17"/>
          <w:szCs w:val="17"/>
        </w:rPr>
        <w:t>Substitution of a Nominated Training Organisation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S54T)</w:t>
      </w:r>
    </w:p>
    <w:p w:rsidR="00E70407" w:rsidRPr="00E70407" w:rsidRDefault="00E70407" w:rsidP="00E70407">
      <w:pPr>
        <w:tabs>
          <w:tab w:val="left" w:pos="709"/>
        </w:tabs>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6.3.1 </w:t>
      </w:r>
      <w:r w:rsidRPr="00E70407">
        <w:rPr>
          <w:rFonts w:ascii="Times New Roman" w:eastAsia="Times New Roman" w:hAnsi="Times New Roman"/>
          <w:sz w:val="17"/>
          <w:szCs w:val="17"/>
          <w:lang w:val="en-GB"/>
        </w:rPr>
        <w:tab/>
        <w:t>The employer and the apprentice or trainee may substitute the NTO for a Training Contract, where:</w:t>
      </w:r>
    </w:p>
    <w:p w:rsidR="00E70407" w:rsidRPr="00E70407" w:rsidRDefault="00E70407" w:rsidP="00E70407">
      <w:pPr>
        <w:numPr>
          <w:ilvl w:val="0"/>
          <w:numId w:val="267"/>
        </w:numPr>
        <w:ind w:left="1078"/>
        <w:rPr>
          <w:rFonts w:ascii="Times New Roman" w:eastAsia="Times New Roman" w:hAnsi="Times New Roman"/>
          <w:sz w:val="17"/>
          <w:szCs w:val="17"/>
        </w:rPr>
      </w:pPr>
      <w:r w:rsidRPr="00E70407">
        <w:rPr>
          <w:rFonts w:ascii="Times New Roman" w:eastAsia="Times New Roman" w:hAnsi="Times New Roman"/>
          <w:sz w:val="17"/>
          <w:szCs w:val="17"/>
        </w:rPr>
        <w:lastRenderedPageBreak/>
        <w:t>the employer and apprentice or trainee agree on the new NTO</w:t>
      </w:r>
    </w:p>
    <w:p w:rsidR="00E70407" w:rsidRPr="00E70407" w:rsidRDefault="00E70407" w:rsidP="00E70407">
      <w:pPr>
        <w:numPr>
          <w:ilvl w:val="0"/>
          <w:numId w:val="267"/>
        </w:numPr>
        <w:ind w:left="1078"/>
        <w:rPr>
          <w:rFonts w:ascii="Times New Roman" w:eastAsia="Times New Roman" w:hAnsi="Times New Roman"/>
          <w:sz w:val="17"/>
          <w:szCs w:val="17"/>
        </w:rPr>
      </w:pPr>
      <w:r w:rsidRPr="00E70407">
        <w:rPr>
          <w:rFonts w:ascii="Times New Roman" w:eastAsia="Times New Roman" w:hAnsi="Times New Roman"/>
          <w:sz w:val="17"/>
          <w:szCs w:val="17"/>
        </w:rPr>
        <w:t>the employer and apprentice or trainee seek acceptance of the new NTO in respect of the nomination</w:t>
      </w:r>
    </w:p>
    <w:p w:rsidR="00E70407" w:rsidRPr="00E70407" w:rsidRDefault="00E70407" w:rsidP="00E70407">
      <w:pPr>
        <w:numPr>
          <w:ilvl w:val="0"/>
          <w:numId w:val="267"/>
        </w:numPr>
        <w:ind w:left="1078"/>
        <w:rPr>
          <w:rFonts w:ascii="Times New Roman" w:eastAsia="Times New Roman" w:hAnsi="Times New Roman"/>
          <w:sz w:val="17"/>
          <w:szCs w:val="17"/>
        </w:rPr>
      </w:pPr>
      <w:r w:rsidRPr="00E70407">
        <w:rPr>
          <w:rFonts w:ascii="Times New Roman" w:eastAsia="Times New Roman" w:hAnsi="Times New Roman"/>
          <w:sz w:val="17"/>
          <w:szCs w:val="17"/>
        </w:rPr>
        <w:t>the NTO accepts the nomination and agrees to be the NTO for the apprentice or trainee.</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6.3.2 </w:t>
      </w:r>
      <w:r w:rsidRPr="00E70407">
        <w:rPr>
          <w:rFonts w:ascii="Times New Roman" w:eastAsia="Times New Roman" w:hAnsi="Times New Roman"/>
          <w:sz w:val="17"/>
          <w:szCs w:val="17"/>
          <w:lang w:val="en-GB"/>
        </w:rPr>
        <w:tab/>
        <w:t>The nominated ANP for the Training Contract may assist the employer and apprentice or trainee to select a new NTO and may obtain the new NTO’s acceptance on their behalf.</w:t>
      </w:r>
    </w:p>
    <w:p w:rsidR="0013574B" w:rsidRDefault="0013574B">
      <w:pPr>
        <w:spacing w:after="0" w:line="240" w:lineRule="auto"/>
        <w:jc w:val="left"/>
        <w:rPr>
          <w:rFonts w:ascii="Times New Roman" w:eastAsia="Times New Roman" w:hAnsi="Times New Roman"/>
          <w:sz w:val="17"/>
          <w:szCs w:val="17"/>
          <w:lang w:val="en-GB"/>
        </w:rPr>
      </w:pPr>
      <w:r>
        <w:rPr>
          <w:rFonts w:ascii="Times New Roman" w:eastAsia="Times New Roman" w:hAnsi="Times New Roman"/>
          <w:sz w:val="17"/>
          <w:szCs w:val="17"/>
          <w:lang w:val="en-GB"/>
        </w:rPr>
        <w:br w:type="page"/>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lastRenderedPageBreak/>
        <w:t xml:space="preserve">6.3.3 </w:t>
      </w:r>
      <w:r w:rsidRPr="00E70407">
        <w:rPr>
          <w:rFonts w:ascii="Times New Roman" w:eastAsia="Times New Roman" w:hAnsi="Times New Roman"/>
          <w:sz w:val="17"/>
          <w:szCs w:val="17"/>
          <w:lang w:val="en-GB"/>
        </w:rPr>
        <w:tab/>
        <w:t>Substitution of the NTO triggers an automatic review of the Training Plan by the new NTO. Notwithstanding any revisions made necessary by this review, the Training Plan for the apprentice or trainee continues in force and any rights, obligations and liabilities of the former NTO are transferred to the new NTO.</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6.3.4 </w:t>
      </w:r>
      <w:r w:rsidRPr="00E70407">
        <w:rPr>
          <w:rFonts w:ascii="Times New Roman" w:eastAsia="Times New Roman" w:hAnsi="Times New Roman"/>
          <w:sz w:val="17"/>
          <w:szCs w:val="17"/>
          <w:lang w:val="en-GB"/>
        </w:rPr>
        <w:tab/>
        <w:t xml:space="preserve">Where the NTO ceases to be the NTO in relation to a Training Contract, it must make the Training Plan and progress towards agreed learning outcomes available to the new NTO and maintain records for the period of which it was the NTO in accordance with Section 54U of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iCs/>
          <w:sz w:val="17"/>
          <w:szCs w:val="17"/>
          <w:lang w:val="en-GB"/>
        </w:rPr>
        <w:t>Act</w:t>
      </w:r>
      <w:r w:rsidRPr="00E70407">
        <w:rPr>
          <w:rFonts w:ascii="Times New Roman" w:eastAsia="Times New Roman" w:hAnsi="Times New Roman"/>
          <w:sz w:val="17"/>
          <w:szCs w:val="17"/>
          <w:lang w:val="en-GB"/>
        </w:rPr>
        <w:t>.</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6.3.5 </w:t>
      </w:r>
      <w:r w:rsidRPr="00E70407">
        <w:rPr>
          <w:rFonts w:ascii="Times New Roman" w:eastAsia="Times New Roman" w:hAnsi="Times New Roman"/>
          <w:sz w:val="17"/>
          <w:szCs w:val="17"/>
          <w:lang w:val="en-GB"/>
        </w:rPr>
        <w:tab/>
        <w:t>The new NTO must notify the Commission of its inclusion under the Training Contract within 14 days.</w:t>
      </w:r>
    </w:p>
    <w:p w:rsidR="00E70407" w:rsidRPr="00E70407" w:rsidRDefault="00E70407" w:rsidP="00E70407">
      <w:pPr>
        <w:numPr>
          <w:ilvl w:val="1"/>
          <w:numId w:val="365"/>
        </w:numPr>
        <w:ind w:left="364"/>
        <w:rPr>
          <w:rFonts w:ascii="Times New Roman" w:eastAsia="Times New Roman" w:hAnsi="Times New Roman"/>
          <w:b/>
          <w:bCs/>
          <w:sz w:val="17"/>
          <w:szCs w:val="17"/>
        </w:rPr>
      </w:pPr>
      <w:r w:rsidRPr="00E70407">
        <w:rPr>
          <w:rFonts w:ascii="Times New Roman" w:eastAsia="Times New Roman" w:hAnsi="Times New Roman"/>
          <w:b/>
          <w:bCs/>
          <w:sz w:val="17"/>
          <w:szCs w:val="17"/>
        </w:rPr>
        <w:t>Obligations for Nominated Training Organisations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xml:space="preserve">, Division 3D, </w:t>
      </w:r>
      <w:r w:rsidRPr="00E70407">
        <w:rPr>
          <w:rFonts w:ascii="Times New Roman" w:eastAsia="Times New Roman" w:hAnsi="Times New Roman"/>
          <w:b/>
          <w:bCs/>
          <w:i/>
          <w:iCs/>
          <w:sz w:val="17"/>
          <w:szCs w:val="17"/>
        </w:rPr>
        <w:t xml:space="preserve">Regulations </w:t>
      </w:r>
      <w:r w:rsidRPr="00E70407">
        <w:rPr>
          <w:rFonts w:ascii="Times New Roman" w:eastAsia="Times New Roman" w:hAnsi="Times New Roman"/>
          <w:b/>
          <w:bCs/>
          <w:sz w:val="17"/>
          <w:szCs w:val="17"/>
        </w:rPr>
        <w:t>14, 15)</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6.4.1 </w:t>
      </w:r>
      <w:r w:rsidRPr="00E70407">
        <w:rPr>
          <w:rFonts w:ascii="Times New Roman" w:eastAsia="Times New Roman" w:hAnsi="Times New Roman"/>
          <w:sz w:val="17"/>
          <w:szCs w:val="17"/>
          <w:lang w:val="en-GB"/>
        </w:rPr>
        <w:tab/>
        <w:t xml:space="preserve">Where there are issues with an employer or with the apprentice or trainee, the NTO should engage with the employer and/or apprentice or trainee in the first instance. Where concerns are ongoing, the NTO should contact the Commission. </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6.4.2 </w:t>
      </w:r>
      <w:r w:rsidRPr="00E70407">
        <w:rPr>
          <w:rFonts w:ascii="Times New Roman" w:eastAsia="Times New Roman" w:hAnsi="Times New Roman"/>
          <w:sz w:val="17"/>
          <w:szCs w:val="17"/>
          <w:lang w:val="en-GB"/>
        </w:rPr>
        <w:tab/>
        <w:t>The NTO must notify the Commission where:</w:t>
      </w:r>
    </w:p>
    <w:p w:rsidR="00E70407" w:rsidRPr="00E70407" w:rsidRDefault="00E70407" w:rsidP="00E70407">
      <w:pPr>
        <w:numPr>
          <w:ilvl w:val="0"/>
          <w:numId w:val="268"/>
        </w:numPr>
        <w:rPr>
          <w:rFonts w:ascii="Times New Roman" w:eastAsia="Times New Roman" w:hAnsi="Times New Roman"/>
          <w:sz w:val="17"/>
          <w:szCs w:val="17"/>
        </w:rPr>
      </w:pPr>
      <w:r w:rsidRPr="00E70407">
        <w:rPr>
          <w:rFonts w:ascii="Times New Roman" w:eastAsia="Times New Roman" w:hAnsi="Times New Roman"/>
          <w:sz w:val="17"/>
          <w:szCs w:val="17"/>
        </w:rPr>
        <w:t>it becomes aware that an apprentice or trainee is not meeting the requirements of the Training Plan</w:t>
      </w:r>
    </w:p>
    <w:p w:rsidR="00E70407" w:rsidRPr="00E70407" w:rsidRDefault="00E70407" w:rsidP="00E70407">
      <w:pPr>
        <w:numPr>
          <w:ilvl w:val="0"/>
          <w:numId w:val="268"/>
        </w:numPr>
        <w:rPr>
          <w:rFonts w:ascii="Times New Roman" w:eastAsia="Times New Roman" w:hAnsi="Times New Roman"/>
          <w:sz w:val="17"/>
          <w:szCs w:val="17"/>
        </w:rPr>
      </w:pPr>
      <w:r w:rsidRPr="00E70407">
        <w:rPr>
          <w:rFonts w:ascii="Times New Roman" w:eastAsia="Times New Roman" w:hAnsi="Times New Roman"/>
          <w:sz w:val="17"/>
          <w:szCs w:val="17"/>
        </w:rPr>
        <w:t>it becomes aware that an employer is not meeting its obligations under the Training Contract or Training Plan</w:t>
      </w:r>
    </w:p>
    <w:p w:rsidR="00E70407" w:rsidRPr="00E70407" w:rsidRDefault="00E70407" w:rsidP="00E70407">
      <w:pPr>
        <w:numPr>
          <w:ilvl w:val="0"/>
          <w:numId w:val="268"/>
        </w:numPr>
        <w:rPr>
          <w:rFonts w:ascii="Times New Roman" w:eastAsia="Times New Roman" w:hAnsi="Times New Roman"/>
          <w:sz w:val="17"/>
          <w:szCs w:val="17"/>
        </w:rPr>
      </w:pPr>
      <w:r w:rsidRPr="00E70407">
        <w:rPr>
          <w:rFonts w:ascii="Times New Roman" w:eastAsia="Times New Roman" w:hAnsi="Times New Roman"/>
          <w:sz w:val="17"/>
          <w:szCs w:val="17"/>
        </w:rPr>
        <w:t>it becomes aware that the health or safety of an apprentice or trainee is at risk</w:t>
      </w:r>
    </w:p>
    <w:p w:rsidR="00E70407" w:rsidRPr="00E70407" w:rsidRDefault="00E70407" w:rsidP="00E70407">
      <w:pPr>
        <w:numPr>
          <w:ilvl w:val="0"/>
          <w:numId w:val="268"/>
        </w:numPr>
        <w:rPr>
          <w:rFonts w:ascii="Times New Roman" w:eastAsia="Times New Roman" w:hAnsi="Times New Roman"/>
          <w:sz w:val="17"/>
          <w:szCs w:val="17"/>
        </w:rPr>
      </w:pPr>
      <w:r w:rsidRPr="00E70407">
        <w:rPr>
          <w:rFonts w:ascii="Times New Roman" w:eastAsia="Times New Roman" w:hAnsi="Times New Roman"/>
          <w:sz w:val="17"/>
          <w:szCs w:val="17"/>
        </w:rPr>
        <w:t>it becomes aware that it may not be able to comply with any obligations applicable to the NTO under the Training Plan</w:t>
      </w:r>
    </w:p>
    <w:p w:rsidR="00E70407" w:rsidRPr="00E70407" w:rsidRDefault="00E70407" w:rsidP="00E70407">
      <w:pPr>
        <w:numPr>
          <w:ilvl w:val="0"/>
          <w:numId w:val="268"/>
        </w:numPr>
        <w:rPr>
          <w:rFonts w:ascii="Times New Roman" w:eastAsia="Times New Roman" w:hAnsi="Times New Roman"/>
          <w:sz w:val="17"/>
          <w:szCs w:val="17"/>
        </w:rPr>
      </w:pPr>
      <w:r w:rsidRPr="00E70407">
        <w:rPr>
          <w:rFonts w:ascii="Times New Roman" w:eastAsia="Times New Roman" w:hAnsi="Times New Roman"/>
          <w:sz w:val="17"/>
          <w:szCs w:val="17"/>
        </w:rPr>
        <w:t>it ceases to be the NTO under the Training Contract</w:t>
      </w:r>
    </w:p>
    <w:p w:rsidR="00E70407" w:rsidRPr="00E70407" w:rsidRDefault="00E70407" w:rsidP="00E70407">
      <w:pPr>
        <w:numPr>
          <w:ilvl w:val="0"/>
          <w:numId w:val="268"/>
        </w:numPr>
        <w:rPr>
          <w:rFonts w:ascii="Times New Roman" w:eastAsia="Times New Roman" w:hAnsi="Times New Roman"/>
          <w:sz w:val="17"/>
          <w:szCs w:val="17"/>
        </w:rPr>
      </w:pPr>
      <w:r w:rsidRPr="00E70407">
        <w:rPr>
          <w:rFonts w:ascii="Times New Roman" w:eastAsia="Times New Roman" w:hAnsi="Times New Roman"/>
          <w:sz w:val="17"/>
          <w:szCs w:val="17"/>
        </w:rPr>
        <w:t>ASQA or TEQSA has made a decision in relation to the NTO that impacts its ability to fulfil its obligations under the Training Plan.</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6.4.3 </w:t>
      </w:r>
      <w:r w:rsidRPr="00E70407">
        <w:rPr>
          <w:rFonts w:ascii="Times New Roman" w:eastAsia="Times New Roman" w:hAnsi="Times New Roman"/>
          <w:sz w:val="17"/>
          <w:szCs w:val="17"/>
          <w:lang w:val="en-GB"/>
        </w:rPr>
        <w:tab/>
        <w:t>When notifying the Commission of any of the above matters, the NTO must include details of the:</w:t>
      </w:r>
    </w:p>
    <w:p w:rsidR="00E70407" w:rsidRPr="00E70407" w:rsidRDefault="00E70407" w:rsidP="00E70407">
      <w:pPr>
        <w:numPr>
          <w:ilvl w:val="0"/>
          <w:numId w:val="269"/>
        </w:numPr>
        <w:rPr>
          <w:rFonts w:ascii="Times New Roman" w:eastAsia="Times New Roman" w:hAnsi="Times New Roman"/>
          <w:sz w:val="17"/>
          <w:szCs w:val="17"/>
        </w:rPr>
      </w:pPr>
      <w:r w:rsidRPr="00E70407">
        <w:rPr>
          <w:rFonts w:ascii="Times New Roman" w:eastAsia="Times New Roman" w:hAnsi="Times New Roman"/>
          <w:sz w:val="17"/>
          <w:szCs w:val="17"/>
        </w:rPr>
        <w:t>name of the employer</w:t>
      </w:r>
    </w:p>
    <w:p w:rsidR="00E70407" w:rsidRPr="00E70407" w:rsidRDefault="00E70407" w:rsidP="00E70407">
      <w:pPr>
        <w:numPr>
          <w:ilvl w:val="0"/>
          <w:numId w:val="269"/>
        </w:numPr>
        <w:rPr>
          <w:rFonts w:ascii="Times New Roman" w:eastAsia="Times New Roman" w:hAnsi="Times New Roman"/>
          <w:sz w:val="17"/>
          <w:szCs w:val="17"/>
        </w:rPr>
      </w:pPr>
      <w:r w:rsidRPr="00E70407">
        <w:rPr>
          <w:rFonts w:ascii="Times New Roman" w:eastAsia="Times New Roman" w:hAnsi="Times New Roman"/>
          <w:sz w:val="17"/>
          <w:szCs w:val="17"/>
        </w:rPr>
        <w:t>name of the apprentice or trainee</w:t>
      </w:r>
    </w:p>
    <w:p w:rsidR="00E70407" w:rsidRPr="00E70407" w:rsidRDefault="00E70407" w:rsidP="00E70407">
      <w:pPr>
        <w:numPr>
          <w:ilvl w:val="0"/>
          <w:numId w:val="269"/>
        </w:numPr>
        <w:rPr>
          <w:rFonts w:ascii="Times New Roman" w:eastAsia="Times New Roman" w:hAnsi="Times New Roman"/>
          <w:sz w:val="17"/>
          <w:szCs w:val="17"/>
        </w:rPr>
      </w:pPr>
      <w:r w:rsidRPr="00E70407">
        <w:rPr>
          <w:rFonts w:ascii="Times New Roman" w:eastAsia="Times New Roman" w:hAnsi="Times New Roman"/>
          <w:sz w:val="17"/>
          <w:szCs w:val="17"/>
        </w:rPr>
        <w:t>name of the NTO</w:t>
      </w:r>
    </w:p>
    <w:p w:rsidR="00E70407" w:rsidRPr="00E70407" w:rsidRDefault="00E70407" w:rsidP="00E70407">
      <w:pPr>
        <w:numPr>
          <w:ilvl w:val="0"/>
          <w:numId w:val="269"/>
        </w:numPr>
        <w:rPr>
          <w:rFonts w:ascii="Times New Roman" w:eastAsia="Times New Roman" w:hAnsi="Times New Roman"/>
          <w:sz w:val="17"/>
          <w:szCs w:val="17"/>
        </w:rPr>
      </w:pPr>
      <w:r w:rsidRPr="00E70407">
        <w:rPr>
          <w:rFonts w:ascii="Times New Roman" w:eastAsia="Times New Roman" w:hAnsi="Times New Roman"/>
          <w:sz w:val="17"/>
          <w:szCs w:val="17"/>
        </w:rPr>
        <w:t>relevant contact person’s name, phone number and email address in the NTO</w:t>
      </w:r>
    </w:p>
    <w:p w:rsidR="00E70407" w:rsidRPr="00E70407" w:rsidRDefault="00E70407" w:rsidP="00E70407">
      <w:pPr>
        <w:numPr>
          <w:ilvl w:val="0"/>
          <w:numId w:val="269"/>
        </w:numPr>
        <w:rPr>
          <w:rFonts w:ascii="Times New Roman" w:eastAsia="Times New Roman" w:hAnsi="Times New Roman"/>
          <w:sz w:val="17"/>
          <w:szCs w:val="17"/>
        </w:rPr>
      </w:pPr>
      <w:r w:rsidRPr="00E70407">
        <w:rPr>
          <w:rFonts w:ascii="Times New Roman" w:eastAsia="Times New Roman" w:hAnsi="Times New Roman"/>
          <w:sz w:val="17"/>
          <w:szCs w:val="17"/>
        </w:rPr>
        <w:t>progress achieved against the Training Plan at the date of the notice</w:t>
      </w:r>
    </w:p>
    <w:p w:rsidR="00E70407" w:rsidRPr="00E70407" w:rsidRDefault="00E70407" w:rsidP="00E70407">
      <w:pPr>
        <w:numPr>
          <w:ilvl w:val="0"/>
          <w:numId w:val="269"/>
        </w:numPr>
        <w:rPr>
          <w:rFonts w:ascii="Times New Roman" w:eastAsia="Times New Roman" w:hAnsi="Times New Roman"/>
          <w:sz w:val="17"/>
          <w:szCs w:val="17"/>
        </w:rPr>
      </w:pPr>
      <w:r w:rsidRPr="00E70407">
        <w:rPr>
          <w:rFonts w:ascii="Times New Roman" w:eastAsia="Times New Roman" w:hAnsi="Times New Roman"/>
          <w:sz w:val="17"/>
          <w:szCs w:val="17"/>
        </w:rPr>
        <w:t>details of efforts made to engage the employer and apprentice or trainee, where the training goals are not being achieved.</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6.4.4 </w:t>
      </w:r>
      <w:r w:rsidRPr="00E70407">
        <w:rPr>
          <w:rFonts w:ascii="Times New Roman" w:eastAsia="Times New Roman" w:hAnsi="Times New Roman"/>
          <w:sz w:val="17"/>
          <w:szCs w:val="17"/>
          <w:lang w:val="en-GB"/>
        </w:rPr>
        <w:tab/>
        <w:t>The NTO for a Training Contract must keep such records in accordance with ASQA requirements for RTOs, TEQSA requirements for higher education providers and the Standard 14, Record Keeping. Records must be retained for at least 7 years after the completion, expiry or termination of the Training Contract to which the record relates.</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6.4.5 </w:t>
      </w:r>
      <w:r w:rsidRPr="00E70407">
        <w:rPr>
          <w:rFonts w:ascii="Times New Roman" w:eastAsia="Times New Roman" w:hAnsi="Times New Roman"/>
          <w:sz w:val="17"/>
          <w:szCs w:val="17"/>
          <w:lang w:val="en-GB"/>
        </w:rPr>
        <w:tab/>
        <w:t xml:space="preserve">The NTO must not refuse or fail to comply with the obligations outlined in Division 3D of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iCs/>
          <w:sz w:val="17"/>
          <w:szCs w:val="17"/>
          <w:lang w:val="en-GB"/>
        </w:rPr>
        <w:t>Act</w:t>
      </w:r>
      <w:r w:rsidRPr="00E70407">
        <w:rPr>
          <w:rFonts w:ascii="Times New Roman" w:eastAsia="Times New Roman" w:hAnsi="Times New Roman"/>
          <w:sz w:val="17"/>
          <w:szCs w:val="17"/>
          <w:lang w:val="en-GB"/>
        </w:rPr>
        <w:t>.</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6.4.6 </w:t>
      </w:r>
      <w:r w:rsidRPr="00E70407">
        <w:rPr>
          <w:rFonts w:ascii="Times New Roman" w:eastAsia="Times New Roman" w:hAnsi="Times New Roman"/>
          <w:sz w:val="17"/>
          <w:szCs w:val="17"/>
          <w:lang w:val="en-GB"/>
        </w:rPr>
        <w:tab/>
        <w:t xml:space="preserve">The Commission may notify the Department for Innovation and Skills (DIS), ASQA or TEQSA of any failure to comply with the obligations for NTOs set out in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iCs/>
          <w:sz w:val="17"/>
          <w:szCs w:val="17"/>
          <w:lang w:val="en-GB"/>
        </w:rPr>
        <w:t>Act.</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6.4.7 </w:t>
      </w:r>
      <w:r w:rsidRPr="00E70407">
        <w:rPr>
          <w:rFonts w:ascii="Times New Roman" w:eastAsia="Times New Roman" w:hAnsi="Times New Roman"/>
          <w:sz w:val="17"/>
          <w:szCs w:val="17"/>
          <w:lang w:val="en-GB"/>
        </w:rPr>
        <w:tab/>
        <w:t>The maximum penalty for a breach of the requirement is $5,000 and the expiation fee is $315.</w:t>
      </w:r>
    </w:p>
    <w:p w:rsidR="00E70407" w:rsidRPr="00E70407" w:rsidRDefault="00E70407" w:rsidP="00E70407">
      <w:pPr>
        <w:numPr>
          <w:ilvl w:val="1"/>
          <w:numId w:val="365"/>
        </w:numPr>
        <w:ind w:left="364"/>
        <w:rPr>
          <w:rFonts w:ascii="Times New Roman" w:eastAsia="Times New Roman" w:hAnsi="Times New Roman"/>
          <w:b/>
          <w:bCs/>
          <w:sz w:val="17"/>
          <w:szCs w:val="17"/>
        </w:rPr>
      </w:pPr>
      <w:r w:rsidRPr="00E70407">
        <w:rPr>
          <w:rFonts w:ascii="Times New Roman" w:eastAsia="Times New Roman" w:hAnsi="Times New Roman"/>
          <w:b/>
          <w:bCs/>
          <w:sz w:val="17"/>
          <w:szCs w:val="17"/>
        </w:rPr>
        <w:t>Obligations for employers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S54J)</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employer must not prevent or obstruct apprentices or trainees from participating in training required to be delivered by the NTO under a Training Plan or prejudice the employment of the apprentice or trainee as a result of participating in, or attempting to participate in, such training.</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employer must not take any other steps to discourage the apprentice or trainee from participating in training as outlined in the Training Plan and must comply with any other obligations specified in the Training Contract or Training Plan that are applicable to the employer.</w:t>
      </w:r>
    </w:p>
    <w:p w:rsidR="00E70407" w:rsidRPr="00E70407" w:rsidRDefault="00E70407" w:rsidP="00E70407">
      <w:pPr>
        <w:numPr>
          <w:ilvl w:val="2"/>
          <w:numId w:val="365"/>
        </w:numPr>
        <w:ind w:left="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These conditions are taken to be a condition of the employer’s registration. If the employer fails to comply with these obligations the Commission may do one or more of the following:</w:t>
      </w:r>
    </w:p>
    <w:p w:rsidR="00E70407" w:rsidRPr="00E70407" w:rsidRDefault="00E70407" w:rsidP="00E70407">
      <w:pPr>
        <w:numPr>
          <w:ilvl w:val="0"/>
          <w:numId w:val="260"/>
        </w:numPr>
        <w:rPr>
          <w:rFonts w:ascii="Times New Roman" w:eastAsia="Times New Roman" w:hAnsi="Times New Roman"/>
          <w:iCs/>
          <w:sz w:val="17"/>
          <w:szCs w:val="17"/>
        </w:rPr>
      </w:pPr>
      <w:r w:rsidRPr="00E70407">
        <w:rPr>
          <w:rFonts w:ascii="Times New Roman" w:eastAsia="Times New Roman" w:hAnsi="Times New Roman"/>
          <w:iCs/>
          <w:sz w:val="17"/>
          <w:szCs w:val="17"/>
        </w:rPr>
        <w:t>give the employer a written warning</w:t>
      </w:r>
    </w:p>
    <w:p w:rsidR="00E70407" w:rsidRPr="00E70407" w:rsidRDefault="00E70407" w:rsidP="00E70407">
      <w:pPr>
        <w:numPr>
          <w:ilvl w:val="0"/>
          <w:numId w:val="260"/>
        </w:numPr>
        <w:rPr>
          <w:rFonts w:ascii="Times New Roman" w:eastAsia="Times New Roman" w:hAnsi="Times New Roman"/>
          <w:sz w:val="17"/>
          <w:szCs w:val="17"/>
        </w:rPr>
      </w:pPr>
      <w:r w:rsidRPr="00E70407">
        <w:rPr>
          <w:rFonts w:ascii="Times New Roman" w:eastAsia="Times New Roman" w:hAnsi="Times New Roman"/>
          <w:sz w:val="17"/>
          <w:szCs w:val="17"/>
        </w:rPr>
        <w:t>vary, suspend or cancel the employers registration under Section 54G(3) of the</w:t>
      </w:r>
      <w:r w:rsidRPr="00E70407">
        <w:rPr>
          <w:rFonts w:ascii="Times New Roman" w:eastAsia="Times New Roman" w:hAnsi="Times New Roman"/>
          <w:i/>
          <w:iCs/>
          <w:sz w:val="17"/>
          <w:szCs w:val="17"/>
        </w:rPr>
        <w:t xml:space="preserve"> SAS Act</w:t>
      </w:r>
    </w:p>
    <w:p w:rsidR="00E70407" w:rsidRPr="00E70407" w:rsidRDefault="00E70407" w:rsidP="00E70407">
      <w:pPr>
        <w:numPr>
          <w:ilvl w:val="0"/>
          <w:numId w:val="260"/>
        </w:numPr>
        <w:rPr>
          <w:rFonts w:ascii="Times New Roman" w:eastAsia="Times New Roman" w:hAnsi="Times New Roman"/>
          <w:i/>
          <w:iCs/>
          <w:sz w:val="17"/>
          <w:szCs w:val="17"/>
        </w:rPr>
      </w:pPr>
      <w:r w:rsidRPr="00E70407">
        <w:rPr>
          <w:rFonts w:ascii="Times New Roman" w:eastAsia="Times New Roman" w:hAnsi="Times New Roman"/>
          <w:sz w:val="17"/>
          <w:szCs w:val="17"/>
        </w:rPr>
        <w:t xml:space="preserve">issue a compliance notice under Section 63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p>
    <w:p w:rsidR="00E70407" w:rsidRPr="00E70407" w:rsidRDefault="00E70407" w:rsidP="00E70407">
      <w:pPr>
        <w:numPr>
          <w:ilvl w:val="0"/>
          <w:numId w:val="260"/>
        </w:numPr>
        <w:rPr>
          <w:rFonts w:ascii="Times New Roman" w:eastAsia="Times New Roman" w:hAnsi="Times New Roman"/>
          <w:iCs/>
          <w:sz w:val="17"/>
          <w:szCs w:val="17"/>
        </w:rPr>
      </w:pPr>
      <w:r w:rsidRPr="00E70407">
        <w:rPr>
          <w:rFonts w:ascii="Times New Roman" w:eastAsia="Times New Roman" w:hAnsi="Times New Roman"/>
          <w:iCs/>
          <w:sz w:val="17"/>
          <w:szCs w:val="17"/>
        </w:rPr>
        <w:t>declare the employer to be a prohibited employer.</w:t>
      </w:r>
    </w:p>
    <w:p w:rsidR="00E70407" w:rsidRPr="00E70407" w:rsidRDefault="00E70407" w:rsidP="00E70407">
      <w:pPr>
        <w:numPr>
          <w:ilvl w:val="1"/>
          <w:numId w:val="365"/>
        </w:numPr>
        <w:ind w:left="364"/>
        <w:rPr>
          <w:rFonts w:ascii="Times New Roman" w:eastAsia="Times New Roman" w:hAnsi="Times New Roman"/>
          <w:b/>
          <w:bCs/>
          <w:sz w:val="17"/>
          <w:szCs w:val="17"/>
        </w:rPr>
      </w:pPr>
      <w:r w:rsidRPr="00E70407">
        <w:rPr>
          <w:rFonts w:ascii="Times New Roman" w:eastAsia="Times New Roman" w:hAnsi="Times New Roman"/>
          <w:b/>
          <w:bCs/>
          <w:sz w:val="17"/>
          <w:szCs w:val="17"/>
        </w:rPr>
        <w:t>Obligations for apprentices and trainees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S54M)</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6.6.1</w:t>
      </w:r>
      <w:r w:rsidRPr="00E70407">
        <w:rPr>
          <w:rFonts w:ascii="Times New Roman" w:eastAsia="Times New Roman" w:hAnsi="Times New Roman"/>
          <w:sz w:val="17"/>
          <w:szCs w:val="17"/>
          <w:lang w:val="en-GB"/>
        </w:rPr>
        <w:tab/>
        <w:t>The apprentice or trainee must comply with obligations specified in the Training Contract or Training Plan that are applicable to them.</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6.6.2</w:t>
      </w:r>
      <w:r w:rsidRPr="00E70407">
        <w:rPr>
          <w:rFonts w:ascii="Times New Roman" w:eastAsia="Times New Roman" w:hAnsi="Times New Roman"/>
          <w:sz w:val="17"/>
          <w:szCs w:val="17"/>
          <w:lang w:val="en-GB"/>
        </w:rPr>
        <w:tab/>
        <w:t>The apprentice or trainee must, participate in the development of their Training Plan as far as is reasonably practicable, attend training specified in the Training Plan, and contribute to the attainment of their development goals under the Training Contract or Training Plan.</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6.6.3</w:t>
      </w:r>
      <w:r w:rsidRPr="00E70407">
        <w:rPr>
          <w:rFonts w:ascii="Times New Roman" w:eastAsia="Times New Roman" w:hAnsi="Times New Roman"/>
          <w:sz w:val="17"/>
          <w:szCs w:val="17"/>
          <w:lang w:val="en-GB"/>
        </w:rPr>
        <w:tab/>
        <w:t>If the apprentice or trainee fails to comply with these obligations the Commission may do one or more of the following:</w:t>
      </w:r>
    </w:p>
    <w:p w:rsidR="00E70407" w:rsidRPr="00E70407" w:rsidRDefault="00E70407" w:rsidP="00E70407">
      <w:pPr>
        <w:numPr>
          <w:ilvl w:val="0"/>
          <w:numId w:val="262"/>
        </w:numPr>
        <w:rPr>
          <w:rFonts w:ascii="Times New Roman" w:eastAsia="Times New Roman" w:hAnsi="Times New Roman"/>
          <w:sz w:val="17"/>
          <w:szCs w:val="17"/>
        </w:rPr>
      </w:pPr>
      <w:r w:rsidRPr="00E70407">
        <w:rPr>
          <w:rFonts w:ascii="Times New Roman" w:eastAsia="Times New Roman" w:hAnsi="Times New Roman"/>
          <w:sz w:val="17"/>
          <w:szCs w:val="17"/>
        </w:rPr>
        <w:t>give the apprentice or trainee a written warning</w:t>
      </w:r>
    </w:p>
    <w:p w:rsidR="00E70407" w:rsidRPr="00E70407" w:rsidRDefault="00E70407" w:rsidP="00E70407">
      <w:pPr>
        <w:numPr>
          <w:ilvl w:val="0"/>
          <w:numId w:val="262"/>
        </w:numPr>
        <w:rPr>
          <w:rFonts w:ascii="Times New Roman" w:eastAsia="Times New Roman" w:hAnsi="Times New Roman"/>
          <w:sz w:val="17"/>
          <w:szCs w:val="17"/>
        </w:rPr>
      </w:pPr>
      <w:r w:rsidRPr="00E70407">
        <w:rPr>
          <w:rFonts w:ascii="Times New Roman" w:eastAsia="Times New Roman" w:hAnsi="Times New Roman"/>
          <w:sz w:val="17"/>
          <w:szCs w:val="17"/>
        </w:rPr>
        <w:t xml:space="preserve">require the parties to the Training Contract to attend a conciliation conference under Section 52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p>
    <w:p w:rsidR="00E70407" w:rsidRPr="00E70407" w:rsidRDefault="00E70407" w:rsidP="00E70407">
      <w:pPr>
        <w:numPr>
          <w:ilvl w:val="0"/>
          <w:numId w:val="262"/>
        </w:numPr>
        <w:rPr>
          <w:rFonts w:ascii="Times New Roman" w:eastAsia="Times New Roman" w:hAnsi="Times New Roman"/>
          <w:i/>
          <w:iCs/>
          <w:sz w:val="17"/>
          <w:szCs w:val="17"/>
        </w:rPr>
      </w:pPr>
      <w:r w:rsidRPr="00E70407">
        <w:rPr>
          <w:rFonts w:ascii="Times New Roman" w:eastAsia="Times New Roman" w:hAnsi="Times New Roman"/>
          <w:sz w:val="17"/>
          <w:szCs w:val="17"/>
        </w:rPr>
        <w:t xml:space="preserve">suspend or terminate the Training Contract under Section 51 and 52B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p>
    <w:p w:rsidR="00E70407" w:rsidRPr="00E70407" w:rsidRDefault="00E70407" w:rsidP="00E70407">
      <w:pPr>
        <w:pBdr>
          <w:top w:val="single" w:sz="4" w:space="1" w:color="auto"/>
        </w:pBdr>
        <w:spacing w:before="100" w:line="14" w:lineRule="exact"/>
        <w:ind w:left="1080" w:right="1080"/>
        <w:jc w:val="center"/>
        <w:rPr>
          <w:rFonts w:ascii="Times New Roman" w:eastAsia="Times New Roman" w:hAnsi="Times New Roman"/>
          <w:i/>
          <w:iCs/>
          <w:sz w:val="17"/>
          <w:szCs w:val="17"/>
        </w:rPr>
      </w:pPr>
    </w:p>
    <w:p w:rsidR="00E70407" w:rsidRPr="00E70407" w:rsidRDefault="00E70407" w:rsidP="00E70407">
      <w:pPr>
        <w:jc w:val="center"/>
        <w:rPr>
          <w:rFonts w:ascii="Times New Roman" w:hAnsi="Times New Roman"/>
          <w:smallCaps/>
          <w:sz w:val="17"/>
          <w:szCs w:val="17"/>
        </w:rPr>
      </w:pPr>
      <w:bookmarkStart w:id="112" w:name="_Toc71813717"/>
      <w:bookmarkStart w:id="113" w:name="_Toc75255249"/>
      <w:r w:rsidRPr="00E70407">
        <w:rPr>
          <w:rFonts w:ascii="Times New Roman" w:hAnsi="Times New Roman"/>
          <w:smallCaps/>
          <w:sz w:val="17"/>
          <w:szCs w:val="17"/>
        </w:rPr>
        <w:t>Standard 7</w:t>
      </w:r>
      <w:r w:rsidRPr="00E70407">
        <w:rPr>
          <w:rFonts w:ascii="Times New Roman" w:hAnsi="Times New Roman"/>
          <w:smallCaps/>
          <w:sz w:val="17"/>
          <w:szCs w:val="17"/>
        </w:rPr>
        <w:tab/>
      </w:r>
      <w:r w:rsidRPr="00E70407">
        <w:rPr>
          <w:rFonts w:ascii="Times New Roman" w:hAnsi="Times New Roman"/>
          <w:smallCaps/>
          <w:sz w:val="17"/>
          <w:szCs w:val="17"/>
        </w:rPr>
        <w:tab/>
        <w:t>Training Contract Approval</w:t>
      </w:r>
      <w:bookmarkEnd w:id="112"/>
      <w:bookmarkEnd w:id="113"/>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This Standard relates to the approval of Training Contracts to train apprentices and trainees in accordance with the </w:t>
      </w:r>
      <w:r w:rsidRPr="00E70407">
        <w:rPr>
          <w:rFonts w:ascii="Times New Roman" w:eastAsia="Times New Roman" w:hAnsi="Times New Roman"/>
          <w:i/>
          <w:iCs/>
          <w:sz w:val="17"/>
          <w:szCs w:val="17"/>
        </w:rPr>
        <w:t>South Australian Skills Act 2008</w:t>
      </w:r>
      <w:r w:rsidRPr="00E70407">
        <w:rPr>
          <w:rFonts w:ascii="Times New Roman" w:eastAsia="Times New Roman" w:hAnsi="Times New Roman"/>
          <w:sz w:val="17"/>
          <w:szCs w:val="17"/>
        </w:rPr>
        <w:t xml:space="preserve">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xml:space="preserve">). </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Training contracts are between an employer and an apprentice or trainee, through which the employer agrees to employ and train the apprentice or trainee in the qualification aligned to the trade or declared vocation. All Training Contracts are to be approved by the South Australian Skills Commission (the Commission). </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lastRenderedPageBreak/>
        <w:t>Governance arrangements</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Under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iCs/>
          <w:sz w:val="17"/>
          <w:szCs w:val="17"/>
          <w:lang w:val="en-GB"/>
        </w:rPr>
        <w:t>Act</w:t>
      </w:r>
      <w:r w:rsidRPr="00E70407">
        <w:rPr>
          <w:rFonts w:ascii="Times New Roman" w:eastAsia="Times New Roman" w:hAnsi="Times New Roman"/>
          <w:sz w:val="17"/>
          <w:szCs w:val="17"/>
          <w:lang w:val="en-GB"/>
        </w:rPr>
        <w:t>, the Commission (or its delegate) is responsible for the regulation of the apprenticeship and traineeship system. The Commission’s powers include the authority to assess, approve or decline Training Contracts.</w:t>
      </w:r>
    </w:p>
    <w:p w:rsidR="00E70407" w:rsidRPr="00E70407" w:rsidRDefault="00E70407" w:rsidP="00E70407">
      <w:pPr>
        <w:rPr>
          <w:rFonts w:ascii="Times New Roman" w:eastAsia="Times New Roman" w:hAnsi="Times New Roman"/>
          <w:sz w:val="17"/>
          <w:szCs w:val="17"/>
        </w:rPr>
      </w:pPr>
      <w:bookmarkStart w:id="114" w:name="_Hlk71549242"/>
      <w:r w:rsidRPr="00E70407">
        <w:rPr>
          <w:rFonts w:ascii="Times New Roman" w:eastAsia="Times New Roman" w:hAnsi="Times New Roman"/>
          <w:sz w:val="17"/>
          <w:szCs w:val="17"/>
        </w:rPr>
        <w:t xml:space="preserve">Australian Apprenticeship Support Network (AASN) and </w:t>
      </w:r>
      <w:bookmarkEnd w:id="114"/>
      <w:r w:rsidRPr="00E70407">
        <w:rPr>
          <w:rFonts w:ascii="Times New Roman" w:eastAsia="Times New Roman" w:hAnsi="Times New Roman"/>
          <w:sz w:val="17"/>
          <w:szCs w:val="17"/>
        </w:rPr>
        <w:t xml:space="preserve">Australian Network Providers (ANP) are contracted by the Australian Government </w:t>
      </w:r>
      <w:bookmarkStart w:id="115" w:name="_Hlk71549277"/>
      <w:r w:rsidRPr="00E70407">
        <w:rPr>
          <w:rFonts w:ascii="Times New Roman" w:eastAsia="Times New Roman" w:hAnsi="Times New Roman"/>
          <w:sz w:val="17"/>
          <w:szCs w:val="17"/>
        </w:rPr>
        <w:t xml:space="preserve">to deliver support services to the parties to the Training Contract, this may include lodgement of Training Contract applications with the Commission. </w:t>
      </w:r>
      <w:bookmarkEnd w:id="115"/>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Compliance with the Standard</w:t>
      </w:r>
    </w:p>
    <w:p w:rsidR="00E70407" w:rsidRPr="00E70407" w:rsidRDefault="00E70407" w:rsidP="00E70407">
      <w:pPr>
        <w:numPr>
          <w:ilvl w:val="1"/>
          <w:numId w:val="366"/>
        </w:numPr>
        <w:ind w:left="350"/>
        <w:rPr>
          <w:rFonts w:ascii="Times New Roman" w:eastAsia="Times New Roman" w:hAnsi="Times New Roman"/>
          <w:b/>
          <w:sz w:val="17"/>
          <w:szCs w:val="17"/>
        </w:rPr>
      </w:pPr>
      <w:r w:rsidRPr="00E70407">
        <w:rPr>
          <w:rFonts w:ascii="Times New Roman" w:eastAsia="Times New Roman" w:hAnsi="Times New Roman"/>
          <w:b/>
          <w:sz w:val="17"/>
          <w:szCs w:val="17"/>
        </w:rPr>
        <w:t>Training under Training Contracts (</w:t>
      </w:r>
      <w:r w:rsidRPr="00E70407">
        <w:rPr>
          <w:rFonts w:ascii="Times New Roman" w:eastAsia="Times New Roman" w:hAnsi="Times New Roman"/>
          <w:b/>
          <w:i/>
          <w:sz w:val="17"/>
          <w:szCs w:val="17"/>
        </w:rPr>
        <w:t>SAS Act</w:t>
      </w:r>
      <w:r w:rsidRPr="00E70407">
        <w:rPr>
          <w:rFonts w:ascii="Times New Roman" w:eastAsia="Times New Roman" w:hAnsi="Times New Roman"/>
          <w:b/>
          <w:sz w:val="17"/>
          <w:szCs w:val="17"/>
        </w:rPr>
        <w:t>, S45A, S45B S46)</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7.1.1</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Under</w:t>
      </w:r>
      <w:r w:rsidRPr="00E70407">
        <w:rPr>
          <w:rFonts w:ascii="Times New Roman" w:eastAsia="Times New Roman" w:hAnsi="Times New Roman"/>
          <w:sz w:val="17"/>
          <w:szCs w:val="17"/>
        </w:rPr>
        <w:t xml:space="preserve">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an employer must not undertake to train a person in a trade except under a Training Contract.</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7.1.2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However</w:t>
      </w:r>
      <w:r w:rsidRPr="00E70407">
        <w:rPr>
          <w:rFonts w:ascii="Times New Roman" w:eastAsia="Times New Roman" w:hAnsi="Times New Roman"/>
          <w:sz w:val="17"/>
          <w:szCs w:val="17"/>
        </w:rPr>
        <w:t>, the above clause 7.1.1 does not apply in relation to the further training or re-training of a person who has:</w:t>
      </w:r>
    </w:p>
    <w:p w:rsidR="00E70407" w:rsidRPr="00E70407" w:rsidRDefault="00E70407" w:rsidP="00E70407">
      <w:pPr>
        <w:numPr>
          <w:ilvl w:val="0"/>
          <w:numId w:val="270"/>
        </w:numPr>
        <w:rPr>
          <w:rFonts w:ascii="Times New Roman" w:eastAsia="Times New Roman" w:hAnsi="Times New Roman"/>
          <w:sz w:val="17"/>
          <w:szCs w:val="17"/>
        </w:rPr>
      </w:pPr>
      <w:r w:rsidRPr="00E70407">
        <w:rPr>
          <w:rFonts w:ascii="Times New Roman" w:eastAsia="Times New Roman" w:hAnsi="Times New Roman"/>
          <w:sz w:val="17"/>
          <w:szCs w:val="17"/>
        </w:rPr>
        <w:t>already completed the training required under a Training Contract</w:t>
      </w:r>
    </w:p>
    <w:p w:rsidR="00E70407" w:rsidRPr="00E70407" w:rsidRDefault="00E70407" w:rsidP="00E70407">
      <w:pPr>
        <w:numPr>
          <w:ilvl w:val="0"/>
          <w:numId w:val="270"/>
        </w:numPr>
        <w:rPr>
          <w:rFonts w:ascii="Times New Roman" w:eastAsia="Times New Roman" w:hAnsi="Times New Roman"/>
          <w:sz w:val="17"/>
          <w:szCs w:val="17"/>
        </w:rPr>
      </w:pPr>
      <w:r w:rsidRPr="00E70407">
        <w:rPr>
          <w:rFonts w:ascii="Times New Roman" w:eastAsia="Times New Roman" w:hAnsi="Times New Roman"/>
          <w:sz w:val="17"/>
          <w:szCs w:val="17"/>
        </w:rPr>
        <w:t>an equivalent qualification</w:t>
      </w:r>
    </w:p>
    <w:p w:rsidR="00E70407" w:rsidRPr="00E70407" w:rsidRDefault="00E70407" w:rsidP="00E70407">
      <w:pPr>
        <w:numPr>
          <w:ilvl w:val="0"/>
          <w:numId w:val="270"/>
        </w:numPr>
        <w:rPr>
          <w:rFonts w:ascii="Times New Roman" w:eastAsia="Times New Roman" w:hAnsi="Times New Roman"/>
          <w:sz w:val="17"/>
          <w:szCs w:val="17"/>
        </w:rPr>
      </w:pPr>
      <w:r w:rsidRPr="00E70407">
        <w:rPr>
          <w:rFonts w:ascii="Times New Roman" w:eastAsia="Times New Roman" w:hAnsi="Times New Roman"/>
          <w:sz w:val="17"/>
          <w:szCs w:val="17"/>
        </w:rPr>
        <w:t>been certified by the Commission as competent in relation to the relevant trade.</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7.1.3 </w:t>
      </w:r>
      <w:r w:rsidRPr="00E70407">
        <w:rPr>
          <w:rFonts w:ascii="Times New Roman" w:eastAsia="Times New Roman" w:hAnsi="Times New Roman"/>
          <w:sz w:val="17"/>
          <w:szCs w:val="17"/>
        </w:rPr>
        <w:tab/>
        <w:t>An employer who wishes to train an employee in a declared vocation can choose whether to enter in a Training Contract or not.</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7.1.4</w:t>
      </w:r>
      <w:r w:rsidRPr="00E70407">
        <w:rPr>
          <w:rFonts w:ascii="Times New Roman" w:eastAsia="Times New Roman" w:hAnsi="Times New Roman"/>
          <w:sz w:val="17"/>
          <w:szCs w:val="17"/>
        </w:rPr>
        <w:tab/>
        <w:t>An employer must not enter into a Training Contract to train a person unless the employer is:</w:t>
      </w:r>
    </w:p>
    <w:p w:rsidR="00E70407" w:rsidRPr="00E70407" w:rsidRDefault="00E70407" w:rsidP="00E70407">
      <w:pPr>
        <w:numPr>
          <w:ilvl w:val="0"/>
          <w:numId w:val="271"/>
        </w:numPr>
        <w:rPr>
          <w:rFonts w:ascii="Times New Roman" w:eastAsia="Times New Roman" w:hAnsi="Times New Roman"/>
          <w:sz w:val="17"/>
          <w:szCs w:val="17"/>
        </w:rPr>
      </w:pPr>
      <w:r w:rsidRPr="00E70407">
        <w:rPr>
          <w:rFonts w:ascii="Times New Roman" w:eastAsia="Times New Roman" w:hAnsi="Times New Roman"/>
          <w:sz w:val="17"/>
          <w:szCs w:val="17"/>
        </w:rPr>
        <w:t>a registered employer</w:t>
      </w:r>
    </w:p>
    <w:p w:rsidR="00E70407" w:rsidRPr="00E70407" w:rsidRDefault="00E70407" w:rsidP="00E70407">
      <w:pPr>
        <w:numPr>
          <w:ilvl w:val="0"/>
          <w:numId w:val="271"/>
        </w:numPr>
        <w:rPr>
          <w:rFonts w:ascii="Times New Roman" w:eastAsia="Times New Roman" w:hAnsi="Times New Roman"/>
          <w:sz w:val="17"/>
          <w:szCs w:val="17"/>
        </w:rPr>
      </w:pPr>
      <w:r w:rsidRPr="00E70407">
        <w:rPr>
          <w:rFonts w:ascii="Times New Roman" w:eastAsia="Times New Roman" w:hAnsi="Times New Roman"/>
          <w:sz w:val="17"/>
          <w:szCs w:val="17"/>
        </w:rPr>
        <w:t>operating within the scope of the employer’s registration</w:t>
      </w:r>
    </w:p>
    <w:p w:rsidR="00E70407" w:rsidRPr="00E70407" w:rsidRDefault="00E70407" w:rsidP="00E70407">
      <w:pPr>
        <w:numPr>
          <w:ilvl w:val="0"/>
          <w:numId w:val="271"/>
        </w:numPr>
        <w:rPr>
          <w:rFonts w:ascii="Times New Roman" w:eastAsia="Times New Roman" w:hAnsi="Times New Roman"/>
          <w:b/>
          <w:bCs/>
          <w:sz w:val="17"/>
          <w:szCs w:val="17"/>
        </w:rPr>
      </w:pPr>
      <w:r w:rsidRPr="00E70407">
        <w:rPr>
          <w:rFonts w:ascii="Times New Roman" w:eastAsia="Times New Roman" w:hAnsi="Times New Roman"/>
          <w:sz w:val="17"/>
          <w:szCs w:val="17"/>
        </w:rPr>
        <w:t>complying with any other condition of the registration.</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7.1.5</w:t>
      </w:r>
      <w:r w:rsidRPr="00E70407">
        <w:rPr>
          <w:rFonts w:ascii="Times New Roman" w:eastAsia="Times New Roman" w:hAnsi="Times New Roman"/>
          <w:sz w:val="17"/>
          <w:szCs w:val="17"/>
        </w:rPr>
        <w:tab/>
        <w:t xml:space="preserve">The maximum penalty for a breach of this requirement is $5,000, and the expiation fee is $315. </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7.1.6 </w:t>
      </w:r>
      <w:r w:rsidRPr="00E70407">
        <w:rPr>
          <w:rFonts w:ascii="Times New Roman" w:eastAsia="Times New Roman" w:hAnsi="Times New Roman"/>
          <w:sz w:val="17"/>
          <w:szCs w:val="17"/>
        </w:rPr>
        <w:tab/>
        <w:t>Two or more employers may, with the approval of the Commission, enter into a Training Contract with the same apprentice or trainee.</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7.1.7</w:t>
      </w:r>
      <w:r w:rsidRPr="00E70407">
        <w:rPr>
          <w:rFonts w:ascii="Times New Roman" w:eastAsia="Times New Roman" w:hAnsi="Times New Roman"/>
          <w:sz w:val="17"/>
          <w:szCs w:val="17"/>
        </w:rPr>
        <w:tab/>
        <w:t>The Commission provides a general authorisation for Registered Employers to place apprentices and trainees with unregistered host employers, in accordance with the Standard 4, Host Employer Arrangements.</w:t>
      </w:r>
    </w:p>
    <w:p w:rsidR="00E70407" w:rsidRPr="00E70407" w:rsidRDefault="00E70407" w:rsidP="00E70407">
      <w:pPr>
        <w:numPr>
          <w:ilvl w:val="1"/>
          <w:numId w:val="366"/>
        </w:numPr>
        <w:ind w:left="350"/>
        <w:rPr>
          <w:rFonts w:ascii="Times New Roman" w:eastAsia="Times New Roman" w:hAnsi="Times New Roman"/>
          <w:b/>
          <w:sz w:val="17"/>
          <w:szCs w:val="17"/>
        </w:rPr>
      </w:pPr>
      <w:r w:rsidRPr="00E70407">
        <w:rPr>
          <w:rFonts w:ascii="Times New Roman" w:eastAsia="Times New Roman" w:hAnsi="Times New Roman"/>
          <w:b/>
          <w:sz w:val="17"/>
          <w:szCs w:val="17"/>
        </w:rPr>
        <w:t>Training</w:t>
      </w:r>
      <w:r w:rsidRPr="00E70407">
        <w:rPr>
          <w:rFonts w:ascii="Times New Roman" w:eastAsia="Times New Roman" w:hAnsi="Times New Roman"/>
          <w:b/>
          <w:bCs/>
          <w:sz w:val="17"/>
          <w:szCs w:val="17"/>
        </w:rPr>
        <w:t xml:space="preserve"> contract applications (</w:t>
      </w:r>
      <w:r w:rsidRPr="00E70407">
        <w:rPr>
          <w:rFonts w:ascii="Times New Roman" w:eastAsia="Times New Roman" w:hAnsi="Times New Roman"/>
          <w:b/>
          <w:i/>
          <w:sz w:val="17"/>
          <w:szCs w:val="17"/>
        </w:rPr>
        <w:t>SAS Act</w:t>
      </w:r>
      <w:r w:rsidRPr="00E70407">
        <w:rPr>
          <w:rFonts w:ascii="Times New Roman" w:eastAsia="Times New Roman" w:hAnsi="Times New Roman"/>
          <w:b/>
          <w:bCs/>
          <w:sz w:val="17"/>
          <w:szCs w:val="17"/>
        </w:rPr>
        <w:t>, S46, S48)</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7.2.1</w:t>
      </w:r>
      <w:r w:rsidRPr="00E70407">
        <w:rPr>
          <w:rFonts w:ascii="Times New Roman" w:eastAsia="Times New Roman" w:hAnsi="Times New Roman"/>
          <w:sz w:val="17"/>
          <w:szCs w:val="17"/>
        </w:rPr>
        <w:tab/>
        <w:t>An employer must apply to the Commission for approval of an agreement as a Training Contract within 28 days after entering an agreement where:</w:t>
      </w:r>
    </w:p>
    <w:p w:rsidR="00E70407" w:rsidRPr="00E70407" w:rsidRDefault="00E70407" w:rsidP="00E70407">
      <w:pPr>
        <w:numPr>
          <w:ilvl w:val="0"/>
          <w:numId w:val="272"/>
        </w:numPr>
        <w:rPr>
          <w:rFonts w:ascii="Times New Roman" w:eastAsia="Times New Roman" w:hAnsi="Times New Roman"/>
          <w:sz w:val="17"/>
          <w:szCs w:val="17"/>
        </w:rPr>
      </w:pPr>
      <w:r w:rsidRPr="00E70407">
        <w:rPr>
          <w:rFonts w:ascii="Times New Roman" w:eastAsia="Times New Roman" w:hAnsi="Times New Roman"/>
          <w:sz w:val="17"/>
          <w:szCs w:val="17"/>
        </w:rPr>
        <w:t xml:space="preserve">the employer is to train a person in a trade, or to otherwise train a person under a Training Contract </w:t>
      </w:r>
    </w:p>
    <w:p w:rsidR="00E70407" w:rsidRPr="00E70407" w:rsidRDefault="00E70407" w:rsidP="00E70407">
      <w:pPr>
        <w:numPr>
          <w:ilvl w:val="0"/>
          <w:numId w:val="272"/>
        </w:numPr>
        <w:rPr>
          <w:rFonts w:ascii="Times New Roman" w:eastAsia="Times New Roman" w:hAnsi="Times New Roman"/>
          <w:sz w:val="17"/>
          <w:szCs w:val="17"/>
        </w:rPr>
      </w:pPr>
      <w:r w:rsidRPr="00E70407">
        <w:rPr>
          <w:rFonts w:ascii="Times New Roman" w:eastAsia="Times New Roman" w:hAnsi="Times New Roman"/>
          <w:sz w:val="17"/>
          <w:szCs w:val="17"/>
        </w:rPr>
        <w:t>it is intended to be a Training Contract.</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7.2.2</w:t>
      </w:r>
      <w:r w:rsidRPr="00E70407">
        <w:rPr>
          <w:rFonts w:ascii="Times New Roman" w:eastAsia="Times New Roman" w:hAnsi="Times New Roman"/>
          <w:sz w:val="17"/>
          <w:szCs w:val="17"/>
        </w:rPr>
        <w:tab/>
        <w:t xml:space="preserve">The maximum penalty for a breach of this requirement is $5,000, and the expiation fee is $315. </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7.2.3</w:t>
      </w:r>
      <w:r w:rsidRPr="00E70407">
        <w:rPr>
          <w:rFonts w:ascii="Times New Roman" w:eastAsia="Times New Roman" w:hAnsi="Times New Roman"/>
          <w:sz w:val="17"/>
          <w:szCs w:val="17"/>
        </w:rPr>
        <w:tab/>
        <w:t xml:space="preserve">A </w:t>
      </w:r>
      <w:r w:rsidRPr="00E70407">
        <w:rPr>
          <w:rFonts w:ascii="Times New Roman" w:eastAsia="Times New Roman" w:hAnsi="Times New Roman"/>
          <w:sz w:val="17"/>
          <w:szCs w:val="17"/>
          <w:lang w:val="en-GB"/>
        </w:rPr>
        <w:t>Training</w:t>
      </w:r>
      <w:r w:rsidRPr="00E70407">
        <w:rPr>
          <w:rFonts w:ascii="Times New Roman" w:eastAsia="Times New Roman" w:hAnsi="Times New Roman"/>
          <w:sz w:val="17"/>
          <w:szCs w:val="17"/>
        </w:rPr>
        <w:t xml:space="preserve"> Contract application must utilise the relevant </w:t>
      </w:r>
      <w:hyperlink r:id="rId103">
        <w:r w:rsidRPr="00E70407">
          <w:rPr>
            <w:rFonts w:ascii="Times New Roman" w:eastAsia="Times New Roman" w:hAnsi="Times New Roman"/>
            <w:color w:val="0000FF"/>
            <w:sz w:val="17"/>
            <w:szCs w:val="17"/>
            <w:u w:val="single"/>
          </w:rPr>
          <w:t>standard form contract</w:t>
        </w:r>
      </w:hyperlink>
      <w:r w:rsidRPr="00E70407">
        <w:rPr>
          <w:rFonts w:ascii="Times New Roman" w:eastAsia="Times New Roman" w:hAnsi="Times New Roman"/>
          <w:sz w:val="17"/>
          <w:szCs w:val="17"/>
        </w:rPr>
        <w:t xml:space="preserve"> and contain the following conditions:</w:t>
      </w:r>
    </w:p>
    <w:p w:rsidR="00E70407" w:rsidRPr="00E70407" w:rsidRDefault="00E70407" w:rsidP="00E70407">
      <w:pPr>
        <w:numPr>
          <w:ilvl w:val="0"/>
          <w:numId w:val="273"/>
        </w:numPr>
        <w:rPr>
          <w:rFonts w:ascii="Times New Roman" w:eastAsia="Times New Roman" w:hAnsi="Times New Roman"/>
          <w:sz w:val="17"/>
          <w:szCs w:val="17"/>
        </w:rPr>
      </w:pPr>
      <w:r w:rsidRPr="00E70407">
        <w:rPr>
          <w:rFonts w:ascii="Times New Roman" w:eastAsia="Times New Roman" w:hAnsi="Times New Roman"/>
          <w:sz w:val="17"/>
          <w:szCs w:val="17"/>
        </w:rPr>
        <w:t>a condition that the apprentice or trainee will be employed by the employer party to the Training Contract in accordance with the applicable award or industrial agreement</w:t>
      </w:r>
    </w:p>
    <w:p w:rsidR="00E70407" w:rsidRPr="00E70407" w:rsidRDefault="00E70407" w:rsidP="00E70407">
      <w:pPr>
        <w:numPr>
          <w:ilvl w:val="0"/>
          <w:numId w:val="273"/>
        </w:numPr>
        <w:rPr>
          <w:rFonts w:ascii="Times New Roman" w:eastAsia="Times New Roman" w:hAnsi="Times New Roman"/>
          <w:sz w:val="17"/>
          <w:szCs w:val="17"/>
        </w:rPr>
      </w:pPr>
      <w:r w:rsidRPr="00E70407">
        <w:rPr>
          <w:rFonts w:ascii="Times New Roman" w:eastAsia="Times New Roman" w:hAnsi="Times New Roman"/>
          <w:sz w:val="17"/>
          <w:szCs w:val="17"/>
        </w:rPr>
        <w:t>a condition specifying the probationary period for a Training Contract for the relevant trade or declared vocation</w:t>
      </w:r>
    </w:p>
    <w:p w:rsidR="00E70407" w:rsidRPr="00E70407" w:rsidRDefault="00E70407" w:rsidP="00E70407">
      <w:pPr>
        <w:numPr>
          <w:ilvl w:val="0"/>
          <w:numId w:val="273"/>
        </w:numPr>
        <w:rPr>
          <w:rFonts w:ascii="Times New Roman" w:eastAsia="Times New Roman" w:hAnsi="Times New Roman"/>
          <w:sz w:val="17"/>
          <w:szCs w:val="17"/>
        </w:rPr>
      </w:pPr>
      <w:r w:rsidRPr="00E70407">
        <w:rPr>
          <w:rFonts w:ascii="Times New Roman" w:eastAsia="Times New Roman" w:hAnsi="Times New Roman"/>
          <w:sz w:val="17"/>
          <w:szCs w:val="17"/>
        </w:rPr>
        <w:t>the standard conditions for a Training Contract for the relevant trade or declared vocation</w:t>
      </w:r>
    </w:p>
    <w:p w:rsidR="00E70407" w:rsidRPr="00E70407" w:rsidRDefault="00E70407" w:rsidP="00E70407">
      <w:pPr>
        <w:numPr>
          <w:ilvl w:val="0"/>
          <w:numId w:val="273"/>
        </w:numPr>
        <w:rPr>
          <w:rFonts w:ascii="Times New Roman" w:eastAsia="Times New Roman" w:hAnsi="Times New Roman"/>
          <w:sz w:val="17"/>
          <w:szCs w:val="17"/>
        </w:rPr>
      </w:pPr>
      <w:r w:rsidRPr="00E70407">
        <w:rPr>
          <w:rFonts w:ascii="Times New Roman" w:eastAsia="Times New Roman" w:hAnsi="Times New Roman"/>
          <w:sz w:val="17"/>
          <w:szCs w:val="17"/>
        </w:rPr>
        <w:t>a condition that the apprentice or trainee will be trained and assessed in accordance with the Training Plan (to be agreed between the parties and a Nominated Training Organisation (NTO) chosen jointly by the parties)</w:t>
      </w:r>
    </w:p>
    <w:p w:rsidR="00E70407" w:rsidRPr="00E70407" w:rsidRDefault="00E70407" w:rsidP="00E70407">
      <w:pPr>
        <w:numPr>
          <w:ilvl w:val="0"/>
          <w:numId w:val="273"/>
        </w:numPr>
        <w:rPr>
          <w:rFonts w:ascii="Times New Roman" w:eastAsia="Times New Roman" w:hAnsi="Times New Roman"/>
          <w:sz w:val="17"/>
          <w:szCs w:val="17"/>
        </w:rPr>
      </w:pPr>
      <w:r w:rsidRPr="00E70407">
        <w:rPr>
          <w:rFonts w:ascii="Times New Roman" w:eastAsia="Times New Roman" w:hAnsi="Times New Roman"/>
          <w:sz w:val="17"/>
          <w:szCs w:val="17"/>
        </w:rPr>
        <w:t>any other conditions that have been agreed between the employer and the apprentice or trainee after consultation with the registered training provider.</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7.2.4</w:t>
      </w:r>
      <w:r w:rsidRPr="00E70407">
        <w:rPr>
          <w:rFonts w:ascii="Times New Roman" w:eastAsia="Times New Roman" w:hAnsi="Times New Roman"/>
          <w:sz w:val="17"/>
          <w:szCs w:val="17"/>
        </w:rPr>
        <w:tab/>
        <w:t>A person under the age of 15 years must not enter into a Training Contract unless otherwise permitted by an industrial award, or the person has, on application, obtained written approval of the Commission.</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7.2.5</w:t>
      </w:r>
      <w:r w:rsidRPr="00E70407">
        <w:rPr>
          <w:rFonts w:ascii="Times New Roman" w:eastAsia="Times New Roman" w:hAnsi="Times New Roman"/>
          <w:sz w:val="17"/>
          <w:szCs w:val="17"/>
        </w:rPr>
        <w:tab/>
        <w:t>An Apprenticeship Network Provider (ANP) may submit an application on behalf of a party to the Training Contract.</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7.2.6</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w:t>
      </w:r>
      <w:r w:rsidRPr="00E70407">
        <w:rPr>
          <w:rFonts w:ascii="Times New Roman" w:eastAsia="Times New Roman" w:hAnsi="Times New Roman"/>
          <w:sz w:val="17"/>
          <w:szCs w:val="17"/>
        </w:rPr>
        <w:t xml:space="preserve"> Commission may, by notice in writing, require an employer to provide, within a specified period, such other specified information or documents as may be required by the Commission for the purposes of determining an application.</w:t>
      </w:r>
    </w:p>
    <w:p w:rsidR="00E70407" w:rsidRPr="00E70407" w:rsidRDefault="00E70407" w:rsidP="00E70407">
      <w:pPr>
        <w:numPr>
          <w:ilvl w:val="1"/>
          <w:numId w:val="366"/>
        </w:numPr>
        <w:ind w:left="350"/>
        <w:rPr>
          <w:rFonts w:ascii="Times New Roman" w:eastAsia="Times New Roman" w:hAnsi="Times New Roman"/>
          <w:b/>
          <w:sz w:val="17"/>
          <w:szCs w:val="17"/>
        </w:rPr>
      </w:pPr>
      <w:r w:rsidRPr="00E70407">
        <w:rPr>
          <w:rFonts w:ascii="Times New Roman" w:eastAsia="Times New Roman" w:hAnsi="Times New Roman"/>
          <w:b/>
          <w:sz w:val="17"/>
          <w:szCs w:val="17"/>
        </w:rPr>
        <w:t xml:space="preserve">Training contract approval </w:t>
      </w:r>
      <w:r w:rsidRPr="00E70407">
        <w:rPr>
          <w:rFonts w:ascii="Times New Roman" w:eastAsia="Times New Roman" w:hAnsi="Times New Roman"/>
          <w:b/>
          <w:bCs/>
          <w:sz w:val="17"/>
          <w:szCs w:val="17"/>
        </w:rPr>
        <w:t>(</w:t>
      </w:r>
      <w:r w:rsidRPr="00E70407">
        <w:rPr>
          <w:rFonts w:ascii="Times New Roman" w:eastAsia="Times New Roman" w:hAnsi="Times New Roman"/>
          <w:b/>
          <w:i/>
          <w:sz w:val="17"/>
          <w:szCs w:val="17"/>
        </w:rPr>
        <w:t>SAS Act</w:t>
      </w:r>
      <w:r w:rsidRPr="00E70407">
        <w:rPr>
          <w:rFonts w:ascii="Times New Roman" w:eastAsia="Times New Roman" w:hAnsi="Times New Roman"/>
          <w:b/>
          <w:bCs/>
          <w:sz w:val="17"/>
          <w:szCs w:val="17"/>
        </w:rPr>
        <w:t xml:space="preserve"> S48, </w:t>
      </w:r>
      <w:r w:rsidRPr="00E70407">
        <w:rPr>
          <w:rFonts w:ascii="Times New Roman" w:eastAsia="Times New Roman" w:hAnsi="Times New Roman"/>
          <w:b/>
          <w:i/>
          <w:sz w:val="17"/>
          <w:szCs w:val="17"/>
        </w:rPr>
        <w:t>SAS Regulation</w:t>
      </w:r>
      <w:r w:rsidRPr="00E70407">
        <w:rPr>
          <w:rFonts w:ascii="Times New Roman" w:eastAsia="Times New Roman" w:hAnsi="Times New Roman"/>
          <w:b/>
          <w:bCs/>
          <w:sz w:val="17"/>
          <w:szCs w:val="17"/>
        </w:rPr>
        <w:t xml:space="preserve"> 6)</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7.3.1</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w:t>
      </w:r>
      <w:r w:rsidRPr="00E70407">
        <w:rPr>
          <w:rFonts w:ascii="Times New Roman" w:eastAsia="Times New Roman" w:hAnsi="Times New Roman"/>
          <w:sz w:val="17"/>
          <w:szCs w:val="17"/>
        </w:rPr>
        <w:t xml:space="preserve"> Commission must, on determining an application for a Training Contract, notify the employer and apprentice or trainee of: </w:t>
      </w:r>
    </w:p>
    <w:p w:rsidR="00E70407" w:rsidRPr="00E70407" w:rsidRDefault="00E70407" w:rsidP="00E70407">
      <w:pPr>
        <w:numPr>
          <w:ilvl w:val="0"/>
          <w:numId w:val="274"/>
        </w:numPr>
        <w:rPr>
          <w:rFonts w:ascii="Times New Roman" w:eastAsia="Times New Roman" w:hAnsi="Times New Roman"/>
          <w:sz w:val="17"/>
          <w:szCs w:val="17"/>
        </w:rPr>
      </w:pPr>
      <w:r w:rsidRPr="00E70407">
        <w:rPr>
          <w:rFonts w:ascii="Times New Roman" w:eastAsia="Times New Roman" w:hAnsi="Times New Roman"/>
          <w:sz w:val="17"/>
          <w:szCs w:val="17"/>
        </w:rPr>
        <w:t>the Commission's determination</w:t>
      </w:r>
    </w:p>
    <w:p w:rsidR="00E70407" w:rsidRPr="00E70407" w:rsidRDefault="00E70407" w:rsidP="00E70407">
      <w:pPr>
        <w:numPr>
          <w:ilvl w:val="0"/>
          <w:numId w:val="274"/>
        </w:numPr>
        <w:rPr>
          <w:rFonts w:ascii="Times New Roman" w:eastAsia="Times New Roman" w:hAnsi="Times New Roman"/>
          <w:sz w:val="17"/>
          <w:szCs w:val="17"/>
        </w:rPr>
      </w:pPr>
      <w:r w:rsidRPr="00E70407">
        <w:rPr>
          <w:rFonts w:ascii="Times New Roman" w:eastAsia="Times New Roman" w:hAnsi="Times New Roman"/>
          <w:sz w:val="17"/>
          <w:szCs w:val="17"/>
        </w:rPr>
        <w:t>the date of the determination</w:t>
      </w:r>
    </w:p>
    <w:p w:rsidR="00E70407" w:rsidRPr="00E70407" w:rsidRDefault="00E70407" w:rsidP="00E70407">
      <w:pPr>
        <w:numPr>
          <w:ilvl w:val="0"/>
          <w:numId w:val="274"/>
        </w:numPr>
        <w:rPr>
          <w:rFonts w:ascii="Times New Roman" w:eastAsia="Times New Roman" w:hAnsi="Times New Roman"/>
          <w:sz w:val="17"/>
          <w:szCs w:val="17"/>
        </w:rPr>
      </w:pPr>
      <w:r w:rsidRPr="00E70407">
        <w:rPr>
          <w:rFonts w:ascii="Times New Roman" w:eastAsia="Times New Roman" w:hAnsi="Times New Roman"/>
          <w:sz w:val="17"/>
          <w:szCs w:val="17"/>
        </w:rPr>
        <w:t>reasons for the refusal, if refused.</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7.3.2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w:t>
      </w:r>
      <w:r w:rsidRPr="00E70407">
        <w:rPr>
          <w:rFonts w:ascii="Times New Roman" w:eastAsia="Times New Roman" w:hAnsi="Times New Roman"/>
          <w:sz w:val="17"/>
          <w:szCs w:val="17"/>
        </w:rPr>
        <w:t xml:space="preserve"> Commission will refuse to approve an application for a Training Contract if:</w:t>
      </w:r>
    </w:p>
    <w:p w:rsidR="00E70407" w:rsidRPr="00E70407" w:rsidRDefault="00E70407" w:rsidP="00E70407">
      <w:pPr>
        <w:numPr>
          <w:ilvl w:val="0"/>
          <w:numId w:val="275"/>
        </w:numPr>
        <w:rPr>
          <w:rFonts w:ascii="Times New Roman" w:eastAsia="Times New Roman" w:hAnsi="Times New Roman"/>
          <w:sz w:val="17"/>
          <w:szCs w:val="17"/>
        </w:rPr>
      </w:pPr>
      <w:r w:rsidRPr="00E70407">
        <w:rPr>
          <w:rFonts w:ascii="Times New Roman" w:eastAsia="Times New Roman" w:hAnsi="Times New Roman"/>
          <w:sz w:val="17"/>
          <w:szCs w:val="17"/>
        </w:rPr>
        <w:t>the employer is a prohibited employer</w:t>
      </w:r>
    </w:p>
    <w:p w:rsidR="00E70407" w:rsidRPr="00E70407" w:rsidRDefault="00E70407" w:rsidP="00E70407">
      <w:pPr>
        <w:numPr>
          <w:ilvl w:val="0"/>
          <w:numId w:val="275"/>
        </w:numPr>
        <w:rPr>
          <w:rFonts w:ascii="Times New Roman" w:eastAsia="Times New Roman" w:hAnsi="Times New Roman"/>
          <w:sz w:val="17"/>
          <w:szCs w:val="17"/>
        </w:rPr>
      </w:pPr>
      <w:r w:rsidRPr="00E70407">
        <w:rPr>
          <w:rFonts w:ascii="Times New Roman" w:eastAsia="Times New Roman" w:hAnsi="Times New Roman"/>
          <w:sz w:val="17"/>
          <w:szCs w:val="17"/>
        </w:rPr>
        <w:t xml:space="preserve">the employer would commit an offence under Section 46(4)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by training a person under the proposed Training Contract</w:t>
      </w:r>
    </w:p>
    <w:p w:rsidR="00E70407" w:rsidRPr="00E70407" w:rsidRDefault="00E70407" w:rsidP="00E70407">
      <w:pPr>
        <w:numPr>
          <w:ilvl w:val="0"/>
          <w:numId w:val="275"/>
        </w:numPr>
        <w:rPr>
          <w:rFonts w:ascii="Times New Roman" w:eastAsia="Times New Roman" w:hAnsi="Times New Roman"/>
          <w:sz w:val="17"/>
          <w:szCs w:val="17"/>
        </w:rPr>
      </w:pPr>
      <w:r w:rsidRPr="00E70407">
        <w:rPr>
          <w:rFonts w:ascii="Times New Roman" w:eastAsia="Times New Roman" w:hAnsi="Times New Roman"/>
          <w:sz w:val="17"/>
          <w:szCs w:val="17"/>
        </w:rPr>
        <w:t xml:space="preserve">the trade or vocation that is the subject of the Training Contract is not a declared trade or vocation under the </w:t>
      </w:r>
      <w:r w:rsidRPr="00E70407">
        <w:rPr>
          <w:rFonts w:ascii="Times New Roman" w:eastAsia="Times New Roman" w:hAnsi="Times New Roman"/>
          <w:i/>
          <w:iCs/>
          <w:sz w:val="17"/>
          <w:szCs w:val="17"/>
        </w:rPr>
        <w:t>SAS Act</w:t>
      </w:r>
    </w:p>
    <w:p w:rsidR="00E70407" w:rsidRPr="00E70407" w:rsidRDefault="00E70407" w:rsidP="00E70407">
      <w:pPr>
        <w:numPr>
          <w:ilvl w:val="0"/>
          <w:numId w:val="275"/>
        </w:numPr>
        <w:rPr>
          <w:rFonts w:ascii="Times New Roman" w:eastAsia="Times New Roman" w:hAnsi="Times New Roman"/>
          <w:sz w:val="17"/>
          <w:szCs w:val="17"/>
        </w:rPr>
      </w:pPr>
      <w:r w:rsidRPr="00E70407">
        <w:rPr>
          <w:rFonts w:ascii="Times New Roman" w:eastAsia="Times New Roman" w:hAnsi="Times New Roman"/>
          <w:sz w:val="17"/>
          <w:szCs w:val="17"/>
        </w:rPr>
        <w:t>in the opinion of the Commission, the employer is not able to provide, or arrange to provide, an apprentice or trainee with the facilities, range of work, supervision and training required under a Training Plan for the apprentice or trainee.</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7.3.3</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w:t>
      </w:r>
      <w:r w:rsidRPr="00E70407">
        <w:rPr>
          <w:rFonts w:ascii="Times New Roman" w:eastAsia="Times New Roman" w:hAnsi="Times New Roman"/>
          <w:sz w:val="17"/>
          <w:szCs w:val="17"/>
        </w:rPr>
        <w:t xml:space="preserve"> Commission may refuse to approve an agreement as a Training Contract for any other reason the Commission considers appropriate, including where:</w:t>
      </w:r>
    </w:p>
    <w:p w:rsidR="00E70407" w:rsidRPr="00E70407" w:rsidRDefault="00E70407" w:rsidP="00E70407">
      <w:pPr>
        <w:numPr>
          <w:ilvl w:val="0"/>
          <w:numId w:val="276"/>
        </w:numPr>
        <w:rPr>
          <w:rFonts w:ascii="Times New Roman" w:eastAsia="Times New Roman" w:hAnsi="Times New Roman"/>
          <w:sz w:val="17"/>
          <w:szCs w:val="17"/>
        </w:rPr>
      </w:pPr>
      <w:r w:rsidRPr="00E70407">
        <w:rPr>
          <w:rFonts w:ascii="Times New Roman" w:eastAsia="Times New Roman" w:hAnsi="Times New Roman"/>
          <w:sz w:val="17"/>
          <w:szCs w:val="17"/>
        </w:rPr>
        <w:t xml:space="preserve">the agreement does not utilise the relevant </w:t>
      </w:r>
      <w:hyperlink r:id="rId104" w:history="1">
        <w:r w:rsidRPr="00E70407">
          <w:rPr>
            <w:rFonts w:ascii="Times New Roman" w:eastAsia="Times New Roman" w:hAnsi="Times New Roman"/>
            <w:color w:val="0000FF"/>
            <w:sz w:val="17"/>
            <w:szCs w:val="17"/>
            <w:u w:val="single"/>
          </w:rPr>
          <w:t>standard form contract</w:t>
        </w:r>
      </w:hyperlink>
    </w:p>
    <w:p w:rsidR="00E70407" w:rsidRPr="00E70407" w:rsidRDefault="00E70407" w:rsidP="00E70407">
      <w:pPr>
        <w:numPr>
          <w:ilvl w:val="0"/>
          <w:numId w:val="276"/>
        </w:numPr>
        <w:rPr>
          <w:rFonts w:ascii="Times New Roman" w:eastAsia="Times New Roman" w:hAnsi="Times New Roman"/>
          <w:sz w:val="17"/>
          <w:szCs w:val="17"/>
        </w:rPr>
      </w:pPr>
      <w:r w:rsidRPr="00E70407">
        <w:rPr>
          <w:rFonts w:ascii="Times New Roman" w:eastAsia="Times New Roman" w:hAnsi="Times New Roman"/>
          <w:sz w:val="17"/>
          <w:szCs w:val="17"/>
        </w:rPr>
        <w:t xml:space="preserve">the agreement does not otherwise comply with the </w:t>
      </w:r>
      <w:r w:rsidRPr="00E70407">
        <w:rPr>
          <w:rFonts w:ascii="Times New Roman" w:eastAsia="Times New Roman" w:hAnsi="Times New Roman"/>
          <w:i/>
          <w:iCs/>
          <w:sz w:val="17"/>
          <w:szCs w:val="17"/>
        </w:rPr>
        <w:t>SAS Act</w:t>
      </w:r>
    </w:p>
    <w:p w:rsidR="00E70407" w:rsidRPr="00E70407" w:rsidRDefault="00E70407" w:rsidP="00E70407">
      <w:pPr>
        <w:numPr>
          <w:ilvl w:val="0"/>
          <w:numId w:val="276"/>
        </w:numPr>
        <w:rPr>
          <w:rFonts w:ascii="Times New Roman" w:eastAsia="Times New Roman" w:hAnsi="Times New Roman"/>
          <w:sz w:val="17"/>
          <w:szCs w:val="17"/>
        </w:rPr>
      </w:pPr>
      <w:r w:rsidRPr="00E70407">
        <w:rPr>
          <w:rFonts w:ascii="Times New Roman" w:eastAsia="Times New Roman" w:hAnsi="Times New Roman"/>
          <w:sz w:val="17"/>
          <w:szCs w:val="17"/>
        </w:rPr>
        <w:lastRenderedPageBreak/>
        <w:t>the qualification to which the agreement relates is, in the opinion of the Commission, an inappropriate qualification for a Training Contract</w:t>
      </w:r>
    </w:p>
    <w:p w:rsidR="00E70407" w:rsidRPr="00E70407" w:rsidRDefault="00E70407" w:rsidP="00E70407">
      <w:pPr>
        <w:numPr>
          <w:ilvl w:val="0"/>
          <w:numId w:val="276"/>
        </w:numPr>
        <w:rPr>
          <w:rFonts w:ascii="Times New Roman" w:eastAsia="Times New Roman" w:hAnsi="Times New Roman"/>
          <w:sz w:val="17"/>
          <w:szCs w:val="17"/>
        </w:rPr>
      </w:pPr>
      <w:r w:rsidRPr="00E70407">
        <w:rPr>
          <w:rFonts w:ascii="Times New Roman" w:eastAsia="Times New Roman" w:hAnsi="Times New Roman"/>
          <w:sz w:val="17"/>
          <w:szCs w:val="17"/>
        </w:rPr>
        <w:t>the employer, or the apprentice or trainee, will, in the opinion of the Commission, be unable to fulfil their obligations under the proposed Training Contract</w:t>
      </w:r>
    </w:p>
    <w:p w:rsidR="00E70407" w:rsidRPr="00E70407" w:rsidRDefault="00E70407" w:rsidP="00E70407">
      <w:pPr>
        <w:numPr>
          <w:ilvl w:val="0"/>
          <w:numId w:val="276"/>
        </w:numPr>
        <w:rPr>
          <w:rFonts w:ascii="Times New Roman" w:eastAsia="Times New Roman" w:hAnsi="Times New Roman"/>
          <w:sz w:val="17"/>
          <w:szCs w:val="17"/>
        </w:rPr>
      </w:pPr>
      <w:r w:rsidRPr="00E70407">
        <w:rPr>
          <w:rFonts w:ascii="Times New Roman" w:eastAsia="Times New Roman" w:hAnsi="Times New Roman"/>
          <w:sz w:val="17"/>
          <w:szCs w:val="17"/>
        </w:rPr>
        <w:t xml:space="preserve">the requirements under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xml:space="preserve"> in relation to a Training Plan for the apprentice or trainee are unlikely to be satisfied</w:t>
      </w:r>
    </w:p>
    <w:p w:rsidR="00E70407" w:rsidRPr="00E70407" w:rsidRDefault="00E70407" w:rsidP="00E70407">
      <w:pPr>
        <w:numPr>
          <w:ilvl w:val="0"/>
          <w:numId w:val="276"/>
        </w:numPr>
        <w:rPr>
          <w:rFonts w:ascii="Times New Roman" w:eastAsia="Times New Roman" w:hAnsi="Times New Roman"/>
          <w:sz w:val="17"/>
          <w:szCs w:val="17"/>
        </w:rPr>
      </w:pPr>
      <w:r w:rsidRPr="00E70407">
        <w:rPr>
          <w:rFonts w:ascii="Times New Roman" w:eastAsia="Times New Roman" w:hAnsi="Times New Roman"/>
          <w:sz w:val="17"/>
          <w:szCs w:val="17"/>
        </w:rPr>
        <w:t>a term of the proposed Training Contract is, in the opinion of the Commission, prejudicial to the interests of the apprentice or trainee</w:t>
      </w:r>
    </w:p>
    <w:p w:rsidR="00E70407" w:rsidRPr="00E70407" w:rsidRDefault="00E70407" w:rsidP="00E70407">
      <w:pPr>
        <w:numPr>
          <w:ilvl w:val="0"/>
          <w:numId w:val="276"/>
        </w:numPr>
        <w:rPr>
          <w:rFonts w:ascii="Times New Roman" w:eastAsia="Times New Roman" w:hAnsi="Times New Roman"/>
          <w:sz w:val="17"/>
          <w:szCs w:val="17"/>
        </w:rPr>
      </w:pPr>
      <w:r w:rsidRPr="00E70407">
        <w:rPr>
          <w:rFonts w:ascii="Times New Roman" w:eastAsia="Times New Roman" w:hAnsi="Times New Roman"/>
          <w:sz w:val="17"/>
          <w:szCs w:val="17"/>
        </w:rPr>
        <w:t>the Commission reasonably suspects that the employer has engaged in conduct that is likely to result in the employer being declared a prohibited employer.</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7.3.4</w:t>
      </w:r>
      <w:r w:rsidRPr="00E70407">
        <w:rPr>
          <w:rFonts w:ascii="Times New Roman" w:eastAsia="Times New Roman" w:hAnsi="Times New Roman"/>
          <w:sz w:val="17"/>
          <w:szCs w:val="17"/>
        </w:rPr>
        <w:tab/>
        <w:t xml:space="preserve">An </w:t>
      </w:r>
      <w:r w:rsidRPr="00E70407">
        <w:rPr>
          <w:rFonts w:ascii="Times New Roman" w:eastAsia="Times New Roman" w:hAnsi="Times New Roman"/>
          <w:sz w:val="17"/>
          <w:szCs w:val="17"/>
          <w:lang w:val="en-GB"/>
        </w:rPr>
        <w:t>employer</w:t>
      </w:r>
      <w:r w:rsidRPr="00E70407">
        <w:rPr>
          <w:rFonts w:ascii="Times New Roman" w:eastAsia="Times New Roman" w:hAnsi="Times New Roman"/>
          <w:sz w:val="17"/>
          <w:szCs w:val="17"/>
        </w:rPr>
        <w:t xml:space="preserve"> who has made an application under this section that has been refused by the Commission must not, except with the written authority of the Commission, continue to train a person in a trade under the refused agreement. </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7.3.5</w:t>
      </w:r>
      <w:r w:rsidRPr="00E70407">
        <w:rPr>
          <w:rFonts w:ascii="Times New Roman" w:eastAsia="Times New Roman" w:hAnsi="Times New Roman"/>
          <w:sz w:val="17"/>
          <w:szCs w:val="17"/>
        </w:rPr>
        <w:tab/>
        <w:t>The maximum penalty for a breach of this requirement is $5,000, and the expiation fee is $315.</w:t>
      </w:r>
    </w:p>
    <w:p w:rsidR="00E70407" w:rsidRPr="00E70407" w:rsidRDefault="00E70407" w:rsidP="00E70407">
      <w:pPr>
        <w:numPr>
          <w:ilvl w:val="1"/>
          <w:numId w:val="366"/>
        </w:numPr>
        <w:ind w:left="350"/>
        <w:rPr>
          <w:rFonts w:ascii="Times New Roman" w:eastAsia="Times New Roman" w:hAnsi="Times New Roman"/>
          <w:b/>
          <w:sz w:val="17"/>
          <w:szCs w:val="17"/>
        </w:rPr>
      </w:pPr>
      <w:r w:rsidRPr="00E70407">
        <w:rPr>
          <w:rFonts w:ascii="Times New Roman" w:eastAsia="Times New Roman" w:hAnsi="Times New Roman"/>
          <w:b/>
          <w:sz w:val="17"/>
          <w:szCs w:val="17"/>
        </w:rPr>
        <w:t>Training contract obligations on the employer (</w:t>
      </w:r>
      <w:r w:rsidRPr="00E70407">
        <w:rPr>
          <w:rFonts w:ascii="Times New Roman" w:eastAsia="Times New Roman" w:hAnsi="Times New Roman"/>
          <w:b/>
          <w:i/>
          <w:sz w:val="17"/>
          <w:szCs w:val="17"/>
        </w:rPr>
        <w:t>SAS Act</w:t>
      </w:r>
      <w:r w:rsidRPr="00E70407">
        <w:rPr>
          <w:rFonts w:ascii="Times New Roman" w:eastAsia="Times New Roman" w:hAnsi="Times New Roman"/>
          <w:b/>
          <w:sz w:val="17"/>
          <w:szCs w:val="17"/>
        </w:rPr>
        <w:t xml:space="preserve"> S54J, S54L, </w:t>
      </w:r>
      <w:r w:rsidRPr="00E70407">
        <w:rPr>
          <w:rFonts w:ascii="Times New Roman" w:eastAsia="Times New Roman" w:hAnsi="Times New Roman"/>
          <w:b/>
          <w:i/>
          <w:sz w:val="17"/>
          <w:szCs w:val="17"/>
        </w:rPr>
        <w:t>Regulation</w:t>
      </w:r>
      <w:r w:rsidRPr="00E70407">
        <w:rPr>
          <w:rFonts w:ascii="Times New Roman" w:eastAsia="Times New Roman" w:hAnsi="Times New Roman"/>
          <w:b/>
          <w:sz w:val="17"/>
          <w:szCs w:val="17"/>
        </w:rPr>
        <w:t xml:space="preserve"> 11)</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7.4.1</w:t>
      </w:r>
      <w:r w:rsidRPr="00E70407">
        <w:rPr>
          <w:rFonts w:ascii="Times New Roman" w:eastAsia="Times New Roman" w:hAnsi="Times New Roman"/>
          <w:sz w:val="17"/>
          <w:szCs w:val="17"/>
        </w:rPr>
        <w:tab/>
        <w:t xml:space="preserve">The </w:t>
      </w:r>
      <w:r w:rsidRPr="00E70407">
        <w:rPr>
          <w:rFonts w:ascii="Times New Roman" w:eastAsia="Times New Roman" w:hAnsi="Times New Roman"/>
          <w:sz w:val="17"/>
          <w:szCs w:val="17"/>
          <w:lang w:val="en-GB"/>
        </w:rPr>
        <w:t>obligations</w:t>
      </w:r>
      <w:r w:rsidRPr="00E70407">
        <w:rPr>
          <w:rFonts w:ascii="Times New Roman" w:eastAsia="Times New Roman" w:hAnsi="Times New Roman"/>
          <w:sz w:val="17"/>
          <w:szCs w:val="17"/>
        </w:rPr>
        <w:t xml:space="preserve"> of the employer who is a party to a Training Contract in this Standard are in addition to those contained in the Training Contract and are to:</w:t>
      </w:r>
    </w:p>
    <w:p w:rsidR="00E70407" w:rsidRPr="00E70407" w:rsidRDefault="00E70407" w:rsidP="00E70407">
      <w:pPr>
        <w:numPr>
          <w:ilvl w:val="0"/>
          <w:numId w:val="277"/>
        </w:numPr>
        <w:rPr>
          <w:rFonts w:ascii="Times New Roman" w:eastAsia="Times New Roman" w:hAnsi="Times New Roman"/>
          <w:sz w:val="17"/>
          <w:szCs w:val="17"/>
        </w:rPr>
      </w:pPr>
      <w:r w:rsidRPr="00E70407">
        <w:rPr>
          <w:rFonts w:ascii="Times New Roman" w:eastAsia="Times New Roman" w:hAnsi="Times New Roman"/>
          <w:sz w:val="17"/>
          <w:szCs w:val="17"/>
        </w:rPr>
        <w:t>employ and train the apprentice or trainee as agreed in the Training Contract and Training Plan</w:t>
      </w:r>
    </w:p>
    <w:p w:rsidR="00E70407" w:rsidRPr="00E70407" w:rsidRDefault="00E70407" w:rsidP="00E70407">
      <w:pPr>
        <w:numPr>
          <w:ilvl w:val="0"/>
          <w:numId w:val="277"/>
        </w:numPr>
        <w:rPr>
          <w:rFonts w:ascii="Times New Roman" w:eastAsia="Times New Roman" w:hAnsi="Times New Roman"/>
          <w:sz w:val="17"/>
          <w:szCs w:val="17"/>
        </w:rPr>
      </w:pPr>
      <w:r w:rsidRPr="00E70407">
        <w:rPr>
          <w:rFonts w:ascii="Times New Roman" w:eastAsia="Times New Roman" w:hAnsi="Times New Roman"/>
          <w:sz w:val="17"/>
          <w:szCs w:val="17"/>
        </w:rPr>
        <w:t>provide the relevant wages and conditions to the apprentice or trainee employed to complete the Training Contract</w:t>
      </w:r>
    </w:p>
    <w:p w:rsidR="00E70407" w:rsidRPr="00E70407" w:rsidRDefault="00E70407" w:rsidP="00E70407">
      <w:pPr>
        <w:numPr>
          <w:ilvl w:val="0"/>
          <w:numId w:val="277"/>
        </w:numPr>
        <w:rPr>
          <w:rFonts w:ascii="Times New Roman" w:eastAsia="Times New Roman" w:hAnsi="Times New Roman"/>
          <w:sz w:val="17"/>
          <w:szCs w:val="17"/>
        </w:rPr>
      </w:pPr>
      <w:r w:rsidRPr="00E70407">
        <w:rPr>
          <w:rFonts w:ascii="Times New Roman" w:eastAsia="Times New Roman" w:hAnsi="Times New Roman"/>
          <w:sz w:val="17"/>
          <w:szCs w:val="17"/>
        </w:rPr>
        <w:t>provide appropriate facilities and expertise to assist in the training of the apprentice or trainee in accordance with the requirements of the Training Plan</w:t>
      </w:r>
    </w:p>
    <w:p w:rsidR="00E70407" w:rsidRPr="00E70407" w:rsidRDefault="00E70407" w:rsidP="00E70407">
      <w:pPr>
        <w:numPr>
          <w:ilvl w:val="0"/>
          <w:numId w:val="277"/>
        </w:numPr>
        <w:rPr>
          <w:rFonts w:ascii="Times New Roman" w:eastAsia="Times New Roman" w:hAnsi="Times New Roman"/>
          <w:sz w:val="17"/>
          <w:szCs w:val="17"/>
        </w:rPr>
      </w:pPr>
      <w:r w:rsidRPr="00E70407">
        <w:rPr>
          <w:rFonts w:ascii="Times New Roman" w:eastAsia="Times New Roman" w:hAnsi="Times New Roman"/>
          <w:sz w:val="17"/>
          <w:szCs w:val="17"/>
        </w:rPr>
        <w:t>ensure the apprentice and trainee receives on-job training and assessment in accordance with the requirements of the Training Plan</w:t>
      </w:r>
    </w:p>
    <w:p w:rsidR="00E70407" w:rsidRPr="00E70407" w:rsidRDefault="00E70407" w:rsidP="00E70407">
      <w:pPr>
        <w:numPr>
          <w:ilvl w:val="0"/>
          <w:numId w:val="277"/>
        </w:numPr>
        <w:rPr>
          <w:rFonts w:ascii="Times New Roman" w:eastAsia="Times New Roman" w:hAnsi="Times New Roman"/>
          <w:sz w:val="17"/>
          <w:szCs w:val="17"/>
        </w:rPr>
      </w:pPr>
      <w:r w:rsidRPr="00E70407">
        <w:rPr>
          <w:rFonts w:ascii="Times New Roman" w:eastAsia="Times New Roman" w:hAnsi="Times New Roman"/>
          <w:sz w:val="17"/>
          <w:szCs w:val="17"/>
        </w:rPr>
        <w:t>release the apprentice or trainee from work and pay the appropriate wages to attend any training and assessment specified in the Training Plan</w:t>
      </w:r>
    </w:p>
    <w:p w:rsidR="00E70407" w:rsidRPr="00E70407" w:rsidRDefault="00E70407" w:rsidP="00E70407">
      <w:pPr>
        <w:numPr>
          <w:ilvl w:val="0"/>
          <w:numId w:val="277"/>
        </w:numPr>
        <w:rPr>
          <w:rFonts w:ascii="Times New Roman" w:eastAsia="Times New Roman" w:hAnsi="Times New Roman"/>
          <w:sz w:val="17"/>
          <w:szCs w:val="17"/>
        </w:rPr>
      </w:pPr>
      <w:r w:rsidRPr="00E70407">
        <w:rPr>
          <w:rFonts w:ascii="Times New Roman" w:eastAsia="Times New Roman" w:hAnsi="Times New Roman"/>
          <w:sz w:val="17"/>
          <w:szCs w:val="17"/>
        </w:rPr>
        <w:t xml:space="preserve">provide supervision to the apprentice or trainee in accordance with Standard 5, Supervision </w:t>
      </w:r>
    </w:p>
    <w:p w:rsidR="00E70407" w:rsidRPr="00E70407" w:rsidRDefault="00E70407" w:rsidP="00E70407">
      <w:pPr>
        <w:numPr>
          <w:ilvl w:val="0"/>
          <w:numId w:val="277"/>
        </w:numPr>
        <w:rPr>
          <w:rFonts w:ascii="Times New Roman" w:eastAsia="Times New Roman" w:hAnsi="Times New Roman"/>
          <w:sz w:val="17"/>
          <w:szCs w:val="17"/>
        </w:rPr>
      </w:pPr>
      <w:r w:rsidRPr="00E70407">
        <w:rPr>
          <w:rFonts w:ascii="Times New Roman" w:eastAsia="Times New Roman" w:hAnsi="Times New Roman"/>
          <w:sz w:val="17"/>
          <w:szCs w:val="17"/>
        </w:rPr>
        <w:t xml:space="preserve">work with an NTO and the apprentice or trainee to ensure that the Training Plan is complied with, training records are kept up to date, and progress is monitored, reviewed and supported, in accordance with Standard 6, Training Plan and Nominated Training Organisations </w:t>
      </w:r>
    </w:p>
    <w:p w:rsidR="00E70407" w:rsidRPr="00E70407" w:rsidRDefault="00E70407" w:rsidP="00E70407">
      <w:pPr>
        <w:numPr>
          <w:ilvl w:val="0"/>
          <w:numId w:val="277"/>
        </w:numPr>
        <w:rPr>
          <w:rFonts w:ascii="Times New Roman" w:eastAsia="Times New Roman" w:hAnsi="Times New Roman"/>
          <w:sz w:val="17"/>
          <w:szCs w:val="17"/>
        </w:rPr>
      </w:pPr>
      <w:r w:rsidRPr="00E70407">
        <w:rPr>
          <w:rFonts w:ascii="Times New Roman" w:eastAsia="Times New Roman" w:hAnsi="Times New Roman"/>
          <w:sz w:val="17"/>
          <w:szCs w:val="17"/>
        </w:rPr>
        <w:t xml:space="preserve">notify the Commission of any material change to the Training Contract, in accordance with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sz w:val="17"/>
          <w:szCs w:val="17"/>
        </w:rPr>
        <w:t>Act</w:t>
      </w:r>
    </w:p>
    <w:p w:rsidR="00E70407" w:rsidRPr="00E70407" w:rsidRDefault="00E70407" w:rsidP="00E70407">
      <w:pPr>
        <w:numPr>
          <w:ilvl w:val="0"/>
          <w:numId w:val="277"/>
        </w:numPr>
        <w:rPr>
          <w:rFonts w:ascii="Times New Roman" w:eastAsia="Times New Roman" w:hAnsi="Times New Roman"/>
          <w:sz w:val="17"/>
          <w:szCs w:val="17"/>
        </w:rPr>
      </w:pPr>
      <w:r w:rsidRPr="00E70407">
        <w:rPr>
          <w:rFonts w:ascii="Times New Roman" w:eastAsia="Times New Roman" w:hAnsi="Times New Roman"/>
          <w:sz w:val="17"/>
          <w:szCs w:val="17"/>
        </w:rPr>
        <w:t>attempt to resolve a dispute between the parties to the Training Contract in the first instance, but if such attempts fail, apply to the Commission for consideration of the matter</w:t>
      </w:r>
    </w:p>
    <w:p w:rsidR="00E70407" w:rsidRPr="00E70407" w:rsidRDefault="00E70407" w:rsidP="00E70407">
      <w:pPr>
        <w:numPr>
          <w:ilvl w:val="0"/>
          <w:numId w:val="277"/>
        </w:numPr>
        <w:rPr>
          <w:rFonts w:ascii="Times New Roman" w:eastAsia="Times New Roman" w:hAnsi="Times New Roman"/>
          <w:sz w:val="17"/>
          <w:szCs w:val="17"/>
        </w:rPr>
      </w:pPr>
      <w:r w:rsidRPr="00E70407">
        <w:rPr>
          <w:rFonts w:ascii="Times New Roman" w:eastAsia="Times New Roman" w:hAnsi="Times New Roman"/>
          <w:sz w:val="17"/>
          <w:szCs w:val="17"/>
        </w:rPr>
        <w:t>comply with any other obligation specified in the Training Contract or Training Plan that is applicable to the apprentice or trainee</w:t>
      </w:r>
    </w:p>
    <w:p w:rsidR="00E70407" w:rsidRPr="00E70407" w:rsidRDefault="00E70407" w:rsidP="00E70407">
      <w:pPr>
        <w:numPr>
          <w:ilvl w:val="0"/>
          <w:numId w:val="277"/>
        </w:numPr>
        <w:rPr>
          <w:rFonts w:ascii="Times New Roman" w:eastAsia="Times New Roman" w:hAnsi="Times New Roman"/>
          <w:sz w:val="17"/>
          <w:szCs w:val="17"/>
        </w:rPr>
      </w:pPr>
      <w:r w:rsidRPr="00E70407">
        <w:rPr>
          <w:rFonts w:ascii="Times New Roman" w:eastAsia="Times New Roman" w:hAnsi="Times New Roman"/>
          <w:sz w:val="17"/>
          <w:szCs w:val="17"/>
        </w:rPr>
        <w:t>inform the Commission and the NTO within 5 working days, if the Training Contract has become jeopardised.</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7.4.2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Additionally</w:t>
      </w:r>
      <w:r w:rsidRPr="00E70407">
        <w:rPr>
          <w:rFonts w:ascii="Times New Roman" w:eastAsia="Times New Roman" w:hAnsi="Times New Roman"/>
          <w:sz w:val="17"/>
          <w:szCs w:val="17"/>
        </w:rPr>
        <w:t>, an employer in relation to a Training Contract must comply with the following provisions, which will be taken to be a condition of the employer's registration:</w:t>
      </w:r>
    </w:p>
    <w:p w:rsidR="00E70407" w:rsidRPr="00E70407" w:rsidRDefault="00E70407" w:rsidP="00E70407">
      <w:pPr>
        <w:numPr>
          <w:ilvl w:val="0"/>
          <w:numId w:val="278"/>
        </w:numPr>
        <w:rPr>
          <w:rFonts w:ascii="Times New Roman" w:eastAsia="Times New Roman" w:hAnsi="Times New Roman"/>
          <w:sz w:val="17"/>
          <w:szCs w:val="17"/>
        </w:rPr>
      </w:pPr>
      <w:r w:rsidRPr="00E70407">
        <w:rPr>
          <w:rFonts w:ascii="Times New Roman" w:eastAsia="Times New Roman" w:hAnsi="Times New Roman"/>
          <w:sz w:val="17"/>
          <w:szCs w:val="17"/>
        </w:rPr>
        <w:t>the employer must comply with the Standards</w:t>
      </w:r>
    </w:p>
    <w:p w:rsidR="00E70407" w:rsidRPr="00E70407" w:rsidRDefault="00E70407" w:rsidP="00E70407">
      <w:pPr>
        <w:numPr>
          <w:ilvl w:val="0"/>
          <w:numId w:val="278"/>
        </w:numPr>
        <w:rPr>
          <w:rFonts w:ascii="Times New Roman" w:eastAsia="Times New Roman" w:hAnsi="Times New Roman"/>
          <w:sz w:val="17"/>
          <w:szCs w:val="17"/>
        </w:rPr>
      </w:pPr>
      <w:r w:rsidRPr="00E70407">
        <w:rPr>
          <w:rFonts w:ascii="Times New Roman" w:eastAsia="Times New Roman" w:hAnsi="Times New Roman"/>
          <w:sz w:val="17"/>
          <w:szCs w:val="17"/>
        </w:rPr>
        <w:t>the employer must permit an apprentice or trainee under the Training Contract to carry out their obligations under the Training Contract</w:t>
      </w:r>
    </w:p>
    <w:p w:rsidR="00E70407" w:rsidRPr="00E70407" w:rsidRDefault="00E70407" w:rsidP="00E70407">
      <w:pPr>
        <w:numPr>
          <w:ilvl w:val="0"/>
          <w:numId w:val="278"/>
        </w:numPr>
        <w:rPr>
          <w:rFonts w:ascii="Times New Roman" w:eastAsia="Times New Roman" w:hAnsi="Times New Roman"/>
          <w:sz w:val="17"/>
          <w:szCs w:val="17"/>
        </w:rPr>
      </w:pPr>
      <w:r w:rsidRPr="00E70407">
        <w:rPr>
          <w:rFonts w:ascii="Times New Roman" w:eastAsia="Times New Roman" w:hAnsi="Times New Roman"/>
          <w:sz w:val="17"/>
          <w:szCs w:val="17"/>
        </w:rPr>
        <w:t>the employer must comply with any other obligation specified in the Training Contract or Training Plan that is applicable to the employer.</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7.4.3</w:t>
      </w:r>
      <w:r w:rsidRPr="00E70407">
        <w:rPr>
          <w:rFonts w:ascii="Times New Roman" w:eastAsia="Times New Roman" w:hAnsi="Times New Roman"/>
          <w:sz w:val="17"/>
          <w:szCs w:val="17"/>
        </w:rPr>
        <w:tab/>
        <w:t xml:space="preserve">The </w:t>
      </w:r>
      <w:r w:rsidRPr="00E70407">
        <w:rPr>
          <w:rFonts w:ascii="Times New Roman" w:eastAsia="Times New Roman" w:hAnsi="Times New Roman"/>
          <w:sz w:val="17"/>
          <w:szCs w:val="17"/>
          <w:lang w:val="en-GB"/>
        </w:rPr>
        <w:t>employer</w:t>
      </w:r>
      <w:r w:rsidRPr="00E70407">
        <w:rPr>
          <w:rFonts w:ascii="Times New Roman" w:eastAsia="Times New Roman" w:hAnsi="Times New Roman"/>
          <w:sz w:val="17"/>
          <w:szCs w:val="17"/>
        </w:rPr>
        <w:t xml:space="preserve"> must not:</w:t>
      </w:r>
    </w:p>
    <w:p w:rsidR="00E70407" w:rsidRPr="00E70407" w:rsidRDefault="00E70407" w:rsidP="00E70407">
      <w:pPr>
        <w:numPr>
          <w:ilvl w:val="0"/>
          <w:numId w:val="279"/>
        </w:numPr>
        <w:rPr>
          <w:rFonts w:ascii="Times New Roman" w:eastAsia="Times New Roman" w:hAnsi="Times New Roman"/>
          <w:sz w:val="17"/>
          <w:szCs w:val="17"/>
        </w:rPr>
      </w:pPr>
      <w:r w:rsidRPr="00E70407">
        <w:rPr>
          <w:rFonts w:ascii="Times New Roman" w:eastAsia="Times New Roman" w:hAnsi="Times New Roman"/>
          <w:sz w:val="17"/>
          <w:szCs w:val="17"/>
        </w:rPr>
        <w:t>prevent or obstruct the apprentice or trainee from carrying out their obligations under a Training Plan</w:t>
      </w:r>
    </w:p>
    <w:p w:rsidR="00E70407" w:rsidRPr="00E70407" w:rsidRDefault="00E70407" w:rsidP="00E70407">
      <w:pPr>
        <w:numPr>
          <w:ilvl w:val="0"/>
          <w:numId w:val="279"/>
        </w:numPr>
        <w:rPr>
          <w:rFonts w:ascii="Times New Roman" w:eastAsia="Times New Roman" w:hAnsi="Times New Roman"/>
          <w:sz w:val="17"/>
          <w:szCs w:val="17"/>
        </w:rPr>
      </w:pPr>
      <w:r w:rsidRPr="00E70407">
        <w:rPr>
          <w:rFonts w:ascii="Times New Roman" w:eastAsia="Times New Roman" w:hAnsi="Times New Roman"/>
          <w:sz w:val="17"/>
          <w:szCs w:val="17"/>
        </w:rPr>
        <w:t>prevent or obstruct the apprentice or trainee from participating in any training required to be delivered by the NTO under a Training Plan</w:t>
      </w:r>
    </w:p>
    <w:p w:rsidR="00E70407" w:rsidRPr="00E70407" w:rsidRDefault="00E70407" w:rsidP="00E70407">
      <w:pPr>
        <w:numPr>
          <w:ilvl w:val="0"/>
          <w:numId w:val="279"/>
        </w:numPr>
        <w:rPr>
          <w:rFonts w:ascii="Times New Roman" w:eastAsia="Times New Roman" w:hAnsi="Times New Roman"/>
          <w:sz w:val="17"/>
          <w:szCs w:val="17"/>
        </w:rPr>
      </w:pPr>
      <w:r w:rsidRPr="00E70407">
        <w:rPr>
          <w:rFonts w:ascii="Times New Roman" w:eastAsia="Times New Roman" w:hAnsi="Times New Roman"/>
          <w:sz w:val="17"/>
          <w:szCs w:val="17"/>
        </w:rPr>
        <w:t>prejudice the employment of the apprentice or trainee, or place the apprentice or trainee at a disadvantage, because the apprentice or trainee participates or attempts to participate in such training</w:t>
      </w:r>
    </w:p>
    <w:p w:rsidR="00E70407" w:rsidRPr="00E70407" w:rsidRDefault="00E70407" w:rsidP="00E70407">
      <w:pPr>
        <w:numPr>
          <w:ilvl w:val="0"/>
          <w:numId w:val="279"/>
        </w:numPr>
        <w:rPr>
          <w:rFonts w:ascii="Times New Roman" w:eastAsia="Times New Roman" w:hAnsi="Times New Roman"/>
          <w:sz w:val="17"/>
          <w:szCs w:val="17"/>
        </w:rPr>
      </w:pPr>
      <w:r w:rsidRPr="00E70407">
        <w:rPr>
          <w:rFonts w:ascii="Times New Roman" w:eastAsia="Times New Roman" w:hAnsi="Times New Roman"/>
          <w:sz w:val="17"/>
          <w:szCs w:val="17"/>
        </w:rPr>
        <w:t>take any other steps to discourage the apprentice or trainee from participating in such training</w:t>
      </w:r>
    </w:p>
    <w:p w:rsidR="00E70407" w:rsidRPr="00E70407" w:rsidRDefault="00E70407" w:rsidP="00E70407">
      <w:pPr>
        <w:numPr>
          <w:ilvl w:val="0"/>
          <w:numId w:val="279"/>
        </w:numPr>
        <w:rPr>
          <w:rFonts w:ascii="Times New Roman" w:eastAsia="Times New Roman" w:hAnsi="Times New Roman"/>
          <w:sz w:val="17"/>
          <w:szCs w:val="17"/>
        </w:rPr>
      </w:pPr>
      <w:r w:rsidRPr="00E70407">
        <w:rPr>
          <w:rFonts w:ascii="Times New Roman" w:eastAsia="Times New Roman" w:hAnsi="Times New Roman"/>
          <w:sz w:val="17"/>
          <w:szCs w:val="17"/>
        </w:rPr>
        <w:t>place, or permit the placement of, an apprentice or trainee under the Training Contract with a prohibited employer</w:t>
      </w:r>
    </w:p>
    <w:p w:rsidR="00E70407" w:rsidRPr="00E70407" w:rsidRDefault="00E70407" w:rsidP="00E70407">
      <w:pPr>
        <w:numPr>
          <w:ilvl w:val="0"/>
          <w:numId w:val="279"/>
        </w:numPr>
        <w:rPr>
          <w:rFonts w:ascii="Times New Roman" w:eastAsia="Times New Roman" w:hAnsi="Times New Roman"/>
          <w:sz w:val="17"/>
          <w:szCs w:val="17"/>
        </w:rPr>
      </w:pPr>
      <w:r w:rsidRPr="00E70407">
        <w:rPr>
          <w:rFonts w:ascii="Times New Roman" w:eastAsia="Times New Roman" w:hAnsi="Times New Roman"/>
          <w:sz w:val="17"/>
          <w:szCs w:val="17"/>
        </w:rPr>
        <w:t>without the authorisation of the Commission, place, or permit the placement of, an apprentice or trainee under the Training Contract with an employer who is not a registered employer.</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7.4.4</w:t>
      </w:r>
      <w:r w:rsidRPr="00E70407">
        <w:rPr>
          <w:rFonts w:ascii="Times New Roman" w:eastAsia="Times New Roman" w:hAnsi="Times New Roman"/>
          <w:sz w:val="17"/>
          <w:szCs w:val="17"/>
        </w:rPr>
        <w:tab/>
        <w:t>The Commission may, in relation to an employer's failure to satisfy the employer's obligations under the Training Contract, do one or more of the following:</w:t>
      </w:r>
    </w:p>
    <w:p w:rsidR="00E70407" w:rsidRPr="00E70407" w:rsidRDefault="00E70407" w:rsidP="00E70407">
      <w:pPr>
        <w:numPr>
          <w:ilvl w:val="0"/>
          <w:numId w:val="280"/>
        </w:numPr>
        <w:rPr>
          <w:rFonts w:ascii="Times New Roman" w:eastAsia="Times New Roman" w:hAnsi="Times New Roman"/>
          <w:sz w:val="17"/>
          <w:szCs w:val="17"/>
        </w:rPr>
      </w:pPr>
      <w:r w:rsidRPr="00E70407">
        <w:rPr>
          <w:rFonts w:ascii="Times New Roman" w:eastAsia="Times New Roman" w:hAnsi="Times New Roman"/>
          <w:sz w:val="17"/>
          <w:szCs w:val="17"/>
        </w:rPr>
        <w:t>give the employer a written warning</w:t>
      </w:r>
    </w:p>
    <w:p w:rsidR="00E70407" w:rsidRPr="00E70407" w:rsidRDefault="00E70407" w:rsidP="00E70407">
      <w:pPr>
        <w:numPr>
          <w:ilvl w:val="0"/>
          <w:numId w:val="280"/>
        </w:numPr>
        <w:rPr>
          <w:rFonts w:ascii="Times New Roman" w:eastAsia="Times New Roman" w:hAnsi="Times New Roman"/>
          <w:sz w:val="17"/>
          <w:szCs w:val="17"/>
        </w:rPr>
      </w:pPr>
      <w:r w:rsidRPr="00E70407">
        <w:rPr>
          <w:rFonts w:ascii="Times New Roman" w:eastAsia="Times New Roman" w:hAnsi="Times New Roman"/>
          <w:sz w:val="17"/>
          <w:szCs w:val="17"/>
        </w:rPr>
        <w:t>vary, suspend, or cancel the employer's registration</w:t>
      </w:r>
    </w:p>
    <w:p w:rsidR="00E70407" w:rsidRPr="00E70407" w:rsidRDefault="00E70407" w:rsidP="00E70407">
      <w:pPr>
        <w:numPr>
          <w:ilvl w:val="0"/>
          <w:numId w:val="280"/>
        </w:numPr>
        <w:rPr>
          <w:rFonts w:ascii="Times New Roman" w:eastAsia="Times New Roman" w:hAnsi="Times New Roman"/>
          <w:sz w:val="17"/>
          <w:szCs w:val="17"/>
        </w:rPr>
      </w:pPr>
      <w:r w:rsidRPr="00E70407">
        <w:rPr>
          <w:rFonts w:ascii="Times New Roman" w:eastAsia="Times New Roman" w:hAnsi="Times New Roman"/>
          <w:sz w:val="17"/>
          <w:szCs w:val="17"/>
        </w:rPr>
        <w:t>issue a compliance notice</w:t>
      </w:r>
    </w:p>
    <w:p w:rsidR="00E70407" w:rsidRPr="00E70407" w:rsidRDefault="00E70407" w:rsidP="00E70407">
      <w:pPr>
        <w:numPr>
          <w:ilvl w:val="0"/>
          <w:numId w:val="280"/>
        </w:numPr>
        <w:rPr>
          <w:rFonts w:ascii="Times New Roman" w:eastAsia="Times New Roman" w:hAnsi="Times New Roman"/>
          <w:sz w:val="17"/>
          <w:szCs w:val="17"/>
        </w:rPr>
      </w:pPr>
      <w:r w:rsidRPr="00E70407">
        <w:rPr>
          <w:rFonts w:ascii="Times New Roman" w:eastAsia="Times New Roman" w:hAnsi="Times New Roman"/>
          <w:sz w:val="17"/>
          <w:szCs w:val="17"/>
        </w:rPr>
        <w:t>declare the employer to be a prohibited employer.</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7.4.5</w:t>
      </w:r>
      <w:r w:rsidRPr="00E70407">
        <w:rPr>
          <w:rFonts w:ascii="Times New Roman" w:eastAsia="Times New Roman" w:hAnsi="Times New Roman"/>
          <w:sz w:val="17"/>
          <w:szCs w:val="17"/>
        </w:rPr>
        <w:tab/>
        <w:t xml:space="preserve">An </w:t>
      </w:r>
      <w:r w:rsidRPr="00E70407">
        <w:rPr>
          <w:rFonts w:ascii="Times New Roman" w:eastAsia="Times New Roman" w:hAnsi="Times New Roman"/>
          <w:sz w:val="17"/>
          <w:szCs w:val="17"/>
          <w:lang w:val="en-GB"/>
        </w:rPr>
        <w:t>employer</w:t>
      </w:r>
      <w:r w:rsidRPr="00E70407">
        <w:rPr>
          <w:rFonts w:ascii="Times New Roman" w:eastAsia="Times New Roman" w:hAnsi="Times New Roman"/>
          <w:sz w:val="17"/>
          <w:szCs w:val="17"/>
        </w:rPr>
        <w:t xml:space="preserve"> must </w:t>
      </w:r>
      <w:r w:rsidRPr="00E70407">
        <w:rPr>
          <w:rFonts w:ascii="Times New Roman" w:eastAsia="Times New Roman" w:hAnsi="Times New Roman"/>
          <w:sz w:val="17"/>
          <w:szCs w:val="17"/>
          <w:lang w:val="en-GB"/>
        </w:rPr>
        <w:t xml:space="preserve">must maintain appropriate records to demonstrate that the obligations in the </w:t>
      </w:r>
      <w:r w:rsidRPr="00E70407">
        <w:rPr>
          <w:rFonts w:ascii="Times New Roman" w:eastAsia="Times New Roman" w:hAnsi="Times New Roman"/>
          <w:i/>
          <w:iCs/>
          <w:sz w:val="17"/>
          <w:szCs w:val="17"/>
          <w:lang w:val="en-GB"/>
        </w:rPr>
        <w:t>SAS Act, South Australian Skills Regulations 2021</w:t>
      </w:r>
      <w:r w:rsidRPr="00E70407">
        <w:rPr>
          <w:rFonts w:ascii="Times New Roman" w:eastAsia="Times New Roman" w:hAnsi="Times New Roman"/>
          <w:iCs/>
          <w:sz w:val="17"/>
          <w:szCs w:val="17"/>
          <w:lang w:val="en-GB"/>
        </w:rPr>
        <w:t xml:space="preserve"> (the </w:t>
      </w:r>
      <w:r w:rsidRPr="00E70407">
        <w:rPr>
          <w:rFonts w:ascii="Times New Roman" w:eastAsia="Times New Roman" w:hAnsi="Times New Roman"/>
          <w:i/>
          <w:iCs/>
          <w:sz w:val="17"/>
          <w:szCs w:val="17"/>
          <w:lang w:val="en-GB"/>
        </w:rPr>
        <w:t>Regulations</w:t>
      </w:r>
      <w:r w:rsidRPr="00E70407">
        <w:rPr>
          <w:rFonts w:ascii="Times New Roman" w:eastAsia="Times New Roman" w:hAnsi="Times New Roman"/>
          <w:iCs/>
          <w:sz w:val="17"/>
          <w:szCs w:val="17"/>
          <w:lang w:val="en-GB"/>
        </w:rPr>
        <w:t>)</w:t>
      </w:r>
      <w:r w:rsidRPr="00E70407">
        <w:rPr>
          <w:rFonts w:ascii="Times New Roman" w:eastAsia="Times New Roman" w:hAnsi="Times New Roman"/>
          <w:sz w:val="17"/>
          <w:szCs w:val="17"/>
          <w:lang w:val="en-GB"/>
        </w:rPr>
        <w:t xml:space="preserve"> and Standard 14, Record Keeping have been met.</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7.4.6</w:t>
      </w:r>
      <w:r w:rsidRPr="00E70407">
        <w:rPr>
          <w:rFonts w:ascii="Times New Roman" w:eastAsia="Times New Roman" w:hAnsi="Times New Roman"/>
          <w:sz w:val="17"/>
          <w:szCs w:val="17"/>
        </w:rPr>
        <w:tab/>
        <w:t xml:space="preserve">The </w:t>
      </w:r>
      <w:r w:rsidRPr="00E70407">
        <w:rPr>
          <w:rFonts w:ascii="Times New Roman" w:eastAsia="Times New Roman" w:hAnsi="Times New Roman"/>
          <w:sz w:val="17"/>
          <w:szCs w:val="17"/>
          <w:lang w:val="en-GB"/>
        </w:rPr>
        <w:t>maximum</w:t>
      </w:r>
      <w:r w:rsidRPr="00E70407">
        <w:rPr>
          <w:rFonts w:ascii="Times New Roman" w:eastAsia="Times New Roman" w:hAnsi="Times New Roman"/>
          <w:sz w:val="17"/>
          <w:szCs w:val="17"/>
        </w:rPr>
        <w:t xml:space="preserve"> penalty for a breach of this requirement is $5,000, and the expiation fee is $315.</w:t>
      </w:r>
    </w:p>
    <w:p w:rsidR="00E70407" w:rsidRPr="00E70407" w:rsidRDefault="00E70407" w:rsidP="00E70407">
      <w:pPr>
        <w:numPr>
          <w:ilvl w:val="1"/>
          <w:numId w:val="366"/>
        </w:numPr>
        <w:ind w:left="350"/>
        <w:rPr>
          <w:rFonts w:ascii="Times New Roman" w:eastAsia="Times New Roman" w:hAnsi="Times New Roman"/>
          <w:b/>
          <w:bCs/>
          <w:sz w:val="17"/>
          <w:szCs w:val="17"/>
        </w:rPr>
      </w:pPr>
      <w:r w:rsidRPr="00E70407">
        <w:rPr>
          <w:rFonts w:ascii="Times New Roman" w:eastAsia="Times New Roman" w:hAnsi="Times New Roman"/>
          <w:b/>
          <w:sz w:val="17"/>
          <w:szCs w:val="17"/>
        </w:rPr>
        <w:t>Training</w:t>
      </w:r>
      <w:r w:rsidRPr="00E70407">
        <w:rPr>
          <w:rFonts w:ascii="Times New Roman" w:eastAsia="Times New Roman" w:hAnsi="Times New Roman"/>
          <w:b/>
          <w:bCs/>
          <w:sz w:val="17"/>
          <w:szCs w:val="17"/>
        </w:rPr>
        <w:t xml:space="preserve"> contract obligations on the apprentice or trainee (</w:t>
      </w:r>
      <w:r w:rsidRPr="00E70407">
        <w:rPr>
          <w:rFonts w:ascii="Times New Roman" w:eastAsia="Times New Roman" w:hAnsi="Times New Roman"/>
          <w:b/>
          <w:i/>
          <w:sz w:val="17"/>
          <w:szCs w:val="17"/>
        </w:rPr>
        <w:t xml:space="preserve">SAS Act </w:t>
      </w:r>
      <w:r w:rsidRPr="00E70407">
        <w:rPr>
          <w:rFonts w:ascii="Times New Roman" w:eastAsia="Times New Roman" w:hAnsi="Times New Roman"/>
          <w:b/>
          <w:bCs/>
          <w:sz w:val="17"/>
          <w:szCs w:val="17"/>
        </w:rPr>
        <w:t>S54M)</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7.5.1</w:t>
      </w:r>
      <w:r w:rsidRPr="00E70407">
        <w:rPr>
          <w:rFonts w:ascii="Times New Roman" w:eastAsia="Times New Roman" w:hAnsi="Times New Roman"/>
          <w:sz w:val="17"/>
          <w:szCs w:val="17"/>
        </w:rPr>
        <w:tab/>
        <w:t xml:space="preserve">An </w:t>
      </w:r>
      <w:r w:rsidRPr="00E70407">
        <w:rPr>
          <w:rFonts w:ascii="Times New Roman" w:eastAsia="Times New Roman" w:hAnsi="Times New Roman"/>
          <w:sz w:val="17"/>
          <w:szCs w:val="17"/>
          <w:lang w:val="en-GB"/>
        </w:rPr>
        <w:t>apprentice</w:t>
      </w:r>
      <w:r w:rsidRPr="00E70407">
        <w:rPr>
          <w:rFonts w:ascii="Times New Roman" w:eastAsia="Times New Roman" w:hAnsi="Times New Roman"/>
          <w:sz w:val="17"/>
          <w:szCs w:val="17"/>
        </w:rPr>
        <w:t xml:space="preserve"> or trainee, in relation to a Training Contract, must:</w:t>
      </w:r>
    </w:p>
    <w:p w:rsidR="00E70407" w:rsidRPr="00E70407" w:rsidRDefault="00E70407" w:rsidP="00E70407">
      <w:pPr>
        <w:numPr>
          <w:ilvl w:val="0"/>
          <w:numId w:val="281"/>
        </w:numPr>
        <w:rPr>
          <w:rFonts w:ascii="Times New Roman" w:eastAsia="Times New Roman" w:hAnsi="Times New Roman"/>
          <w:sz w:val="17"/>
          <w:szCs w:val="17"/>
        </w:rPr>
      </w:pPr>
      <w:r w:rsidRPr="00E70407">
        <w:rPr>
          <w:rFonts w:ascii="Times New Roman" w:eastAsia="Times New Roman" w:hAnsi="Times New Roman"/>
          <w:sz w:val="17"/>
          <w:szCs w:val="17"/>
        </w:rPr>
        <w:t>comply with the Standards</w:t>
      </w:r>
    </w:p>
    <w:p w:rsidR="00E70407" w:rsidRPr="00E70407" w:rsidRDefault="00E70407" w:rsidP="00E70407">
      <w:pPr>
        <w:numPr>
          <w:ilvl w:val="0"/>
          <w:numId w:val="281"/>
        </w:numPr>
        <w:rPr>
          <w:rFonts w:ascii="Times New Roman" w:eastAsia="Times New Roman" w:hAnsi="Times New Roman"/>
          <w:sz w:val="17"/>
          <w:szCs w:val="17"/>
        </w:rPr>
      </w:pPr>
      <w:r w:rsidRPr="00E70407">
        <w:rPr>
          <w:rFonts w:ascii="Times New Roman" w:eastAsia="Times New Roman" w:hAnsi="Times New Roman"/>
          <w:sz w:val="17"/>
          <w:szCs w:val="17"/>
        </w:rPr>
        <w:lastRenderedPageBreak/>
        <w:t>comply with any other obligation specified in the Training Contract or Training Plan that is applicable to the apprentice or trainee</w:t>
      </w:r>
    </w:p>
    <w:p w:rsidR="00E70407" w:rsidRPr="00E70407" w:rsidRDefault="00E70407" w:rsidP="00E70407">
      <w:pPr>
        <w:numPr>
          <w:ilvl w:val="0"/>
          <w:numId w:val="281"/>
        </w:numPr>
        <w:rPr>
          <w:rFonts w:ascii="Times New Roman" w:eastAsia="Times New Roman" w:hAnsi="Times New Roman"/>
          <w:sz w:val="17"/>
          <w:szCs w:val="17"/>
        </w:rPr>
      </w:pPr>
      <w:r w:rsidRPr="00E70407">
        <w:rPr>
          <w:rFonts w:ascii="Times New Roman" w:eastAsia="Times New Roman" w:hAnsi="Times New Roman"/>
          <w:sz w:val="17"/>
          <w:szCs w:val="17"/>
        </w:rPr>
        <w:t>as far as is reasonably practicable:</w:t>
      </w:r>
    </w:p>
    <w:p w:rsidR="00E70407" w:rsidRPr="00E70407" w:rsidRDefault="00E70407" w:rsidP="00E70407">
      <w:pPr>
        <w:numPr>
          <w:ilvl w:val="0"/>
          <w:numId w:val="367"/>
        </w:numPr>
        <w:ind w:left="1560"/>
        <w:rPr>
          <w:rFonts w:ascii="Times New Roman" w:eastAsia="Times New Roman" w:hAnsi="Times New Roman"/>
          <w:sz w:val="17"/>
          <w:szCs w:val="17"/>
        </w:rPr>
      </w:pPr>
      <w:r w:rsidRPr="00E70407">
        <w:rPr>
          <w:rFonts w:ascii="Times New Roman" w:eastAsia="Times New Roman" w:hAnsi="Times New Roman"/>
          <w:sz w:val="17"/>
          <w:szCs w:val="17"/>
        </w:rPr>
        <w:t>participate in the development of their Training Plan</w:t>
      </w:r>
    </w:p>
    <w:p w:rsidR="00E70407" w:rsidRPr="00E70407" w:rsidRDefault="00E70407" w:rsidP="00E70407">
      <w:pPr>
        <w:numPr>
          <w:ilvl w:val="0"/>
          <w:numId w:val="367"/>
        </w:numPr>
        <w:ind w:left="1560"/>
        <w:rPr>
          <w:rFonts w:ascii="Times New Roman" w:eastAsia="Times New Roman" w:hAnsi="Times New Roman"/>
          <w:sz w:val="17"/>
          <w:szCs w:val="17"/>
        </w:rPr>
      </w:pPr>
      <w:r w:rsidRPr="00E70407">
        <w:rPr>
          <w:rFonts w:ascii="Times New Roman" w:eastAsia="Times New Roman" w:hAnsi="Times New Roman"/>
          <w:sz w:val="17"/>
          <w:szCs w:val="17"/>
        </w:rPr>
        <w:t>contribute to the attainment of their development goals under the Training Contract and Training Plan.</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7.5.2</w:t>
      </w:r>
      <w:r w:rsidRPr="00E70407">
        <w:rPr>
          <w:rFonts w:ascii="Times New Roman" w:eastAsia="Times New Roman" w:hAnsi="Times New Roman"/>
          <w:sz w:val="17"/>
          <w:szCs w:val="17"/>
        </w:rPr>
        <w:tab/>
        <w:t xml:space="preserve">The </w:t>
      </w:r>
      <w:r w:rsidRPr="00E70407">
        <w:rPr>
          <w:rFonts w:ascii="Times New Roman" w:eastAsia="Times New Roman" w:hAnsi="Times New Roman"/>
          <w:sz w:val="17"/>
          <w:szCs w:val="17"/>
          <w:lang w:val="en-GB"/>
        </w:rPr>
        <w:t>Commission</w:t>
      </w:r>
      <w:r w:rsidRPr="00E70407">
        <w:rPr>
          <w:rFonts w:ascii="Times New Roman" w:eastAsia="Times New Roman" w:hAnsi="Times New Roman"/>
          <w:sz w:val="17"/>
          <w:szCs w:val="17"/>
        </w:rPr>
        <w:t xml:space="preserve"> may, in relation to an apprentice or trainee failing to comply with their obligations under a Training Contract, do one or more of the following:</w:t>
      </w:r>
    </w:p>
    <w:p w:rsidR="00E70407" w:rsidRPr="00E70407" w:rsidRDefault="00E70407" w:rsidP="00E70407">
      <w:pPr>
        <w:numPr>
          <w:ilvl w:val="0"/>
          <w:numId w:val="282"/>
        </w:numPr>
        <w:rPr>
          <w:rFonts w:ascii="Times New Roman" w:eastAsia="Times New Roman" w:hAnsi="Times New Roman"/>
          <w:sz w:val="17"/>
          <w:szCs w:val="17"/>
        </w:rPr>
      </w:pPr>
      <w:r w:rsidRPr="00E70407">
        <w:rPr>
          <w:rFonts w:ascii="Times New Roman" w:eastAsia="Times New Roman" w:hAnsi="Times New Roman"/>
          <w:sz w:val="17"/>
          <w:szCs w:val="17"/>
        </w:rPr>
        <w:t>give the apprentice or trainee a written warning</w:t>
      </w:r>
    </w:p>
    <w:p w:rsidR="00E70407" w:rsidRPr="00E70407" w:rsidRDefault="00E70407" w:rsidP="00E70407">
      <w:pPr>
        <w:numPr>
          <w:ilvl w:val="0"/>
          <w:numId w:val="282"/>
        </w:numPr>
        <w:rPr>
          <w:rFonts w:ascii="Times New Roman" w:eastAsia="Times New Roman" w:hAnsi="Times New Roman"/>
          <w:sz w:val="17"/>
          <w:szCs w:val="17"/>
        </w:rPr>
      </w:pPr>
      <w:r w:rsidRPr="00E70407">
        <w:rPr>
          <w:rFonts w:ascii="Times New Roman" w:eastAsia="Times New Roman" w:hAnsi="Times New Roman"/>
          <w:sz w:val="17"/>
          <w:szCs w:val="17"/>
        </w:rPr>
        <w:t>require the parties to the Training Contract to attend a dispute resolution process</w:t>
      </w:r>
    </w:p>
    <w:p w:rsidR="00E70407" w:rsidRPr="00E70407" w:rsidRDefault="00E70407" w:rsidP="00E70407">
      <w:pPr>
        <w:numPr>
          <w:ilvl w:val="0"/>
          <w:numId w:val="282"/>
        </w:numPr>
        <w:rPr>
          <w:rFonts w:ascii="Times New Roman" w:eastAsia="Times New Roman" w:hAnsi="Times New Roman"/>
          <w:sz w:val="17"/>
          <w:szCs w:val="17"/>
        </w:rPr>
      </w:pPr>
      <w:r w:rsidRPr="00E70407">
        <w:rPr>
          <w:rFonts w:ascii="Times New Roman" w:eastAsia="Times New Roman" w:hAnsi="Times New Roman"/>
          <w:sz w:val="17"/>
          <w:szCs w:val="17"/>
        </w:rPr>
        <w:t>suspend the Training Contract</w:t>
      </w:r>
    </w:p>
    <w:p w:rsidR="00E70407" w:rsidRPr="00E70407" w:rsidRDefault="00E70407" w:rsidP="00E70407">
      <w:pPr>
        <w:numPr>
          <w:ilvl w:val="0"/>
          <w:numId w:val="282"/>
        </w:numPr>
        <w:rPr>
          <w:rFonts w:ascii="Times New Roman" w:eastAsia="Times New Roman" w:hAnsi="Times New Roman"/>
          <w:sz w:val="17"/>
          <w:szCs w:val="17"/>
        </w:rPr>
      </w:pPr>
      <w:r w:rsidRPr="00E70407">
        <w:rPr>
          <w:rFonts w:ascii="Times New Roman" w:eastAsia="Times New Roman" w:hAnsi="Times New Roman"/>
          <w:sz w:val="17"/>
          <w:szCs w:val="17"/>
        </w:rPr>
        <w:t>terminate the Training Contract.</w:t>
      </w:r>
    </w:p>
    <w:p w:rsidR="00E70407" w:rsidRPr="00E70407" w:rsidRDefault="00E70407" w:rsidP="00E70407">
      <w:pPr>
        <w:numPr>
          <w:ilvl w:val="1"/>
          <w:numId w:val="366"/>
        </w:numPr>
        <w:ind w:left="350"/>
        <w:rPr>
          <w:rFonts w:ascii="Times New Roman" w:eastAsia="Times New Roman" w:hAnsi="Times New Roman"/>
          <w:sz w:val="17"/>
          <w:szCs w:val="17"/>
        </w:rPr>
      </w:pPr>
      <w:r w:rsidRPr="00E70407">
        <w:rPr>
          <w:rFonts w:ascii="Times New Roman" w:eastAsia="Times New Roman" w:hAnsi="Times New Roman"/>
          <w:b/>
          <w:bCs/>
          <w:sz w:val="17"/>
          <w:szCs w:val="17"/>
          <w:lang w:val="en-GB"/>
        </w:rPr>
        <w:t>Review of decisions by the South Australian Civil and Administrative Tribunal (</w:t>
      </w:r>
      <w:r w:rsidRPr="00E70407">
        <w:rPr>
          <w:rFonts w:ascii="Times New Roman" w:eastAsia="Times New Roman" w:hAnsi="Times New Roman"/>
          <w:b/>
          <w:i/>
          <w:sz w:val="17"/>
          <w:szCs w:val="17"/>
          <w:lang w:val="en-GB"/>
        </w:rPr>
        <w:t>SAS Act</w:t>
      </w:r>
      <w:r w:rsidRPr="00E70407">
        <w:rPr>
          <w:rFonts w:ascii="Times New Roman" w:eastAsia="Times New Roman" w:hAnsi="Times New Roman"/>
          <w:b/>
          <w:bCs/>
          <w:sz w:val="17"/>
          <w:szCs w:val="17"/>
          <w:lang w:val="en-GB"/>
        </w:rPr>
        <w:t>, S70F)</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lang w:val="en-GB"/>
        </w:rPr>
        <w:t>7.6.1</w:t>
      </w:r>
      <w:r w:rsidRPr="00E70407">
        <w:rPr>
          <w:rFonts w:ascii="Times New Roman" w:eastAsia="Times New Roman" w:hAnsi="Times New Roman"/>
          <w:sz w:val="17"/>
          <w:szCs w:val="17"/>
        </w:rPr>
        <w:tab/>
      </w:r>
      <w:bookmarkStart w:id="116" w:name="_Hlk71550929"/>
      <w:r w:rsidRPr="00E70407">
        <w:rPr>
          <w:rFonts w:ascii="Times New Roman" w:eastAsia="Times New Roman" w:hAnsi="Times New Roman"/>
          <w:sz w:val="17"/>
          <w:szCs w:val="17"/>
          <w:lang w:val="en-GB"/>
        </w:rPr>
        <w:t xml:space="preserve">The South Australian Civil and Administrative Tribunal (SACAT) has jurisdiction to review a decision of the Commission to refuse an application by a person under 15 years of age to enter into a Training Contract under Section 46(7) of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iCs/>
          <w:sz w:val="17"/>
          <w:szCs w:val="17"/>
          <w:lang w:val="en-GB"/>
        </w:rPr>
        <w:t>Act</w:t>
      </w:r>
      <w:r w:rsidRPr="00E70407">
        <w:rPr>
          <w:rFonts w:ascii="Times New Roman" w:eastAsia="Times New Roman" w:hAnsi="Times New Roman"/>
          <w:sz w:val="17"/>
          <w:szCs w:val="17"/>
          <w:lang w:val="en-GB"/>
        </w:rPr>
        <w:t>.</w:t>
      </w:r>
    </w:p>
    <w:bookmarkEnd w:id="116"/>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lang w:val="en-GB"/>
        </w:rPr>
        <w:t>7.6.2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An applicant must apply to the SACAT within 28 days of receiving notice of the relevant decision.</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lang w:val="en-GB"/>
        </w:rPr>
        <w:t>7.6.3</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 SACAT may allow an extension of time to this application period if it is satisfied that:</w:t>
      </w:r>
    </w:p>
    <w:p w:rsidR="00E70407" w:rsidRPr="00E70407" w:rsidRDefault="00E70407" w:rsidP="00E70407">
      <w:pPr>
        <w:numPr>
          <w:ilvl w:val="0"/>
          <w:numId w:val="283"/>
        </w:numPr>
        <w:rPr>
          <w:rFonts w:ascii="Times New Roman" w:eastAsia="Times New Roman" w:hAnsi="Times New Roman"/>
          <w:sz w:val="17"/>
          <w:szCs w:val="17"/>
        </w:rPr>
      </w:pPr>
      <w:r w:rsidRPr="00E70407">
        <w:rPr>
          <w:rFonts w:ascii="Times New Roman" w:eastAsia="Times New Roman" w:hAnsi="Times New Roman"/>
          <w:sz w:val="17"/>
          <w:szCs w:val="17"/>
        </w:rPr>
        <w:t>special circumstances exist</w:t>
      </w:r>
    </w:p>
    <w:p w:rsidR="00E70407" w:rsidRPr="00E70407" w:rsidRDefault="00E70407" w:rsidP="00E70407">
      <w:pPr>
        <w:numPr>
          <w:ilvl w:val="0"/>
          <w:numId w:val="283"/>
        </w:numPr>
        <w:rPr>
          <w:rFonts w:ascii="Times New Roman" w:eastAsia="Times New Roman" w:hAnsi="Times New Roman"/>
          <w:sz w:val="17"/>
          <w:szCs w:val="17"/>
        </w:rPr>
      </w:pPr>
      <w:r w:rsidRPr="00E70407">
        <w:rPr>
          <w:rFonts w:ascii="Times New Roman" w:eastAsia="Times New Roman" w:hAnsi="Times New Roman"/>
          <w:sz w:val="17"/>
          <w:szCs w:val="17"/>
        </w:rPr>
        <w:t>another party will not be unreasonably disadvantaged because of the delay in commencing proceedings.</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7.6.4</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 xml:space="preserve">An application to the SACAT to review a decision must be made using the online form available at </w:t>
      </w:r>
      <w:hyperlink r:id="rId105" w:history="1">
        <w:r w:rsidRPr="00E70407">
          <w:rPr>
            <w:rFonts w:ascii="Times New Roman" w:eastAsia="Times New Roman" w:hAnsi="Times New Roman"/>
            <w:color w:val="0000FF"/>
            <w:sz w:val="17"/>
            <w:szCs w:val="17"/>
            <w:u w:val="single"/>
            <w:lang w:val="en-GB"/>
          </w:rPr>
          <w:t>www.sacat.sa.gov.au/application-form</w:t>
        </w:r>
      </w:hyperlink>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7.6.5</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rsidR="00E70407" w:rsidRPr="00E70407" w:rsidRDefault="00E70407" w:rsidP="00E70407">
      <w:pPr>
        <w:pBdr>
          <w:top w:val="single" w:sz="4" w:space="1" w:color="auto"/>
        </w:pBdr>
        <w:tabs>
          <w:tab w:val="left" w:pos="709"/>
        </w:tabs>
        <w:spacing w:before="100" w:line="14" w:lineRule="exact"/>
        <w:ind w:left="1080" w:right="1080"/>
        <w:jc w:val="center"/>
        <w:rPr>
          <w:rFonts w:ascii="Times New Roman" w:eastAsia="Times New Roman" w:hAnsi="Times New Roman"/>
          <w:sz w:val="17"/>
          <w:szCs w:val="17"/>
          <w:lang w:val="en-GB"/>
        </w:rPr>
      </w:pPr>
    </w:p>
    <w:p w:rsidR="00E70407" w:rsidRPr="00E70407" w:rsidRDefault="00E70407" w:rsidP="00E70407">
      <w:pPr>
        <w:jc w:val="center"/>
        <w:rPr>
          <w:rFonts w:ascii="Times New Roman" w:hAnsi="Times New Roman"/>
          <w:smallCaps/>
          <w:sz w:val="17"/>
          <w:szCs w:val="17"/>
        </w:rPr>
      </w:pPr>
      <w:bookmarkStart w:id="117" w:name="_Toc71813718"/>
      <w:bookmarkStart w:id="118" w:name="_Toc75255250"/>
      <w:r w:rsidRPr="00E70407">
        <w:rPr>
          <w:rFonts w:ascii="Times New Roman" w:hAnsi="Times New Roman"/>
          <w:smallCaps/>
          <w:sz w:val="17"/>
          <w:szCs w:val="17"/>
        </w:rPr>
        <w:t>Standard 8</w:t>
      </w:r>
      <w:r w:rsidRPr="00E70407">
        <w:rPr>
          <w:rFonts w:ascii="Times New Roman" w:hAnsi="Times New Roman"/>
          <w:smallCaps/>
          <w:sz w:val="17"/>
          <w:szCs w:val="17"/>
        </w:rPr>
        <w:tab/>
      </w:r>
      <w:r w:rsidRPr="00E70407">
        <w:rPr>
          <w:rFonts w:ascii="Times New Roman" w:hAnsi="Times New Roman"/>
          <w:smallCaps/>
          <w:sz w:val="17"/>
          <w:szCs w:val="17"/>
        </w:rPr>
        <w:tab/>
        <w:t>Training Contract Conditions</w:t>
      </w:r>
      <w:bookmarkEnd w:id="117"/>
      <w:bookmarkEnd w:id="118"/>
    </w:p>
    <w:p w:rsidR="00E70407" w:rsidRPr="00E70407" w:rsidRDefault="00E70407" w:rsidP="00E70407">
      <w:pPr>
        <w:rPr>
          <w:rFonts w:ascii="Times New Roman" w:eastAsia="Times New Roman" w:hAnsi="Times New Roman"/>
          <w:sz w:val="17"/>
          <w:szCs w:val="17"/>
        </w:rPr>
      </w:pPr>
      <w:bookmarkStart w:id="119" w:name="_Hlk71701922"/>
      <w:r w:rsidRPr="00E70407">
        <w:rPr>
          <w:rFonts w:ascii="Times New Roman" w:eastAsia="Times New Roman" w:hAnsi="Times New Roman"/>
          <w:sz w:val="17"/>
          <w:szCs w:val="17"/>
        </w:rPr>
        <w:t xml:space="preserve">This Standard relates to the </w:t>
      </w:r>
      <w:bookmarkEnd w:id="119"/>
      <w:r w:rsidRPr="00E70407">
        <w:rPr>
          <w:rFonts w:ascii="Times New Roman" w:eastAsia="Times New Roman" w:hAnsi="Times New Roman"/>
          <w:sz w:val="17"/>
          <w:szCs w:val="17"/>
        </w:rPr>
        <w:t xml:space="preserve">setting of Training Contract conditions, including the probationary period in accordance with the </w:t>
      </w:r>
      <w:r w:rsidRPr="00E70407">
        <w:rPr>
          <w:rFonts w:ascii="Times New Roman" w:eastAsia="Times New Roman" w:hAnsi="Times New Roman"/>
          <w:i/>
          <w:iCs/>
          <w:sz w:val="17"/>
          <w:szCs w:val="17"/>
        </w:rPr>
        <w:t>South Australian Skills Act 2008</w:t>
      </w:r>
      <w:r w:rsidRPr="00E70407">
        <w:rPr>
          <w:rFonts w:ascii="Times New Roman" w:eastAsia="Times New Roman" w:hAnsi="Times New Roman"/>
          <w:sz w:val="17"/>
          <w:szCs w:val="17"/>
        </w:rPr>
        <w:t xml:space="preserve">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xml:space="preserve">). </w:t>
      </w:r>
      <w:r w:rsidRPr="00E70407">
        <w:rPr>
          <w:rFonts w:ascii="Times New Roman" w:eastAsia="Times New Roman" w:hAnsi="Times New Roman"/>
          <w:sz w:val="17"/>
          <w:szCs w:val="17"/>
          <w:lang w:val="en-GB"/>
        </w:rPr>
        <w:t>The South Australian Skills Commission (the Commission) is responsible for the regulation of the apprenticeship and traineeship system.</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Governance arrangements</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The Commission, under Section 45(2) of the </w:t>
      </w:r>
      <w:r w:rsidRPr="00E70407">
        <w:rPr>
          <w:rFonts w:ascii="Times New Roman" w:eastAsia="Times New Roman" w:hAnsi="Times New Roman"/>
          <w:i/>
          <w:iCs/>
          <w:sz w:val="17"/>
          <w:szCs w:val="17"/>
        </w:rPr>
        <w:t xml:space="preserve">SAS Act, </w:t>
      </w:r>
      <w:r w:rsidRPr="00E70407">
        <w:rPr>
          <w:rFonts w:ascii="Times New Roman" w:eastAsia="Times New Roman" w:hAnsi="Times New Roman"/>
          <w:sz w:val="17"/>
          <w:szCs w:val="17"/>
        </w:rPr>
        <w:t xml:space="preserve">may determine ‘standard conditions’ for specified trades and declared vocations, through notice in the </w:t>
      </w:r>
      <w:bookmarkStart w:id="120" w:name="_Hlk71553208"/>
      <w:r w:rsidRPr="00E70407">
        <w:rPr>
          <w:rFonts w:ascii="Times New Roman" w:eastAsia="Times New Roman" w:hAnsi="Times New Roman"/>
          <w:sz w:val="17"/>
          <w:szCs w:val="17"/>
        </w:rPr>
        <w:t>South Australian Government Gazette (the Gazette</w:t>
      </w:r>
      <w:bookmarkEnd w:id="120"/>
      <w:r w:rsidRPr="00E70407">
        <w:rPr>
          <w:rFonts w:ascii="Times New Roman" w:eastAsia="Times New Roman" w:hAnsi="Times New Roman"/>
          <w:sz w:val="17"/>
          <w:szCs w:val="17"/>
        </w:rPr>
        <w:t>). These standard conditions, which form part of the standard form contract, include:</w:t>
      </w:r>
    </w:p>
    <w:p w:rsidR="00E70407" w:rsidRPr="00E70407" w:rsidRDefault="00E70407" w:rsidP="00E70407">
      <w:pPr>
        <w:numPr>
          <w:ilvl w:val="0"/>
          <w:numId w:val="339"/>
        </w:numPr>
        <w:spacing w:after="0"/>
        <w:ind w:left="567"/>
        <w:rPr>
          <w:rFonts w:ascii="Times New Roman" w:eastAsia="Times New Roman" w:hAnsi="Times New Roman"/>
          <w:sz w:val="17"/>
          <w:szCs w:val="17"/>
        </w:rPr>
      </w:pPr>
      <w:r w:rsidRPr="00E70407">
        <w:rPr>
          <w:rFonts w:ascii="Times New Roman" w:eastAsia="Times New Roman" w:hAnsi="Times New Roman"/>
          <w:sz w:val="17"/>
          <w:szCs w:val="17"/>
        </w:rPr>
        <w:t>the term (duration in months) of the Training Contract</w:t>
      </w:r>
    </w:p>
    <w:p w:rsidR="00E70407" w:rsidRPr="00E70407" w:rsidRDefault="00E70407" w:rsidP="00E70407">
      <w:pPr>
        <w:numPr>
          <w:ilvl w:val="0"/>
          <w:numId w:val="339"/>
        </w:numPr>
        <w:spacing w:after="0"/>
        <w:ind w:left="567"/>
        <w:rPr>
          <w:rFonts w:ascii="Times New Roman" w:eastAsia="Times New Roman" w:hAnsi="Times New Roman"/>
          <w:sz w:val="17"/>
          <w:szCs w:val="17"/>
        </w:rPr>
      </w:pPr>
      <w:r w:rsidRPr="00E70407">
        <w:rPr>
          <w:rFonts w:ascii="Times New Roman" w:eastAsia="Times New Roman" w:hAnsi="Times New Roman"/>
          <w:sz w:val="17"/>
          <w:szCs w:val="17"/>
        </w:rPr>
        <w:t>the qualifications available for a person in the trade or declared vocation</w:t>
      </w:r>
    </w:p>
    <w:p w:rsidR="00E70407" w:rsidRPr="00E70407" w:rsidRDefault="00E70407" w:rsidP="00E70407">
      <w:pPr>
        <w:numPr>
          <w:ilvl w:val="0"/>
          <w:numId w:val="339"/>
        </w:numPr>
        <w:ind w:left="567"/>
        <w:rPr>
          <w:rFonts w:ascii="Times New Roman" w:eastAsia="Times New Roman" w:hAnsi="Times New Roman"/>
          <w:sz w:val="17"/>
          <w:szCs w:val="17"/>
        </w:rPr>
      </w:pPr>
      <w:r w:rsidRPr="00E70407">
        <w:rPr>
          <w:rFonts w:ascii="Times New Roman" w:eastAsia="Times New Roman" w:hAnsi="Times New Roman"/>
          <w:sz w:val="17"/>
          <w:szCs w:val="17"/>
        </w:rPr>
        <w:t>any other condition considered necessary by the Commission</w:t>
      </w:r>
    </w:p>
    <w:p w:rsidR="00E70407" w:rsidRPr="00E70407" w:rsidRDefault="00E70407" w:rsidP="00E70407">
      <w:pPr>
        <w:numPr>
          <w:ilvl w:val="1"/>
          <w:numId w:val="339"/>
        </w:numPr>
        <w:ind w:left="993"/>
        <w:rPr>
          <w:rFonts w:ascii="Times New Roman" w:eastAsia="Times New Roman" w:hAnsi="Times New Roman"/>
          <w:sz w:val="17"/>
          <w:szCs w:val="17"/>
        </w:rPr>
      </w:pPr>
      <w:r w:rsidRPr="00E70407">
        <w:rPr>
          <w:rFonts w:ascii="Times New Roman" w:eastAsia="Times New Roman" w:hAnsi="Times New Roman"/>
          <w:sz w:val="17"/>
          <w:szCs w:val="17"/>
        </w:rPr>
        <w:t>the Commission has determined that parties to a (full-time or part-time) Training Contract may agree to average the hours worked under the Training Contract as a condition of the Training Contract.</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Refer to Standard 1, Declaration of Trades and Vocations for more information on this Standard’s conditions.</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Compliance with the Standard</w:t>
      </w:r>
    </w:p>
    <w:p w:rsidR="00E70407" w:rsidRPr="00E70407" w:rsidRDefault="00E70407" w:rsidP="00E70407">
      <w:pPr>
        <w:numPr>
          <w:ilvl w:val="1"/>
          <w:numId w:val="368"/>
        </w:numPr>
        <w:ind w:left="350"/>
        <w:rPr>
          <w:rFonts w:ascii="Times New Roman" w:eastAsia="Times New Roman" w:hAnsi="Times New Roman"/>
          <w:b/>
          <w:bCs/>
          <w:sz w:val="17"/>
          <w:szCs w:val="17"/>
        </w:rPr>
      </w:pPr>
      <w:r w:rsidRPr="00E70407">
        <w:rPr>
          <w:rFonts w:ascii="Times New Roman" w:eastAsia="Times New Roman" w:hAnsi="Times New Roman"/>
          <w:b/>
          <w:bCs/>
          <w:sz w:val="17"/>
          <w:szCs w:val="17"/>
        </w:rPr>
        <w:t>Gazettal of standard form Training Contract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S45, S46, S49A)</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8.1.1</w:t>
      </w:r>
      <w:r w:rsidRPr="00E70407">
        <w:rPr>
          <w:rFonts w:ascii="Times New Roman" w:eastAsia="Times New Roman" w:hAnsi="Times New Roman"/>
          <w:sz w:val="17"/>
          <w:szCs w:val="17"/>
          <w:lang w:val="en-GB"/>
        </w:rPr>
        <w:tab/>
        <w:t xml:space="preserve">Section 46(6) of the </w:t>
      </w:r>
      <w:r w:rsidRPr="00E70407">
        <w:rPr>
          <w:rFonts w:ascii="Times New Roman" w:eastAsia="Times New Roman" w:hAnsi="Times New Roman"/>
          <w:i/>
          <w:iCs/>
          <w:sz w:val="17"/>
          <w:szCs w:val="17"/>
          <w:lang w:val="en-GB"/>
        </w:rPr>
        <w:t>Act</w:t>
      </w:r>
      <w:r w:rsidRPr="00E70407">
        <w:rPr>
          <w:rFonts w:ascii="Times New Roman" w:eastAsia="Times New Roman" w:hAnsi="Times New Roman"/>
          <w:sz w:val="17"/>
          <w:szCs w:val="17"/>
          <w:lang w:val="en-GB"/>
        </w:rPr>
        <w:t xml:space="preserve"> states that a standard form contract must be in the required form and contain the following additional terms and conditions:</w:t>
      </w:r>
    </w:p>
    <w:p w:rsidR="00E70407" w:rsidRPr="00E70407" w:rsidRDefault="00E70407" w:rsidP="00E70407">
      <w:pPr>
        <w:numPr>
          <w:ilvl w:val="0"/>
          <w:numId w:val="294"/>
        </w:numPr>
        <w:ind w:left="1092"/>
        <w:rPr>
          <w:rFonts w:ascii="Times New Roman" w:eastAsia="Times New Roman" w:hAnsi="Times New Roman"/>
          <w:sz w:val="17"/>
          <w:szCs w:val="17"/>
        </w:rPr>
      </w:pPr>
      <w:r w:rsidRPr="00E70407">
        <w:rPr>
          <w:rFonts w:ascii="Times New Roman" w:eastAsia="Times New Roman" w:hAnsi="Times New Roman"/>
          <w:sz w:val="17"/>
          <w:szCs w:val="17"/>
        </w:rPr>
        <w:t>that the apprentice or trainee will be employed by the employer who is party to the contract in accordance with the applicable award or industrial agreement</w:t>
      </w:r>
    </w:p>
    <w:p w:rsidR="00E70407" w:rsidRPr="00E70407" w:rsidRDefault="00E70407" w:rsidP="00E70407">
      <w:pPr>
        <w:numPr>
          <w:ilvl w:val="0"/>
          <w:numId w:val="294"/>
        </w:numPr>
        <w:ind w:left="1092"/>
        <w:rPr>
          <w:rFonts w:ascii="Times New Roman" w:eastAsia="Times New Roman" w:hAnsi="Times New Roman"/>
          <w:sz w:val="17"/>
          <w:szCs w:val="17"/>
        </w:rPr>
      </w:pPr>
      <w:r w:rsidRPr="00E70407">
        <w:rPr>
          <w:rFonts w:ascii="Times New Roman" w:eastAsia="Times New Roman" w:hAnsi="Times New Roman"/>
          <w:sz w:val="17"/>
          <w:szCs w:val="17"/>
          <w:lang w:val="en-GB"/>
        </w:rPr>
        <w:t>the probationary period for the relevant trade or declared vocation</w:t>
      </w:r>
    </w:p>
    <w:p w:rsidR="00E70407" w:rsidRPr="00E70407" w:rsidRDefault="00E70407" w:rsidP="00E70407">
      <w:pPr>
        <w:numPr>
          <w:ilvl w:val="0"/>
          <w:numId w:val="294"/>
        </w:numPr>
        <w:ind w:left="1092"/>
        <w:rPr>
          <w:rFonts w:ascii="Times New Roman" w:eastAsia="Times New Roman" w:hAnsi="Times New Roman"/>
          <w:sz w:val="17"/>
          <w:szCs w:val="17"/>
        </w:rPr>
      </w:pPr>
      <w:r w:rsidRPr="00E70407">
        <w:rPr>
          <w:rFonts w:ascii="Times New Roman" w:eastAsia="Times New Roman" w:hAnsi="Times New Roman"/>
          <w:sz w:val="17"/>
          <w:szCs w:val="17"/>
          <w:lang w:val="en-GB"/>
        </w:rPr>
        <w:t>the standard conditions for the relevant trade or declared vocation</w:t>
      </w:r>
    </w:p>
    <w:p w:rsidR="00E70407" w:rsidRPr="00E70407" w:rsidRDefault="00E70407" w:rsidP="00E70407">
      <w:pPr>
        <w:numPr>
          <w:ilvl w:val="0"/>
          <w:numId w:val="294"/>
        </w:numPr>
        <w:ind w:left="1092"/>
        <w:rPr>
          <w:rFonts w:ascii="Times New Roman" w:eastAsia="Times New Roman" w:hAnsi="Times New Roman"/>
          <w:sz w:val="17"/>
          <w:szCs w:val="17"/>
        </w:rPr>
      </w:pPr>
      <w:r w:rsidRPr="00E70407">
        <w:rPr>
          <w:rFonts w:ascii="Times New Roman" w:eastAsia="Times New Roman" w:hAnsi="Times New Roman"/>
          <w:sz w:val="17"/>
          <w:szCs w:val="17"/>
          <w:lang w:val="en-GB"/>
        </w:rPr>
        <w:t>that the apprentice or trainee will be trained and assessed in accordance with the Training Plan (to be agreed between the employer, the apprentice or trainee and a nominated training organisation chosen jointly by the employer and the apprentice or trainee)</w:t>
      </w:r>
    </w:p>
    <w:p w:rsidR="00E70407" w:rsidRPr="00E70407" w:rsidRDefault="00E70407" w:rsidP="00E70407">
      <w:pPr>
        <w:numPr>
          <w:ilvl w:val="0"/>
          <w:numId w:val="294"/>
        </w:numPr>
        <w:ind w:left="1092"/>
        <w:rPr>
          <w:rFonts w:ascii="Times New Roman" w:eastAsia="Times New Roman" w:hAnsi="Times New Roman"/>
          <w:sz w:val="17"/>
          <w:szCs w:val="17"/>
        </w:rPr>
      </w:pPr>
      <w:r w:rsidRPr="00E70407">
        <w:rPr>
          <w:rFonts w:ascii="Times New Roman" w:eastAsia="Times New Roman" w:hAnsi="Times New Roman"/>
          <w:sz w:val="17"/>
          <w:szCs w:val="17"/>
          <w:lang w:val="en-GB"/>
        </w:rPr>
        <w:t>any other conditions that have been agreed between the employer and the apprentice or trainee after consultation with the nominated training provider.</w:t>
      </w:r>
      <w:r w:rsidRPr="00E70407">
        <w:rPr>
          <w:rFonts w:ascii="Times New Roman" w:eastAsia="Times New Roman" w:hAnsi="Times New Roman"/>
          <w:sz w:val="17"/>
          <w:szCs w:val="17"/>
          <w:lang w:val="en-GB"/>
        </w:rPr>
        <w:tab/>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8.1.2</w:t>
      </w:r>
      <w:r w:rsidRPr="00E70407">
        <w:rPr>
          <w:rFonts w:ascii="Times New Roman" w:eastAsia="Times New Roman" w:hAnsi="Times New Roman"/>
          <w:sz w:val="17"/>
          <w:szCs w:val="17"/>
          <w:lang w:val="en-GB"/>
        </w:rPr>
        <w:tab/>
        <w:t>The Commission may determine a probationary period for a Training Contract for a specified trade or declared vocation, through notice in the Gazette. The Commission may also extend the probationary period for an individual Training Contract on application by a party to a Training Contract, or for a specified class of Training Contracts by notice in the Gazette with the approval of the Minister for Innovation and Skills (the Minister).</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lang w:val="en-GB"/>
        </w:rPr>
        <w:t>8.1.3</w:t>
      </w:r>
      <w:r w:rsidRPr="00E70407">
        <w:rPr>
          <w:rFonts w:ascii="Times New Roman" w:eastAsia="Times New Roman" w:hAnsi="Times New Roman"/>
          <w:sz w:val="17"/>
          <w:szCs w:val="17"/>
          <w:lang w:val="en-GB"/>
        </w:rPr>
        <w:tab/>
        <w:t xml:space="preserve">The Commission may </w:t>
      </w:r>
      <w:r w:rsidRPr="00E70407">
        <w:rPr>
          <w:rFonts w:ascii="Times New Roman" w:eastAsia="Times New Roman" w:hAnsi="Times New Roman"/>
          <w:sz w:val="17"/>
          <w:szCs w:val="17"/>
        </w:rPr>
        <w:t>vary hours of training under a Training Contract to reflect a part-time or full-time training arrangement.</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8.1.4</w:t>
      </w:r>
      <w:r w:rsidRPr="00E70407">
        <w:rPr>
          <w:rFonts w:ascii="Times New Roman" w:eastAsia="Times New Roman" w:hAnsi="Times New Roman"/>
          <w:sz w:val="17"/>
          <w:szCs w:val="17"/>
        </w:rPr>
        <w:tab/>
        <w:t xml:space="preserve">The </w:t>
      </w:r>
      <w:r w:rsidRPr="00E70407">
        <w:rPr>
          <w:rFonts w:ascii="Times New Roman" w:eastAsia="Times New Roman" w:hAnsi="Times New Roman"/>
          <w:sz w:val="17"/>
          <w:szCs w:val="17"/>
          <w:lang w:val="en-GB"/>
        </w:rPr>
        <w:t>Commission</w:t>
      </w:r>
      <w:r w:rsidRPr="00E70407">
        <w:rPr>
          <w:rFonts w:ascii="Times New Roman" w:eastAsia="Times New Roman" w:hAnsi="Times New Roman"/>
          <w:sz w:val="17"/>
          <w:szCs w:val="17"/>
        </w:rPr>
        <w:t xml:space="preserve"> may also vary or revoke a previously gazetted condition under Section 45(3)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Any revocation or variation will apply to all qualifications to which the gazetted notice relates.</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8.2</w:t>
      </w:r>
      <w:r w:rsidRPr="00E70407">
        <w:rPr>
          <w:rFonts w:ascii="Times New Roman" w:eastAsia="Times New Roman" w:hAnsi="Times New Roman"/>
          <w:b/>
          <w:bCs/>
          <w:sz w:val="17"/>
          <w:szCs w:val="17"/>
        </w:rPr>
        <w:tab/>
        <w:t>Contract variation to full-time and part-time training arrangements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S50)</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8.2.1</w:t>
      </w:r>
      <w:r w:rsidRPr="00E70407">
        <w:rPr>
          <w:rFonts w:ascii="Times New Roman" w:eastAsia="Times New Roman" w:hAnsi="Times New Roman"/>
          <w:sz w:val="17"/>
          <w:szCs w:val="17"/>
        </w:rPr>
        <w:tab/>
        <w:t>Employers and their apprentices and trainees must comply with the standard conditions of the Training Contract. They may seek to vary these in prescribed circumstances.</w:t>
      </w:r>
      <w:r w:rsidRPr="00E70407">
        <w:rPr>
          <w:rFonts w:ascii="Times New Roman" w:eastAsia="Times New Roman" w:hAnsi="Times New Roman"/>
          <w:b/>
          <w:bCs/>
          <w:sz w:val="17"/>
          <w:szCs w:val="17"/>
        </w:rPr>
        <w:t xml:space="preserve"> </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8.2.2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Parties</w:t>
      </w:r>
      <w:r w:rsidRPr="00E70407">
        <w:rPr>
          <w:rFonts w:ascii="Times New Roman" w:eastAsia="Times New Roman" w:hAnsi="Times New Roman"/>
          <w:sz w:val="17"/>
          <w:szCs w:val="17"/>
        </w:rPr>
        <w:t xml:space="preserve"> to a Training Contract by agreement may apply, and the Commission may approve, a variation to a Training Contract:</w:t>
      </w:r>
    </w:p>
    <w:p w:rsidR="00E70407" w:rsidRPr="00E70407" w:rsidRDefault="00E70407" w:rsidP="00E70407">
      <w:pPr>
        <w:numPr>
          <w:ilvl w:val="0"/>
          <w:numId w:val="291"/>
        </w:numPr>
        <w:rPr>
          <w:rFonts w:ascii="Times New Roman" w:eastAsia="Times New Roman" w:hAnsi="Times New Roman"/>
          <w:sz w:val="17"/>
          <w:szCs w:val="17"/>
        </w:rPr>
      </w:pPr>
      <w:r w:rsidRPr="00E70407">
        <w:rPr>
          <w:rFonts w:ascii="Times New Roman" w:eastAsia="Times New Roman" w:hAnsi="Times New Roman"/>
          <w:sz w:val="17"/>
          <w:szCs w:val="17"/>
        </w:rPr>
        <w:t>from a part-time to a full-time training arrangement</w:t>
      </w:r>
    </w:p>
    <w:p w:rsidR="00E70407" w:rsidRPr="00E70407" w:rsidRDefault="00E70407" w:rsidP="00E70407">
      <w:pPr>
        <w:numPr>
          <w:ilvl w:val="0"/>
          <w:numId w:val="291"/>
        </w:numPr>
        <w:rPr>
          <w:rFonts w:ascii="Times New Roman" w:eastAsia="Times New Roman" w:hAnsi="Times New Roman"/>
          <w:sz w:val="17"/>
          <w:szCs w:val="17"/>
        </w:rPr>
      </w:pPr>
      <w:r w:rsidRPr="00E70407">
        <w:rPr>
          <w:rFonts w:ascii="Times New Roman" w:eastAsia="Times New Roman" w:hAnsi="Times New Roman"/>
          <w:sz w:val="17"/>
          <w:szCs w:val="17"/>
        </w:rPr>
        <w:lastRenderedPageBreak/>
        <w:t>from a full-time to a part-time training arrangement</w:t>
      </w:r>
    </w:p>
    <w:p w:rsidR="00E70407" w:rsidRPr="00E70407" w:rsidRDefault="00E70407" w:rsidP="00E70407">
      <w:pPr>
        <w:ind w:left="709"/>
        <w:rPr>
          <w:rFonts w:ascii="Times New Roman" w:eastAsia="Times New Roman" w:hAnsi="Times New Roman"/>
          <w:sz w:val="17"/>
          <w:szCs w:val="17"/>
        </w:rPr>
      </w:pPr>
      <w:r w:rsidRPr="00E70407">
        <w:rPr>
          <w:rFonts w:ascii="Times New Roman" w:eastAsia="Times New Roman" w:hAnsi="Times New Roman"/>
          <w:sz w:val="17"/>
          <w:szCs w:val="17"/>
        </w:rPr>
        <w:t>provided the agreed working arrangement is permitted by the relevant award or industrial agreement under which the apprentice or trainee is employed.</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8.2.3</w:t>
      </w:r>
      <w:r w:rsidRPr="00E70407">
        <w:rPr>
          <w:rFonts w:ascii="Times New Roman" w:eastAsia="Times New Roman" w:hAnsi="Times New Roman"/>
          <w:sz w:val="17"/>
          <w:szCs w:val="17"/>
        </w:rPr>
        <w:tab/>
        <w:t xml:space="preserve">An application must be made in the prescribed form and must contain any information required by the Commission to consider the application. The application form is available at </w:t>
      </w:r>
      <w:hyperlink r:id="rId106" w:history="1">
        <w:r w:rsidRPr="00E70407">
          <w:rPr>
            <w:rFonts w:ascii="Times New Roman" w:eastAsia="Times New Roman" w:hAnsi="Times New Roman"/>
            <w:color w:val="0000FF"/>
            <w:sz w:val="17"/>
            <w:szCs w:val="17"/>
            <w:u w:val="single"/>
            <w:lang w:val="en-GB"/>
          </w:rPr>
          <w:t>www.skills.sa.gov.au/business/forms</w:t>
        </w:r>
      </w:hyperlink>
      <w:r w:rsidRPr="00E70407">
        <w:rPr>
          <w:rFonts w:ascii="Times New Roman" w:eastAsia="Times New Roman" w:hAnsi="Times New Roman"/>
          <w:sz w:val="17"/>
          <w:szCs w:val="17"/>
          <w:lang w:val="en-GB"/>
        </w:rPr>
        <w:t>.</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8.2.4</w:t>
      </w:r>
      <w:r w:rsidRPr="00E70407">
        <w:rPr>
          <w:rFonts w:ascii="Times New Roman" w:eastAsia="Times New Roman" w:hAnsi="Times New Roman"/>
          <w:sz w:val="17"/>
          <w:szCs w:val="17"/>
        </w:rPr>
        <w:tab/>
        <w:t xml:space="preserve">The Commission on its own motion may vary the full-time or part-time training arrangement under a Training Contract if there are </w:t>
      </w:r>
      <w:r w:rsidRPr="00E70407">
        <w:rPr>
          <w:rFonts w:ascii="Times New Roman" w:eastAsia="Times New Roman" w:hAnsi="Times New Roman"/>
          <w:sz w:val="17"/>
          <w:szCs w:val="17"/>
          <w:lang w:val="en-GB"/>
        </w:rPr>
        <w:t>circumstances</w:t>
      </w:r>
      <w:r w:rsidRPr="00E70407">
        <w:rPr>
          <w:rFonts w:ascii="Times New Roman" w:eastAsia="Times New Roman" w:hAnsi="Times New Roman"/>
          <w:sz w:val="17"/>
          <w:szCs w:val="17"/>
        </w:rPr>
        <w:t xml:space="preserve"> to justify the change. For example, if the Commission determines that an agreed full-time or part-time training arrangement is inconsistent with a relevant award or other industrial instrument under which the apprentice or trainee is employed.</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8.2.5</w:t>
      </w:r>
      <w:r w:rsidRPr="00E70407">
        <w:rPr>
          <w:rFonts w:ascii="Times New Roman" w:eastAsia="Times New Roman" w:hAnsi="Times New Roman"/>
          <w:sz w:val="17"/>
          <w:szCs w:val="17"/>
        </w:rPr>
        <w:tab/>
        <w:t xml:space="preserve">Where the Commission makes a determination on its own motion, the Commission will provide any affected party an opportunity to provide </w:t>
      </w:r>
      <w:r w:rsidRPr="00E70407">
        <w:rPr>
          <w:rFonts w:ascii="Times New Roman" w:eastAsia="Times New Roman" w:hAnsi="Times New Roman"/>
          <w:sz w:val="17"/>
          <w:szCs w:val="17"/>
          <w:lang w:val="en-GB"/>
        </w:rPr>
        <w:t>its</w:t>
      </w:r>
      <w:r w:rsidRPr="00E70407">
        <w:rPr>
          <w:rFonts w:ascii="Times New Roman" w:eastAsia="Times New Roman" w:hAnsi="Times New Roman"/>
          <w:sz w:val="17"/>
          <w:szCs w:val="17"/>
        </w:rPr>
        <w:t xml:space="preserve"> views on the proposed variation to the Training Contract.</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8.3</w:t>
      </w:r>
      <w:r w:rsidRPr="00E70407">
        <w:rPr>
          <w:rFonts w:ascii="Times New Roman" w:eastAsia="Times New Roman" w:hAnsi="Times New Roman"/>
          <w:sz w:val="17"/>
          <w:szCs w:val="17"/>
        </w:rPr>
        <w:tab/>
      </w:r>
      <w:r w:rsidRPr="00E70407">
        <w:rPr>
          <w:rFonts w:ascii="Times New Roman" w:eastAsia="Times New Roman" w:hAnsi="Times New Roman"/>
          <w:b/>
          <w:bCs/>
          <w:sz w:val="17"/>
          <w:szCs w:val="17"/>
        </w:rPr>
        <w:t>School-based apprenticeships or traineeships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S50)</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8.3.1</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Parties</w:t>
      </w:r>
      <w:r w:rsidRPr="00E70407">
        <w:rPr>
          <w:rFonts w:ascii="Times New Roman" w:eastAsia="Times New Roman" w:hAnsi="Times New Roman"/>
          <w:sz w:val="17"/>
          <w:szCs w:val="17"/>
        </w:rPr>
        <w:t xml:space="preserve"> to a school-based apprenticeship or traineeship, by agreement, must apply to the Commission for approval of a variation to the Training Contract:</w:t>
      </w:r>
    </w:p>
    <w:p w:rsidR="00E70407" w:rsidRPr="00E70407" w:rsidRDefault="00E70407" w:rsidP="00E70407">
      <w:pPr>
        <w:numPr>
          <w:ilvl w:val="0"/>
          <w:numId w:val="292"/>
        </w:numPr>
        <w:rPr>
          <w:rFonts w:ascii="Times New Roman" w:eastAsia="Times New Roman" w:hAnsi="Times New Roman"/>
          <w:sz w:val="17"/>
          <w:szCs w:val="17"/>
        </w:rPr>
      </w:pPr>
      <w:r w:rsidRPr="00E70407">
        <w:rPr>
          <w:rFonts w:ascii="Times New Roman" w:eastAsia="Times New Roman" w:hAnsi="Times New Roman"/>
          <w:sz w:val="17"/>
          <w:szCs w:val="17"/>
        </w:rPr>
        <w:t>from part-time to full-time training</w:t>
      </w:r>
    </w:p>
    <w:p w:rsidR="00E70407" w:rsidRPr="00E70407" w:rsidRDefault="00E70407" w:rsidP="00E70407">
      <w:pPr>
        <w:numPr>
          <w:ilvl w:val="0"/>
          <w:numId w:val="292"/>
        </w:numPr>
        <w:rPr>
          <w:rFonts w:ascii="Times New Roman" w:eastAsia="Times New Roman" w:hAnsi="Times New Roman"/>
          <w:sz w:val="17"/>
          <w:szCs w:val="17"/>
        </w:rPr>
      </w:pPr>
      <w:r w:rsidRPr="00E70407">
        <w:rPr>
          <w:rFonts w:ascii="Times New Roman" w:eastAsia="Times New Roman" w:hAnsi="Times New Roman"/>
          <w:sz w:val="17"/>
          <w:szCs w:val="17"/>
        </w:rPr>
        <w:t>from full-time to part-time training</w:t>
      </w:r>
    </w:p>
    <w:p w:rsidR="00E70407" w:rsidRPr="00E70407" w:rsidRDefault="00E70407" w:rsidP="00E70407">
      <w:pPr>
        <w:ind w:left="709"/>
        <w:rPr>
          <w:rFonts w:ascii="Times New Roman" w:eastAsia="Times New Roman" w:hAnsi="Times New Roman"/>
          <w:sz w:val="17"/>
          <w:szCs w:val="17"/>
        </w:rPr>
      </w:pPr>
      <w:r w:rsidRPr="00E70407">
        <w:rPr>
          <w:rFonts w:ascii="Times New Roman" w:eastAsia="Times New Roman" w:hAnsi="Times New Roman"/>
          <w:sz w:val="17"/>
          <w:szCs w:val="17"/>
        </w:rPr>
        <w:t xml:space="preserve">commencing when the school-based apprentice or trainee completes school. </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8.3.2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Alternatively</w:t>
      </w:r>
      <w:r w:rsidRPr="00E70407">
        <w:rPr>
          <w:rFonts w:ascii="Times New Roman" w:eastAsia="Times New Roman" w:hAnsi="Times New Roman"/>
          <w:sz w:val="17"/>
          <w:szCs w:val="17"/>
        </w:rPr>
        <w:t>, the Commission on its own motion may vary the full-time or part-time training arrangement under a school-based apprenticeship or traineeship when the apprentice or trainee finishes school, for example, when:</w:t>
      </w:r>
    </w:p>
    <w:p w:rsidR="00E70407" w:rsidRPr="00E70407" w:rsidRDefault="00E70407" w:rsidP="00E70407">
      <w:pPr>
        <w:numPr>
          <w:ilvl w:val="0"/>
          <w:numId w:val="290"/>
        </w:numPr>
        <w:rPr>
          <w:rFonts w:ascii="Times New Roman" w:eastAsia="Times New Roman" w:hAnsi="Times New Roman"/>
          <w:sz w:val="17"/>
          <w:szCs w:val="17"/>
        </w:rPr>
      </w:pPr>
      <w:r w:rsidRPr="00E70407">
        <w:rPr>
          <w:rFonts w:ascii="Times New Roman" w:eastAsia="Times New Roman" w:hAnsi="Times New Roman"/>
          <w:sz w:val="17"/>
          <w:szCs w:val="17"/>
        </w:rPr>
        <w:t>the agreed training arrangement is not conducive to the apprentice or trainee meeting their workplace-based training obligations under the Training Contract or Training Plan</w:t>
      </w:r>
    </w:p>
    <w:p w:rsidR="00E70407" w:rsidRPr="00E70407" w:rsidRDefault="00E70407" w:rsidP="00E70407">
      <w:pPr>
        <w:numPr>
          <w:ilvl w:val="0"/>
          <w:numId w:val="290"/>
        </w:numPr>
        <w:rPr>
          <w:rFonts w:ascii="Times New Roman" w:eastAsia="Times New Roman" w:hAnsi="Times New Roman"/>
          <w:sz w:val="17"/>
          <w:szCs w:val="17"/>
        </w:rPr>
      </w:pPr>
      <w:r w:rsidRPr="00E70407">
        <w:rPr>
          <w:rFonts w:ascii="Times New Roman" w:eastAsia="Times New Roman" w:hAnsi="Times New Roman"/>
          <w:sz w:val="17"/>
          <w:szCs w:val="17"/>
        </w:rPr>
        <w:t xml:space="preserve">the Commission determines that the agreed full-time or part-time training arrangement is not consistent with a relevant award or other industrial agreement under which the apprentice or trainee is employed. </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8.4</w:t>
      </w:r>
      <w:r w:rsidRPr="00E70407">
        <w:rPr>
          <w:rFonts w:ascii="Times New Roman" w:eastAsia="Times New Roman" w:hAnsi="Times New Roman"/>
          <w:b/>
          <w:bCs/>
          <w:sz w:val="17"/>
          <w:szCs w:val="17"/>
        </w:rPr>
        <w:tab/>
        <w:t>Averaging of hours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S45)</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8.4.1</w:t>
      </w:r>
      <w:r w:rsidRPr="00E70407">
        <w:rPr>
          <w:rFonts w:ascii="Times New Roman" w:eastAsia="Times New Roman" w:hAnsi="Times New Roman"/>
          <w:sz w:val="17"/>
          <w:szCs w:val="17"/>
        </w:rPr>
        <w:tab/>
        <w:t xml:space="preserve">Parties to a (full-time or part-time) Training Contract may agree to average the hours worked under the Training Contract as a condition </w:t>
      </w:r>
      <w:r w:rsidRPr="00E70407">
        <w:rPr>
          <w:rFonts w:ascii="Times New Roman" w:eastAsia="Times New Roman" w:hAnsi="Times New Roman"/>
          <w:sz w:val="17"/>
          <w:szCs w:val="17"/>
          <w:lang w:val="en-GB"/>
        </w:rPr>
        <w:t>of</w:t>
      </w:r>
      <w:r w:rsidRPr="00E70407">
        <w:rPr>
          <w:rFonts w:ascii="Times New Roman" w:eastAsia="Times New Roman" w:hAnsi="Times New Roman"/>
          <w:sz w:val="17"/>
          <w:szCs w:val="17"/>
        </w:rPr>
        <w:t xml:space="preserve"> the Training Contract.</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8.4.2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Hours</w:t>
      </w:r>
      <w:r w:rsidRPr="00E70407">
        <w:rPr>
          <w:rFonts w:ascii="Times New Roman" w:eastAsia="Times New Roman" w:hAnsi="Times New Roman"/>
          <w:sz w:val="17"/>
          <w:szCs w:val="17"/>
        </w:rPr>
        <w:t xml:space="preserve"> worked under a standard apprenticeship or traineeship may be averaged over a four-week cycle.</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8.4.3</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Hours</w:t>
      </w:r>
      <w:r w:rsidRPr="00E70407">
        <w:rPr>
          <w:rFonts w:ascii="Times New Roman" w:eastAsia="Times New Roman" w:hAnsi="Times New Roman"/>
          <w:sz w:val="17"/>
          <w:szCs w:val="17"/>
        </w:rPr>
        <w:t xml:space="preserve"> worked under a school-based apprenticeship or traineeship may be averaged over a three-month cycle.</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8.4.4</w:t>
      </w:r>
      <w:r w:rsidRPr="00E70407">
        <w:rPr>
          <w:rFonts w:ascii="Times New Roman" w:eastAsia="Times New Roman" w:hAnsi="Times New Roman"/>
          <w:sz w:val="17"/>
          <w:szCs w:val="17"/>
        </w:rPr>
        <w:tab/>
        <w:t>An agreement to average the training hours over a particular work cycle must be in advance of the training commencing and must include the rostered hours of employment and training for the period over which the averaging applies.</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8.4.5</w:t>
      </w:r>
      <w:r w:rsidRPr="00E70407">
        <w:rPr>
          <w:rFonts w:ascii="Times New Roman" w:eastAsia="Times New Roman" w:hAnsi="Times New Roman"/>
          <w:sz w:val="17"/>
          <w:szCs w:val="17"/>
        </w:rPr>
        <w:tab/>
        <w:t>The agreed arrangement must:</w:t>
      </w:r>
    </w:p>
    <w:p w:rsidR="00E70407" w:rsidRPr="00E70407" w:rsidRDefault="00E70407" w:rsidP="00E70407">
      <w:pPr>
        <w:numPr>
          <w:ilvl w:val="0"/>
          <w:numId w:val="289"/>
        </w:numPr>
        <w:rPr>
          <w:rFonts w:ascii="Times New Roman" w:eastAsia="Times New Roman" w:hAnsi="Times New Roman"/>
          <w:sz w:val="17"/>
          <w:szCs w:val="17"/>
        </w:rPr>
      </w:pPr>
      <w:r w:rsidRPr="00E70407">
        <w:rPr>
          <w:rFonts w:ascii="Times New Roman" w:eastAsia="Times New Roman" w:hAnsi="Times New Roman"/>
          <w:sz w:val="17"/>
          <w:szCs w:val="17"/>
        </w:rPr>
        <w:t xml:space="preserve">provide a regular pattern of on and off-job training that enables both on-job and off-job structured training to be planned and implemented according to the Training Plan. For example, a full-time pattern of hours per week of 40, 40, 40 and 30 (average 38 hours) is appropriate. However, under a school-based apprenticeship or traineeship, a part-time pattern of hours per week of 20, 0, 12, 8 is unlikely to be appropriate, as the training pattern is not conducive to the student meeting their academic obligations. </w:t>
      </w:r>
    </w:p>
    <w:p w:rsidR="00E70407" w:rsidRPr="00E70407" w:rsidRDefault="00E70407" w:rsidP="00E70407">
      <w:pPr>
        <w:numPr>
          <w:ilvl w:val="0"/>
          <w:numId w:val="289"/>
        </w:numPr>
        <w:rPr>
          <w:rFonts w:ascii="Times New Roman" w:eastAsia="Times New Roman" w:hAnsi="Times New Roman"/>
          <w:sz w:val="17"/>
          <w:szCs w:val="17"/>
        </w:rPr>
      </w:pPr>
      <w:r w:rsidRPr="00E70407">
        <w:rPr>
          <w:rFonts w:ascii="Times New Roman" w:eastAsia="Times New Roman" w:hAnsi="Times New Roman"/>
          <w:sz w:val="17"/>
          <w:szCs w:val="17"/>
        </w:rPr>
        <w:t>be consistent with (and not disrupt) the training objectives contained in the Training Contract and Training Plan</w:t>
      </w:r>
    </w:p>
    <w:p w:rsidR="00E70407" w:rsidRPr="00E70407" w:rsidRDefault="00E70407" w:rsidP="00E70407">
      <w:pPr>
        <w:numPr>
          <w:ilvl w:val="0"/>
          <w:numId w:val="289"/>
        </w:numPr>
        <w:rPr>
          <w:rFonts w:ascii="Times New Roman" w:eastAsia="Times New Roman" w:hAnsi="Times New Roman"/>
          <w:sz w:val="17"/>
          <w:szCs w:val="17"/>
        </w:rPr>
      </w:pPr>
      <w:r w:rsidRPr="00E70407">
        <w:rPr>
          <w:rFonts w:ascii="Times New Roman" w:eastAsia="Times New Roman" w:hAnsi="Times New Roman"/>
          <w:sz w:val="17"/>
          <w:szCs w:val="17"/>
        </w:rPr>
        <w:t>in relation to school-based apprenticeships or traineeships, not interfere with the student’s school commitments</w:t>
      </w:r>
    </w:p>
    <w:p w:rsidR="00E70407" w:rsidRPr="00E70407" w:rsidRDefault="00E70407" w:rsidP="00E70407">
      <w:pPr>
        <w:numPr>
          <w:ilvl w:val="0"/>
          <w:numId w:val="289"/>
        </w:numPr>
        <w:rPr>
          <w:rFonts w:ascii="Times New Roman" w:eastAsia="Times New Roman" w:hAnsi="Times New Roman"/>
          <w:sz w:val="17"/>
          <w:szCs w:val="17"/>
        </w:rPr>
      </w:pPr>
      <w:r w:rsidRPr="00E70407">
        <w:rPr>
          <w:rFonts w:ascii="Times New Roman" w:eastAsia="Times New Roman" w:hAnsi="Times New Roman"/>
          <w:sz w:val="17"/>
          <w:szCs w:val="17"/>
        </w:rPr>
        <w:t>be consistent with the award, industrial agreement and national employment standards that apply to the employment of the apprentice or trainee, including any requirements relating to:</w:t>
      </w:r>
    </w:p>
    <w:p w:rsidR="00E70407" w:rsidRPr="00E70407" w:rsidRDefault="00E70407" w:rsidP="00E70407">
      <w:pPr>
        <w:numPr>
          <w:ilvl w:val="1"/>
          <w:numId w:val="369"/>
        </w:numPr>
        <w:ind w:left="1701"/>
        <w:rPr>
          <w:rFonts w:ascii="Times New Roman" w:eastAsia="Times New Roman" w:hAnsi="Times New Roman"/>
          <w:sz w:val="17"/>
          <w:szCs w:val="17"/>
        </w:rPr>
      </w:pPr>
      <w:r w:rsidRPr="00E70407">
        <w:rPr>
          <w:rFonts w:ascii="Times New Roman" w:eastAsia="Times New Roman" w:hAnsi="Times New Roman"/>
          <w:sz w:val="17"/>
          <w:szCs w:val="17"/>
        </w:rPr>
        <w:t>rostering</w:t>
      </w:r>
    </w:p>
    <w:p w:rsidR="00E70407" w:rsidRPr="00E70407" w:rsidRDefault="00E70407" w:rsidP="00E70407">
      <w:pPr>
        <w:numPr>
          <w:ilvl w:val="1"/>
          <w:numId w:val="369"/>
        </w:numPr>
        <w:ind w:left="1701"/>
        <w:rPr>
          <w:rFonts w:ascii="Times New Roman" w:eastAsia="Times New Roman" w:hAnsi="Times New Roman"/>
          <w:sz w:val="17"/>
          <w:szCs w:val="17"/>
        </w:rPr>
      </w:pPr>
      <w:r w:rsidRPr="00E70407">
        <w:rPr>
          <w:rFonts w:ascii="Times New Roman" w:eastAsia="Times New Roman" w:hAnsi="Times New Roman"/>
          <w:sz w:val="17"/>
          <w:szCs w:val="17"/>
        </w:rPr>
        <w:t>consultation</w:t>
      </w:r>
    </w:p>
    <w:p w:rsidR="00E70407" w:rsidRPr="00E70407" w:rsidRDefault="00E70407" w:rsidP="00E70407">
      <w:pPr>
        <w:numPr>
          <w:ilvl w:val="1"/>
          <w:numId w:val="369"/>
        </w:numPr>
        <w:ind w:left="1701"/>
        <w:rPr>
          <w:rFonts w:ascii="Times New Roman" w:eastAsia="Times New Roman" w:hAnsi="Times New Roman"/>
          <w:sz w:val="17"/>
          <w:szCs w:val="17"/>
        </w:rPr>
      </w:pPr>
      <w:r w:rsidRPr="00E70407">
        <w:rPr>
          <w:rFonts w:ascii="Times New Roman" w:eastAsia="Times New Roman" w:hAnsi="Times New Roman"/>
          <w:sz w:val="17"/>
          <w:szCs w:val="17"/>
        </w:rPr>
        <w:t>notice periods.</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8.4.6</w:t>
      </w:r>
      <w:r w:rsidRPr="00E70407">
        <w:rPr>
          <w:rFonts w:ascii="Times New Roman" w:eastAsia="Times New Roman" w:hAnsi="Times New Roman"/>
          <w:sz w:val="17"/>
          <w:szCs w:val="17"/>
        </w:rPr>
        <w:tab/>
        <w:t xml:space="preserve">An employer must maintain records of an apprentice or trainee’s attendance at the workplace and at training and maintain appropriate records to demonstrate that the obligations in the </w:t>
      </w:r>
      <w:r w:rsidRPr="00E70407">
        <w:rPr>
          <w:rFonts w:ascii="Times New Roman" w:eastAsia="Times New Roman" w:hAnsi="Times New Roman"/>
          <w:i/>
          <w:iCs/>
          <w:sz w:val="17"/>
          <w:szCs w:val="17"/>
        </w:rPr>
        <w:t>SAS Act, South Australian Skills Regulations 2021</w:t>
      </w:r>
      <w:r w:rsidRPr="00E70407">
        <w:rPr>
          <w:rFonts w:ascii="Times New Roman" w:eastAsia="Times New Roman" w:hAnsi="Times New Roman"/>
          <w:iCs/>
          <w:sz w:val="17"/>
          <w:szCs w:val="17"/>
        </w:rPr>
        <w:t xml:space="preserve"> (the </w:t>
      </w:r>
      <w:r w:rsidRPr="00E70407">
        <w:rPr>
          <w:rFonts w:ascii="Times New Roman" w:eastAsia="Times New Roman" w:hAnsi="Times New Roman"/>
          <w:i/>
          <w:iCs/>
          <w:sz w:val="17"/>
          <w:szCs w:val="17"/>
        </w:rPr>
        <w:t>Regulations</w:t>
      </w:r>
      <w:r w:rsidRPr="00E70407">
        <w:rPr>
          <w:rFonts w:ascii="Times New Roman" w:eastAsia="Times New Roman" w:hAnsi="Times New Roman"/>
          <w:iCs/>
          <w:sz w:val="17"/>
          <w:szCs w:val="17"/>
        </w:rPr>
        <w:t>)</w:t>
      </w:r>
      <w:r w:rsidRPr="00E70407">
        <w:rPr>
          <w:rFonts w:ascii="Times New Roman" w:eastAsia="Times New Roman" w:hAnsi="Times New Roman"/>
          <w:sz w:val="17"/>
          <w:szCs w:val="17"/>
        </w:rPr>
        <w:t xml:space="preserve"> and Standard 14, Record Keeping have been met.</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8.4.7</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These</w:t>
      </w:r>
      <w:r w:rsidRPr="00E70407">
        <w:rPr>
          <w:rFonts w:ascii="Times New Roman" w:eastAsia="Times New Roman" w:hAnsi="Times New Roman"/>
          <w:sz w:val="17"/>
          <w:szCs w:val="17"/>
        </w:rPr>
        <w:t xml:space="preserve"> records should include any agreement to average hours and the hours recorded should reflect the pattern of work and training agreed by the employer and apprentice or trainee.</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8.4.8</w:t>
      </w:r>
      <w:r w:rsidRPr="00E70407">
        <w:rPr>
          <w:rFonts w:ascii="Times New Roman" w:eastAsia="Times New Roman" w:hAnsi="Times New Roman"/>
          <w:sz w:val="17"/>
          <w:szCs w:val="17"/>
        </w:rPr>
        <w:tab/>
        <w:t>The maximum penalty for a breach of the requirements relating to the making and retention of records is $5,000, and the expiation fee is $315.</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 xml:space="preserve">8.5 </w:t>
      </w:r>
      <w:r w:rsidRPr="00E70407">
        <w:rPr>
          <w:rFonts w:ascii="Times New Roman" w:eastAsia="Times New Roman" w:hAnsi="Times New Roman"/>
          <w:b/>
          <w:bCs/>
          <w:sz w:val="17"/>
          <w:szCs w:val="17"/>
        </w:rPr>
        <w:tab/>
        <w:t>Minimum hours under part-time Training Contracts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S46)</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8.5.1</w:t>
      </w:r>
      <w:r w:rsidRPr="00E70407">
        <w:rPr>
          <w:rFonts w:ascii="Times New Roman" w:eastAsia="Times New Roman" w:hAnsi="Times New Roman"/>
          <w:sz w:val="17"/>
          <w:szCs w:val="17"/>
        </w:rPr>
        <w:tab/>
        <w:t xml:space="preserve">As published by notice in the Gazette an apprenticeship or traineeship may be undertaken on a full or time-part basis but cannot be undertaken on a casual basis. </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8.5.2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Parties</w:t>
      </w:r>
      <w:r w:rsidRPr="00E70407">
        <w:rPr>
          <w:rFonts w:ascii="Times New Roman" w:eastAsia="Times New Roman" w:hAnsi="Times New Roman"/>
          <w:sz w:val="17"/>
          <w:szCs w:val="17"/>
        </w:rPr>
        <w:t xml:space="preserve"> to a part-time apprenticeship or traineeship may agree on the hours worked under the Training Contract, provided:</w:t>
      </w:r>
    </w:p>
    <w:p w:rsidR="00E70407" w:rsidRPr="00E70407" w:rsidRDefault="00E70407" w:rsidP="00E70407">
      <w:pPr>
        <w:numPr>
          <w:ilvl w:val="0"/>
          <w:numId w:val="293"/>
        </w:numPr>
        <w:rPr>
          <w:rFonts w:ascii="Times New Roman" w:eastAsia="Times New Roman" w:hAnsi="Times New Roman"/>
          <w:sz w:val="17"/>
          <w:szCs w:val="17"/>
        </w:rPr>
      </w:pPr>
      <w:r w:rsidRPr="00E70407">
        <w:rPr>
          <w:rFonts w:ascii="Times New Roman" w:eastAsia="Times New Roman" w:hAnsi="Times New Roman"/>
          <w:sz w:val="17"/>
          <w:szCs w:val="17"/>
        </w:rPr>
        <w:t>part-time minimum hours worked under a standard apprenticeship or traineeship are at least 15 hours per week</w:t>
      </w:r>
    </w:p>
    <w:p w:rsidR="00E70407" w:rsidRPr="00E70407" w:rsidRDefault="00E70407" w:rsidP="00E70407">
      <w:pPr>
        <w:numPr>
          <w:ilvl w:val="0"/>
          <w:numId w:val="293"/>
        </w:numPr>
        <w:rPr>
          <w:rFonts w:ascii="Times New Roman" w:eastAsia="Times New Roman" w:hAnsi="Times New Roman"/>
          <w:sz w:val="17"/>
          <w:szCs w:val="17"/>
        </w:rPr>
      </w:pPr>
      <w:r w:rsidRPr="00E70407">
        <w:rPr>
          <w:rFonts w:ascii="Times New Roman" w:eastAsia="Times New Roman" w:hAnsi="Times New Roman"/>
          <w:sz w:val="17"/>
          <w:szCs w:val="17"/>
        </w:rPr>
        <w:t>part-time minimum hours worked under a school-based apprenticeship or traineeship are at least 7.5 hours per week.</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8.5.3</w:t>
      </w:r>
      <w:r w:rsidRPr="00E70407">
        <w:rPr>
          <w:rFonts w:ascii="Times New Roman" w:eastAsia="Times New Roman" w:hAnsi="Times New Roman"/>
          <w:sz w:val="17"/>
          <w:szCs w:val="17"/>
        </w:rPr>
        <w:tab/>
        <w:t xml:space="preserve">The agreed arrangement must be consistent with the award or industrial agreement to which the apprenticeship or traineeship relates. </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 xml:space="preserve">8.6 </w:t>
      </w:r>
      <w:r w:rsidRPr="00E70407">
        <w:rPr>
          <w:rFonts w:ascii="Times New Roman" w:eastAsia="Times New Roman" w:hAnsi="Times New Roman"/>
          <w:sz w:val="17"/>
          <w:szCs w:val="17"/>
        </w:rPr>
        <w:tab/>
      </w:r>
      <w:r w:rsidRPr="00E70407">
        <w:rPr>
          <w:rFonts w:ascii="Times New Roman" w:eastAsia="Times New Roman" w:hAnsi="Times New Roman"/>
          <w:b/>
          <w:bCs/>
          <w:sz w:val="17"/>
          <w:szCs w:val="17"/>
        </w:rPr>
        <w:t>Standard probationary periods under Training Contracts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S46)</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8.6.1</w:t>
      </w:r>
      <w:r w:rsidRPr="00E70407">
        <w:rPr>
          <w:rFonts w:ascii="Times New Roman" w:eastAsia="Times New Roman" w:hAnsi="Times New Roman"/>
          <w:sz w:val="17"/>
          <w:szCs w:val="17"/>
        </w:rPr>
        <w:tab/>
        <w:t xml:space="preserve">The </w:t>
      </w:r>
      <w:r w:rsidRPr="00E70407">
        <w:rPr>
          <w:rFonts w:ascii="Times New Roman" w:eastAsia="Times New Roman" w:hAnsi="Times New Roman"/>
          <w:sz w:val="17"/>
          <w:szCs w:val="17"/>
          <w:lang w:val="en-GB"/>
        </w:rPr>
        <w:t>Commission</w:t>
      </w:r>
      <w:r w:rsidRPr="00E70407">
        <w:rPr>
          <w:rFonts w:ascii="Times New Roman" w:eastAsia="Times New Roman" w:hAnsi="Times New Roman"/>
          <w:sz w:val="17"/>
          <w:szCs w:val="17"/>
        </w:rPr>
        <w:t>, by notice in the Gazette, has determined the standard probationary period for Training Contracts. The standard (or nominal) probationary period for a Training Contract:</w:t>
      </w:r>
    </w:p>
    <w:p w:rsidR="00E70407" w:rsidRPr="00E70407" w:rsidRDefault="00E70407" w:rsidP="00E70407">
      <w:pPr>
        <w:numPr>
          <w:ilvl w:val="0"/>
          <w:numId w:val="288"/>
        </w:numPr>
        <w:rPr>
          <w:rFonts w:ascii="Times New Roman" w:eastAsia="Times New Roman" w:hAnsi="Times New Roman"/>
          <w:sz w:val="17"/>
          <w:szCs w:val="17"/>
        </w:rPr>
      </w:pPr>
      <w:r w:rsidRPr="00E70407">
        <w:rPr>
          <w:rFonts w:ascii="Times New Roman" w:eastAsia="Times New Roman" w:hAnsi="Times New Roman"/>
          <w:sz w:val="17"/>
          <w:szCs w:val="17"/>
        </w:rPr>
        <w:t>up to and including 24 months duration is 60 days</w:t>
      </w:r>
    </w:p>
    <w:p w:rsidR="00E70407" w:rsidRPr="00E70407" w:rsidRDefault="00E70407" w:rsidP="00E70407">
      <w:pPr>
        <w:numPr>
          <w:ilvl w:val="0"/>
          <w:numId w:val="288"/>
        </w:numPr>
        <w:rPr>
          <w:rFonts w:ascii="Times New Roman" w:eastAsia="Times New Roman" w:hAnsi="Times New Roman"/>
          <w:sz w:val="17"/>
          <w:szCs w:val="17"/>
        </w:rPr>
      </w:pPr>
      <w:r w:rsidRPr="00E70407">
        <w:rPr>
          <w:rFonts w:ascii="Times New Roman" w:eastAsia="Times New Roman" w:hAnsi="Times New Roman"/>
          <w:sz w:val="17"/>
          <w:szCs w:val="17"/>
        </w:rPr>
        <w:t>greater than 24 months duration is 90 days.</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lastRenderedPageBreak/>
        <w:t>8.6.2</w:t>
      </w:r>
      <w:r w:rsidRPr="00E70407">
        <w:rPr>
          <w:rFonts w:ascii="Times New Roman" w:eastAsia="Times New Roman" w:hAnsi="Times New Roman"/>
          <w:sz w:val="17"/>
          <w:szCs w:val="17"/>
        </w:rPr>
        <w:tab/>
        <w:t xml:space="preserve">These </w:t>
      </w:r>
      <w:r w:rsidRPr="00E70407">
        <w:rPr>
          <w:rFonts w:ascii="Times New Roman" w:eastAsia="Times New Roman" w:hAnsi="Times New Roman"/>
          <w:sz w:val="17"/>
          <w:szCs w:val="17"/>
          <w:lang w:val="en-GB"/>
        </w:rPr>
        <w:t>standard</w:t>
      </w:r>
      <w:r w:rsidRPr="00E70407">
        <w:rPr>
          <w:rFonts w:ascii="Times New Roman" w:eastAsia="Times New Roman" w:hAnsi="Times New Roman"/>
          <w:sz w:val="17"/>
          <w:szCs w:val="17"/>
        </w:rPr>
        <w:t xml:space="preserve"> probationary periods apply to full-time and part-time apprenticeships and traineeships.</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8.6.3</w:t>
      </w:r>
      <w:r w:rsidRPr="00E70407">
        <w:rPr>
          <w:rFonts w:ascii="Times New Roman" w:eastAsia="Times New Roman" w:hAnsi="Times New Roman"/>
          <w:sz w:val="17"/>
          <w:szCs w:val="17"/>
        </w:rPr>
        <w:tab/>
        <w:t xml:space="preserve">The </w:t>
      </w:r>
      <w:r w:rsidRPr="00E70407">
        <w:rPr>
          <w:rFonts w:ascii="Times New Roman" w:eastAsia="Times New Roman" w:hAnsi="Times New Roman"/>
          <w:sz w:val="17"/>
          <w:szCs w:val="17"/>
          <w:lang w:val="en-GB"/>
        </w:rPr>
        <w:t>Commission</w:t>
      </w:r>
      <w:r w:rsidRPr="00E70407">
        <w:rPr>
          <w:rFonts w:ascii="Times New Roman" w:eastAsia="Times New Roman" w:hAnsi="Times New Roman"/>
          <w:sz w:val="17"/>
          <w:szCs w:val="17"/>
        </w:rPr>
        <w:t xml:space="preserve"> by further gazetted notice may vary the above standard probationary periods.</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8.6.4</w:t>
      </w:r>
      <w:r w:rsidRPr="00E70407">
        <w:rPr>
          <w:rFonts w:ascii="Times New Roman" w:eastAsia="Times New Roman" w:hAnsi="Times New Roman"/>
          <w:sz w:val="17"/>
          <w:szCs w:val="17"/>
        </w:rPr>
        <w:tab/>
        <w:t xml:space="preserve">The </w:t>
      </w:r>
      <w:r w:rsidRPr="00E70407">
        <w:rPr>
          <w:rFonts w:ascii="Times New Roman" w:eastAsia="Times New Roman" w:hAnsi="Times New Roman"/>
          <w:sz w:val="17"/>
          <w:szCs w:val="17"/>
          <w:lang w:val="en-GB"/>
        </w:rPr>
        <w:t>Commission</w:t>
      </w:r>
      <w:r w:rsidRPr="00E70407">
        <w:rPr>
          <w:rFonts w:ascii="Times New Roman" w:eastAsia="Times New Roman" w:hAnsi="Times New Roman"/>
          <w:sz w:val="17"/>
          <w:szCs w:val="17"/>
        </w:rPr>
        <w:t xml:space="preserve"> has the discretion to approve probationary periods that differ from the standard probationary periods noted in Clause 8.6.1. </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8.7</w:t>
      </w:r>
      <w:r w:rsidRPr="00E70407">
        <w:rPr>
          <w:rFonts w:ascii="Times New Roman" w:eastAsia="Times New Roman" w:hAnsi="Times New Roman"/>
          <w:b/>
          <w:bCs/>
          <w:sz w:val="17"/>
          <w:szCs w:val="17"/>
        </w:rPr>
        <w:tab/>
        <w:t>Application to extend the standard probationary period for a Training Contract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S49A)</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8.7.1</w:t>
      </w:r>
      <w:r w:rsidRPr="00E70407">
        <w:rPr>
          <w:rFonts w:ascii="Times New Roman" w:eastAsia="Times New Roman" w:hAnsi="Times New Roman"/>
          <w:sz w:val="17"/>
          <w:szCs w:val="17"/>
        </w:rPr>
        <w:tab/>
        <w:t xml:space="preserve">A party to a Training Contract may apply to the Commission to vary the Training Contract to extend the probationary period for that Training </w:t>
      </w:r>
      <w:r w:rsidRPr="00E70407">
        <w:rPr>
          <w:rFonts w:ascii="Times New Roman" w:eastAsia="Times New Roman" w:hAnsi="Times New Roman"/>
          <w:sz w:val="17"/>
          <w:szCs w:val="17"/>
          <w:lang w:val="en-GB"/>
        </w:rPr>
        <w:t>Contract</w:t>
      </w:r>
      <w:r w:rsidRPr="00E70407">
        <w:rPr>
          <w:rFonts w:ascii="Times New Roman" w:eastAsia="Times New Roman" w:hAnsi="Times New Roman"/>
          <w:sz w:val="17"/>
          <w:szCs w:val="17"/>
        </w:rPr>
        <w:t>.</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8.7.2</w:t>
      </w:r>
      <w:r w:rsidRPr="00E70407">
        <w:rPr>
          <w:rFonts w:ascii="Times New Roman" w:eastAsia="Times New Roman" w:hAnsi="Times New Roman"/>
          <w:sz w:val="17"/>
          <w:szCs w:val="17"/>
        </w:rPr>
        <w:tab/>
        <w:t xml:space="preserve">An </w:t>
      </w:r>
      <w:r w:rsidRPr="00E70407">
        <w:rPr>
          <w:rFonts w:ascii="Times New Roman" w:eastAsia="Times New Roman" w:hAnsi="Times New Roman"/>
          <w:sz w:val="17"/>
          <w:szCs w:val="17"/>
          <w:lang w:val="en-GB"/>
        </w:rPr>
        <w:t>application</w:t>
      </w:r>
      <w:r w:rsidRPr="00E70407">
        <w:rPr>
          <w:rFonts w:ascii="Times New Roman" w:eastAsia="Times New Roman" w:hAnsi="Times New Roman"/>
          <w:sz w:val="17"/>
          <w:szCs w:val="17"/>
        </w:rPr>
        <w:t xml:space="preserve"> to extend the probationary period:</w:t>
      </w:r>
    </w:p>
    <w:p w:rsidR="00E70407" w:rsidRPr="00E70407" w:rsidRDefault="00E70407" w:rsidP="00E70407">
      <w:pPr>
        <w:numPr>
          <w:ilvl w:val="0"/>
          <w:numId w:val="287"/>
        </w:numPr>
        <w:rPr>
          <w:rFonts w:ascii="Times New Roman" w:eastAsia="Times New Roman" w:hAnsi="Times New Roman"/>
          <w:sz w:val="17"/>
          <w:szCs w:val="17"/>
        </w:rPr>
      </w:pPr>
      <w:r w:rsidRPr="00E70407">
        <w:rPr>
          <w:rFonts w:ascii="Times New Roman" w:eastAsia="Times New Roman" w:hAnsi="Times New Roman"/>
          <w:sz w:val="17"/>
          <w:szCs w:val="17"/>
        </w:rPr>
        <w:t>may be made by the employer, the apprentice or trainee, or both</w:t>
      </w:r>
    </w:p>
    <w:p w:rsidR="00E70407" w:rsidRPr="00E70407" w:rsidRDefault="00E70407" w:rsidP="00E70407">
      <w:pPr>
        <w:ind w:left="1080"/>
        <w:rPr>
          <w:rFonts w:ascii="Times New Roman" w:eastAsia="Times New Roman" w:hAnsi="Times New Roman"/>
          <w:sz w:val="17"/>
          <w:szCs w:val="17"/>
        </w:rPr>
      </w:pPr>
      <w:r w:rsidRPr="00E70407">
        <w:rPr>
          <w:rFonts w:ascii="Times New Roman" w:eastAsia="Times New Roman" w:hAnsi="Times New Roman"/>
          <w:sz w:val="17"/>
          <w:szCs w:val="17"/>
        </w:rPr>
        <w:t>(Note: if the application is not a joint application by the employer and apprentice or trainee, the Commission must not decide an application unless it has sought the views of the other party to the Training Contract about whether or not the application should be granted)</w:t>
      </w:r>
    </w:p>
    <w:p w:rsidR="00E70407" w:rsidRPr="00E70407" w:rsidRDefault="00E70407" w:rsidP="00E70407">
      <w:pPr>
        <w:numPr>
          <w:ilvl w:val="0"/>
          <w:numId w:val="287"/>
        </w:numPr>
        <w:rPr>
          <w:rFonts w:ascii="Times New Roman" w:eastAsia="Times New Roman" w:hAnsi="Times New Roman"/>
          <w:sz w:val="17"/>
          <w:szCs w:val="17"/>
        </w:rPr>
      </w:pPr>
      <w:r w:rsidRPr="00E70407">
        <w:rPr>
          <w:rFonts w:ascii="Times New Roman" w:eastAsia="Times New Roman" w:hAnsi="Times New Roman"/>
          <w:sz w:val="17"/>
          <w:szCs w:val="17"/>
        </w:rPr>
        <w:t>may not be for a period in excess of 6 months in total, or 25% of the term of the Training Contract, whichever is the lesser.</w:t>
      </w:r>
    </w:p>
    <w:p w:rsidR="00E70407" w:rsidRPr="00E70407" w:rsidRDefault="00E70407" w:rsidP="00E70407">
      <w:pPr>
        <w:numPr>
          <w:ilvl w:val="0"/>
          <w:numId w:val="287"/>
        </w:numPr>
        <w:rPr>
          <w:rFonts w:ascii="Times New Roman" w:eastAsia="Times New Roman" w:hAnsi="Times New Roman"/>
          <w:sz w:val="17"/>
          <w:szCs w:val="17"/>
        </w:rPr>
      </w:pPr>
      <w:r w:rsidRPr="00E70407">
        <w:rPr>
          <w:rFonts w:ascii="Times New Roman" w:eastAsia="Times New Roman" w:hAnsi="Times New Roman"/>
          <w:sz w:val="17"/>
          <w:szCs w:val="17"/>
        </w:rPr>
        <w:t>must be submitted to the Commission no less than 14 days before the expiry of the nominal probationary period, unless the Commission is satisfied that:</w:t>
      </w:r>
    </w:p>
    <w:p w:rsidR="00E70407" w:rsidRPr="00E70407" w:rsidRDefault="00E70407" w:rsidP="00E70407">
      <w:pPr>
        <w:numPr>
          <w:ilvl w:val="2"/>
          <w:numId w:val="289"/>
        </w:numPr>
        <w:ind w:left="1418"/>
        <w:rPr>
          <w:rFonts w:ascii="Times New Roman" w:eastAsia="Times New Roman" w:hAnsi="Times New Roman"/>
          <w:sz w:val="17"/>
          <w:szCs w:val="17"/>
        </w:rPr>
      </w:pPr>
      <w:r w:rsidRPr="00E70407">
        <w:rPr>
          <w:rFonts w:ascii="Times New Roman" w:eastAsia="Times New Roman" w:hAnsi="Times New Roman"/>
          <w:sz w:val="17"/>
          <w:szCs w:val="17"/>
        </w:rPr>
        <w:t>good reasons exist to accept a shorter notice period; and</w:t>
      </w:r>
    </w:p>
    <w:p w:rsidR="00E70407" w:rsidRPr="00E70407" w:rsidRDefault="00E70407" w:rsidP="00E70407">
      <w:pPr>
        <w:numPr>
          <w:ilvl w:val="2"/>
          <w:numId w:val="289"/>
        </w:numPr>
        <w:ind w:left="1418"/>
        <w:rPr>
          <w:rFonts w:ascii="Times New Roman" w:eastAsia="Times New Roman" w:hAnsi="Times New Roman"/>
          <w:sz w:val="17"/>
          <w:szCs w:val="17"/>
        </w:rPr>
      </w:pPr>
      <w:r w:rsidRPr="00E70407">
        <w:rPr>
          <w:rFonts w:ascii="Times New Roman" w:eastAsia="Times New Roman" w:hAnsi="Times New Roman"/>
          <w:sz w:val="17"/>
          <w:szCs w:val="17"/>
        </w:rPr>
        <w:t>the other party to the Training Contract will not be unreasonably disadvantaged</w:t>
      </w:r>
    </w:p>
    <w:p w:rsidR="00E70407" w:rsidRPr="00E70407" w:rsidRDefault="00E70407" w:rsidP="00E70407">
      <w:pPr>
        <w:numPr>
          <w:ilvl w:val="0"/>
          <w:numId w:val="287"/>
        </w:numPr>
        <w:rPr>
          <w:rFonts w:ascii="Times New Roman" w:eastAsia="Times New Roman" w:hAnsi="Times New Roman"/>
          <w:sz w:val="17"/>
          <w:szCs w:val="17"/>
        </w:rPr>
      </w:pPr>
      <w:r w:rsidRPr="00E70407">
        <w:rPr>
          <w:rFonts w:ascii="Times New Roman" w:eastAsia="Times New Roman" w:hAnsi="Times New Roman"/>
          <w:sz w:val="17"/>
          <w:szCs w:val="17"/>
        </w:rPr>
        <w:t>if an application to extend the probationary period is not resolved within 14 days, the apprentice or trainee will continue to be employed on a probationary basis until such time as the application is resolved.</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8.7.3</w:t>
      </w:r>
      <w:r w:rsidRPr="00E70407">
        <w:rPr>
          <w:rFonts w:ascii="Times New Roman" w:eastAsia="Times New Roman" w:hAnsi="Times New Roman"/>
          <w:sz w:val="17"/>
          <w:szCs w:val="17"/>
        </w:rPr>
        <w:tab/>
        <w:t>Upon assessing an application to extend the probationary period for a Training Contract, the Commission will advise the parties to the application of the outcome, in writing. The Commission will advise:</w:t>
      </w:r>
    </w:p>
    <w:p w:rsidR="00E70407" w:rsidRPr="00E70407" w:rsidRDefault="00E70407" w:rsidP="00E70407">
      <w:pPr>
        <w:numPr>
          <w:ilvl w:val="0"/>
          <w:numId w:val="286"/>
        </w:numPr>
        <w:rPr>
          <w:rFonts w:ascii="Times New Roman" w:eastAsia="Times New Roman" w:hAnsi="Times New Roman"/>
          <w:sz w:val="17"/>
          <w:szCs w:val="17"/>
        </w:rPr>
      </w:pPr>
      <w:r w:rsidRPr="00E70407">
        <w:rPr>
          <w:rFonts w:ascii="Times New Roman" w:eastAsia="Times New Roman" w:hAnsi="Times New Roman"/>
          <w:sz w:val="17"/>
          <w:szCs w:val="17"/>
        </w:rPr>
        <w:t>if the application is approved, the period for which the probationary period is extended</w:t>
      </w:r>
    </w:p>
    <w:p w:rsidR="00E70407" w:rsidRPr="00E70407" w:rsidRDefault="00E70407" w:rsidP="00E70407">
      <w:pPr>
        <w:numPr>
          <w:ilvl w:val="0"/>
          <w:numId w:val="286"/>
        </w:numPr>
        <w:rPr>
          <w:rFonts w:ascii="Times New Roman" w:eastAsia="Times New Roman" w:hAnsi="Times New Roman"/>
          <w:sz w:val="17"/>
          <w:szCs w:val="17"/>
        </w:rPr>
      </w:pPr>
      <w:r w:rsidRPr="00E70407">
        <w:rPr>
          <w:rFonts w:ascii="Times New Roman" w:eastAsia="Times New Roman" w:hAnsi="Times New Roman"/>
          <w:sz w:val="17"/>
          <w:szCs w:val="17"/>
        </w:rPr>
        <w:t>if the application is declined, the reason(s) and process for review.</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 xml:space="preserve">8.8 </w:t>
      </w:r>
      <w:r w:rsidRPr="00E70407">
        <w:rPr>
          <w:rFonts w:ascii="Times New Roman" w:eastAsia="Times New Roman" w:hAnsi="Times New Roman"/>
          <w:b/>
          <w:bCs/>
          <w:sz w:val="17"/>
          <w:szCs w:val="17"/>
        </w:rPr>
        <w:tab/>
        <w:t>Variation by the Commission of the probationary period for a class of Training Contracts (SAS Act, S49A(3))</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8.8.1</w:t>
      </w:r>
      <w:r w:rsidRPr="00E70407">
        <w:rPr>
          <w:rFonts w:ascii="Times New Roman" w:eastAsia="Times New Roman" w:hAnsi="Times New Roman"/>
          <w:sz w:val="17"/>
          <w:szCs w:val="17"/>
        </w:rPr>
        <w:tab/>
        <w:t>The Commission, with the approval of the Minister, may extend the probationary period for a specified class of Training Contracts. However, the probationary period, as extended, must not exceed 6 months in total or 25% of the term of the Training Contract, whichever is the lesser.</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8.8.2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Before</w:t>
      </w:r>
      <w:r w:rsidRPr="00E70407">
        <w:rPr>
          <w:rFonts w:ascii="Times New Roman" w:eastAsia="Times New Roman" w:hAnsi="Times New Roman"/>
          <w:sz w:val="17"/>
          <w:szCs w:val="17"/>
        </w:rPr>
        <w:t xml:space="preserve"> the Commission varies the probationary period for a specified class of Training Contracts, it must:</w:t>
      </w:r>
    </w:p>
    <w:p w:rsidR="00E70407" w:rsidRPr="00E70407" w:rsidRDefault="00E70407" w:rsidP="00E70407">
      <w:pPr>
        <w:numPr>
          <w:ilvl w:val="0"/>
          <w:numId w:val="285"/>
        </w:numPr>
        <w:rPr>
          <w:rFonts w:ascii="Times New Roman" w:eastAsia="Times New Roman" w:hAnsi="Times New Roman"/>
          <w:sz w:val="17"/>
          <w:szCs w:val="17"/>
        </w:rPr>
      </w:pPr>
      <w:r w:rsidRPr="00E70407">
        <w:rPr>
          <w:rFonts w:ascii="Times New Roman" w:eastAsia="Times New Roman" w:hAnsi="Times New Roman"/>
          <w:sz w:val="17"/>
          <w:szCs w:val="17"/>
        </w:rPr>
        <w:t>consult with apprentices or trainees who are a party (or likely to be party) to a Training Contract that is among the specified class of contract, or a body representing the interests of those apprentices or trainees</w:t>
      </w:r>
    </w:p>
    <w:p w:rsidR="00E70407" w:rsidRPr="00E70407" w:rsidRDefault="00E70407" w:rsidP="00E70407">
      <w:pPr>
        <w:numPr>
          <w:ilvl w:val="0"/>
          <w:numId w:val="285"/>
        </w:numPr>
        <w:rPr>
          <w:rFonts w:ascii="Times New Roman" w:eastAsia="Times New Roman" w:hAnsi="Times New Roman"/>
          <w:sz w:val="17"/>
          <w:szCs w:val="17"/>
        </w:rPr>
      </w:pPr>
      <w:r w:rsidRPr="00E70407">
        <w:rPr>
          <w:rFonts w:ascii="Times New Roman" w:eastAsia="Times New Roman" w:hAnsi="Times New Roman"/>
          <w:sz w:val="17"/>
          <w:szCs w:val="17"/>
        </w:rPr>
        <w:t>consult with employers who are a party (or likely to be party) to a Training Contract that is among the specified class of contract, or a body representing the interests of those employers.</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8.9</w:t>
      </w:r>
      <w:r w:rsidRPr="00E70407">
        <w:rPr>
          <w:rFonts w:ascii="Times New Roman" w:eastAsia="Times New Roman" w:hAnsi="Times New Roman"/>
          <w:sz w:val="17"/>
          <w:szCs w:val="17"/>
        </w:rPr>
        <w:tab/>
      </w:r>
      <w:r w:rsidRPr="00E70407">
        <w:rPr>
          <w:rFonts w:ascii="Times New Roman" w:eastAsia="Times New Roman" w:hAnsi="Times New Roman"/>
          <w:b/>
          <w:bCs/>
          <w:sz w:val="17"/>
          <w:szCs w:val="17"/>
        </w:rPr>
        <w:t>Apprentice or trainee is under 18 years of age</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8.9.1</w:t>
      </w:r>
      <w:r w:rsidRPr="00E70407">
        <w:rPr>
          <w:rFonts w:ascii="Times New Roman" w:eastAsia="Times New Roman" w:hAnsi="Times New Roman"/>
          <w:sz w:val="17"/>
          <w:szCs w:val="17"/>
        </w:rPr>
        <w:tab/>
        <w:t xml:space="preserve">If an </w:t>
      </w:r>
      <w:r w:rsidRPr="00E70407">
        <w:rPr>
          <w:rFonts w:ascii="Times New Roman" w:eastAsia="Times New Roman" w:hAnsi="Times New Roman"/>
          <w:sz w:val="17"/>
          <w:szCs w:val="17"/>
          <w:lang w:val="en-GB"/>
        </w:rPr>
        <w:t>application</w:t>
      </w:r>
      <w:r w:rsidRPr="00E70407">
        <w:rPr>
          <w:rFonts w:ascii="Times New Roman" w:eastAsia="Times New Roman" w:hAnsi="Times New Roman"/>
          <w:sz w:val="17"/>
          <w:szCs w:val="17"/>
        </w:rPr>
        <w:t xml:space="preserve"> to extend the probationary period under a Training Contract is made in relation to an apprentice or trainee under the age of 18, and provided the apprentice or trainee’s parent(s) or guardian(s) are party to the Training Contract, the Commission must, if practicable, consult the apprentice or trainee’s parent or guardian.</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lang w:val="en-GB"/>
        </w:rPr>
        <w:t>8.10</w:t>
      </w:r>
      <w:r w:rsidRPr="00E70407">
        <w:rPr>
          <w:rFonts w:ascii="Times New Roman" w:eastAsia="Times New Roman" w:hAnsi="Times New Roman"/>
          <w:b/>
          <w:bCs/>
          <w:sz w:val="17"/>
          <w:szCs w:val="17"/>
          <w:lang w:val="en-GB"/>
        </w:rPr>
        <w:tab/>
        <w:t>Review of decisions by the South Australian Civil and Administrative Tribunal (</w:t>
      </w:r>
      <w:r w:rsidRPr="00E70407">
        <w:rPr>
          <w:rFonts w:ascii="Times New Roman" w:eastAsia="Times New Roman" w:hAnsi="Times New Roman"/>
          <w:b/>
          <w:bCs/>
          <w:i/>
          <w:sz w:val="17"/>
          <w:szCs w:val="17"/>
          <w:lang w:val="en-GB"/>
        </w:rPr>
        <w:t>SAS Act</w:t>
      </w:r>
      <w:r w:rsidRPr="00E70407">
        <w:rPr>
          <w:rFonts w:ascii="Times New Roman" w:eastAsia="Times New Roman" w:hAnsi="Times New Roman"/>
          <w:b/>
          <w:bCs/>
          <w:sz w:val="17"/>
          <w:szCs w:val="17"/>
          <w:lang w:val="en-GB"/>
        </w:rPr>
        <w:t>, S70F, Regulation 20)</w:t>
      </w:r>
    </w:p>
    <w:p w:rsidR="00E70407" w:rsidRPr="00E70407" w:rsidRDefault="00E70407" w:rsidP="00E70407">
      <w:pPr>
        <w:tabs>
          <w:tab w:val="left" w:pos="709"/>
        </w:tabs>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8.10.1</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 xml:space="preserve">The South Australian Civil and Administrative Tribunal (SACAT) has jurisdiction to review a decision of the Commission to approve or refuse an application to extend the probationary period for a Training Contract under Section 49A of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iCs/>
          <w:sz w:val="17"/>
          <w:szCs w:val="17"/>
          <w:lang w:val="en-GB"/>
        </w:rPr>
        <w:t>Act</w:t>
      </w:r>
      <w:r w:rsidRPr="00E70407">
        <w:rPr>
          <w:rFonts w:ascii="Times New Roman" w:eastAsia="Times New Roman" w:hAnsi="Times New Roman"/>
          <w:sz w:val="17"/>
          <w:szCs w:val="17"/>
          <w:lang w:val="en-GB"/>
        </w:rPr>
        <w:t>.</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lang w:val="en-GB"/>
        </w:rPr>
        <w:t>8.10.2</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 xml:space="preserve">An applicant must apply to the SACAT within 28 days of receiving notice of the relevant decision. </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lang w:val="en-GB"/>
        </w:rPr>
        <w:t>8.10.3</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The SACAT may allow an extension of time to this application period if it is satisfied that:</w:t>
      </w:r>
    </w:p>
    <w:p w:rsidR="00E70407" w:rsidRPr="00E70407" w:rsidRDefault="00E70407" w:rsidP="00E70407">
      <w:pPr>
        <w:numPr>
          <w:ilvl w:val="0"/>
          <w:numId w:val="284"/>
        </w:numPr>
        <w:rPr>
          <w:rFonts w:ascii="Times New Roman" w:eastAsia="Times New Roman" w:hAnsi="Times New Roman"/>
          <w:sz w:val="17"/>
          <w:szCs w:val="17"/>
        </w:rPr>
      </w:pPr>
      <w:r w:rsidRPr="00E70407">
        <w:rPr>
          <w:rFonts w:ascii="Times New Roman" w:eastAsia="Times New Roman" w:hAnsi="Times New Roman"/>
          <w:sz w:val="17"/>
          <w:szCs w:val="17"/>
          <w:lang w:val="en-GB"/>
        </w:rPr>
        <w:t>special circumstances exist</w:t>
      </w:r>
    </w:p>
    <w:p w:rsidR="00E70407" w:rsidRPr="00E70407" w:rsidRDefault="00E70407" w:rsidP="00E70407">
      <w:pPr>
        <w:numPr>
          <w:ilvl w:val="0"/>
          <w:numId w:val="284"/>
        </w:numPr>
        <w:rPr>
          <w:rFonts w:ascii="Times New Roman" w:eastAsia="Times New Roman" w:hAnsi="Times New Roman"/>
          <w:sz w:val="17"/>
          <w:szCs w:val="17"/>
        </w:rPr>
      </w:pPr>
      <w:r w:rsidRPr="00E70407">
        <w:rPr>
          <w:rFonts w:ascii="Times New Roman" w:eastAsia="Times New Roman" w:hAnsi="Times New Roman"/>
          <w:sz w:val="17"/>
          <w:szCs w:val="17"/>
          <w:lang w:val="en-GB"/>
        </w:rPr>
        <w:t>another party will not be unreasonably disadvantaged because of the delay in commencing proceedings.</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lang w:val="en-GB"/>
        </w:rPr>
        <w:t xml:space="preserve">8.10.4 </w:t>
      </w:r>
      <w:r w:rsidRPr="00E70407">
        <w:rPr>
          <w:rFonts w:ascii="Times New Roman" w:eastAsia="Times New Roman" w:hAnsi="Times New Roman"/>
          <w:sz w:val="17"/>
          <w:szCs w:val="17"/>
          <w:lang w:val="en-GB"/>
        </w:rPr>
        <w:tab/>
        <w:t>An application for the SACAT to review a decision must be made using the online form available at</w:t>
      </w:r>
      <w:r w:rsidRPr="00E70407">
        <w:rPr>
          <w:rFonts w:ascii="Times New Roman" w:eastAsia="Times New Roman" w:hAnsi="Times New Roman"/>
          <w:sz w:val="17"/>
          <w:szCs w:val="17"/>
        </w:rPr>
        <w:t xml:space="preserve"> </w:t>
      </w:r>
      <w:hyperlink r:id="rId107" w:history="1">
        <w:r w:rsidRPr="00E70407">
          <w:rPr>
            <w:rFonts w:ascii="Times New Roman" w:eastAsia="Times New Roman" w:hAnsi="Times New Roman"/>
            <w:color w:val="0000FF"/>
            <w:sz w:val="17"/>
            <w:szCs w:val="17"/>
            <w:u w:val="single"/>
          </w:rPr>
          <w:t>www.sacat.sa.gov.au/application-form</w:t>
        </w:r>
      </w:hyperlink>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lang w:val="en-GB"/>
        </w:rPr>
        <w:t>8.10.5</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rsidR="00E70407" w:rsidRPr="00E70407" w:rsidRDefault="00E70407" w:rsidP="00E70407">
      <w:pPr>
        <w:pBdr>
          <w:top w:val="single" w:sz="4" w:space="1" w:color="auto"/>
        </w:pBdr>
        <w:spacing w:before="100" w:line="14" w:lineRule="exact"/>
        <w:ind w:left="1080" w:right="1080"/>
        <w:jc w:val="center"/>
        <w:rPr>
          <w:rFonts w:ascii="Times New Roman" w:eastAsia="Times New Roman" w:hAnsi="Times New Roman"/>
          <w:b/>
          <w:bCs/>
          <w:sz w:val="17"/>
          <w:szCs w:val="17"/>
        </w:rPr>
      </w:pPr>
      <w:bookmarkStart w:id="121" w:name="_Toc71813719"/>
      <w:bookmarkStart w:id="122" w:name="_Toc75255251"/>
    </w:p>
    <w:p w:rsidR="00E70407" w:rsidRPr="00E70407" w:rsidRDefault="00E70407" w:rsidP="00E70407">
      <w:pPr>
        <w:jc w:val="center"/>
        <w:rPr>
          <w:rFonts w:ascii="Times New Roman" w:hAnsi="Times New Roman"/>
          <w:smallCaps/>
          <w:sz w:val="17"/>
          <w:szCs w:val="17"/>
        </w:rPr>
      </w:pPr>
      <w:r w:rsidRPr="00E70407">
        <w:rPr>
          <w:rFonts w:ascii="Times New Roman" w:hAnsi="Times New Roman"/>
          <w:smallCaps/>
          <w:sz w:val="17"/>
          <w:szCs w:val="17"/>
        </w:rPr>
        <w:t>Standard 9</w:t>
      </w:r>
      <w:r w:rsidRPr="00E70407">
        <w:rPr>
          <w:rFonts w:ascii="Times New Roman" w:hAnsi="Times New Roman"/>
          <w:smallCaps/>
          <w:sz w:val="17"/>
          <w:szCs w:val="17"/>
        </w:rPr>
        <w:tab/>
      </w:r>
      <w:r w:rsidRPr="00E70407">
        <w:rPr>
          <w:rFonts w:ascii="Times New Roman" w:hAnsi="Times New Roman"/>
          <w:smallCaps/>
          <w:sz w:val="17"/>
          <w:szCs w:val="17"/>
        </w:rPr>
        <w:tab/>
        <w:t>Transfer of Training Contracts</w:t>
      </w:r>
      <w:bookmarkEnd w:id="121"/>
      <w:r w:rsidRPr="00E70407">
        <w:rPr>
          <w:rFonts w:ascii="Times New Roman" w:hAnsi="Times New Roman"/>
          <w:smallCaps/>
          <w:sz w:val="17"/>
          <w:szCs w:val="17"/>
        </w:rPr>
        <w:t xml:space="preserve"> and Substitute Employer</w:t>
      </w:r>
      <w:bookmarkEnd w:id="122"/>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This Standard relates to the substitution of an employer of an apprentice or trainee and covers three broad situations in which the Training Contract is taken over by (or transferred to) another employer. Transfer of a Training Contract through the first two situations described below are subject to approval by the Commission. A change of business ownership requires the South Australian Skills Commission (the Commission) to be notified of the change of ownership.</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A substitution or transfer of a Training Contract occurs where:</w:t>
      </w:r>
    </w:p>
    <w:p w:rsidR="00E70407" w:rsidRPr="00E70407" w:rsidRDefault="00E70407" w:rsidP="00E70407">
      <w:pPr>
        <w:numPr>
          <w:ilvl w:val="0"/>
          <w:numId w:val="309"/>
        </w:numPr>
        <w:spacing w:after="0"/>
        <w:ind w:left="567"/>
        <w:rPr>
          <w:rFonts w:ascii="Times New Roman" w:eastAsia="Times New Roman" w:hAnsi="Times New Roman"/>
          <w:sz w:val="17"/>
          <w:szCs w:val="17"/>
        </w:rPr>
      </w:pPr>
      <w:r w:rsidRPr="00E70407">
        <w:rPr>
          <w:rFonts w:ascii="Times New Roman" w:eastAsia="Times New Roman" w:hAnsi="Times New Roman"/>
          <w:sz w:val="17"/>
          <w:szCs w:val="17"/>
        </w:rPr>
        <w:t>an apprentice or trainee under a Training Contract established in another state or territory transfers to a South Australian-based employer</w:t>
      </w:r>
    </w:p>
    <w:p w:rsidR="00E70407" w:rsidRPr="00E70407" w:rsidRDefault="00E70407" w:rsidP="00E70407">
      <w:pPr>
        <w:numPr>
          <w:ilvl w:val="0"/>
          <w:numId w:val="309"/>
        </w:numPr>
        <w:spacing w:after="0"/>
        <w:ind w:left="567"/>
        <w:rPr>
          <w:rFonts w:ascii="Times New Roman" w:eastAsia="Times New Roman" w:hAnsi="Times New Roman"/>
          <w:sz w:val="17"/>
          <w:szCs w:val="17"/>
        </w:rPr>
      </w:pPr>
      <w:r w:rsidRPr="00E70407">
        <w:rPr>
          <w:rFonts w:ascii="Times New Roman" w:eastAsia="Times New Roman" w:hAnsi="Times New Roman"/>
          <w:sz w:val="17"/>
          <w:szCs w:val="17"/>
        </w:rPr>
        <w:t>an application is made to the Commission to substitute</w:t>
      </w:r>
      <w:r w:rsidRPr="00E70407">
        <w:rPr>
          <w:rFonts w:ascii="Times New Roman" w:eastAsia="Times New Roman" w:hAnsi="Times New Roman"/>
          <w:i/>
          <w:iCs/>
          <w:sz w:val="17"/>
          <w:szCs w:val="17"/>
        </w:rPr>
        <w:t xml:space="preserve"> </w:t>
      </w:r>
      <w:r w:rsidRPr="00E70407">
        <w:rPr>
          <w:rFonts w:ascii="Times New Roman" w:eastAsia="Times New Roman" w:hAnsi="Times New Roman"/>
          <w:sz w:val="17"/>
          <w:szCs w:val="17"/>
        </w:rPr>
        <w:t>the current employer of an apprentice or trainee with a different employer</w:t>
      </w:r>
    </w:p>
    <w:p w:rsidR="00E70407" w:rsidRPr="00E70407" w:rsidRDefault="00E70407" w:rsidP="00E70407">
      <w:pPr>
        <w:numPr>
          <w:ilvl w:val="0"/>
          <w:numId w:val="309"/>
        </w:numPr>
        <w:spacing w:after="0"/>
        <w:ind w:left="567"/>
        <w:rPr>
          <w:rFonts w:ascii="Times New Roman" w:eastAsia="Times New Roman" w:hAnsi="Times New Roman"/>
          <w:sz w:val="17"/>
          <w:szCs w:val="17"/>
        </w:rPr>
      </w:pPr>
      <w:r w:rsidRPr="00E70407">
        <w:rPr>
          <w:rFonts w:ascii="Times New Roman" w:eastAsia="Times New Roman" w:hAnsi="Times New Roman"/>
          <w:sz w:val="17"/>
          <w:szCs w:val="17"/>
        </w:rPr>
        <w:t>the Commission determines, on its own motion, to substitute the current employer of an apprentice or trainee with a different employer</w:t>
      </w:r>
    </w:p>
    <w:p w:rsidR="00E70407" w:rsidRPr="00E70407" w:rsidRDefault="00E70407" w:rsidP="00E70407">
      <w:pPr>
        <w:numPr>
          <w:ilvl w:val="0"/>
          <w:numId w:val="309"/>
        </w:numPr>
        <w:ind w:left="567"/>
        <w:rPr>
          <w:rFonts w:ascii="Times New Roman" w:eastAsia="Times New Roman" w:hAnsi="Times New Roman"/>
          <w:sz w:val="17"/>
          <w:szCs w:val="17"/>
        </w:rPr>
      </w:pPr>
      <w:r w:rsidRPr="00E70407">
        <w:rPr>
          <w:rFonts w:ascii="Times New Roman" w:eastAsia="Times New Roman" w:hAnsi="Times New Roman"/>
          <w:sz w:val="17"/>
          <w:szCs w:val="17"/>
        </w:rPr>
        <w:t>there is a change in the ownership of the business under which an apprentice or trainee is employed.</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This Standard applies to the Commission, employers and prospective employers of apprentices and trainees. </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Governance arrangements</w:t>
      </w:r>
    </w:p>
    <w:p w:rsidR="00E70407" w:rsidRPr="00E70407" w:rsidRDefault="00E70407" w:rsidP="00E70407">
      <w:pPr>
        <w:rPr>
          <w:rFonts w:ascii="Times New Roman" w:eastAsia="Times New Roman" w:hAnsi="Times New Roman"/>
          <w:b/>
          <w:sz w:val="17"/>
          <w:szCs w:val="17"/>
        </w:rPr>
      </w:pPr>
      <w:r w:rsidRPr="00E70407">
        <w:rPr>
          <w:rFonts w:ascii="Times New Roman" w:eastAsia="Times New Roman" w:hAnsi="Times New Roman"/>
          <w:sz w:val="17"/>
          <w:szCs w:val="17"/>
        </w:rPr>
        <w:lastRenderedPageBreak/>
        <w:t>Decisions to approve the transfer of a Training Contract and substitution of an employer are decided by the Commission (or its delegate).</w:t>
      </w:r>
      <w:r w:rsidRPr="00E70407">
        <w:rPr>
          <w:rFonts w:ascii="Times New Roman" w:eastAsia="Times New Roman" w:hAnsi="Times New Roman"/>
          <w:b/>
          <w:sz w:val="17"/>
          <w:szCs w:val="17"/>
        </w:rPr>
        <w:t xml:space="preserve"> </w:t>
      </w:r>
    </w:p>
    <w:p w:rsidR="001B3509" w:rsidRDefault="001B3509">
      <w:pPr>
        <w:spacing w:after="0" w:line="240" w:lineRule="auto"/>
        <w:jc w:val="left"/>
        <w:rPr>
          <w:rFonts w:ascii="Times New Roman" w:eastAsia="Times New Roman" w:hAnsi="Times New Roman"/>
          <w:b/>
          <w:sz w:val="17"/>
          <w:szCs w:val="17"/>
        </w:rPr>
      </w:pPr>
      <w:r>
        <w:rPr>
          <w:rFonts w:ascii="Times New Roman" w:eastAsia="Times New Roman" w:hAnsi="Times New Roman"/>
          <w:b/>
          <w:sz w:val="17"/>
          <w:szCs w:val="17"/>
        </w:rPr>
        <w:br w:type="page"/>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sz w:val="17"/>
          <w:szCs w:val="17"/>
        </w:rPr>
        <w:lastRenderedPageBreak/>
        <w:t>Compliance with the Standard</w:t>
      </w:r>
    </w:p>
    <w:p w:rsidR="00E70407" w:rsidRPr="00E70407" w:rsidRDefault="00E70407" w:rsidP="00E70407">
      <w:pPr>
        <w:numPr>
          <w:ilvl w:val="1"/>
          <w:numId w:val="370"/>
        </w:numPr>
        <w:ind w:left="350"/>
        <w:rPr>
          <w:rFonts w:ascii="Times New Roman" w:eastAsia="Times New Roman" w:hAnsi="Times New Roman"/>
          <w:b/>
          <w:sz w:val="17"/>
          <w:szCs w:val="17"/>
        </w:rPr>
      </w:pPr>
      <w:r w:rsidRPr="00E70407">
        <w:rPr>
          <w:rFonts w:ascii="Times New Roman" w:eastAsia="Times New Roman" w:hAnsi="Times New Roman"/>
          <w:b/>
          <w:sz w:val="17"/>
          <w:szCs w:val="17"/>
        </w:rPr>
        <w:t>Transfer of Training Contracts between jurisdictions (</w:t>
      </w:r>
      <w:r w:rsidRPr="00E70407">
        <w:rPr>
          <w:rFonts w:ascii="Times New Roman" w:eastAsia="Times New Roman" w:hAnsi="Times New Roman"/>
          <w:b/>
          <w:i/>
          <w:iCs/>
          <w:sz w:val="17"/>
          <w:szCs w:val="17"/>
        </w:rPr>
        <w:t>SAS Act</w:t>
      </w:r>
      <w:r w:rsidRPr="00E70407">
        <w:rPr>
          <w:rFonts w:ascii="Times New Roman" w:eastAsia="Times New Roman" w:hAnsi="Times New Roman"/>
          <w:b/>
          <w:sz w:val="17"/>
          <w:szCs w:val="17"/>
        </w:rPr>
        <w:t xml:space="preserve">, S45, S48A, </w:t>
      </w:r>
      <w:r w:rsidRPr="00E70407">
        <w:rPr>
          <w:rFonts w:ascii="Times New Roman" w:eastAsia="Times New Roman" w:hAnsi="Times New Roman"/>
          <w:b/>
          <w:i/>
          <w:iCs/>
          <w:sz w:val="17"/>
          <w:szCs w:val="17"/>
        </w:rPr>
        <w:t>Regulation</w:t>
      </w:r>
      <w:r w:rsidRPr="00E70407">
        <w:rPr>
          <w:rFonts w:ascii="Times New Roman" w:eastAsia="Times New Roman" w:hAnsi="Times New Roman"/>
          <w:b/>
          <w:sz w:val="17"/>
          <w:szCs w:val="17"/>
        </w:rPr>
        <w:t xml:space="preserve"> 7)</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9.1.1</w:t>
      </w:r>
      <w:r w:rsidRPr="00E70407">
        <w:rPr>
          <w:rFonts w:ascii="Times New Roman" w:eastAsia="Times New Roman" w:hAnsi="Times New Roman"/>
          <w:sz w:val="17"/>
          <w:szCs w:val="17"/>
        </w:rPr>
        <w:tab/>
        <w:t xml:space="preserve">In the event an apprentice or trainee under a Training Contract established in another state or territory relocates to South Australia,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sz w:val="17"/>
          <w:szCs w:val="17"/>
        </w:rPr>
        <w:t>Act</w:t>
      </w:r>
      <w:r w:rsidRPr="00E70407">
        <w:rPr>
          <w:rFonts w:ascii="Times New Roman" w:eastAsia="Times New Roman" w:hAnsi="Times New Roman"/>
          <w:sz w:val="17"/>
          <w:szCs w:val="17"/>
        </w:rPr>
        <w:t xml:space="preserve"> </w:t>
      </w:r>
      <w:r w:rsidRPr="00E70407">
        <w:rPr>
          <w:rFonts w:ascii="Times New Roman" w:eastAsia="Times New Roman" w:hAnsi="Times New Roman"/>
          <w:sz w:val="17"/>
          <w:szCs w:val="17"/>
          <w:lang w:val="en-GB"/>
        </w:rPr>
        <w:t>permits</w:t>
      </w:r>
      <w:r w:rsidRPr="00E70407">
        <w:rPr>
          <w:rFonts w:ascii="Times New Roman" w:eastAsia="Times New Roman" w:hAnsi="Times New Roman"/>
          <w:sz w:val="17"/>
          <w:szCs w:val="17"/>
        </w:rPr>
        <w:t xml:space="preserve"> the Commission to:</w:t>
      </w:r>
    </w:p>
    <w:p w:rsidR="00E70407" w:rsidRPr="00E70407" w:rsidRDefault="00E70407" w:rsidP="00E70407">
      <w:pPr>
        <w:numPr>
          <w:ilvl w:val="0"/>
          <w:numId w:val="308"/>
        </w:numPr>
        <w:ind w:left="1064"/>
        <w:rPr>
          <w:rFonts w:ascii="Times New Roman" w:eastAsia="Times New Roman" w:hAnsi="Times New Roman"/>
          <w:sz w:val="17"/>
          <w:szCs w:val="17"/>
        </w:rPr>
      </w:pPr>
      <w:r w:rsidRPr="00E70407">
        <w:rPr>
          <w:rFonts w:ascii="Times New Roman" w:eastAsia="Times New Roman" w:hAnsi="Times New Roman"/>
          <w:sz w:val="17"/>
          <w:szCs w:val="17"/>
        </w:rPr>
        <w:t xml:space="preserve">recognise (with or without modification) the Training Contract (and associated Training Plan) as a Training Contract and Training Plan under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p>
    <w:p w:rsidR="00E70407" w:rsidRPr="00E70407" w:rsidRDefault="00E70407" w:rsidP="00E70407">
      <w:pPr>
        <w:numPr>
          <w:ilvl w:val="0"/>
          <w:numId w:val="308"/>
        </w:numPr>
        <w:ind w:left="1064"/>
        <w:rPr>
          <w:rFonts w:ascii="Times New Roman" w:eastAsia="Times New Roman" w:hAnsi="Times New Roman"/>
          <w:sz w:val="17"/>
          <w:szCs w:val="17"/>
        </w:rPr>
      </w:pPr>
      <w:r w:rsidRPr="00E70407">
        <w:rPr>
          <w:rFonts w:ascii="Times New Roman" w:eastAsia="Times New Roman" w:hAnsi="Times New Roman"/>
          <w:sz w:val="17"/>
          <w:szCs w:val="17"/>
        </w:rPr>
        <w:t>substitute the employer under the Training Contract with a South Australian based employer</w:t>
      </w:r>
    </w:p>
    <w:p w:rsidR="00E70407" w:rsidRPr="00E70407" w:rsidRDefault="00E70407" w:rsidP="00E70407">
      <w:pPr>
        <w:numPr>
          <w:ilvl w:val="0"/>
          <w:numId w:val="308"/>
        </w:numPr>
        <w:ind w:left="1064"/>
        <w:rPr>
          <w:rFonts w:ascii="Times New Roman" w:eastAsia="Times New Roman" w:hAnsi="Times New Roman"/>
          <w:sz w:val="17"/>
          <w:szCs w:val="17"/>
        </w:rPr>
      </w:pPr>
      <w:r w:rsidRPr="00E70407">
        <w:rPr>
          <w:rFonts w:ascii="Times New Roman" w:eastAsia="Times New Roman" w:hAnsi="Times New Roman"/>
          <w:sz w:val="17"/>
          <w:szCs w:val="17"/>
        </w:rPr>
        <w:t>recognise the previous employment and training completed in the jurisdiction</w:t>
      </w:r>
    </w:p>
    <w:p w:rsidR="00E70407" w:rsidRPr="00E70407" w:rsidRDefault="00E70407" w:rsidP="00E70407">
      <w:pPr>
        <w:numPr>
          <w:ilvl w:val="0"/>
          <w:numId w:val="308"/>
        </w:numPr>
        <w:ind w:left="1064"/>
        <w:rPr>
          <w:rFonts w:ascii="Times New Roman" w:eastAsia="Times New Roman" w:hAnsi="Times New Roman"/>
          <w:sz w:val="17"/>
          <w:szCs w:val="17"/>
        </w:rPr>
      </w:pPr>
      <w:r w:rsidRPr="00E70407">
        <w:rPr>
          <w:rFonts w:ascii="Times New Roman" w:eastAsia="Times New Roman" w:hAnsi="Times New Roman"/>
          <w:sz w:val="17"/>
          <w:szCs w:val="17"/>
        </w:rPr>
        <w:t>make other appropriate arrangements.</w:t>
      </w:r>
    </w:p>
    <w:p w:rsidR="00E70407" w:rsidRPr="00E70407" w:rsidRDefault="00E70407" w:rsidP="00E70407">
      <w:pPr>
        <w:numPr>
          <w:ilvl w:val="2"/>
          <w:numId w:val="371"/>
        </w:numPr>
        <w:ind w:left="709"/>
        <w:rPr>
          <w:rFonts w:ascii="Times New Roman" w:eastAsia="Times New Roman" w:hAnsi="Times New Roman"/>
          <w:sz w:val="17"/>
          <w:szCs w:val="17"/>
        </w:rPr>
      </w:pPr>
      <w:r w:rsidRPr="00E70407">
        <w:rPr>
          <w:rFonts w:ascii="Times New Roman" w:eastAsia="Times New Roman" w:hAnsi="Times New Roman"/>
          <w:sz w:val="17"/>
          <w:szCs w:val="17"/>
        </w:rPr>
        <w:t>The Commission must decline to recognise the Training Contract of a relocating apprentice or trainee if the proposed new employer is a prohibited employer.</w:t>
      </w:r>
    </w:p>
    <w:p w:rsidR="00E70407" w:rsidRPr="00E70407" w:rsidRDefault="00E70407" w:rsidP="00E70407">
      <w:pPr>
        <w:numPr>
          <w:ilvl w:val="2"/>
          <w:numId w:val="371"/>
        </w:numPr>
        <w:ind w:left="709"/>
        <w:rPr>
          <w:rFonts w:ascii="Times New Roman" w:eastAsia="Times New Roman" w:hAnsi="Times New Roman"/>
          <w:sz w:val="17"/>
          <w:szCs w:val="17"/>
        </w:rPr>
      </w:pPr>
      <w:r w:rsidRPr="00E70407">
        <w:rPr>
          <w:rFonts w:ascii="Times New Roman" w:eastAsia="Times New Roman" w:hAnsi="Times New Roman"/>
          <w:sz w:val="17"/>
          <w:szCs w:val="17"/>
        </w:rPr>
        <w:t>The Commission may refuse recognition of the Training Contract if:</w:t>
      </w:r>
    </w:p>
    <w:p w:rsidR="00E70407" w:rsidRPr="00E70407" w:rsidRDefault="00E70407" w:rsidP="00E70407">
      <w:pPr>
        <w:numPr>
          <w:ilvl w:val="0"/>
          <w:numId w:val="314"/>
        </w:numPr>
        <w:ind w:left="1050"/>
        <w:rPr>
          <w:rFonts w:ascii="Times New Roman" w:eastAsia="Times New Roman" w:hAnsi="Times New Roman"/>
          <w:sz w:val="17"/>
          <w:szCs w:val="17"/>
        </w:rPr>
      </w:pPr>
      <w:r w:rsidRPr="00E70407">
        <w:rPr>
          <w:rFonts w:ascii="Times New Roman" w:eastAsia="Times New Roman" w:hAnsi="Times New Roman"/>
          <w:sz w:val="17"/>
          <w:szCs w:val="17"/>
        </w:rPr>
        <w:t>there is no nominated training organisation for the apprentice or trainee</w:t>
      </w:r>
    </w:p>
    <w:p w:rsidR="00E70407" w:rsidRPr="00E70407" w:rsidRDefault="00E70407" w:rsidP="00E70407">
      <w:pPr>
        <w:numPr>
          <w:ilvl w:val="0"/>
          <w:numId w:val="314"/>
        </w:numPr>
        <w:ind w:left="1050"/>
        <w:rPr>
          <w:rFonts w:ascii="Times New Roman" w:eastAsia="Times New Roman" w:hAnsi="Times New Roman"/>
          <w:sz w:val="17"/>
          <w:szCs w:val="17"/>
        </w:rPr>
      </w:pPr>
      <w:r w:rsidRPr="00E70407">
        <w:rPr>
          <w:rFonts w:ascii="Times New Roman" w:eastAsia="Times New Roman" w:hAnsi="Times New Roman"/>
          <w:sz w:val="17"/>
          <w:szCs w:val="17"/>
        </w:rPr>
        <w:t>there is no Training Plan relating to the Training Contract</w:t>
      </w:r>
    </w:p>
    <w:p w:rsidR="00E70407" w:rsidRPr="00E70407" w:rsidRDefault="00E70407" w:rsidP="00E70407">
      <w:pPr>
        <w:numPr>
          <w:ilvl w:val="0"/>
          <w:numId w:val="314"/>
        </w:numPr>
        <w:ind w:left="1050"/>
        <w:rPr>
          <w:rFonts w:ascii="Times New Roman" w:eastAsia="Times New Roman" w:hAnsi="Times New Roman"/>
          <w:sz w:val="17"/>
          <w:szCs w:val="17"/>
        </w:rPr>
      </w:pPr>
      <w:r w:rsidRPr="00E70407">
        <w:rPr>
          <w:rFonts w:ascii="Times New Roman" w:eastAsia="Times New Roman" w:hAnsi="Times New Roman"/>
          <w:sz w:val="17"/>
          <w:szCs w:val="17"/>
        </w:rPr>
        <w:t xml:space="preserve">the trade or vocation is not a declared trade or vocation under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xml:space="preserve"> or does not have an equivalent under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p>
    <w:p w:rsidR="00E70407" w:rsidRPr="00E70407" w:rsidRDefault="00E70407" w:rsidP="00E70407">
      <w:pPr>
        <w:numPr>
          <w:ilvl w:val="0"/>
          <w:numId w:val="314"/>
        </w:numPr>
        <w:ind w:left="1050"/>
        <w:rPr>
          <w:rFonts w:ascii="Times New Roman" w:eastAsia="Times New Roman" w:hAnsi="Times New Roman"/>
          <w:sz w:val="17"/>
          <w:szCs w:val="17"/>
        </w:rPr>
      </w:pPr>
      <w:r w:rsidRPr="00E70407">
        <w:rPr>
          <w:rFonts w:ascii="Times New Roman" w:eastAsia="Times New Roman" w:hAnsi="Times New Roman"/>
          <w:sz w:val="17"/>
          <w:szCs w:val="17"/>
        </w:rPr>
        <w:t>the proposed employer</w:t>
      </w:r>
    </w:p>
    <w:p w:rsidR="00E70407" w:rsidRPr="00E70407" w:rsidRDefault="00E70407" w:rsidP="00E70407">
      <w:pPr>
        <w:numPr>
          <w:ilvl w:val="1"/>
          <w:numId w:val="373"/>
        </w:numPr>
        <w:ind w:left="1701"/>
        <w:rPr>
          <w:rFonts w:ascii="Times New Roman" w:eastAsia="Times New Roman" w:hAnsi="Times New Roman"/>
          <w:sz w:val="17"/>
          <w:szCs w:val="17"/>
        </w:rPr>
      </w:pPr>
      <w:r w:rsidRPr="00E70407">
        <w:rPr>
          <w:rFonts w:ascii="Times New Roman" w:eastAsia="Times New Roman" w:hAnsi="Times New Roman"/>
          <w:sz w:val="17"/>
          <w:szCs w:val="17"/>
        </w:rPr>
        <w:t>is not registered or has not applied for registration</w:t>
      </w:r>
    </w:p>
    <w:p w:rsidR="00E70407" w:rsidRPr="00E70407" w:rsidRDefault="00E70407" w:rsidP="00E70407">
      <w:pPr>
        <w:numPr>
          <w:ilvl w:val="1"/>
          <w:numId w:val="373"/>
        </w:numPr>
        <w:ind w:left="1701"/>
        <w:rPr>
          <w:rFonts w:ascii="Times New Roman" w:eastAsia="Times New Roman" w:hAnsi="Times New Roman"/>
          <w:sz w:val="17"/>
          <w:szCs w:val="17"/>
        </w:rPr>
      </w:pPr>
      <w:r w:rsidRPr="00E70407">
        <w:rPr>
          <w:rFonts w:ascii="Times New Roman" w:eastAsia="Times New Roman" w:hAnsi="Times New Roman"/>
          <w:sz w:val="17"/>
          <w:szCs w:val="17"/>
        </w:rPr>
        <w:t>is not operating within the scope of their registration</w:t>
      </w:r>
    </w:p>
    <w:p w:rsidR="00E70407" w:rsidRPr="00E70407" w:rsidRDefault="00E70407" w:rsidP="00E70407">
      <w:pPr>
        <w:numPr>
          <w:ilvl w:val="1"/>
          <w:numId w:val="373"/>
        </w:numPr>
        <w:ind w:left="1701"/>
        <w:rPr>
          <w:rFonts w:ascii="Times New Roman" w:eastAsia="Times New Roman" w:hAnsi="Times New Roman"/>
          <w:sz w:val="17"/>
          <w:szCs w:val="17"/>
        </w:rPr>
      </w:pPr>
      <w:r w:rsidRPr="00E70407">
        <w:rPr>
          <w:rFonts w:ascii="Times New Roman" w:eastAsia="Times New Roman" w:hAnsi="Times New Roman"/>
          <w:sz w:val="17"/>
          <w:szCs w:val="17"/>
        </w:rPr>
        <w:t xml:space="preserve">has failed to comply with a condition of their registration. </w:t>
      </w:r>
    </w:p>
    <w:p w:rsidR="00E70407" w:rsidRPr="00E70407" w:rsidRDefault="00E70407" w:rsidP="00E70407">
      <w:pPr>
        <w:numPr>
          <w:ilvl w:val="2"/>
          <w:numId w:val="371"/>
        </w:numPr>
        <w:ind w:left="709"/>
        <w:rPr>
          <w:rFonts w:ascii="Times New Roman" w:eastAsia="Times New Roman" w:hAnsi="Times New Roman"/>
          <w:sz w:val="17"/>
          <w:szCs w:val="17"/>
        </w:rPr>
      </w:pPr>
      <w:r w:rsidRPr="00E70407">
        <w:rPr>
          <w:rFonts w:ascii="Times New Roman" w:eastAsia="Times New Roman" w:hAnsi="Times New Roman"/>
          <w:sz w:val="17"/>
          <w:szCs w:val="17"/>
        </w:rPr>
        <w:t>A relocating apprentice or trainee seeking to have their Training Contract recognised and/or the proposed (South Australian-based) employer must notify the Commission as early as practicable (the Training Contract made in another jurisdiction will not be enforceable until the Commission recognises it).</w:t>
      </w:r>
    </w:p>
    <w:p w:rsidR="00E70407" w:rsidRPr="00E70407" w:rsidRDefault="00E70407" w:rsidP="00E70407">
      <w:pPr>
        <w:numPr>
          <w:ilvl w:val="2"/>
          <w:numId w:val="371"/>
        </w:numPr>
        <w:ind w:left="709"/>
        <w:rPr>
          <w:rFonts w:ascii="Times New Roman" w:eastAsia="Times New Roman" w:hAnsi="Times New Roman"/>
          <w:sz w:val="17"/>
          <w:szCs w:val="17"/>
        </w:rPr>
      </w:pPr>
      <w:r w:rsidRPr="00E70407">
        <w:rPr>
          <w:rFonts w:ascii="Times New Roman" w:eastAsia="Times New Roman" w:hAnsi="Times New Roman"/>
          <w:sz w:val="17"/>
          <w:szCs w:val="17"/>
        </w:rPr>
        <w:t xml:space="preserve">Notification of the transfer, via a form determined by the Commission and available at </w:t>
      </w:r>
      <w:hyperlink r:id="rId108" w:history="1">
        <w:r w:rsidRPr="00E70407">
          <w:rPr>
            <w:rFonts w:ascii="Times New Roman" w:eastAsia="Times New Roman" w:hAnsi="Times New Roman"/>
            <w:color w:val="0000FF"/>
            <w:sz w:val="17"/>
            <w:szCs w:val="17"/>
            <w:u w:val="single"/>
            <w:lang w:val="en-GB"/>
          </w:rPr>
          <w:t>www.skills.sa.gov.au/business/forms</w:t>
        </w:r>
      </w:hyperlink>
      <w:r w:rsidRPr="00E70407">
        <w:rPr>
          <w:rFonts w:ascii="Times New Roman" w:eastAsia="Times New Roman" w:hAnsi="Times New Roman"/>
          <w:sz w:val="17"/>
          <w:szCs w:val="17"/>
        </w:rPr>
        <w:t>, should include:</w:t>
      </w:r>
    </w:p>
    <w:p w:rsidR="00E70407" w:rsidRPr="00E70407" w:rsidRDefault="00E70407" w:rsidP="00E70407">
      <w:pPr>
        <w:numPr>
          <w:ilvl w:val="0"/>
          <w:numId w:val="310"/>
        </w:numPr>
        <w:ind w:left="1036" w:hanging="327"/>
        <w:rPr>
          <w:rFonts w:ascii="Times New Roman" w:eastAsia="Times New Roman" w:hAnsi="Times New Roman"/>
          <w:sz w:val="17"/>
          <w:szCs w:val="17"/>
        </w:rPr>
      </w:pPr>
      <w:r w:rsidRPr="00E70407">
        <w:rPr>
          <w:rFonts w:ascii="Times New Roman" w:eastAsia="Times New Roman" w:hAnsi="Times New Roman"/>
          <w:sz w:val="17"/>
          <w:szCs w:val="17"/>
        </w:rPr>
        <w:t>name and contact details of the apprentice or trainee and of the previous and proposed employer</w:t>
      </w:r>
    </w:p>
    <w:p w:rsidR="00E70407" w:rsidRPr="00E70407" w:rsidRDefault="00E70407" w:rsidP="00E70407">
      <w:pPr>
        <w:numPr>
          <w:ilvl w:val="0"/>
          <w:numId w:val="310"/>
        </w:numPr>
        <w:ind w:left="1036" w:hanging="327"/>
        <w:rPr>
          <w:rFonts w:ascii="Times New Roman" w:eastAsia="Times New Roman" w:hAnsi="Times New Roman"/>
          <w:sz w:val="17"/>
          <w:szCs w:val="17"/>
        </w:rPr>
      </w:pPr>
      <w:r w:rsidRPr="00E70407">
        <w:rPr>
          <w:rFonts w:ascii="Times New Roman" w:eastAsia="Times New Roman" w:hAnsi="Times New Roman"/>
          <w:sz w:val="17"/>
          <w:szCs w:val="17"/>
        </w:rPr>
        <w:t>name and contact details of the training organisation under the Training Contract</w:t>
      </w:r>
    </w:p>
    <w:p w:rsidR="00E70407" w:rsidRPr="00E70407" w:rsidRDefault="00E70407" w:rsidP="00E70407">
      <w:pPr>
        <w:numPr>
          <w:ilvl w:val="0"/>
          <w:numId w:val="310"/>
        </w:numPr>
        <w:ind w:left="1036" w:hanging="327"/>
        <w:rPr>
          <w:rFonts w:ascii="Times New Roman" w:eastAsia="Times New Roman" w:hAnsi="Times New Roman"/>
          <w:sz w:val="17"/>
          <w:szCs w:val="17"/>
        </w:rPr>
      </w:pPr>
      <w:r w:rsidRPr="00E70407">
        <w:rPr>
          <w:rFonts w:ascii="Times New Roman" w:eastAsia="Times New Roman" w:hAnsi="Times New Roman"/>
          <w:sz w:val="17"/>
          <w:szCs w:val="17"/>
        </w:rPr>
        <w:t>commencement date of employment with proposed employer</w:t>
      </w:r>
    </w:p>
    <w:p w:rsidR="00E70407" w:rsidRPr="00E70407" w:rsidRDefault="00E70407" w:rsidP="00E70407">
      <w:pPr>
        <w:numPr>
          <w:ilvl w:val="0"/>
          <w:numId w:val="310"/>
        </w:numPr>
        <w:ind w:left="1036" w:hanging="327"/>
        <w:rPr>
          <w:rFonts w:ascii="Times New Roman" w:eastAsia="Times New Roman" w:hAnsi="Times New Roman"/>
          <w:sz w:val="17"/>
          <w:szCs w:val="17"/>
        </w:rPr>
      </w:pPr>
      <w:r w:rsidRPr="00E70407">
        <w:rPr>
          <w:rFonts w:ascii="Times New Roman" w:eastAsia="Times New Roman" w:hAnsi="Times New Roman"/>
          <w:sz w:val="17"/>
          <w:szCs w:val="17"/>
        </w:rPr>
        <w:t>a copy of the Training Contract and Training Plan</w:t>
      </w:r>
    </w:p>
    <w:p w:rsidR="00E70407" w:rsidRPr="00E70407" w:rsidRDefault="00E70407" w:rsidP="00E70407">
      <w:pPr>
        <w:numPr>
          <w:ilvl w:val="0"/>
          <w:numId w:val="310"/>
        </w:numPr>
        <w:ind w:left="1036" w:hanging="327"/>
        <w:rPr>
          <w:rFonts w:ascii="Times New Roman" w:eastAsia="Times New Roman" w:hAnsi="Times New Roman"/>
          <w:sz w:val="17"/>
          <w:szCs w:val="17"/>
        </w:rPr>
      </w:pPr>
      <w:r w:rsidRPr="00E70407">
        <w:rPr>
          <w:rFonts w:ascii="Times New Roman" w:eastAsia="Times New Roman" w:hAnsi="Times New Roman"/>
          <w:sz w:val="17"/>
          <w:szCs w:val="17"/>
        </w:rPr>
        <w:t>name of the nominated training organisation (if not the training organisation under the Training Contract).</w:t>
      </w:r>
    </w:p>
    <w:p w:rsidR="00E70407" w:rsidRPr="00E70407" w:rsidRDefault="00E70407" w:rsidP="00E70407">
      <w:pPr>
        <w:numPr>
          <w:ilvl w:val="2"/>
          <w:numId w:val="371"/>
        </w:numPr>
        <w:ind w:left="709"/>
        <w:rPr>
          <w:rFonts w:ascii="Times New Roman" w:eastAsia="Times New Roman" w:hAnsi="Times New Roman"/>
          <w:sz w:val="17"/>
          <w:szCs w:val="17"/>
        </w:rPr>
      </w:pPr>
      <w:r w:rsidRPr="00E70407">
        <w:rPr>
          <w:rFonts w:ascii="Times New Roman" w:eastAsia="Times New Roman" w:hAnsi="Times New Roman"/>
          <w:sz w:val="17"/>
          <w:szCs w:val="17"/>
        </w:rPr>
        <w:t>The Commission will consider this information in reaching a decision whether or not to recognise the transfer and will advise the applicant(s):</w:t>
      </w:r>
    </w:p>
    <w:p w:rsidR="00E70407" w:rsidRPr="00E70407" w:rsidRDefault="00E70407" w:rsidP="00E70407">
      <w:pPr>
        <w:numPr>
          <w:ilvl w:val="0"/>
          <w:numId w:val="307"/>
        </w:numPr>
        <w:ind w:left="1022" w:hanging="308"/>
        <w:rPr>
          <w:rFonts w:ascii="Times New Roman" w:eastAsia="Times New Roman" w:hAnsi="Times New Roman"/>
          <w:sz w:val="17"/>
          <w:szCs w:val="17"/>
        </w:rPr>
      </w:pPr>
      <w:r w:rsidRPr="00E70407">
        <w:rPr>
          <w:rFonts w:ascii="Times New Roman" w:eastAsia="Times New Roman" w:hAnsi="Times New Roman"/>
          <w:sz w:val="17"/>
          <w:szCs w:val="17"/>
        </w:rPr>
        <w:t>whether or not the Training Contract is recognised</w:t>
      </w:r>
    </w:p>
    <w:p w:rsidR="00E70407" w:rsidRPr="00E70407" w:rsidRDefault="00E70407" w:rsidP="00E70407">
      <w:pPr>
        <w:numPr>
          <w:ilvl w:val="0"/>
          <w:numId w:val="307"/>
        </w:numPr>
        <w:ind w:left="1022" w:hanging="308"/>
        <w:rPr>
          <w:rFonts w:ascii="Times New Roman" w:eastAsia="Times New Roman" w:hAnsi="Times New Roman"/>
          <w:sz w:val="17"/>
          <w:szCs w:val="17"/>
        </w:rPr>
      </w:pPr>
      <w:r w:rsidRPr="00E70407">
        <w:rPr>
          <w:rFonts w:ascii="Times New Roman" w:eastAsia="Times New Roman" w:hAnsi="Times New Roman"/>
          <w:sz w:val="17"/>
          <w:szCs w:val="17"/>
        </w:rPr>
        <w:t>the date from which it is recognised</w:t>
      </w:r>
    </w:p>
    <w:p w:rsidR="00E70407" w:rsidRPr="00E70407" w:rsidRDefault="00E70407" w:rsidP="00E70407">
      <w:pPr>
        <w:numPr>
          <w:ilvl w:val="0"/>
          <w:numId w:val="307"/>
        </w:numPr>
        <w:ind w:left="1022" w:hanging="308"/>
        <w:rPr>
          <w:rFonts w:ascii="Times New Roman" w:eastAsia="Times New Roman" w:hAnsi="Times New Roman"/>
          <w:sz w:val="17"/>
          <w:szCs w:val="17"/>
        </w:rPr>
      </w:pPr>
      <w:r w:rsidRPr="00E70407">
        <w:rPr>
          <w:rFonts w:ascii="Times New Roman" w:eastAsia="Times New Roman" w:hAnsi="Times New Roman"/>
          <w:sz w:val="17"/>
          <w:szCs w:val="17"/>
        </w:rPr>
        <w:t>the trade or vocation, or equivalent trade or vocation under the recognised Training Contract</w:t>
      </w:r>
    </w:p>
    <w:p w:rsidR="00E70407" w:rsidRPr="00E70407" w:rsidRDefault="00E70407" w:rsidP="00E70407">
      <w:pPr>
        <w:numPr>
          <w:ilvl w:val="0"/>
          <w:numId w:val="307"/>
        </w:numPr>
        <w:ind w:left="1022" w:hanging="308"/>
        <w:rPr>
          <w:rFonts w:ascii="Times New Roman" w:eastAsia="Times New Roman" w:hAnsi="Times New Roman"/>
          <w:sz w:val="17"/>
          <w:szCs w:val="17"/>
        </w:rPr>
      </w:pPr>
      <w:r w:rsidRPr="00E70407">
        <w:rPr>
          <w:rFonts w:ascii="Times New Roman" w:eastAsia="Times New Roman" w:hAnsi="Times New Roman"/>
          <w:sz w:val="17"/>
          <w:szCs w:val="17"/>
        </w:rPr>
        <w:t>conditions (if any) under which the Training Contract is agreed to be recognised.</w:t>
      </w:r>
    </w:p>
    <w:p w:rsidR="00E70407" w:rsidRPr="00E70407" w:rsidRDefault="00E70407" w:rsidP="00E70407">
      <w:pPr>
        <w:numPr>
          <w:ilvl w:val="2"/>
          <w:numId w:val="371"/>
        </w:numPr>
        <w:ind w:left="709"/>
        <w:rPr>
          <w:rFonts w:ascii="Times New Roman" w:eastAsia="Times New Roman" w:hAnsi="Times New Roman"/>
          <w:sz w:val="17"/>
          <w:szCs w:val="17"/>
        </w:rPr>
      </w:pPr>
      <w:r w:rsidRPr="00E70407">
        <w:rPr>
          <w:rFonts w:ascii="Times New Roman" w:eastAsia="Times New Roman" w:hAnsi="Times New Roman"/>
          <w:sz w:val="17"/>
          <w:szCs w:val="17"/>
        </w:rPr>
        <w:t>If the Commission has insufficient information to enable it to determine whether a Training Contract is recognised, it will notify the applicant(s) and request further information.</w:t>
      </w:r>
    </w:p>
    <w:p w:rsidR="00E70407" w:rsidRPr="00E70407" w:rsidRDefault="00E70407" w:rsidP="00E70407">
      <w:pPr>
        <w:numPr>
          <w:ilvl w:val="1"/>
          <w:numId w:val="370"/>
        </w:numPr>
        <w:ind w:left="350"/>
        <w:rPr>
          <w:rFonts w:ascii="Times New Roman" w:eastAsia="Times New Roman" w:hAnsi="Times New Roman"/>
          <w:b/>
          <w:sz w:val="17"/>
          <w:szCs w:val="17"/>
        </w:rPr>
      </w:pPr>
      <w:r w:rsidRPr="00E70407">
        <w:rPr>
          <w:rFonts w:ascii="Times New Roman" w:eastAsia="Times New Roman" w:hAnsi="Times New Roman"/>
          <w:b/>
          <w:sz w:val="17"/>
          <w:szCs w:val="17"/>
        </w:rPr>
        <w:t>Transfer due to a change of ownership of business (</w:t>
      </w:r>
      <w:r w:rsidRPr="00E70407">
        <w:rPr>
          <w:rFonts w:ascii="Times New Roman" w:eastAsia="Times New Roman" w:hAnsi="Times New Roman"/>
          <w:b/>
          <w:i/>
          <w:iCs/>
          <w:sz w:val="17"/>
          <w:szCs w:val="17"/>
        </w:rPr>
        <w:t>SAS Act</w:t>
      </w:r>
      <w:r w:rsidRPr="00E70407">
        <w:rPr>
          <w:rFonts w:ascii="Times New Roman" w:eastAsia="Times New Roman" w:hAnsi="Times New Roman"/>
          <w:b/>
          <w:sz w:val="17"/>
          <w:szCs w:val="17"/>
        </w:rPr>
        <w:t>, S54 MA)</w:t>
      </w:r>
    </w:p>
    <w:p w:rsidR="00E70407" w:rsidRPr="00E70407" w:rsidRDefault="00E70407" w:rsidP="00E70407">
      <w:pPr>
        <w:numPr>
          <w:ilvl w:val="2"/>
          <w:numId w:val="372"/>
        </w:numPr>
        <w:ind w:left="709"/>
        <w:rPr>
          <w:rFonts w:ascii="Times New Roman" w:eastAsia="Times New Roman" w:hAnsi="Times New Roman"/>
          <w:sz w:val="17"/>
          <w:szCs w:val="17"/>
        </w:rPr>
      </w:pPr>
      <w:r w:rsidRPr="00E70407">
        <w:rPr>
          <w:rFonts w:ascii="Times New Roman" w:eastAsia="Times New Roman" w:hAnsi="Times New Roman"/>
          <w:sz w:val="17"/>
          <w:szCs w:val="17"/>
        </w:rPr>
        <w:t xml:space="preserve">In the event an owner of a business who employs one or more apprentices or trainees transfers ownership of the business to another employer, the Training Contract continues with the new employer and the rights, obligations and liabilities of the former owner/employer transfer to the new owner/employer. </w:t>
      </w:r>
    </w:p>
    <w:p w:rsidR="00E70407" w:rsidRPr="00E70407" w:rsidRDefault="00E70407" w:rsidP="00E70407">
      <w:pPr>
        <w:numPr>
          <w:ilvl w:val="2"/>
          <w:numId w:val="372"/>
        </w:numPr>
        <w:ind w:left="709"/>
        <w:rPr>
          <w:rFonts w:ascii="Times New Roman" w:eastAsia="Times New Roman" w:hAnsi="Times New Roman"/>
          <w:sz w:val="17"/>
          <w:szCs w:val="17"/>
        </w:rPr>
      </w:pPr>
      <w:r w:rsidRPr="00E70407">
        <w:rPr>
          <w:rFonts w:ascii="Times New Roman" w:eastAsia="Times New Roman" w:hAnsi="Times New Roman"/>
          <w:sz w:val="17"/>
          <w:szCs w:val="17"/>
        </w:rPr>
        <w:t>Rights, obligations, and liabilities include:</w:t>
      </w:r>
    </w:p>
    <w:p w:rsidR="00E70407" w:rsidRPr="00E70407" w:rsidRDefault="00E70407" w:rsidP="00E70407">
      <w:pPr>
        <w:numPr>
          <w:ilvl w:val="0"/>
          <w:numId w:val="316"/>
        </w:numPr>
        <w:ind w:left="1064"/>
        <w:rPr>
          <w:rFonts w:ascii="Times New Roman" w:eastAsia="Times New Roman" w:hAnsi="Times New Roman"/>
          <w:sz w:val="17"/>
          <w:szCs w:val="17"/>
        </w:rPr>
      </w:pPr>
      <w:r w:rsidRPr="00E70407">
        <w:rPr>
          <w:rFonts w:ascii="Times New Roman" w:eastAsia="Times New Roman" w:hAnsi="Times New Roman"/>
          <w:sz w:val="17"/>
          <w:szCs w:val="17"/>
        </w:rPr>
        <w:t>to provide training as required by the Training Contract and Training Plan</w:t>
      </w:r>
    </w:p>
    <w:p w:rsidR="00E70407" w:rsidRPr="00E70407" w:rsidRDefault="00E70407" w:rsidP="00E70407">
      <w:pPr>
        <w:numPr>
          <w:ilvl w:val="0"/>
          <w:numId w:val="316"/>
        </w:numPr>
        <w:ind w:left="1064"/>
        <w:rPr>
          <w:rFonts w:ascii="Times New Roman" w:eastAsia="Times New Roman" w:hAnsi="Times New Roman"/>
          <w:sz w:val="17"/>
          <w:szCs w:val="17"/>
        </w:rPr>
      </w:pPr>
      <w:r w:rsidRPr="00E70407">
        <w:rPr>
          <w:rFonts w:ascii="Times New Roman" w:eastAsia="Times New Roman" w:hAnsi="Times New Roman"/>
          <w:sz w:val="17"/>
          <w:szCs w:val="17"/>
        </w:rPr>
        <w:t>to meet relevant occupational, health, safety and welfare requirements.</w:t>
      </w:r>
    </w:p>
    <w:p w:rsidR="00E70407" w:rsidRPr="00E70407" w:rsidRDefault="00E70407" w:rsidP="00E70407">
      <w:pPr>
        <w:numPr>
          <w:ilvl w:val="2"/>
          <w:numId w:val="372"/>
        </w:numPr>
        <w:ind w:left="709"/>
        <w:rPr>
          <w:rFonts w:ascii="Times New Roman" w:eastAsia="Times New Roman" w:hAnsi="Times New Roman"/>
          <w:sz w:val="17"/>
          <w:szCs w:val="17"/>
        </w:rPr>
      </w:pPr>
      <w:r w:rsidRPr="00E70407">
        <w:rPr>
          <w:rFonts w:ascii="Times New Roman" w:eastAsia="Times New Roman" w:hAnsi="Times New Roman"/>
          <w:sz w:val="17"/>
          <w:szCs w:val="17"/>
        </w:rPr>
        <w:t>Both the former owner/employer and new owner/employer must notify the Commission and the NTO of the change of business ownership and consequent transfer of the Training Contract(s) within 21 days of it occurring. Notification is made via a form, determined by the Commission.</w:t>
      </w:r>
    </w:p>
    <w:p w:rsidR="00E70407" w:rsidRPr="00E70407" w:rsidRDefault="00E70407" w:rsidP="00E70407">
      <w:pPr>
        <w:numPr>
          <w:ilvl w:val="2"/>
          <w:numId w:val="372"/>
        </w:numPr>
        <w:ind w:left="709"/>
        <w:rPr>
          <w:rFonts w:ascii="Times New Roman" w:eastAsia="Times New Roman" w:hAnsi="Times New Roman"/>
          <w:sz w:val="17"/>
          <w:szCs w:val="17"/>
        </w:rPr>
      </w:pPr>
      <w:r w:rsidRPr="00E70407">
        <w:rPr>
          <w:rFonts w:ascii="Times New Roman" w:eastAsia="Times New Roman" w:hAnsi="Times New Roman"/>
          <w:sz w:val="17"/>
          <w:szCs w:val="17"/>
        </w:rPr>
        <w:t>Notice to the Commission and the NTO should include:</w:t>
      </w:r>
    </w:p>
    <w:p w:rsidR="00E70407" w:rsidRPr="00E70407" w:rsidRDefault="00E70407" w:rsidP="00E70407">
      <w:pPr>
        <w:numPr>
          <w:ilvl w:val="0"/>
          <w:numId w:val="317"/>
        </w:numPr>
        <w:ind w:left="1064"/>
        <w:rPr>
          <w:rFonts w:ascii="Times New Roman" w:eastAsia="Times New Roman" w:hAnsi="Times New Roman"/>
          <w:sz w:val="17"/>
          <w:szCs w:val="17"/>
        </w:rPr>
      </w:pPr>
      <w:r w:rsidRPr="00E70407">
        <w:rPr>
          <w:rFonts w:ascii="Times New Roman" w:eastAsia="Times New Roman" w:hAnsi="Times New Roman"/>
          <w:sz w:val="17"/>
          <w:szCs w:val="17"/>
        </w:rPr>
        <w:t>date of the transfer of ownership of the business (note, an employer must also notify the Commission of an offer to sell the business to which the Training Plan(s) relates and in the event the business becomes insolvent or bankrupt)</w:t>
      </w:r>
    </w:p>
    <w:p w:rsidR="00E70407" w:rsidRPr="00E70407" w:rsidRDefault="00E70407" w:rsidP="00E70407">
      <w:pPr>
        <w:numPr>
          <w:ilvl w:val="0"/>
          <w:numId w:val="317"/>
        </w:numPr>
        <w:ind w:left="1064"/>
        <w:rPr>
          <w:rFonts w:ascii="Times New Roman" w:eastAsia="Times New Roman" w:hAnsi="Times New Roman"/>
          <w:sz w:val="17"/>
          <w:szCs w:val="17"/>
        </w:rPr>
      </w:pPr>
      <w:r w:rsidRPr="00E70407">
        <w:rPr>
          <w:rFonts w:ascii="Times New Roman" w:eastAsia="Times New Roman" w:hAnsi="Times New Roman"/>
          <w:sz w:val="17"/>
          <w:szCs w:val="17"/>
        </w:rPr>
        <w:t>name and contact details of the apprentice or trainee</w:t>
      </w:r>
    </w:p>
    <w:p w:rsidR="00E70407" w:rsidRPr="00E70407" w:rsidRDefault="00E70407" w:rsidP="00E70407">
      <w:pPr>
        <w:numPr>
          <w:ilvl w:val="0"/>
          <w:numId w:val="317"/>
        </w:numPr>
        <w:ind w:left="1064"/>
        <w:rPr>
          <w:rFonts w:ascii="Times New Roman" w:eastAsia="Times New Roman" w:hAnsi="Times New Roman"/>
          <w:sz w:val="17"/>
          <w:szCs w:val="17"/>
        </w:rPr>
      </w:pPr>
      <w:r w:rsidRPr="00E70407">
        <w:rPr>
          <w:rFonts w:ascii="Times New Roman" w:eastAsia="Times New Roman" w:hAnsi="Times New Roman"/>
          <w:sz w:val="17"/>
          <w:szCs w:val="17"/>
        </w:rPr>
        <w:t>name and contact details of the former owner/employer and new owner/employer</w:t>
      </w:r>
    </w:p>
    <w:p w:rsidR="00E70407" w:rsidRPr="00E70407" w:rsidRDefault="00E70407" w:rsidP="00E70407">
      <w:pPr>
        <w:numPr>
          <w:ilvl w:val="0"/>
          <w:numId w:val="317"/>
        </w:numPr>
        <w:ind w:left="1064"/>
        <w:rPr>
          <w:rFonts w:ascii="Times New Roman" w:eastAsia="Times New Roman" w:hAnsi="Times New Roman"/>
          <w:sz w:val="17"/>
          <w:szCs w:val="17"/>
        </w:rPr>
      </w:pPr>
      <w:r w:rsidRPr="00E70407">
        <w:rPr>
          <w:rFonts w:ascii="Times New Roman" w:eastAsia="Times New Roman" w:hAnsi="Times New Roman"/>
          <w:sz w:val="17"/>
          <w:szCs w:val="17"/>
        </w:rPr>
        <w:t>a copy of the Training Contract and Training Plan</w:t>
      </w:r>
    </w:p>
    <w:p w:rsidR="00E70407" w:rsidRPr="00E70407" w:rsidRDefault="00E70407" w:rsidP="00E70407">
      <w:pPr>
        <w:numPr>
          <w:ilvl w:val="0"/>
          <w:numId w:val="317"/>
        </w:numPr>
        <w:ind w:left="1064"/>
        <w:rPr>
          <w:rFonts w:ascii="Times New Roman" w:eastAsia="Times New Roman" w:hAnsi="Times New Roman"/>
          <w:sz w:val="17"/>
          <w:szCs w:val="17"/>
        </w:rPr>
      </w:pPr>
      <w:r w:rsidRPr="00E70407">
        <w:rPr>
          <w:rFonts w:ascii="Times New Roman" w:eastAsia="Times New Roman" w:hAnsi="Times New Roman"/>
          <w:sz w:val="17"/>
          <w:szCs w:val="17"/>
        </w:rPr>
        <w:t>name of the NTO</w:t>
      </w:r>
    </w:p>
    <w:p w:rsidR="00E70407" w:rsidRPr="00E70407" w:rsidRDefault="00E70407" w:rsidP="00E70407">
      <w:pPr>
        <w:numPr>
          <w:ilvl w:val="0"/>
          <w:numId w:val="317"/>
        </w:numPr>
        <w:ind w:left="1064"/>
        <w:rPr>
          <w:rFonts w:ascii="Times New Roman" w:eastAsia="Times New Roman" w:hAnsi="Times New Roman"/>
          <w:sz w:val="17"/>
          <w:szCs w:val="17"/>
        </w:rPr>
      </w:pPr>
      <w:r w:rsidRPr="00E70407">
        <w:rPr>
          <w:rFonts w:ascii="Times New Roman" w:eastAsia="Times New Roman" w:hAnsi="Times New Roman"/>
          <w:sz w:val="17"/>
          <w:szCs w:val="17"/>
        </w:rPr>
        <w:t>proof of registration by the new owner/employer, or that the employer has applied for registration.</w:t>
      </w:r>
    </w:p>
    <w:p w:rsidR="00E70407" w:rsidRPr="00E70407" w:rsidRDefault="00E70407" w:rsidP="00E70407">
      <w:pPr>
        <w:numPr>
          <w:ilvl w:val="1"/>
          <w:numId w:val="372"/>
        </w:numPr>
        <w:ind w:left="350" w:hanging="364"/>
        <w:rPr>
          <w:rFonts w:ascii="Times New Roman" w:eastAsia="Times New Roman" w:hAnsi="Times New Roman"/>
          <w:b/>
          <w:sz w:val="17"/>
          <w:szCs w:val="17"/>
        </w:rPr>
      </w:pPr>
      <w:r w:rsidRPr="00E70407">
        <w:rPr>
          <w:rFonts w:ascii="Times New Roman" w:eastAsia="Times New Roman" w:hAnsi="Times New Roman"/>
          <w:b/>
          <w:sz w:val="17"/>
          <w:szCs w:val="17"/>
        </w:rPr>
        <w:t>Substitution of an employer under Training Contract and transfer fees (</w:t>
      </w:r>
      <w:r w:rsidRPr="00E70407">
        <w:rPr>
          <w:rFonts w:ascii="Times New Roman" w:eastAsia="Times New Roman" w:hAnsi="Times New Roman"/>
          <w:b/>
          <w:i/>
          <w:iCs/>
          <w:sz w:val="17"/>
          <w:szCs w:val="17"/>
        </w:rPr>
        <w:t>SAS Act</w:t>
      </w:r>
      <w:r w:rsidRPr="00E70407">
        <w:rPr>
          <w:rFonts w:ascii="Times New Roman" w:eastAsia="Times New Roman" w:hAnsi="Times New Roman"/>
          <w:b/>
          <w:sz w:val="17"/>
          <w:szCs w:val="17"/>
        </w:rPr>
        <w:t>, S54N, S54O, Regulation 13)</w:t>
      </w:r>
    </w:p>
    <w:p w:rsidR="00E70407" w:rsidRPr="00E70407" w:rsidRDefault="00E70407" w:rsidP="00E70407">
      <w:pPr>
        <w:numPr>
          <w:ilvl w:val="2"/>
          <w:numId w:val="372"/>
        </w:numPr>
        <w:ind w:left="709"/>
        <w:rPr>
          <w:rFonts w:ascii="Times New Roman" w:eastAsia="Times New Roman" w:hAnsi="Times New Roman"/>
          <w:sz w:val="17"/>
          <w:szCs w:val="17"/>
        </w:rPr>
      </w:pPr>
      <w:r w:rsidRPr="00E70407">
        <w:rPr>
          <w:rFonts w:ascii="Times New Roman" w:eastAsia="Times New Roman" w:hAnsi="Times New Roman"/>
          <w:sz w:val="17"/>
          <w:szCs w:val="17"/>
        </w:rPr>
        <w:t>An application may be made to the Commission to substitute the employer of an apprentice or trainee and determination of the application may, unless waived or previously paid between the parties to the transfer, invoke a transfer fee payable by the proposed employer to the previous employer.</w:t>
      </w:r>
    </w:p>
    <w:p w:rsidR="001B3509" w:rsidRDefault="001B3509">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rsidR="00E70407" w:rsidRPr="00E70407" w:rsidRDefault="00E70407" w:rsidP="001B3509">
      <w:pPr>
        <w:numPr>
          <w:ilvl w:val="2"/>
          <w:numId w:val="372"/>
        </w:numPr>
        <w:spacing w:after="60"/>
        <w:ind w:left="709"/>
        <w:rPr>
          <w:rFonts w:ascii="Times New Roman" w:eastAsia="Times New Roman" w:hAnsi="Times New Roman"/>
          <w:sz w:val="17"/>
          <w:szCs w:val="17"/>
        </w:rPr>
      </w:pPr>
      <w:r w:rsidRPr="00E70407">
        <w:rPr>
          <w:rFonts w:ascii="Times New Roman" w:eastAsia="Times New Roman" w:hAnsi="Times New Roman"/>
          <w:sz w:val="17"/>
          <w:szCs w:val="17"/>
        </w:rPr>
        <w:lastRenderedPageBreak/>
        <w:t>This application may be made by:</w:t>
      </w:r>
    </w:p>
    <w:p w:rsidR="00E70407" w:rsidRPr="00E70407" w:rsidRDefault="00E70407" w:rsidP="001B3509">
      <w:pPr>
        <w:numPr>
          <w:ilvl w:val="0"/>
          <w:numId w:val="311"/>
        </w:numPr>
        <w:spacing w:after="60"/>
        <w:ind w:left="1092" w:hanging="378"/>
        <w:rPr>
          <w:rFonts w:ascii="Times New Roman" w:eastAsia="Times New Roman" w:hAnsi="Times New Roman"/>
          <w:sz w:val="17"/>
          <w:szCs w:val="17"/>
        </w:rPr>
      </w:pPr>
      <w:r w:rsidRPr="00E70407">
        <w:rPr>
          <w:rFonts w:ascii="Times New Roman" w:eastAsia="Times New Roman" w:hAnsi="Times New Roman"/>
          <w:sz w:val="17"/>
          <w:szCs w:val="17"/>
        </w:rPr>
        <w:t>the existing/previous employer (or person on their behalf)</w:t>
      </w:r>
    </w:p>
    <w:p w:rsidR="00E70407" w:rsidRPr="00E70407" w:rsidRDefault="00E70407" w:rsidP="001B3509">
      <w:pPr>
        <w:numPr>
          <w:ilvl w:val="0"/>
          <w:numId w:val="311"/>
        </w:numPr>
        <w:spacing w:after="60"/>
        <w:ind w:left="1092" w:hanging="378"/>
        <w:rPr>
          <w:rFonts w:ascii="Times New Roman" w:eastAsia="Times New Roman" w:hAnsi="Times New Roman"/>
          <w:sz w:val="17"/>
          <w:szCs w:val="17"/>
        </w:rPr>
      </w:pPr>
      <w:r w:rsidRPr="00E70407">
        <w:rPr>
          <w:rFonts w:ascii="Times New Roman" w:eastAsia="Times New Roman" w:hAnsi="Times New Roman"/>
          <w:sz w:val="17"/>
          <w:szCs w:val="17"/>
        </w:rPr>
        <w:t>the proposed employer (or a person on their behalf)</w:t>
      </w:r>
    </w:p>
    <w:p w:rsidR="00E70407" w:rsidRPr="00E70407" w:rsidRDefault="00E70407" w:rsidP="001B3509">
      <w:pPr>
        <w:numPr>
          <w:ilvl w:val="0"/>
          <w:numId w:val="311"/>
        </w:numPr>
        <w:spacing w:after="60"/>
        <w:ind w:left="1092" w:hanging="378"/>
        <w:rPr>
          <w:rFonts w:ascii="Times New Roman" w:eastAsia="Times New Roman" w:hAnsi="Times New Roman"/>
          <w:sz w:val="17"/>
          <w:szCs w:val="17"/>
        </w:rPr>
      </w:pPr>
      <w:r w:rsidRPr="00E70407">
        <w:rPr>
          <w:rFonts w:ascii="Times New Roman" w:eastAsia="Times New Roman" w:hAnsi="Times New Roman"/>
          <w:sz w:val="17"/>
          <w:szCs w:val="17"/>
        </w:rPr>
        <w:t>the apprentice or trainee (or a person on their behalf).</w:t>
      </w:r>
    </w:p>
    <w:p w:rsidR="00E70407" w:rsidRPr="00E70407" w:rsidRDefault="00E70407" w:rsidP="001B3509">
      <w:pPr>
        <w:numPr>
          <w:ilvl w:val="2"/>
          <w:numId w:val="372"/>
        </w:numPr>
        <w:spacing w:after="60"/>
        <w:ind w:left="709"/>
        <w:rPr>
          <w:rFonts w:ascii="Times New Roman" w:eastAsia="Times New Roman" w:hAnsi="Times New Roman"/>
          <w:sz w:val="17"/>
          <w:szCs w:val="17"/>
        </w:rPr>
      </w:pPr>
      <w:r w:rsidRPr="00E70407">
        <w:rPr>
          <w:rFonts w:ascii="Times New Roman" w:eastAsia="Times New Roman" w:hAnsi="Times New Roman"/>
          <w:sz w:val="17"/>
          <w:szCs w:val="17"/>
        </w:rPr>
        <w:t>The application must contain the following information:</w:t>
      </w:r>
    </w:p>
    <w:p w:rsidR="00E70407" w:rsidRPr="00E70407" w:rsidRDefault="00E70407" w:rsidP="001B3509">
      <w:pPr>
        <w:numPr>
          <w:ilvl w:val="0"/>
          <w:numId w:val="312"/>
        </w:numPr>
        <w:spacing w:after="60"/>
        <w:ind w:left="1092"/>
        <w:rPr>
          <w:rFonts w:ascii="Times New Roman" w:eastAsia="Times New Roman" w:hAnsi="Times New Roman"/>
          <w:sz w:val="17"/>
          <w:szCs w:val="17"/>
        </w:rPr>
      </w:pPr>
      <w:r w:rsidRPr="00E70407">
        <w:rPr>
          <w:rFonts w:ascii="Times New Roman" w:eastAsia="Times New Roman" w:hAnsi="Times New Roman"/>
          <w:sz w:val="17"/>
          <w:szCs w:val="17"/>
        </w:rPr>
        <w:t>contact details of the parties to the application</w:t>
      </w:r>
    </w:p>
    <w:p w:rsidR="00E70407" w:rsidRPr="00E70407" w:rsidRDefault="00E70407" w:rsidP="001B3509">
      <w:pPr>
        <w:numPr>
          <w:ilvl w:val="0"/>
          <w:numId w:val="312"/>
        </w:numPr>
        <w:spacing w:after="60"/>
        <w:ind w:left="1092"/>
        <w:rPr>
          <w:rFonts w:ascii="Times New Roman" w:eastAsia="Times New Roman" w:hAnsi="Times New Roman"/>
          <w:sz w:val="17"/>
          <w:szCs w:val="17"/>
        </w:rPr>
      </w:pPr>
      <w:r w:rsidRPr="00E70407">
        <w:rPr>
          <w:rFonts w:ascii="Times New Roman" w:eastAsia="Times New Roman" w:hAnsi="Times New Roman"/>
          <w:sz w:val="17"/>
          <w:szCs w:val="17"/>
        </w:rPr>
        <w:t>reason(s) for the substitution</w:t>
      </w:r>
    </w:p>
    <w:p w:rsidR="00E70407" w:rsidRPr="00E70407" w:rsidRDefault="00E70407" w:rsidP="001B3509">
      <w:pPr>
        <w:numPr>
          <w:ilvl w:val="0"/>
          <w:numId w:val="312"/>
        </w:numPr>
        <w:spacing w:after="60"/>
        <w:ind w:left="1092"/>
        <w:rPr>
          <w:rFonts w:ascii="Times New Roman" w:eastAsia="Times New Roman" w:hAnsi="Times New Roman"/>
          <w:sz w:val="17"/>
          <w:szCs w:val="17"/>
        </w:rPr>
      </w:pPr>
      <w:r w:rsidRPr="00E70407">
        <w:rPr>
          <w:rFonts w:ascii="Times New Roman" w:eastAsia="Times New Roman" w:hAnsi="Times New Roman"/>
          <w:sz w:val="17"/>
          <w:szCs w:val="17"/>
        </w:rPr>
        <w:t>the number of employees employed by the business to which the apprentice or trainee is being transferred</w:t>
      </w:r>
    </w:p>
    <w:p w:rsidR="00E70407" w:rsidRPr="00E70407" w:rsidRDefault="00E70407" w:rsidP="001B3509">
      <w:pPr>
        <w:numPr>
          <w:ilvl w:val="0"/>
          <w:numId w:val="312"/>
        </w:numPr>
        <w:spacing w:after="60"/>
        <w:ind w:left="1092"/>
        <w:rPr>
          <w:rFonts w:ascii="Times New Roman" w:eastAsia="Times New Roman" w:hAnsi="Times New Roman"/>
          <w:sz w:val="17"/>
          <w:szCs w:val="17"/>
        </w:rPr>
      </w:pPr>
      <w:r w:rsidRPr="00E70407">
        <w:rPr>
          <w:rFonts w:ascii="Times New Roman" w:eastAsia="Times New Roman" w:hAnsi="Times New Roman"/>
          <w:sz w:val="17"/>
          <w:szCs w:val="17"/>
        </w:rPr>
        <w:t xml:space="preserve">evidence of the transfer fee transaction or of an agreement to pay the transfer fee, if a request to waive the transfer fee is not made to the Commission </w:t>
      </w:r>
    </w:p>
    <w:p w:rsidR="00E70407" w:rsidRPr="00E70407" w:rsidRDefault="00E70407" w:rsidP="001B3509">
      <w:pPr>
        <w:numPr>
          <w:ilvl w:val="0"/>
          <w:numId w:val="312"/>
        </w:numPr>
        <w:spacing w:after="60"/>
        <w:ind w:left="1092"/>
        <w:rPr>
          <w:rFonts w:ascii="Times New Roman" w:eastAsia="Times New Roman" w:hAnsi="Times New Roman"/>
          <w:sz w:val="17"/>
          <w:szCs w:val="17"/>
        </w:rPr>
      </w:pPr>
      <w:r w:rsidRPr="00E70407">
        <w:rPr>
          <w:rFonts w:ascii="Times New Roman" w:eastAsia="Times New Roman" w:hAnsi="Times New Roman"/>
          <w:sz w:val="17"/>
          <w:szCs w:val="17"/>
        </w:rPr>
        <w:t>if the proposed employer is seeking to have the transfer fee waived (see below for grounds to waive the transfer fee) by the Commission, the ground(s) for waiving the fee</w:t>
      </w:r>
    </w:p>
    <w:p w:rsidR="00E70407" w:rsidRPr="00E70407" w:rsidRDefault="00E70407" w:rsidP="001B3509">
      <w:pPr>
        <w:numPr>
          <w:ilvl w:val="0"/>
          <w:numId w:val="312"/>
        </w:numPr>
        <w:spacing w:after="60"/>
        <w:ind w:left="1092"/>
        <w:rPr>
          <w:rFonts w:ascii="Times New Roman" w:eastAsia="Times New Roman" w:hAnsi="Times New Roman"/>
          <w:sz w:val="17"/>
          <w:szCs w:val="17"/>
        </w:rPr>
      </w:pPr>
      <w:r w:rsidRPr="00E70407">
        <w:rPr>
          <w:rFonts w:ascii="Times New Roman" w:eastAsia="Times New Roman" w:hAnsi="Times New Roman"/>
          <w:sz w:val="17"/>
          <w:szCs w:val="17"/>
        </w:rPr>
        <w:t>if the previous/existing employer objects to the transfer, reasons for the objection.</w:t>
      </w:r>
    </w:p>
    <w:p w:rsidR="00E70407" w:rsidRPr="00E70407" w:rsidRDefault="00E70407" w:rsidP="001B3509">
      <w:pPr>
        <w:numPr>
          <w:ilvl w:val="2"/>
          <w:numId w:val="372"/>
        </w:numPr>
        <w:spacing w:after="60"/>
        <w:ind w:left="709"/>
        <w:rPr>
          <w:rFonts w:ascii="Times New Roman" w:eastAsia="Times New Roman" w:hAnsi="Times New Roman"/>
          <w:sz w:val="17"/>
          <w:szCs w:val="17"/>
        </w:rPr>
      </w:pPr>
      <w:r w:rsidRPr="00E70407">
        <w:rPr>
          <w:rFonts w:ascii="Times New Roman" w:eastAsia="Times New Roman" w:hAnsi="Times New Roman"/>
          <w:sz w:val="17"/>
          <w:szCs w:val="17"/>
        </w:rPr>
        <w:t xml:space="preserve">The Commission may invite the existing employer to provide a written submission about whether the application to substitute the proposed employer should be granted or not, and may make any enquiries of any of the parties about whether the transfer of the apprentice or trainee to the new employer is appropriate in the circumstances. </w:t>
      </w:r>
    </w:p>
    <w:p w:rsidR="00E70407" w:rsidRPr="00E70407" w:rsidRDefault="00E70407" w:rsidP="001B3509">
      <w:pPr>
        <w:numPr>
          <w:ilvl w:val="1"/>
          <w:numId w:val="372"/>
        </w:numPr>
        <w:spacing w:after="60"/>
        <w:ind w:left="350" w:hanging="364"/>
        <w:rPr>
          <w:rFonts w:ascii="Times New Roman" w:eastAsia="Times New Roman" w:hAnsi="Times New Roman"/>
          <w:b/>
          <w:sz w:val="17"/>
          <w:szCs w:val="17"/>
        </w:rPr>
      </w:pPr>
      <w:r w:rsidRPr="00E70407">
        <w:rPr>
          <w:rFonts w:ascii="Times New Roman" w:eastAsia="Times New Roman" w:hAnsi="Times New Roman"/>
          <w:b/>
          <w:sz w:val="17"/>
          <w:szCs w:val="17"/>
        </w:rPr>
        <w:t>Application in relation to an apprentice or trainee under 18 years of age</w:t>
      </w:r>
    </w:p>
    <w:p w:rsidR="00E70407" w:rsidRPr="00E70407" w:rsidRDefault="00E70407" w:rsidP="001B3509">
      <w:pPr>
        <w:numPr>
          <w:ilvl w:val="2"/>
          <w:numId w:val="372"/>
        </w:numPr>
        <w:spacing w:after="60"/>
        <w:ind w:left="709"/>
        <w:rPr>
          <w:rFonts w:ascii="Times New Roman" w:eastAsia="Times New Roman" w:hAnsi="Times New Roman"/>
          <w:sz w:val="17"/>
          <w:szCs w:val="17"/>
        </w:rPr>
      </w:pPr>
      <w:r w:rsidRPr="00E70407">
        <w:rPr>
          <w:rFonts w:ascii="Times New Roman" w:eastAsia="Times New Roman" w:hAnsi="Times New Roman"/>
          <w:sz w:val="17"/>
          <w:szCs w:val="17"/>
        </w:rPr>
        <w:t>The Commission must be satisfied, in relation to an application to substitute an employer in relation to an apprentice under 18 years of age, that the application is in the best interests of the apprentice or trainee and where the parent(s) or guardian(s) are party to the Training Contract, may enquire about the merits of the application with the parent(s) or guardian(s) of the apprentice or trainee.</w:t>
      </w:r>
    </w:p>
    <w:p w:rsidR="00E70407" w:rsidRPr="00E70407" w:rsidRDefault="00E70407" w:rsidP="001B3509">
      <w:pPr>
        <w:numPr>
          <w:ilvl w:val="1"/>
          <w:numId w:val="372"/>
        </w:numPr>
        <w:spacing w:after="60"/>
        <w:ind w:left="350" w:hanging="364"/>
        <w:rPr>
          <w:rFonts w:ascii="Times New Roman" w:eastAsia="Times New Roman" w:hAnsi="Times New Roman"/>
          <w:b/>
          <w:sz w:val="17"/>
          <w:szCs w:val="17"/>
        </w:rPr>
      </w:pPr>
      <w:r w:rsidRPr="00E70407">
        <w:rPr>
          <w:rFonts w:ascii="Times New Roman" w:eastAsia="Times New Roman" w:hAnsi="Times New Roman"/>
          <w:b/>
          <w:sz w:val="17"/>
          <w:szCs w:val="17"/>
        </w:rPr>
        <w:t>Consideration of an application to substitute an employer by application</w:t>
      </w:r>
    </w:p>
    <w:p w:rsidR="00E70407" w:rsidRPr="00E70407" w:rsidRDefault="00E70407" w:rsidP="001B3509">
      <w:pPr>
        <w:numPr>
          <w:ilvl w:val="2"/>
          <w:numId w:val="372"/>
        </w:numPr>
        <w:spacing w:after="60"/>
        <w:ind w:left="709"/>
        <w:rPr>
          <w:rFonts w:ascii="Times New Roman" w:eastAsia="Times New Roman" w:hAnsi="Times New Roman"/>
          <w:sz w:val="17"/>
          <w:szCs w:val="17"/>
        </w:rPr>
      </w:pPr>
      <w:r w:rsidRPr="00E70407">
        <w:rPr>
          <w:rFonts w:ascii="Times New Roman" w:eastAsia="Times New Roman" w:hAnsi="Times New Roman"/>
          <w:sz w:val="17"/>
          <w:szCs w:val="17"/>
        </w:rPr>
        <w:t xml:space="preserve">For the purposes of Section 54N(3)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the Commission must be satisfied that:</w:t>
      </w:r>
    </w:p>
    <w:p w:rsidR="00E70407" w:rsidRPr="00E70407" w:rsidRDefault="00E70407" w:rsidP="001B3509">
      <w:pPr>
        <w:numPr>
          <w:ilvl w:val="0"/>
          <w:numId w:val="315"/>
        </w:numPr>
        <w:spacing w:after="60"/>
        <w:rPr>
          <w:rFonts w:ascii="Times New Roman" w:eastAsia="Times New Roman" w:hAnsi="Times New Roman"/>
          <w:sz w:val="17"/>
          <w:szCs w:val="17"/>
        </w:rPr>
      </w:pPr>
      <w:r w:rsidRPr="00E70407">
        <w:rPr>
          <w:rFonts w:ascii="Times New Roman" w:eastAsia="Times New Roman" w:hAnsi="Times New Roman"/>
          <w:sz w:val="17"/>
          <w:szCs w:val="17"/>
        </w:rPr>
        <w:t>if the proposed employer has consented to the substitution, there is evidence in writing of such consent</w:t>
      </w:r>
    </w:p>
    <w:p w:rsidR="00E70407" w:rsidRPr="00E70407" w:rsidRDefault="00E70407" w:rsidP="001B3509">
      <w:pPr>
        <w:numPr>
          <w:ilvl w:val="0"/>
          <w:numId w:val="315"/>
        </w:numPr>
        <w:spacing w:after="60"/>
        <w:rPr>
          <w:rFonts w:ascii="Times New Roman" w:eastAsia="Times New Roman" w:hAnsi="Times New Roman"/>
          <w:sz w:val="17"/>
          <w:szCs w:val="17"/>
        </w:rPr>
      </w:pPr>
      <w:r w:rsidRPr="00E70407">
        <w:rPr>
          <w:rFonts w:ascii="Times New Roman" w:eastAsia="Times New Roman" w:hAnsi="Times New Roman"/>
          <w:sz w:val="17"/>
          <w:szCs w:val="17"/>
        </w:rPr>
        <w:t>the proposed employer is not a prohibited employer.</w:t>
      </w:r>
    </w:p>
    <w:p w:rsidR="00E70407" w:rsidRPr="00E70407" w:rsidRDefault="00E70407" w:rsidP="001B3509">
      <w:pPr>
        <w:numPr>
          <w:ilvl w:val="0"/>
          <w:numId w:val="315"/>
        </w:numPr>
        <w:spacing w:after="60"/>
        <w:rPr>
          <w:rFonts w:ascii="Times New Roman" w:eastAsia="Times New Roman" w:hAnsi="Times New Roman"/>
          <w:sz w:val="17"/>
          <w:szCs w:val="17"/>
        </w:rPr>
      </w:pPr>
      <w:r w:rsidRPr="00E70407">
        <w:rPr>
          <w:rFonts w:ascii="Times New Roman" w:eastAsia="Times New Roman" w:hAnsi="Times New Roman"/>
          <w:sz w:val="17"/>
          <w:szCs w:val="17"/>
        </w:rPr>
        <w:t>the proposed employer is:</w:t>
      </w:r>
    </w:p>
    <w:p w:rsidR="00E70407" w:rsidRPr="00E70407" w:rsidRDefault="00E70407" w:rsidP="001B3509">
      <w:pPr>
        <w:numPr>
          <w:ilvl w:val="1"/>
          <w:numId w:val="313"/>
        </w:numPr>
        <w:spacing w:after="60"/>
        <w:ind w:left="1701"/>
        <w:rPr>
          <w:rFonts w:ascii="Times New Roman" w:eastAsia="Times New Roman" w:hAnsi="Times New Roman"/>
          <w:sz w:val="17"/>
          <w:szCs w:val="17"/>
        </w:rPr>
      </w:pPr>
      <w:r w:rsidRPr="00E70407">
        <w:rPr>
          <w:rFonts w:ascii="Times New Roman" w:eastAsia="Times New Roman" w:hAnsi="Times New Roman"/>
          <w:sz w:val="17"/>
          <w:szCs w:val="17"/>
        </w:rPr>
        <w:t xml:space="preserve">registered </w:t>
      </w:r>
    </w:p>
    <w:p w:rsidR="00E70407" w:rsidRPr="00E70407" w:rsidRDefault="00E70407" w:rsidP="001B3509">
      <w:pPr>
        <w:numPr>
          <w:ilvl w:val="1"/>
          <w:numId w:val="313"/>
        </w:numPr>
        <w:spacing w:after="60"/>
        <w:ind w:left="1701"/>
        <w:rPr>
          <w:rFonts w:ascii="Times New Roman" w:eastAsia="Times New Roman" w:hAnsi="Times New Roman"/>
          <w:sz w:val="17"/>
          <w:szCs w:val="17"/>
        </w:rPr>
      </w:pPr>
      <w:r w:rsidRPr="00E70407">
        <w:rPr>
          <w:rFonts w:ascii="Times New Roman" w:eastAsia="Times New Roman" w:hAnsi="Times New Roman"/>
          <w:sz w:val="17"/>
          <w:szCs w:val="17"/>
        </w:rPr>
        <w:t xml:space="preserve">operating within scope of the registration </w:t>
      </w:r>
    </w:p>
    <w:p w:rsidR="00E70407" w:rsidRPr="00E70407" w:rsidRDefault="00E70407" w:rsidP="001B3509">
      <w:pPr>
        <w:numPr>
          <w:ilvl w:val="1"/>
          <w:numId w:val="313"/>
        </w:numPr>
        <w:spacing w:after="60"/>
        <w:ind w:left="1701"/>
        <w:rPr>
          <w:rFonts w:ascii="Times New Roman" w:eastAsia="Times New Roman" w:hAnsi="Times New Roman"/>
          <w:sz w:val="17"/>
          <w:szCs w:val="17"/>
        </w:rPr>
      </w:pPr>
      <w:r w:rsidRPr="00E70407">
        <w:rPr>
          <w:rFonts w:ascii="Times New Roman" w:eastAsia="Times New Roman" w:hAnsi="Times New Roman"/>
          <w:sz w:val="17"/>
          <w:szCs w:val="17"/>
        </w:rPr>
        <w:t>complying with conditions of the registration.</w:t>
      </w:r>
    </w:p>
    <w:p w:rsidR="00E70407" w:rsidRPr="00E70407" w:rsidRDefault="00E70407" w:rsidP="001B3509">
      <w:pPr>
        <w:spacing w:after="60"/>
        <w:ind w:left="1134"/>
        <w:rPr>
          <w:rFonts w:ascii="Times New Roman" w:eastAsia="Times New Roman" w:hAnsi="Times New Roman"/>
          <w:sz w:val="17"/>
          <w:szCs w:val="17"/>
        </w:rPr>
      </w:pPr>
      <w:r w:rsidRPr="00E70407">
        <w:rPr>
          <w:rFonts w:ascii="Times New Roman" w:eastAsia="Times New Roman" w:hAnsi="Times New Roman"/>
          <w:sz w:val="17"/>
          <w:szCs w:val="17"/>
        </w:rPr>
        <w:t>(requirement (i.) is suspended when the proposed employer has applied for registration, and the application has yet to be determined and the Commission is satisfied they are a fit and proper person to enter into a Training Contract. The Commission may inform itself of this question in any way it sees fit).</w:t>
      </w:r>
    </w:p>
    <w:p w:rsidR="00E70407" w:rsidRPr="00E70407" w:rsidRDefault="00E70407" w:rsidP="001B3509">
      <w:pPr>
        <w:numPr>
          <w:ilvl w:val="0"/>
          <w:numId w:val="315"/>
        </w:numPr>
        <w:spacing w:after="60"/>
        <w:rPr>
          <w:rFonts w:ascii="Times New Roman" w:eastAsia="Times New Roman" w:hAnsi="Times New Roman"/>
          <w:sz w:val="17"/>
          <w:szCs w:val="17"/>
        </w:rPr>
      </w:pPr>
      <w:r w:rsidRPr="00E70407">
        <w:rPr>
          <w:rFonts w:ascii="Times New Roman" w:eastAsia="Times New Roman" w:hAnsi="Times New Roman"/>
          <w:sz w:val="17"/>
          <w:szCs w:val="17"/>
        </w:rPr>
        <w:t xml:space="preserve">The proposed employer has paid, or agreed to pay, any transfer fee payable under Section 54O, or that there are grounds for a waiver. </w:t>
      </w:r>
    </w:p>
    <w:p w:rsidR="00E70407" w:rsidRPr="00E70407" w:rsidRDefault="00E70407" w:rsidP="001B3509">
      <w:pPr>
        <w:spacing w:after="60"/>
        <w:ind w:left="720"/>
        <w:rPr>
          <w:rFonts w:ascii="Times New Roman" w:eastAsia="Times New Roman" w:hAnsi="Times New Roman"/>
          <w:sz w:val="17"/>
          <w:szCs w:val="17"/>
        </w:rPr>
      </w:pPr>
      <w:r w:rsidRPr="00E70407">
        <w:rPr>
          <w:rFonts w:ascii="Times New Roman" w:eastAsia="Times New Roman" w:hAnsi="Times New Roman"/>
          <w:sz w:val="17"/>
          <w:szCs w:val="17"/>
        </w:rPr>
        <w:t>(Note: The Commission may consider information, or a submission provided by the parties, or make any enquiries on its own initiative, on the appropriateness of the substitution. It may consider, for example, whether any coercion or inducement has been applied by any party against another party to agree to the substitution).</w:t>
      </w:r>
    </w:p>
    <w:p w:rsidR="00E70407" w:rsidRPr="00E70407" w:rsidRDefault="00E70407" w:rsidP="001B3509">
      <w:pPr>
        <w:numPr>
          <w:ilvl w:val="1"/>
          <w:numId w:val="372"/>
        </w:numPr>
        <w:spacing w:after="60"/>
        <w:ind w:left="350" w:hanging="364"/>
        <w:rPr>
          <w:rFonts w:ascii="Times New Roman" w:eastAsia="Times New Roman" w:hAnsi="Times New Roman"/>
          <w:b/>
          <w:sz w:val="17"/>
          <w:szCs w:val="17"/>
        </w:rPr>
      </w:pPr>
      <w:r w:rsidRPr="00E70407">
        <w:rPr>
          <w:rFonts w:ascii="Times New Roman" w:eastAsia="Times New Roman" w:hAnsi="Times New Roman"/>
          <w:b/>
          <w:sz w:val="17"/>
          <w:szCs w:val="17"/>
        </w:rPr>
        <w:t>Existing employer may provide a submission on the application</w:t>
      </w:r>
    </w:p>
    <w:p w:rsidR="00E70407" w:rsidRPr="00E70407" w:rsidRDefault="00E70407" w:rsidP="001B3509">
      <w:pPr>
        <w:tabs>
          <w:tab w:val="left" w:pos="709"/>
        </w:tabs>
        <w:spacing w:after="60"/>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9.6.1 </w:t>
      </w:r>
      <w:r w:rsidRPr="00E70407">
        <w:rPr>
          <w:rFonts w:ascii="Times New Roman" w:eastAsia="Times New Roman" w:hAnsi="Times New Roman"/>
          <w:sz w:val="17"/>
          <w:szCs w:val="17"/>
        </w:rPr>
        <w:tab/>
        <w:t>Except where the existing employer is an applicant to substitute, the Commission should, where practicable, have regard to any submission of the existing employer in relation to the application. However, a submission by the existing employer will not be determinative of the outcome.</w:t>
      </w:r>
    </w:p>
    <w:p w:rsidR="00E70407" w:rsidRPr="00E70407" w:rsidRDefault="00E70407" w:rsidP="001B3509">
      <w:pPr>
        <w:numPr>
          <w:ilvl w:val="1"/>
          <w:numId w:val="372"/>
        </w:numPr>
        <w:spacing w:after="60"/>
        <w:ind w:left="350" w:hanging="364"/>
        <w:rPr>
          <w:rFonts w:ascii="Times New Roman" w:eastAsia="Times New Roman" w:hAnsi="Times New Roman"/>
          <w:b/>
          <w:bCs/>
          <w:sz w:val="17"/>
          <w:szCs w:val="17"/>
        </w:rPr>
      </w:pPr>
      <w:r w:rsidRPr="00E70407">
        <w:rPr>
          <w:rFonts w:ascii="Times New Roman" w:eastAsia="Times New Roman" w:hAnsi="Times New Roman"/>
          <w:b/>
          <w:sz w:val="17"/>
          <w:szCs w:val="17"/>
        </w:rPr>
        <w:t>Notice</w:t>
      </w:r>
      <w:r w:rsidRPr="00E70407">
        <w:rPr>
          <w:rFonts w:ascii="Times New Roman" w:eastAsia="Times New Roman" w:hAnsi="Times New Roman"/>
          <w:b/>
          <w:bCs/>
          <w:sz w:val="17"/>
          <w:szCs w:val="17"/>
        </w:rPr>
        <w:t xml:space="preserve"> of the Commission’s decision</w:t>
      </w:r>
    </w:p>
    <w:p w:rsidR="00E70407" w:rsidRPr="00E70407" w:rsidRDefault="00E70407" w:rsidP="001B3509">
      <w:pPr>
        <w:numPr>
          <w:ilvl w:val="2"/>
          <w:numId w:val="372"/>
        </w:numPr>
        <w:spacing w:after="60"/>
        <w:ind w:left="709"/>
        <w:rPr>
          <w:rFonts w:ascii="Times New Roman" w:eastAsia="Times New Roman" w:hAnsi="Times New Roman"/>
          <w:sz w:val="17"/>
          <w:szCs w:val="17"/>
        </w:rPr>
      </w:pPr>
      <w:r w:rsidRPr="00E70407">
        <w:rPr>
          <w:rFonts w:ascii="Times New Roman" w:eastAsia="Times New Roman" w:hAnsi="Times New Roman"/>
          <w:sz w:val="17"/>
          <w:szCs w:val="17"/>
        </w:rPr>
        <w:t>The Commission will notify the parties of its decision on the application and will advise whether the application is successful. If an application is successful, the Commission will advise the parties:</w:t>
      </w:r>
    </w:p>
    <w:p w:rsidR="00E70407" w:rsidRPr="00E70407" w:rsidRDefault="00E70407" w:rsidP="001B3509">
      <w:pPr>
        <w:numPr>
          <w:ilvl w:val="0"/>
          <w:numId w:val="306"/>
        </w:numPr>
        <w:spacing w:after="60"/>
        <w:ind w:left="1092" w:hanging="378"/>
        <w:rPr>
          <w:rFonts w:ascii="Times New Roman" w:eastAsia="Times New Roman" w:hAnsi="Times New Roman"/>
          <w:sz w:val="17"/>
          <w:szCs w:val="17"/>
        </w:rPr>
      </w:pPr>
      <w:r w:rsidRPr="00E70407">
        <w:rPr>
          <w:rFonts w:ascii="Times New Roman" w:eastAsia="Times New Roman" w:hAnsi="Times New Roman"/>
          <w:sz w:val="17"/>
          <w:szCs w:val="17"/>
        </w:rPr>
        <w:t>the date the substitution is taken to have occurred</w:t>
      </w:r>
    </w:p>
    <w:p w:rsidR="00E70407" w:rsidRPr="00E70407" w:rsidRDefault="00E70407" w:rsidP="001B3509">
      <w:pPr>
        <w:numPr>
          <w:ilvl w:val="0"/>
          <w:numId w:val="306"/>
        </w:numPr>
        <w:spacing w:after="60"/>
        <w:ind w:left="1092" w:hanging="378"/>
        <w:rPr>
          <w:rFonts w:ascii="Times New Roman" w:eastAsia="Times New Roman" w:hAnsi="Times New Roman"/>
          <w:sz w:val="17"/>
          <w:szCs w:val="17"/>
        </w:rPr>
      </w:pPr>
      <w:r w:rsidRPr="00E70407">
        <w:rPr>
          <w:rFonts w:ascii="Times New Roman" w:eastAsia="Times New Roman" w:hAnsi="Times New Roman"/>
          <w:sz w:val="17"/>
          <w:szCs w:val="17"/>
        </w:rPr>
        <w:t>the transfer fee payable by the proposed employer to the previous employer, unless waived or reduced</w:t>
      </w:r>
    </w:p>
    <w:p w:rsidR="00E70407" w:rsidRPr="00E70407" w:rsidRDefault="00E70407" w:rsidP="001B3509">
      <w:pPr>
        <w:numPr>
          <w:ilvl w:val="0"/>
          <w:numId w:val="306"/>
        </w:numPr>
        <w:spacing w:after="60"/>
        <w:ind w:left="1092" w:hanging="378"/>
        <w:rPr>
          <w:rFonts w:ascii="Times New Roman" w:eastAsia="Times New Roman" w:hAnsi="Times New Roman"/>
          <w:sz w:val="17"/>
          <w:szCs w:val="17"/>
        </w:rPr>
      </w:pPr>
      <w:r w:rsidRPr="00E70407">
        <w:rPr>
          <w:rFonts w:ascii="Times New Roman" w:eastAsia="Times New Roman" w:hAnsi="Times New Roman"/>
          <w:sz w:val="17"/>
          <w:szCs w:val="17"/>
        </w:rPr>
        <w:t xml:space="preserve">a condition that confirmation of the substitution is subject to an application to register the proposed employer being approved, if applicable. </w:t>
      </w:r>
    </w:p>
    <w:p w:rsidR="00E70407" w:rsidRPr="00E70407" w:rsidRDefault="00E70407" w:rsidP="001B3509">
      <w:pPr>
        <w:numPr>
          <w:ilvl w:val="2"/>
          <w:numId w:val="372"/>
        </w:numPr>
        <w:spacing w:after="60"/>
        <w:ind w:left="709"/>
        <w:rPr>
          <w:rFonts w:ascii="Times New Roman" w:eastAsia="Times New Roman" w:hAnsi="Times New Roman"/>
          <w:sz w:val="17"/>
          <w:szCs w:val="17"/>
        </w:rPr>
      </w:pPr>
      <w:r w:rsidRPr="00E70407">
        <w:rPr>
          <w:rFonts w:ascii="Times New Roman" w:eastAsia="Times New Roman" w:hAnsi="Times New Roman"/>
          <w:sz w:val="17"/>
          <w:szCs w:val="17"/>
        </w:rPr>
        <w:t>If the application is unsuccessful the Commission will advise the parties of this outcome and the reason(s) for the decision.</w:t>
      </w:r>
    </w:p>
    <w:p w:rsidR="00E70407" w:rsidRPr="00E70407" w:rsidRDefault="00E70407" w:rsidP="001B3509">
      <w:pPr>
        <w:numPr>
          <w:ilvl w:val="1"/>
          <w:numId w:val="372"/>
        </w:numPr>
        <w:spacing w:after="60"/>
        <w:ind w:left="350" w:hanging="364"/>
        <w:rPr>
          <w:rFonts w:ascii="Times New Roman" w:eastAsia="Times New Roman" w:hAnsi="Times New Roman"/>
          <w:b/>
          <w:sz w:val="17"/>
          <w:szCs w:val="17"/>
        </w:rPr>
      </w:pPr>
      <w:r w:rsidRPr="00E70407">
        <w:rPr>
          <w:rFonts w:ascii="Times New Roman" w:eastAsia="Times New Roman" w:hAnsi="Times New Roman"/>
          <w:b/>
          <w:sz w:val="17"/>
          <w:szCs w:val="17"/>
        </w:rPr>
        <w:t>Transfer fee</w:t>
      </w:r>
    </w:p>
    <w:p w:rsidR="00E70407" w:rsidRPr="00E70407" w:rsidRDefault="00E70407" w:rsidP="001B3509">
      <w:pPr>
        <w:tabs>
          <w:tab w:val="left" w:pos="709"/>
        </w:tabs>
        <w:spacing w:after="60"/>
        <w:ind w:left="709" w:hanging="709"/>
        <w:rPr>
          <w:rFonts w:ascii="Times New Roman" w:eastAsia="Times New Roman" w:hAnsi="Times New Roman"/>
          <w:sz w:val="17"/>
          <w:szCs w:val="17"/>
        </w:rPr>
      </w:pPr>
      <w:r w:rsidRPr="00E70407">
        <w:rPr>
          <w:rFonts w:ascii="Times New Roman" w:eastAsia="Times New Roman" w:hAnsi="Times New Roman"/>
          <w:sz w:val="17"/>
          <w:szCs w:val="17"/>
        </w:rPr>
        <w:t>9.8.1</w:t>
      </w:r>
      <w:r w:rsidRPr="00E70407">
        <w:rPr>
          <w:rFonts w:ascii="Times New Roman" w:eastAsia="Times New Roman" w:hAnsi="Times New Roman"/>
          <w:sz w:val="17"/>
          <w:szCs w:val="17"/>
        </w:rPr>
        <w:tab/>
        <w:t>The transfer fee payable upon confirmation of the substitution being approved outlined in the South Australian Skills (Fees) Notice 2021 is as follows:</w:t>
      </w:r>
    </w:p>
    <w:p w:rsidR="00E70407" w:rsidRPr="00E70407" w:rsidRDefault="00E70407" w:rsidP="00E70407">
      <w:pPr>
        <w:ind w:left="709"/>
        <w:rPr>
          <w:rFonts w:ascii="Times New Roman" w:eastAsia="Times New Roman" w:hAnsi="Times New Roman"/>
          <w:b/>
          <w:bCs/>
          <w:sz w:val="17"/>
          <w:szCs w:val="17"/>
        </w:rPr>
      </w:pPr>
      <w:r w:rsidRPr="00E70407">
        <w:rPr>
          <w:rFonts w:ascii="Times New Roman" w:eastAsia="Times New Roman" w:hAnsi="Times New Roman"/>
          <w:b/>
          <w:bCs/>
          <w:sz w:val="17"/>
          <w:szCs w:val="17"/>
        </w:rPr>
        <w:t>Small business (20 or fewer employees)</w:t>
      </w:r>
    </w:p>
    <w:tbl>
      <w:tblPr>
        <w:tblStyle w:val="TableGrid"/>
        <w:tblW w:w="0" w:type="auto"/>
        <w:tblInd w:w="7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701"/>
      </w:tblGrid>
      <w:tr w:rsidR="00E70407" w:rsidRPr="00E70407" w:rsidTr="00491D21">
        <w:tc>
          <w:tcPr>
            <w:tcW w:w="3686" w:type="dxa"/>
          </w:tcPr>
          <w:p w:rsidR="00E70407" w:rsidRPr="00E70407" w:rsidRDefault="00E70407" w:rsidP="001B3509">
            <w:pPr>
              <w:spacing w:after="60"/>
              <w:rPr>
                <w:sz w:val="17"/>
                <w:szCs w:val="17"/>
              </w:rPr>
            </w:pPr>
            <w:r w:rsidRPr="00E70407">
              <w:rPr>
                <w:sz w:val="17"/>
                <w:szCs w:val="17"/>
              </w:rPr>
              <w:t>First year of Training Contract</w:t>
            </w:r>
          </w:p>
        </w:tc>
        <w:tc>
          <w:tcPr>
            <w:tcW w:w="1701" w:type="dxa"/>
          </w:tcPr>
          <w:p w:rsidR="00E70407" w:rsidRPr="00E70407" w:rsidRDefault="00E70407" w:rsidP="001B3509">
            <w:pPr>
              <w:spacing w:after="60"/>
              <w:rPr>
                <w:sz w:val="17"/>
                <w:szCs w:val="17"/>
              </w:rPr>
            </w:pPr>
            <w:r w:rsidRPr="00E70407">
              <w:rPr>
                <w:sz w:val="17"/>
                <w:szCs w:val="17"/>
              </w:rPr>
              <w:t>$1,600</w:t>
            </w:r>
          </w:p>
        </w:tc>
      </w:tr>
      <w:tr w:rsidR="00E70407" w:rsidRPr="00E70407" w:rsidTr="00491D21">
        <w:tc>
          <w:tcPr>
            <w:tcW w:w="3686" w:type="dxa"/>
          </w:tcPr>
          <w:p w:rsidR="00E70407" w:rsidRPr="00E70407" w:rsidRDefault="00E70407" w:rsidP="001B3509">
            <w:pPr>
              <w:spacing w:after="60"/>
              <w:rPr>
                <w:sz w:val="17"/>
                <w:szCs w:val="17"/>
              </w:rPr>
            </w:pPr>
            <w:r w:rsidRPr="00E70407">
              <w:rPr>
                <w:sz w:val="17"/>
                <w:szCs w:val="17"/>
              </w:rPr>
              <w:t>Second year of Training Contract</w:t>
            </w:r>
          </w:p>
        </w:tc>
        <w:tc>
          <w:tcPr>
            <w:tcW w:w="1701" w:type="dxa"/>
          </w:tcPr>
          <w:p w:rsidR="00E70407" w:rsidRPr="00E70407" w:rsidRDefault="00E70407" w:rsidP="001B3509">
            <w:pPr>
              <w:spacing w:after="60"/>
              <w:rPr>
                <w:sz w:val="17"/>
                <w:szCs w:val="17"/>
              </w:rPr>
            </w:pPr>
            <w:r w:rsidRPr="00E70407">
              <w:rPr>
                <w:sz w:val="17"/>
                <w:szCs w:val="17"/>
              </w:rPr>
              <w:t>$3,200</w:t>
            </w:r>
          </w:p>
        </w:tc>
      </w:tr>
      <w:tr w:rsidR="00E70407" w:rsidRPr="00E70407" w:rsidTr="00491D21">
        <w:tc>
          <w:tcPr>
            <w:tcW w:w="3686" w:type="dxa"/>
          </w:tcPr>
          <w:p w:rsidR="00E70407" w:rsidRPr="00E70407" w:rsidRDefault="00E70407" w:rsidP="001B3509">
            <w:pPr>
              <w:spacing w:after="60"/>
              <w:rPr>
                <w:sz w:val="17"/>
                <w:szCs w:val="17"/>
              </w:rPr>
            </w:pPr>
            <w:r w:rsidRPr="00E70407">
              <w:rPr>
                <w:sz w:val="17"/>
                <w:szCs w:val="17"/>
              </w:rPr>
              <w:t>Third year of Training Contract</w:t>
            </w:r>
          </w:p>
        </w:tc>
        <w:tc>
          <w:tcPr>
            <w:tcW w:w="1701" w:type="dxa"/>
          </w:tcPr>
          <w:p w:rsidR="00E70407" w:rsidRPr="00E70407" w:rsidRDefault="00E70407" w:rsidP="001B3509">
            <w:pPr>
              <w:spacing w:after="60"/>
              <w:rPr>
                <w:sz w:val="17"/>
                <w:szCs w:val="17"/>
              </w:rPr>
            </w:pPr>
            <w:r w:rsidRPr="00E70407">
              <w:rPr>
                <w:sz w:val="17"/>
                <w:szCs w:val="17"/>
              </w:rPr>
              <w:t>$4,800</w:t>
            </w:r>
          </w:p>
        </w:tc>
      </w:tr>
      <w:tr w:rsidR="00E70407" w:rsidRPr="00E70407" w:rsidTr="00491D21">
        <w:tc>
          <w:tcPr>
            <w:tcW w:w="3686" w:type="dxa"/>
          </w:tcPr>
          <w:p w:rsidR="00E70407" w:rsidRPr="00E70407" w:rsidRDefault="00E70407" w:rsidP="001B3509">
            <w:pPr>
              <w:spacing w:after="60"/>
              <w:rPr>
                <w:sz w:val="17"/>
                <w:szCs w:val="17"/>
              </w:rPr>
            </w:pPr>
            <w:r w:rsidRPr="00E70407">
              <w:rPr>
                <w:sz w:val="17"/>
                <w:szCs w:val="17"/>
              </w:rPr>
              <w:t>Fourth year of Training Contract</w:t>
            </w:r>
          </w:p>
        </w:tc>
        <w:tc>
          <w:tcPr>
            <w:tcW w:w="1701" w:type="dxa"/>
          </w:tcPr>
          <w:p w:rsidR="00E70407" w:rsidRPr="00E70407" w:rsidRDefault="00E70407" w:rsidP="001B3509">
            <w:pPr>
              <w:spacing w:after="60"/>
              <w:rPr>
                <w:sz w:val="17"/>
                <w:szCs w:val="17"/>
              </w:rPr>
            </w:pPr>
            <w:r w:rsidRPr="00E70407">
              <w:rPr>
                <w:sz w:val="17"/>
                <w:szCs w:val="17"/>
              </w:rPr>
              <w:t>$6,400</w:t>
            </w:r>
          </w:p>
        </w:tc>
      </w:tr>
    </w:tbl>
    <w:p w:rsidR="00E70407" w:rsidRPr="00E70407" w:rsidRDefault="00E70407" w:rsidP="00E70407">
      <w:pPr>
        <w:spacing w:before="80"/>
        <w:ind w:left="800"/>
        <w:rPr>
          <w:rFonts w:ascii="Times New Roman" w:eastAsia="Times New Roman" w:hAnsi="Times New Roman"/>
          <w:b/>
          <w:bCs/>
          <w:sz w:val="17"/>
          <w:szCs w:val="17"/>
        </w:rPr>
      </w:pPr>
      <w:r w:rsidRPr="00E70407">
        <w:rPr>
          <w:rFonts w:ascii="Times New Roman" w:eastAsia="Times New Roman" w:hAnsi="Times New Roman"/>
          <w:b/>
          <w:bCs/>
          <w:sz w:val="17"/>
          <w:szCs w:val="17"/>
        </w:rPr>
        <w:t>Medium to large business (21 or more employees)</w:t>
      </w:r>
    </w:p>
    <w:tbl>
      <w:tblPr>
        <w:tblStyle w:val="TableGrid"/>
        <w:tblW w:w="0" w:type="auto"/>
        <w:tblInd w:w="7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701"/>
      </w:tblGrid>
      <w:tr w:rsidR="00E70407" w:rsidRPr="00E70407" w:rsidTr="00491D21">
        <w:tc>
          <w:tcPr>
            <w:tcW w:w="3686" w:type="dxa"/>
          </w:tcPr>
          <w:p w:rsidR="00E70407" w:rsidRPr="00E70407" w:rsidRDefault="00E70407" w:rsidP="001B3509">
            <w:pPr>
              <w:spacing w:after="60"/>
              <w:rPr>
                <w:sz w:val="17"/>
                <w:szCs w:val="17"/>
              </w:rPr>
            </w:pPr>
            <w:r w:rsidRPr="00E70407">
              <w:rPr>
                <w:sz w:val="17"/>
                <w:szCs w:val="17"/>
              </w:rPr>
              <w:t>First year of Training Contract</w:t>
            </w:r>
          </w:p>
        </w:tc>
        <w:tc>
          <w:tcPr>
            <w:tcW w:w="1701" w:type="dxa"/>
          </w:tcPr>
          <w:p w:rsidR="00E70407" w:rsidRPr="00E70407" w:rsidRDefault="00E70407" w:rsidP="001B3509">
            <w:pPr>
              <w:spacing w:after="60"/>
              <w:rPr>
                <w:sz w:val="17"/>
                <w:szCs w:val="17"/>
              </w:rPr>
            </w:pPr>
            <w:r w:rsidRPr="00E70407">
              <w:rPr>
                <w:sz w:val="17"/>
                <w:szCs w:val="17"/>
              </w:rPr>
              <w:t>$2,000</w:t>
            </w:r>
          </w:p>
        </w:tc>
      </w:tr>
      <w:tr w:rsidR="00E70407" w:rsidRPr="00E70407" w:rsidTr="00491D21">
        <w:tc>
          <w:tcPr>
            <w:tcW w:w="3686" w:type="dxa"/>
          </w:tcPr>
          <w:p w:rsidR="00E70407" w:rsidRPr="00E70407" w:rsidRDefault="00E70407" w:rsidP="001B3509">
            <w:pPr>
              <w:spacing w:after="60"/>
              <w:rPr>
                <w:sz w:val="17"/>
                <w:szCs w:val="17"/>
              </w:rPr>
            </w:pPr>
            <w:r w:rsidRPr="00E70407">
              <w:rPr>
                <w:sz w:val="17"/>
                <w:szCs w:val="17"/>
              </w:rPr>
              <w:t>Second year of Training Contract</w:t>
            </w:r>
          </w:p>
        </w:tc>
        <w:tc>
          <w:tcPr>
            <w:tcW w:w="1701" w:type="dxa"/>
          </w:tcPr>
          <w:p w:rsidR="00E70407" w:rsidRPr="00E70407" w:rsidRDefault="00E70407" w:rsidP="001B3509">
            <w:pPr>
              <w:spacing w:after="60"/>
              <w:rPr>
                <w:sz w:val="17"/>
                <w:szCs w:val="17"/>
              </w:rPr>
            </w:pPr>
            <w:r w:rsidRPr="00E70407">
              <w:rPr>
                <w:sz w:val="17"/>
                <w:szCs w:val="17"/>
              </w:rPr>
              <w:t>$4,000</w:t>
            </w:r>
          </w:p>
        </w:tc>
      </w:tr>
      <w:tr w:rsidR="00E70407" w:rsidRPr="00E70407" w:rsidTr="00491D21">
        <w:tc>
          <w:tcPr>
            <w:tcW w:w="3686" w:type="dxa"/>
          </w:tcPr>
          <w:p w:rsidR="00E70407" w:rsidRPr="00E70407" w:rsidRDefault="00E70407" w:rsidP="001B3509">
            <w:pPr>
              <w:spacing w:after="60"/>
              <w:rPr>
                <w:sz w:val="17"/>
                <w:szCs w:val="17"/>
              </w:rPr>
            </w:pPr>
            <w:r w:rsidRPr="00E70407">
              <w:rPr>
                <w:sz w:val="17"/>
                <w:szCs w:val="17"/>
              </w:rPr>
              <w:t>Third year of Training Contract</w:t>
            </w:r>
          </w:p>
        </w:tc>
        <w:tc>
          <w:tcPr>
            <w:tcW w:w="1701" w:type="dxa"/>
          </w:tcPr>
          <w:p w:rsidR="00E70407" w:rsidRPr="00E70407" w:rsidRDefault="00E70407" w:rsidP="001B3509">
            <w:pPr>
              <w:spacing w:after="60"/>
              <w:rPr>
                <w:sz w:val="17"/>
                <w:szCs w:val="17"/>
              </w:rPr>
            </w:pPr>
            <w:r w:rsidRPr="00E70407">
              <w:rPr>
                <w:sz w:val="17"/>
                <w:szCs w:val="17"/>
              </w:rPr>
              <w:t>$6,000</w:t>
            </w:r>
          </w:p>
        </w:tc>
      </w:tr>
      <w:tr w:rsidR="00E70407" w:rsidRPr="00E70407" w:rsidTr="00491D21">
        <w:tc>
          <w:tcPr>
            <w:tcW w:w="3686" w:type="dxa"/>
          </w:tcPr>
          <w:p w:rsidR="00E70407" w:rsidRPr="00E70407" w:rsidRDefault="00E70407" w:rsidP="001B3509">
            <w:pPr>
              <w:spacing w:after="60"/>
              <w:rPr>
                <w:sz w:val="17"/>
                <w:szCs w:val="17"/>
              </w:rPr>
            </w:pPr>
            <w:r w:rsidRPr="00E70407">
              <w:rPr>
                <w:sz w:val="17"/>
                <w:szCs w:val="17"/>
              </w:rPr>
              <w:t>Fourth year of Training Contract</w:t>
            </w:r>
          </w:p>
        </w:tc>
        <w:tc>
          <w:tcPr>
            <w:tcW w:w="1701" w:type="dxa"/>
          </w:tcPr>
          <w:p w:rsidR="00E70407" w:rsidRPr="00E70407" w:rsidRDefault="00E70407" w:rsidP="001B3509">
            <w:pPr>
              <w:spacing w:after="60"/>
              <w:rPr>
                <w:sz w:val="17"/>
                <w:szCs w:val="17"/>
              </w:rPr>
            </w:pPr>
            <w:r w:rsidRPr="00E70407">
              <w:rPr>
                <w:sz w:val="17"/>
                <w:szCs w:val="17"/>
              </w:rPr>
              <w:t>$8,000</w:t>
            </w:r>
          </w:p>
        </w:tc>
      </w:tr>
    </w:tbl>
    <w:p w:rsidR="001B3509" w:rsidRPr="001B3509" w:rsidRDefault="00E70407" w:rsidP="001B3509">
      <w:pPr>
        <w:numPr>
          <w:ilvl w:val="2"/>
          <w:numId w:val="374"/>
        </w:numPr>
        <w:spacing w:before="80"/>
        <w:rPr>
          <w:rFonts w:ascii="Times New Roman" w:eastAsia="Times New Roman" w:hAnsi="Times New Roman"/>
          <w:sz w:val="17"/>
          <w:szCs w:val="17"/>
        </w:rPr>
      </w:pPr>
      <w:r w:rsidRPr="00E70407">
        <w:rPr>
          <w:rFonts w:ascii="Times New Roman" w:eastAsia="Times New Roman" w:hAnsi="Times New Roman"/>
          <w:sz w:val="17"/>
          <w:szCs w:val="17"/>
        </w:rPr>
        <w:lastRenderedPageBreak/>
        <w:t xml:space="preserve">For the purpose of Section 54O(6)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the size of the business is to be calculated at the date of the proposed substitution and should include permanent, temporary, casual, part-time, managerial and executive employees in addition to employees on paid leave and workers' compensation.</w:t>
      </w:r>
      <w:r w:rsidR="001B3509" w:rsidRPr="001B3509">
        <w:rPr>
          <w:rFonts w:ascii="Times New Roman" w:eastAsia="Times New Roman" w:hAnsi="Times New Roman"/>
          <w:b/>
          <w:sz w:val="17"/>
          <w:szCs w:val="17"/>
        </w:rPr>
        <w:br w:type="page"/>
      </w:r>
    </w:p>
    <w:p w:rsidR="00E70407" w:rsidRPr="00E70407" w:rsidRDefault="00E70407" w:rsidP="00E70407">
      <w:pPr>
        <w:numPr>
          <w:ilvl w:val="1"/>
          <w:numId w:val="372"/>
        </w:numPr>
        <w:ind w:left="350" w:hanging="364"/>
        <w:rPr>
          <w:rFonts w:ascii="Times New Roman" w:eastAsia="Times New Roman" w:hAnsi="Times New Roman"/>
          <w:sz w:val="17"/>
          <w:szCs w:val="17"/>
        </w:rPr>
      </w:pPr>
      <w:r w:rsidRPr="00E70407">
        <w:rPr>
          <w:rFonts w:ascii="Times New Roman" w:eastAsia="Times New Roman" w:hAnsi="Times New Roman"/>
          <w:b/>
          <w:sz w:val="17"/>
          <w:szCs w:val="17"/>
        </w:rPr>
        <w:lastRenderedPageBreak/>
        <w:t>Transacting</w:t>
      </w:r>
      <w:r w:rsidRPr="00E70407">
        <w:rPr>
          <w:rFonts w:ascii="Times New Roman" w:eastAsia="Times New Roman" w:hAnsi="Times New Roman"/>
          <w:b/>
          <w:iCs/>
          <w:sz w:val="17"/>
          <w:szCs w:val="17"/>
        </w:rPr>
        <w:t xml:space="preserve"> the transfer fee</w:t>
      </w:r>
      <w:r w:rsidRPr="00E70407">
        <w:rPr>
          <w:rFonts w:ascii="Times New Roman" w:eastAsia="Times New Roman" w:hAnsi="Times New Roman"/>
          <w:sz w:val="17"/>
          <w:szCs w:val="17"/>
        </w:rPr>
        <w:t xml:space="preserve"> </w:t>
      </w:r>
      <w:r w:rsidRPr="00E70407">
        <w:rPr>
          <w:rFonts w:ascii="Times New Roman" w:eastAsia="Times New Roman" w:hAnsi="Times New Roman"/>
          <w:b/>
          <w:sz w:val="17"/>
          <w:szCs w:val="17"/>
        </w:rPr>
        <w:t>(</w:t>
      </w:r>
      <w:r w:rsidRPr="00E70407">
        <w:rPr>
          <w:rFonts w:ascii="Times New Roman" w:eastAsia="Times New Roman" w:hAnsi="Times New Roman"/>
          <w:b/>
          <w:i/>
          <w:iCs/>
          <w:sz w:val="17"/>
          <w:szCs w:val="17"/>
        </w:rPr>
        <w:t>SAS Regulation</w:t>
      </w:r>
      <w:r w:rsidRPr="00E70407">
        <w:rPr>
          <w:rFonts w:ascii="Times New Roman" w:eastAsia="Times New Roman" w:hAnsi="Times New Roman"/>
          <w:b/>
          <w:sz w:val="17"/>
          <w:szCs w:val="17"/>
        </w:rPr>
        <w:t xml:space="preserve"> 12(e)</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9.9.1</w:t>
      </w:r>
      <w:r w:rsidRPr="00E70407">
        <w:rPr>
          <w:rFonts w:ascii="Times New Roman" w:eastAsia="Times New Roman" w:hAnsi="Times New Roman"/>
          <w:sz w:val="17"/>
          <w:szCs w:val="17"/>
        </w:rPr>
        <w:tab/>
        <w:t xml:space="preserve">The transfer fee is paid directly by the proposed employer to the existing employer and a record of the transaction must be retained by both the previous and proposed employer. </w:t>
      </w:r>
    </w:p>
    <w:p w:rsidR="00E70407" w:rsidRPr="00E70407" w:rsidRDefault="00E70407" w:rsidP="00E70407">
      <w:pPr>
        <w:numPr>
          <w:ilvl w:val="2"/>
          <w:numId w:val="375"/>
        </w:numPr>
        <w:rPr>
          <w:rFonts w:ascii="Times New Roman" w:eastAsia="Times New Roman" w:hAnsi="Times New Roman"/>
          <w:sz w:val="17"/>
          <w:szCs w:val="17"/>
        </w:rPr>
      </w:pPr>
      <w:r w:rsidRPr="00E70407">
        <w:rPr>
          <w:rFonts w:ascii="Times New Roman" w:eastAsia="Times New Roman" w:hAnsi="Times New Roman"/>
          <w:sz w:val="17"/>
          <w:szCs w:val="17"/>
        </w:rPr>
        <w:t>A proposed employer must not seek compensation for payment of a transfer fee from the apprentice or trainee under the Training Contract to which the application relates.</w:t>
      </w:r>
    </w:p>
    <w:p w:rsidR="00E70407" w:rsidRPr="00E70407" w:rsidRDefault="00E70407" w:rsidP="00E70407">
      <w:pPr>
        <w:numPr>
          <w:ilvl w:val="1"/>
          <w:numId w:val="372"/>
        </w:numPr>
        <w:ind w:left="350" w:hanging="364"/>
        <w:rPr>
          <w:rFonts w:ascii="Times New Roman" w:eastAsia="Times New Roman" w:hAnsi="Times New Roman"/>
          <w:b/>
          <w:bCs/>
          <w:i/>
          <w:iCs/>
          <w:sz w:val="17"/>
          <w:szCs w:val="17"/>
        </w:rPr>
      </w:pPr>
      <w:r w:rsidRPr="00E70407">
        <w:rPr>
          <w:rFonts w:ascii="Times New Roman" w:eastAsia="Times New Roman" w:hAnsi="Times New Roman"/>
          <w:b/>
          <w:bCs/>
          <w:sz w:val="17"/>
          <w:szCs w:val="17"/>
        </w:rPr>
        <w:t>Disputes relating to an application to substitute an employer and payment of the transfer fee</w:t>
      </w:r>
      <w:r w:rsidRPr="00E70407">
        <w:rPr>
          <w:rFonts w:ascii="Times New Roman" w:eastAsia="Times New Roman" w:hAnsi="Times New Roman"/>
          <w:sz w:val="17"/>
          <w:szCs w:val="17"/>
        </w:rPr>
        <w:t xml:space="preserve">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iCs/>
          <w:sz w:val="17"/>
          <w:szCs w:val="17"/>
        </w:rPr>
        <w:t xml:space="preserve"> S52, S54O(3))</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9.10.1</w:t>
      </w:r>
      <w:r w:rsidRPr="00E70407">
        <w:rPr>
          <w:rFonts w:ascii="Times New Roman" w:eastAsia="Times New Roman" w:hAnsi="Times New Roman"/>
          <w:sz w:val="17"/>
          <w:szCs w:val="17"/>
        </w:rPr>
        <w:tab/>
        <w:t>The Commission, before determining an application to substitute an employer, may direct the parties to the Training Contract to undertake dispute resolution of a specified kind. For more information, parties are referred to Standard 12, Complaint Handling, Mediation and Advocacy.</w:t>
      </w:r>
    </w:p>
    <w:p w:rsidR="00E70407" w:rsidRPr="00E70407" w:rsidRDefault="00E70407" w:rsidP="00E70407">
      <w:pPr>
        <w:numPr>
          <w:ilvl w:val="2"/>
          <w:numId w:val="376"/>
        </w:numPr>
        <w:rPr>
          <w:rFonts w:ascii="Times New Roman" w:eastAsia="Times New Roman" w:hAnsi="Times New Roman"/>
          <w:sz w:val="17"/>
          <w:szCs w:val="17"/>
        </w:rPr>
      </w:pPr>
      <w:r w:rsidRPr="00E70407">
        <w:rPr>
          <w:rFonts w:ascii="Times New Roman" w:eastAsia="Times New Roman" w:hAnsi="Times New Roman"/>
          <w:sz w:val="17"/>
          <w:szCs w:val="17"/>
        </w:rPr>
        <w:t>If the proposed employer defaults on payment of the transfer fee, the previous employer may commence proceedings for recovery of the transfer fee from a court of competent jurisdiction. Independent legal advice should be obtained before commencing proceedings for recovery of the transfer fee and note, in this situation, the Commission does not have a role pursuing an unpaid fee on behalf of an employer.</w:t>
      </w:r>
    </w:p>
    <w:p w:rsidR="00E70407" w:rsidRPr="00E70407" w:rsidRDefault="00E70407" w:rsidP="00E70407">
      <w:pPr>
        <w:numPr>
          <w:ilvl w:val="1"/>
          <w:numId w:val="372"/>
        </w:numPr>
        <w:ind w:left="350" w:hanging="364"/>
        <w:rPr>
          <w:rFonts w:ascii="Times New Roman" w:eastAsia="Times New Roman" w:hAnsi="Times New Roman"/>
          <w:b/>
          <w:iCs/>
          <w:sz w:val="17"/>
          <w:szCs w:val="17"/>
        </w:rPr>
      </w:pPr>
      <w:r w:rsidRPr="00E70407">
        <w:rPr>
          <w:rFonts w:ascii="Times New Roman" w:eastAsia="Times New Roman" w:hAnsi="Times New Roman"/>
          <w:b/>
          <w:iCs/>
          <w:sz w:val="17"/>
          <w:szCs w:val="17"/>
        </w:rPr>
        <w:t>Waiver of the transfer fee (SAS Regulation 13)</w:t>
      </w:r>
    </w:p>
    <w:p w:rsidR="00E70407" w:rsidRPr="00E70407" w:rsidRDefault="00E70407" w:rsidP="00E70407">
      <w:pPr>
        <w:tabs>
          <w:tab w:val="left" w:pos="709"/>
        </w:tabs>
        <w:ind w:left="709" w:hanging="709"/>
        <w:rPr>
          <w:rFonts w:ascii="Times New Roman" w:eastAsia="Times New Roman" w:hAnsi="Times New Roman"/>
          <w:sz w:val="17"/>
          <w:szCs w:val="17"/>
        </w:rPr>
      </w:pPr>
      <w:r w:rsidRPr="00E70407">
        <w:rPr>
          <w:rFonts w:ascii="Times New Roman" w:eastAsia="Times New Roman" w:hAnsi="Times New Roman"/>
          <w:sz w:val="17"/>
          <w:szCs w:val="17"/>
        </w:rPr>
        <w:t>9.11.1</w:t>
      </w:r>
      <w:r w:rsidRPr="00E70407">
        <w:rPr>
          <w:rFonts w:ascii="Times New Roman" w:eastAsia="Times New Roman" w:hAnsi="Times New Roman"/>
          <w:sz w:val="17"/>
          <w:szCs w:val="17"/>
        </w:rPr>
        <w:tab/>
        <w:t>The transfer fee payable by a proposed employer to the existing employer may be waived or reduced in certain prescribed circumstances where:</w:t>
      </w:r>
    </w:p>
    <w:p w:rsidR="00E70407" w:rsidRPr="00E70407" w:rsidRDefault="00E70407" w:rsidP="00E70407">
      <w:pPr>
        <w:numPr>
          <w:ilvl w:val="0"/>
          <w:numId w:val="318"/>
        </w:numPr>
        <w:ind w:left="1064"/>
        <w:rPr>
          <w:rFonts w:ascii="Times New Roman" w:eastAsia="Times New Roman" w:hAnsi="Times New Roman"/>
          <w:sz w:val="17"/>
          <w:szCs w:val="17"/>
        </w:rPr>
      </w:pPr>
      <w:r w:rsidRPr="00E70407">
        <w:rPr>
          <w:rFonts w:ascii="Times New Roman" w:eastAsia="Times New Roman" w:hAnsi="Times New Roman"/>
          <w:sz w:val="17"/>
          <w:szCs w:val="17"/>
        </w:rPr>
        <w:t>the transfer is mutually agreed by the proposed employer and the existing employer</w:t>
      </w:r>
    </w:p>
    <w:p w:rsidR="00E70407" w:rsidRPr="00E70407" w:rsidRDefault="00E70407" w:rsidP="00E70407">
      <w:pPr>
        <w:numPr>
          <w:ilvl w:val="0"/>
          <w:numId w:val="318"/>
        </w:numPr>
        <w:ind w:left="1064"/>
        <w:rPr>
          <w:rFonts w:ascii="Times New Roman" w:eastAsia="Times New Roman" w:hAnsi="Times New Roman"/>
          <w:sz w:val="17"/>
          <w:szCs w:val="17"/>
        </w:rPr>
      </w:pPr>
      <w:r w:rsidRPr="00E70407">
        <w:rPr>
          <w:rFonts w:ascii="Times New Roman" w:eastAsia="Times New Roman" w:hAnsi="Times New Roman"/>
          <w:sz w:val="17"/>
          <w:szCs w:val="17"/>
        </w:rPr>
        <w:t>it is unlikely that the existing employer will be able to provide employment to the apprentice or trainee for the duration of the Training Contract</w:t>
      </w:r>
    </w:p>
    <w:p w:rsidR="00E70407" w:rsidRPr="00E70407" w:rsidRDefault="00E70407" w:rsidP="00E70407">
      <w:pPr>
        <w:numPr>
          <w:ilvl w:val="0"/>
          <w:numId w:val="318"/>
        </w:numPr>
        <w:ind w:left="1064"/>
        <w:rPr>
          <w:rFonts w:ascii="Times New Roman" w:eastAsia="Times New Roman" w:hAnsi="Times New Roman"/>
          <w:sz w:val="17"/>
          <w:szCs w:val="17"/>
        </w:rPr>
      </w:pPr>
      <w:r w:rsidRPr="00E70407">
        <w:rPr>
          <w:rFonts w:ascii="Times New Roman" w:eastAsia="Times New Roman" w:hAnsi="Times New Roman"/>
          <w:sz w:val="17"/>
          <w:szCs w:val="17"/>
        </w:rPr>
        <w:t>it is unlikely that the existing employer will be able to provide the scope of training or supervision necessary for the apprentice or trainee to complete the training required under the Training Contract</w:t>
      </w:r>
    </w:p>
    <w:p w:rsidR="00E70407" w:rsidRPr="00E70407" w:rsidRDefault="00E70407" w:rsidP="00E70407">
      <w:pPr>
        <w:numPr>
          <w:ilvl w:val="0"/>
          <w:numId w:val="318"/>
        </w:numPr>
        <w:ind w:left="1064"/>
        <w:rPr>
          <w:rFonts w:ascii="Times New Roman" w:eastAsia="Times New Roman" w:hAnsi="Times New Roman"/>
          <w:sz w:val="17"/>
          <w:szCs w:val="17"/>
        </w:rPr>
      </w:pPr>
      <w:r w:rsidRPr="00E70407">
        <w:rPr>
          <w:rFonts w:ascii="Times New Roman" w:eastAsia="Times New Roman" w:hAnsi="Times New Roman"/>
          <w:sz w:val="17"/>
          <w:szCs w:val="17"/>
        </w:rPr>
        <w:t>it is appropriate to do so in the circumstances.</w:t>
      </w:r>
    </w:p>
    <w:p w:rsidR="00E70407" w:rsidRPr="00E70407" w:rsidRDefault="00474D54" w:rsidP="00474D54">
      <w:pPr>
        <w:ind w:left="709" w:hanging="709"/>
        <w:rPr>
          <w:rFonts w:ascii="Times New Roman" w:eastAsia="Times New Roman" w:hAnsi="Times New Roman"/>
          <w:sz w:val="17"/>
          <w:szCs w:val="17"/>
        </w:rPr>
      </w:pPr>
      <w:r>
        <w:rPr>
          <w:rFonts w:ascii="Times New Roman" w:eastAsia="Times New Roman" w:hAnsi="Times New Roman"/>
          <w:sz w:val="17"/>
          <w:szCs w:val="17"/>
        </w:rPr>
        <w:t>9.11.2</w:t>
      </w:r>
      <w:r>
        <w:rPr>
          <w:rFonts w:ascii="Times New Roman" w:eastAsia="Times New Roman" w:hAnsi="Times New Roman"/>
          <w:sz w:val="17"/>
          <w:szCs w:val="17"/>
        </w:rPr>
        <w:tab/>
      </w:r>
      <w:r w:rsidR="00E70407" w:rsidRPr="00E70407">
        <w:rPr>
          <w:rFonts w:ascii="Times New Roman" w:eastAsia="Times New Roman" w:hAnsi="Times New Roman"/>
          <w:sz w:val="17"/>
          <w:szCs w:val="17"/>
        </w:rPr>
        <w:t>If a request to waive the transfer fee is not made at the same time as the application to substitute the employer, the proposed employer may apply to the Commission for a waiver of the transfer fee within 7 days of the application to substitute the employer.</w:t>
      </w:r>
    </w:p>
    <w:p w:rsidR="00E70407" w:rsidRPr="00E70407" w:rsidRDefault="00474D54" w:rsidP="00474D54">
      <w:pPr>
        <w:ind w:left="709" w:hanging="709"/>
        <w:rPr>
          <w:rFonts w:ascii="Times New Roman" w:eastAsia="Times New Roman" w:hAnsi="Times New Roman"/>
          <w:sz w:val="17"/>
          <w:szCs w:val="17"/>
        </w:rPr>
      </w:pPr>
      <w:bookmarkStart w:id="123" w:name="_GoBack"/>
      <w:bookmarkEnd w:id="123"/>
      <w:r>
        <w:rPr>
          <w:rFonts w:ascii="Times New Roman" w:eastAsia="Times New Roman" w:hAnsi="Times New Roman"/>
          <w:sz w:val="17"/>
          <w:szCs w:val="17"/>
        </w:rPr>
        <w:t>9.11.3</w:t>
      </w:r>
      <w:r>
        <w:rPr>
          <w:rFonts w:ascii="Times New Roman" w:eastAsia="Times New Roman" w:hAnsi="Times New Roman"/>
          <w:sz w:val="17"/>
          <w:szCs w:val="17"/>
        </w:rPr>
        <w:tab/>
      </w:r>
      <w:r w:rsidR="00E70407" w:rsidRPr="00E70407">
        <w:rPr>
          <w:rFonts w:ascii="Times New Roman" w:eastAsia="Times New Roman" w:hAnsi="Times New Roman"/>
          <w:sz w:val="17"/>
          <w:szCs w:val="17"/>
        </w:rPr>
        <w:t>Where a request to waive the transfer fee is made, the Commission may make enquiries of the existing and/or proposed employer to determine whether, in the circumstances, it is appropriate to grant a waiver.</w:t>
      </w:r>
    </w:p>
    <w:p w:rsidR="00E70407" w:rsidRPr="00E70407" w:rsidRDefault="00E70407" w:rsidP="00E70407">
      <w:pPr>
        <w:numPr>
          <w:ilvl w:val="1"/>
          <w:numId w:val="372"/>
        </w:numPr>
        <w:ind w:left="350" w:hanging="364"/>
        <w:rPr>
          <w:rFonts w:ascii="Times New Roman" w:eastAsia="Times New Roman" w:hAnsi="Times New Roman"/>
          <w:sz w:val="17"/>
          <w:szCs w:val="17"/>
        </w:rPr>
      </w:pPr>
      <w:r w:rsidRPr="00E70407">
        <w:rPr>
          <w:rFonts w:ascii="Times New Roman" w:eastAsia="Times New Roman" w:hAnsi="Times New Roman"/>
          <w:b/>
          <w:sz w:val="17"/>
          <w:szCs w:val="17"/>
        </w:rPr>
        <w:t>Review</w:t>
      </w:r>
      <w:r w:rsidRPr="00E70407">
        <w:rPr>
          <w:rFonts w:ascii="Times New Roman" w:eastAsia="Times New Roman" w:hAnsi="Times New Roman"/>
          <w:b/>
          <w:bCs/>
          <w:sz w:val="17"/>
          <w:szCs w:val="17"/>
          <w:lang w:val="en-GB"/>
        </w:rPr>
        <w:t xml:space="preserve"> of decisions by the South Australian Civil and Administrative Tribunal (</w:t>
      </w:r>
      <w:r w:rsidRPr="00E70407">
        <w:rPr>
          <w:rFonts w:ascii="Times New Roman" w:eastAsia="Times New Roman" w:hAnsi="Times New Roman"/>
          <w:b/>
          <w:bCs/>
          <w:i/>
          <w:iCs/>
          <w:sz w:val="17"/>
          <w:szCs w:val="17"/>
          <w:lang w:val="en-GB"/>
        </w:rPr>
        <w:t>SAS Act</w:t>
      </w:r>
      <w:r w:rsidRPr="00E70407">
        <w:rPr>
          <w:rFonts w:ascii="Times New Roman" w:eastAsia="Times New Roman" w:hAnsi="Times New Roman"/>
          <w:b/>
          <w:bCs/>
          <w:sz w:val="17"/>
          <w:szCs w:val="17"/>
          <w:lang w:val="en-GB"/>
        </w:rPr>
        <w:t>, S70F, Regulation 20</w:t>
      </w:r>
      <w:r w:rsidRPr="00E70407">
        <w:rPr>
          <w:rFonts w:ascii="Times New Roman" w:eastAsia="Times New Roman" w:hAnsi="Times New Roman"/>
          <w:sz w:val="17"/>
          <w:szCs w:val="17"/>
          <w:lang w:val="en-GB"/>
        </w:rPr>
        <w:t>)</w:t>
      </w:r>
    </w:p>
    <w:p w:rsidR="00E70407" w:rsidRPr="00E70407" w:rsidRDefault="00E70407" w:rsidP="00E70407">
      <w:pPr>
        <w:numPr>
          <w:ilvl w:val="2"/>
          <w:numId w:val="377"/>
        </w:numPr>
        <w:rPr>
          <w:rFonts w:ascii="Times New Roman" w:eastAsia="Times New Roman" w:hAnsi="Times New Roman"/>
          <w:sz w:val="17"/>
          <w:szCs w:val="17"/>
        </w:rPr>
      </w:pPr>
      <w:r w:rsidRPr="00E70407">
        <w:rPr>
          <w:rFonts w:ascii="Times New Roman" w:eastAsia="Times New Roman" w:hAnsi="Times New Roman"/>
          <w:sz w:val="17"/>
          <w:szCs w:val="17"/>
          <w:lang w:val="en-GB"/>
        </w:rPr>
        <w:t>The South Australian Civil and Administrative Tribunal (SACAT) has jurisdiction to review a decision of the Commission to approve or refuse a substitution of an employer under Section 54N of the</w:t>
      </w:r>
      <w:r w:rsidRPr="00E70407">
        <w:rPr>
          <w:rFonts w:ascii="Times New Roman" w:eastAsia="Times New Roman" w:hAnsi="Times New Roman"/>
          <w:i/>
          <w:iCs/>
          <w:sz w:val="17"/>
          <w:szCs w:val="17"/>
          <w:lang w:val="en-GB"/>
        </w:rPr>
        <w:t xml:space="preserve"> SAS Act</w:t>
      </w:r>
      <w:r w:rsidRPr="00E70407">
        <w:rPr>
          <w:rFonts w:ascii="Times New Roman" w:eastAsia="Times New Roman" w:hAnsi="Times New Roman"/>
          <w:sz w:val="17"/>
          <w:szCs w:val="17"/>
          <w:lang w:val="en-GB"/>
        </w:rPr>
        <w:t>.</w:t>
      </w:r>
    </w:p>
    <w:p w:rsidR="00E70407" w:rsidRPr="00E70407" w:rsidRDefault="00E70407" w:rsidP="00E70407">
      <w:pPr>
        <w:numPr>
          <w:ilvl w:val="2"/>
          <w:numId w:val="377"/>
        </w:numPr>
        <w:rPr>
          <w:rFonts w:ascii="Times New Roman" w:eastAsia="Times New Roman" w:hAnsi="Times New Roman"/>
          <w:sz w:val="17"/>
          <w:szCs w:val="17"/>
        </w:rPr>
      </w:pPr>
      <w:r w:rsidRPr="00E70407">
        <w:rPr>
          <w:rFonts w:ascii="Times New Roman" w:eastAsia="Times New Roman" w:hAnsi="Times New Roman"/>
          <w:sz w:val="17"/>
          <w:szCs w:val="17"/>
          <w:lang w:val="en-GB"/>
        </w:rPr>
        <w:t>An applicant must apply to the SACAT within 28 days of receiving notice of the relevant decision.</w:t>
      </w:r>
    </w:p>
    <w:p w:rsidR="00E70407" w:rsidRPr="00E70407" w:rsidRDefault="00E70407" w:rsidP="00E70407">
      <w:pPr>
        <w:numPr>
          <w:ilvl w:val="2"/>
          <w:numId w:val="377"/>
        </w:numPr>
        <w:rPr>
          <w:rFonts w:ascii="Times New Roman" w:eastAsia="Times New Roman" w:hAnsi="Times New Roman"/>
          <w:sz w:val="17"/>
          <w:szCs w:val="17"/>
        </w:rPr>
      </w:pPr>
      <w:r w:rsidRPr="00E70407">
        <w:rPr>
          <w:rFonts w:ascii="Times New Roman" w:eastAsia="Times New Roman" w:hAnsi="Times New Roman"/>
          <w:sz w:val="17"/>
          <w:szCs w:val="17"/>
          <w:lang w:val="en-GB"/>
        </w:rPr>
        <w:t>The SACAT may allow an extension of time to this application period if it is satisfied that:</w:t>
      </w:r>
    </w:p>
    <w:p w:rsidR="00E70407" w:rsidRPr="00E70407" w:rsidRDefault="00E70407" w:rsidP="00E70407">
      <w:pPr>
        <w:numPr>
          <w:ilvl w:val="0"/>
          <w:numId w:val="305"/>
        </w:numPr>
        <w:ind w:left="1064"/>
        <w:rPr>
          <w:rFonts w:ascii="Times New Roman" w:eastAsia="Times New Roman" w:hAnsi="Times New Roman"/>
          <w:sz w:val="17"/>
          <w:szCs w:val="17"/>
        </w:rPr>
      </w:pPr>
      <w:r w:rsidRPr="00E70407">
        <w:rPr>
          <w:rFonts w:ascii="Times New Roman" w:eastAsia="Times New Roman" w:hAnsi="Times New Roman"/>
          <w:sz w:val="17"/>
          <w:szCs w:val="17"/>
          <w:lang w:val="en-GB"/>
        </w:rPr>
        <w:t>special circumstances exist; and</w:t>
      </w:r>
    </w:p>
    <w:p w:rsidR="00E70407" w:rsidRPr="00E70407" w:rsidRDefault="00E70407" w:rsidP="00E70407">
      <w:pPr>
        <w:numPr>
          <w:ilvl w:val="0"/>
          <w:numId w:val="305"/>
        </w:numPr>
        <w:ind w:left="1064"/>
        <w:rPr>
          <w:rFonts w:ascii="Times New Roman" w:eastAsia="Times New Roman" w:hAnsi="Times New Roman"/>
          <w:sz w:val="17"/>
          <w:szCs w:val="17"/>
        </w:rPr>
      </w:pPr>
      <w:r w:rsidRPr="00E70407">
        <w:rPr>
          <w:rFonts w:ascii="Times New Roman" w:eastAsia="Times New Roman" w:hAnsi="Times New Roman"/>
          <w:sz w:val="17"/>
          <w:szCs w:val="17"/>
          <w:lang w:val="en-GB"/>
        </w:rPr>
        <w:t>another party will not be unreasonably disadvantaged because of the delay in commencing proceedings.</w:t>
      </w:r>
    </w:p>
    <w:p w:rsidR="00E70407" w:rsidRPr="00E70407" w:rsidRDefault="00E70407" w:rsidP="00E70407">
      <w:pPr>
        <w:numPr>
          <w:ilvl w:val="2"/>
          <w:numId w:val="377"/>
        </w:numPr>
        <w:rPr>
          <w:rFonts w:ascii="Times New Roman" w:eastAsia="Times New Roman" w:hAnsi="Times New Roman"/>
          <w:sz w:val="17"/>
          <w:szCs w:val="17"/>
        </w:rPr>
      </w:pPr>
      <w:r w:rsidRPr="00E70407">
        <w:rPr>
          <w:rFonts w:ascii="Times New Roman" w:eastAsia="Times New Roman" w:hAnsi="Times New Roman"/>
          <w:sz w:val="17"/>
          <w:szCs w:val="17"/>
          <w:lang w:val="en-GB"/>
        </w:rPr>
        <w:t xml:space="preserve">An application to the SACAT to review a decision must be made using the online form available at </w:t>
      </w:r>
      <w:hyperlink r:id="rId109" w:history="1">
        <w:r w:rsidRPr="00E70407">
          <w:rPr>
            <w:rFonts w:ascii="Times New Roman" w:eastAsia="Times New Roman" w:hAnsi="Times New Roman"/>
            <w:color w:val="0000FF"/>
            <w:sz w:val="17"/>
            <w:szCs w:val="17"/>
            <w:u w:val="single"/>
          </w:rPr>
          <w:t>www.sacat.sa.gov.au/application-form</w:t>
        </w:r>
      </w:hyperlink>
    </w:p>
    <w:p w:rsidR="00E70407" w:rsidRPr="00E70407" w:rsidRDefault="00E70407" w:rsidP="00E70407">
      <w:pPr>
        <w:numPr>
          <w:ilvl w:val="2"/>
          <w:numId w:val="377"/>
        </w:numPr>
        <w:rPr>
          <w:rFonts w:ascii="Times New Roman" w:eastAsia="Times New Roman" w:hAnsi="Times New Roman"/>
          <w:sz w:val="17"/>
          <w:szCs w:val="17"/>
        </w:rPr>
      </w:pPr>
      <w:r w:rsidRPr="00E70407">
        <w:rPr>
          <w:rFonts w:ascii="Times New Roman" w:eastAsia="Times New Roman" w:hAnsi="Times New Roman"/>
          <w:sz w:val="17"/>
          <w:szCs w:val="17"/>
          <w:lang w:val="en-GB"/>
        </w:rPr>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rsidR="00E70407" w:rsidRPr="00E70407" w:rsidRDefault="00E70407" w:rsidP="00E70407">
      <w:pPr>
        <w:pBdr>
          <w:top w:val="single" w:sz="4" w:space="1" w:color="auto"/>
        </w:pBdr>
        <w:spacing w:before="100" w:line="14" w:lineRule="exact"/>
        <w:ind w:left="1080" w:right="1080"/>
        <w:jc w:val="center"/>
        <w:rPr>
          <w:rFonts w:ascii="Times New Roman" w:eastAsia="Times New Roman" w:hAnsi="Times New Roman"/>
          <w:sz w:val="17"/>
          <w:szCs w:val="17"/>
        </w:rPr>
      </w:pPr>
    </w:p>
    <w:p w:rsidR="00E70407" w:rsidRPr="00E70407" w:rsidRDefault="00E70407" w:rsidP="00E70407">
      <w:pPr>
        <w:jc w:val="center"/>
        <w:rPr>
          <w:rFonts w:ascii="Times New Roman" w:hAnsi="Times New Roman"/>
          <w:smallCaps/>
          <w:sz w:val="17"/>
          <w:szCs w:val="17"/>
        </w:rPr>
      </w:pPr>
      <w:bookmarkStart w:id="124" w:name="_Toc71813720"/>
      <w:bookmarkStart w:id="125" w:name="_Toc75255252"/>
      <w:r w:rsidRPr="00E70407">
        <w:rPr>
          <w:rFonts w:ascii="Times New Roman" w:hAnsi="Times New Roman"/>
          <w:smallCaps/>
          <w:sz w:val="17"/>
          <w:szCs w:val="17"/>
        </w:rPr>
        <w:t>Standard 10</w:t>
      </w:r>
      <w:r w:rsidRPr="00E70407">
        <w:rPr>
          <w:rFonts w:ascii="Times New Roman" w:hAnsi="Times New Roman"/>
          <w:smallCaps/>
          <w:sz w:val="17"/>
          <w:szCs w:val="17"/>
        </w:rPr>
        <w:tab/>
      </w:r>
      <w:r w:rsidRPr="00E70407">
        <w:rPr>
          <w:rFonts w:ascii="Times New Roman" w:hAnsi="Times New Roman"/>
          <w:smallCaps/>
          <w:sz w:val="17"/>
          <w:szCs w:val="17"/>
        </w:rPr>
        <w:tab/>
        <w:t>Training Contract Suspension</w:t>
      </w:r>
      <w:bookmarkEnd w:id="124"/>
      <w:bookmarkEnd w:id="125"/>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This Standard relates to Training Contract suspension in accordance with the </w:t>
      </w:r>
      <w:r w:rsidRPr="00E70407">
        <w:rPr>
          <w:rFonts w:ascii="Times New Roman" w:eastAsia="Times New Roman" w:hAnsi="Times New Roman"/>
          <w:i/>
          <w:iCs/>
          <w:sz w:val="17"/>
          <w:szCs w:val="17"/>
        </w:rPr>
        <w:t>South Australian Skills Act 2008</w:t>
      </w:r>
      <w:r w:rsidRPr="00E70407">
        <w:rPr>
          <w:rFonts w:ascii="Times New Roman" w:eastAsia="Times New Roman" w:hAnsi="Times New Roman"/>
          <w:sz w:val="17"/>
          <w:szCs w:val="17"/>
        </w:rPr>
        <w:t xml:space="preserve"> (the</w:t>
      </w:r>
      <w:r w:rsidRPr="00E70407">
        <w:rPr>
          <w:rFonts w:ascii="Times New Roman" w:eastAsia="Times New Roman" w:hAnsi="Times New Roman"/>
          <w:i/>
          <w:iCs/>
          <w:sz w:val="17"/>
          <w:szCs w:val="17"/>
        </w:rPr>
        <w:t xml:space="preserve"> SAS Act</w:t>
      </w:r>
      <w:r w:rsidRPr="00E70407">
        <w:rPr>
          <w:rFonts w:ascii="Times New Roman" w:eastAsia="Times New Roman" w:hAnsi="Times New Roman"/>
          <w:sz w:val="17"/>
          <w:szCs w:val="17"/>
        </w:rPr>
        <w:t>). The South Australian Skills Commission (the Commission) may, on an application or on its own motion, suspend a Training Contract.</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Governance arrangements</w:t>
      </w:r>
      <w:r w:rsidRPr="00E70407">
        <w:rPr>
          <w:rFonts w:ascii="Times New Roman" w:eastAsia="Times New Roman" w:hAnsi="Times New Roman"/>
          <w:sz w:val="17"/>
          <w:szCs w:val="17"/>
        </w:rPr>
        <w:t> </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lang w:val="en-GB"/>
        </w:rPr>
        <w:t>Under the</w:t>
      </w:r>
      <w:r w:rsidRPr="00E70407">
        <w:rPr>
          <w:rFonts w:ascii="Times New Roman" w:eastAsia="Times New Roman" w:hAnsi="Times New Roman"/>
          <w:i/>
          <w:iCs/>
          <w:sz w:val="17"/>
          <w:szCs w:val="17"/>
          <w:lang w:val="en-GB"/>
        </w:rPr>
        <w:t xml:space="preserve"> SAS Act</w:t>
      </w:r>
      <w:r w:rsidRPr="00E70407">
        <w:rPr>
          <w:rFonts w:ascii="Times New Roman" w:eastAsia="Times New Roman" w:hAnsi="Times New Roman"/>
          <w:sz w:val="17"/>
          <w:szCs w:val="17"/>
          <w:lang w:val="en-GB"/>
        </w:rPr>
        <w:t>, the Commission (or its delegate) is responsible for the regulation of the apprenticeship and traineeship system. To this end, its powers include the authority to:</w:t>
      </w:r>
    </w:p>
    <w:p w:rsidR="00E70407" w:rsidRPr="00E70407" w:rsidRDefault="00E70407" w:rsidP="00E70407">
      <w:pPr>
        <w:numPr>
          <w:ilvl w:val="0"/>
          <w:numId w:val="319"/>
        </w:numPr>
        <w:tabs>
          <w:tab w:val="num" w:pos="567"/>
        </w:tabs>
        <w:spacing w:after="0"/>
        <w:ind w:hanging="436"/>
        <w:rPr>
          <w:rFonts w:ascii="Times New Roman" w:eastAsia="Times New Roman" w:hAnsi="Times New Roman"/>
          <w:sz w:val="17"/>
          <w:szCs w:val="17"/>
        </w:rPr>
      </w:pPr>
      <w:r w:rsidRPr="00E70407">
        <w:rPr>
          <w:rFonts w:ascii="Times New Roman" w:eastAsia="Times New Roman" w:hAnsi="Times New Roman"/>
          <w:sz w:val="17"/>
          <w:szCs w:val="17"/>
          <w:lang w:val="en-GB"/>
        </w:rPr>
        <w:t>assess and approve (or decline) applications for Training Contract suspension</w:t>
      </w:r>
    </w:p>
    <w:p w:rsidR="00E70407" w:rsidRPr="00E70407" w:rsidRDefault="00E70407" w:rsidP="00E70407">
      <w:pPr>
        <w:numPr>
          <w:ilvl w:val="0"/>
          <w:numId w:val="319"/>
        </w:numPr>
        <w:tabs>
          <w:tab w:val="num" w:pos="567"/>
        </w:tabs>
        <w:ind w:hanging="436"/>
        <w:rPr>
          <w:rFonts w:ascii="Times New Roman" w:eastAsia="Times New Roman" w:hAnsi="Times New Roman"/>
          <w:sz w:val="17"/>
          <w:szCs w:val="17"/>
        </w:rPr>
      </w:pPr>
      <w:r w:rsidRPr="00E70407">
        <w:rPr>
          <w:rFonts w:ascii="Times New Roman" w:eastAsia="Times New Roman" w:hAnsi="Times New Roman"/>
          <w:sz w:val="17"/>
          <w:szCs w:val="17"/>
          <w:lang w:val="en-GB"/>
        </w:rPr>
        <w:t>suspend a Training Contract, on its own motion.</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Compliance with the Standard</w:t>
      </w:r>
    </w:p>
    <w:p w:rsidR="00E70407" w:rsidRPr="00E70407" w:rsidRDefault="00E70407" w:rsidP="00E70407">
      <w:pPr>
        <w:numPr>
          <w:ilvl w:val="1"/>
          <w:numId w:val="378"/>
        </w:numPr>
        <w:rPr>
          <w:rFonts w:ascii="Times New Roman" w:eastAsia="Times New Roman" w:hAnsi="Times New Roman"/>
          <w:b/>
          <w:bCs/>
          <w:sz w:val="17"/>
          <w:szCs w:val="17"/>
        </w:rPr>
      </w:pPr>
      <w:r w:rsidRPr="00E70407">
        <w:rPr>
          <w:rFonts w:ascii="Times New Roman" w:eastAsia="Times New Roman" w:hAnsi="Times New Roman"/>
          <w:b/>
          <w:bCs/>
          <w:sz w:val="17"/>
          <w:szCs w:val="17"/>
        </w:rPr>
        <w:t>Training contract suspension (</w:t>
      </w:r>
      <w:r w:rsidRPr="00E70407">
        <w:rPr>
          <w:rFonts w:ascii="Times New Roman" w:eastAsia="Times New Roman" w:hAnsi="Times New Roman"/>
          <w:b/>
          <w:i/>
          <w:sz w:val="17"/>
          <w:szCs w:val="17"/>
        </w:rPr>
        <w:t>SAS Act</w:t>
      </w:r>
      <w:r w:rsidRPr="00E70407">
        <w:rPr>
          <w:rFonts w:ascii="Times New Roman" w:eastAsia="Times New Roman" w:hAnsi="Times New Roman"/>
          <w:b/>
          <w:bCs/>
          <w:sz w:val="17"/>
          <w:szCs w:val="17"/>
        </w:rPr>
        <w:t>, S51)</w:t>
      </w:r>
    </w:p>
    <w:p w:rsidR="00E70407" w:rsidRPr="00E70407" w:rsidRDefault="00E70407" w:rsidP="00E70407">
      <w:pPr>
        <w:numPr>
          <w:ilvl w:val="2"/>
          <w:numId w:val="378"/>
        </w:numPr>
        <w:rPr>
          <w:rFonts w:ascii="Times New Roman" w:eastAsia="Times New Roman" w:hAnsi="Times New Roman"/>
          <w:sz w:val="17"/>
          <w:szCs w:val="17"/>
        </w:rPr>
      </w:pPr>
      <w:r w:rsidRPr="00E70407">
        <w:rPr>
          <w:rFonts w:ascii="Times New Roman" w:eastAsia="Times New Roman" w:hAnsi="Times New Roman"/>
          <w:sz w:val="17"/>
          <w:szCs w:val="17"/>
        </w:rPr>
        <w:t xml:space="preserve">The Commission may, on an application under Section 51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or on its own motion, suspend a Training Contract.</w:t>
      </w:r>
    </w:p>
    <w:p w:rsidR="00E70407" w:rsidRPr="00E70407" w:rsidRDefault="00E70407" w:rsidP="00E70407">
      <w:pPr>
        <w:numPr>
          <w:ilvl w:val="2"/>
          <w:numId w:val="378"/>
        </w:numPr>
        <w:rPr>
          <w:rFonts w:ascii="Times New Roman" w:eastAsia="Times New Roman" w:hAnsi="Times New Roman"/>
          <w:sz w:val="17"/>
          <w:szCs w:val="17"/>
        </w:rPr>
      </w:pPr>
      <w:r w:rsidRPr="00E70407">
        <w:rPr>
          <w:rFonts w:ascii="Times New Roman" w:eastAsia="Times New Roman" w:hAnsi="Times New Roman"/>
          <w:sz w:val="17"/>
          <w:szCs w:val="17"/>
        </w:rPr>
        <w:t>An application for Training Contract suspension:</w:t>
      </w:r>
    </w:p>
    <w:p w:rsidR="00E70407" w:rsidRPr="00E70407" w:rsidRDefault="00E70407" w:rsidP="00E70407">
      <w:pPr>
        <w:numPr>
          <w:ilvl w:val="0"/>
          <w:numId w:val="320"/>
        </w:numPr>
        <w:ind w:left="1106"/>
        <w:rPr>
          <w:rFonts w:ascii="Times New Roman" w:eastAsia="Times New Roman" w:hAnsi="Times New Roman"/>
          <w:sz w:val="17"/>
          <w:szCs w:val="17"/>
        </w:rPr>
      </w:pPr>
      <w:r w:rsidRPr="00E70407">
        <w:rPr>
          <w:rFonts w:ascii="Times New Roman" w:eastAsia="Times New Roman" w:hAnsi="Times New Roman"/>
          <w:sz w:val="17"/>
          <w:szCs w:val="17"/>
        </w:rPr>
        <w:t xml:space="preserve">may be made by a party to a Training Contract </w:t>
      </w:r>
    </w:p>
    <w:p w:rsidR="00E70407" w:rsidRPr="00E70407" w:rsidRDefault="00E70407" w:rsidP="00E70407">
      <w:pPr>
        <w:numPr>
          <w:ilvl w:val="0"/>
          <w:numId w:val="320"/>
        </w:numPr>
        <w:ind w:left="1106"/>
        <w:rPr>
          <w:rFonts w:ascii="Times New Roman" w:eastAsia="Times New Roman" w:hAnsi="Times New Roman"/>
          <w:sz w:val="17"/>
          <w:szCs w:val="17"/>
        </w:rPr>
      </w:pPr>
      <w:r w:rsidRPr="00E70407">
        <w:rPr>
          <w:rFonts w:ascii="Times New Roman" w:eastAsia="Times New Roman" w:hAnsi="Times New Roman"/>
          <w:sz w:val="17"/>
          <w:szCs w:val="17"/>
        </w:rPr>
        <w:t xml:space="preserve">must be made in the prescribed form, available at </w:t>
      </w:r>
      <w:hyperlink r:id="rId110" w:history="1">
        <w:r w:rsidRPr="00E70407">
          <w:rPr>
            <w:rFonts w:ascii="Times New Roman" w:eastAsia="Times New Roman" w:hAnsi="Times New Roman"/>
            <w:color w:val="0000FF"/>
            <w:sz w:val="17"/>
            <w:szCs w:val="17"/>
            <w:u w:val="single"/>
            <w:lang w:val="en-GB"/>
          </w:rPr>
          <w:t>www.skills.sa.gov.au/business/forms</w:t>
        </w:r>
      </w:hyperlink>
      <w:r w:rsidRPr="00E70407">
        <w:rPr>
          <w:rFonts w:ascii="Times New Roman" w:eastAsia="Times New Roman" w:hAnsi="Times New Roman"/>
          <w:sz w:val="17"/>
          <w:szCs w:val="17"/>
          <w:lang w:val="en-GB"/>
        </w:rPr>
        <w:t>.</w:t>
      </w:r>
    </w:p>
    <w:p w:rsidR="00E70407" w:rsidRPr="00E70407" w:rsidRDefault="00E70407" w:rsidP="00E70407">
      <w:pPr>
        <w:numPr>
          <w:ilvl w:val="0"/>
          <w:numId w:val="320"/>
        </w:numPr>
        <w:ind w:left="1106"/>
        <w:rPr>
          <w:rFonts w:ascii="Times New Roman" w:eastAsia="Times New Roman" w:hAnsi="Times New Roman"/>
          <w:sz w:val="17"/>
          <w:szCs w:val="17"/>
        </w:rPr>
      </w:pPr>
      <w:r w:rsidRPr="00E70407">
        <w:rPr>
          <w:rFonts w:ascii="Times New Roman" w:eastAsia="Times New Roman" w:hAnsi="Times New Roman"/>
          <w:sz w:val="17"/>
          <w:szCs w:val="17"/>
        </w:rPr>
        <w:t>must be accompanied by such information or documents as required by the Commission to consider the application.</w:t>
      </w:r>
    </w:p>
    <w:p w:rsidR="00E70407" w:rsidRPr="00E70407" w:rsidRDefault="00E70407" w:rsidP="00E70407">
      <w:pPr>
        <w:numPr>
          <w:ilvl w:val="2"/>
          <w:numId w:val="378"/>
        </w:numPr>
        <w:rPr>
          <w:rFonts w:ascii="Times New Roman" w:eastAsia="Times New Roman" w:hAnsi="Times New Roman"/>
          <w:sz w:val="17"/>
          <w:szCs w:val="17"/>
        </w:rPr>
      </w:pPr>
      <w:r w:rsidRPr="00E70407">
        <w:rPr>
          <w:rFonts w:ascii="Times New Roman" w:eastAsia="Times New Roman" w:hAnsi="Times New Roman"/>
          <w:sz w:val="17"/>
          <w:szCs w:val="17"/>
        </w:rPr>
        <w:t>A suspension:</w:t>
      </w:r>
    </w:p>
    <w:p w:rsidR="00E70407" w:rsidRPr="00E70407" w:rsidRDefault="00E70407" w:rsidP="00E70407">
      <w:pPr>
        <w:numPr>
          <w:ilvl w:val="0"/>
          <w:numId w:val="321"/>
        </w:numPr>
        <w:ind w:left="1092"/>
        <w:rPr>
          <w:rFonts w:ascii="Times New Roman" w:eastAsia="Times New Roman" w:hAnsi="Times New Roman"/>
          <w:sz w:val="17"/>
          <w:szCs w:val="17"/>
        </w:rPr>
      </w:pPr>
      <w:r w:rsidRPr="00E70407">
        <w:rPr>
          <w:rFonts w:ascii="Times New Roman" w:eastAsia="Times New Roman" w:hAnsi="Times New Roman"/>
          <w:sz w:val="17"/>
          <w:szCs w:val="17"/>
        </w:rPr>
        <w:t>must be by notice in writing</w:t>
      </w:r>
    </w:p>
    <w:p w:rsidR="00E70407" w:rsidRPr="00E70407" w:rsidRDefault="00E70407" w:rsidP="00E70407">
      <w:pPr>
        <w:numPr>
          <w:ilvl w:val="0"/>
          <w:numId w:val="321"/>
        </w:numPr>
        <w:ind w:left="1092"/>
        <w:rPr>
          <w:rFonts w:ascii="Times New Roman" w:eastAsia="Times New Roman" w:hAnsi="Times New Roman"/>
          <w:sz w:val="17"/>
          <w:szCs w:val="17"/>
        </w:rPr>
      </w:pPr>
      <w:r w:rsidRPr="00E70407">
        <w:rPr>
          <w:rFonts w:ascii="Times New Roman" w:eastAsia="Times New Roman" w:hAnsi="Times New Roman"/>
          <w:sz w:val="17"/>
          <w:szCs w:val="17"/>
        </w:rPr>
        <w:t>may be conditional or unconditional.</w:t>
      </w:r>
    </w:p>
    <w:p w:rsidR="00E70407" w:rsidRPr="00E70407" w:rsidRDefault="00E70407" w:rsidP="00E70407">
      <w:pPr>
        <w:numPr>
          <w:ilvl w:val="2"/>
          <w:numId w:val="378"/>
        </w:numPr>
        <w:rPr>
          <w:rFonts w:ascii="Times New Roman" w:eastAsia="Times New Roman" w:hAnsi="Times New Roman"/>
          <w:sz w:val="17"/>
          <w:szCs w:val="17"/>
        </w:rPr>
      </w:pPr>
      <w:r w:rsidRPr="00E70407">
        <w:rPr>
          <w:rFonts w:ascii="Times New Roman" w:eastAsia="Times New Roman" w:hAnsi="Times New Roman"/>
          <w:sz w:val="17"/>
          <w:szCs w:val="17"/>
        </w:rPr>
        <w:t>Additionally, the Commission may, by notice in writing, vary or revoke a condition of a suspension.</w:t>
      </w:r>
    </w:p>
    <w:p w:rsidR="00E70407" w:rsidRPr="00E70407" w:rsidRDefault="00E70407" w:rsidP="00E70407">
      <w:pPr>
        <w:numPr>
          <w:ilvl w:val="2"/>
          <w:numId w:val="378"/>
        </w:numPr>
        <w:rPr>
          <w:rFonts w:ascii="Times New Roman" w:eastAsia="Times New Roman" w:hAnsi="Times New Roman"/>
          <w:sz w:val="17"/>
          <w:szCs w:val="17"/>
        </w:rPr>
      </w:pPr>
      <w:r w:rsidRPr="00E70407">
        <w:rPr>
          <w:rFonts w:ascii="Times New Roman" w:eastAsia="Times New Roman" w:hAnsi="Times New Roman"/>
          <w:sz w:val="17"/>
          <w:szCs w:val="17"/>
        </w:rPr>
        <w:t>A suspension commences on the day specified by the Commission and remains in force for the period specified in the notice, or until further notice by the Commission (as the case requires).</w:t>
      </w:r>
    </w:p>
    <w:p w:rsidR="007712EF" w:rsidRDefault="007712EF">
      <w:pPr>
        <w:spacing w:after="0" w:line="240" w:lineRule="auto"/>
        <w:jc w:val="left"/>
        <w:rPr>
          <w:rFonts w:ascii="Times New Roman" w:eastAsia="Times New Roman" w:hAnsi="Times New Roman"/>
          <w:b/>
          <w:bCs/>
          <w:sz w:val="17"/>
          <w:szCs w:val="17"/>
        </w:rPr>
      </w:pPr>
      <w:r>
        <w:rPr>
          <w:rFonts w:ascii="Times New Roman" w:eastAsia="Times New Roman" w:hAnsi="Times New Roman"/>
          <w:b/>
          <w:bCs/>
          <w:sz w:val="17"/>
          <w:szCs w:val="17"/>
        </w:rPr>
        <w:br w:type="page"/>
      </w:r>
    </w:p>
    <w:p w:rsidR="00E70407" w:rsidRPr="00E70407" w:rsidRDefault="00E70407" w:rsidP="00E70407">
      <w:pPr>
        <w:numPr>
          <w:ilvl w:val="1"/>
          <w:numId w:val="378"/>
        </w:numPr>
        <w:rPr>
          <w:rFonts w:ascii="Times New Roman" w:eastAsia="Times New Roman" w:hAnsi="Times New Roman"/>
          <w:b/>
          <w:bCs/>
          <w:sz w:val="17"/>
          <w:szCs w:val="17"/>
        </w:rPr>
      </w:pPr>
      <w:r w:rsidRPr="00E70407">
        <w:rPr>
          <w:rFonts w:ascii="Times New Roman" w:eastAsia="Times New Roman" w:hAnsi="Times New Roman"/>
          <w:b/>
          <w:bCs/>
          <w:sz w:val="17"/>
          <w:szCs w:val="17"/>
        </w:rPr>
        <w:lastRenderedPageBreak/>
        <w:t>Training contract suspension criteria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xml:space="preserve"> S51, S70G)</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Parties may make an application for Training Contract suspension for consideration by the Commission. An application for Training Contract suspension that is not mutually agreed by the parties may require dispute resolution at the discretion of the Commission.</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A person must not exert undue influence or pressure on, or use unfair tactics against, another person in relation to any matter relating to or arising out of, a Training Contract, including suspension.</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The maximum penalty for breach of the above clause 10.2.2 in this Standard is $10,000.</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A suspension is for a period of time agreed between the parties to the Training Contract or determined by the Commission. This should not be for more than 30 days, although the Commission may apply its discretion to suspend for a longer period in appropriate circumstances.</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A suspension is based upon a commitment by the parties to resume the Training Contract after the period of suspension.</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During the period of suspension, the parties and the employer are required to keep in contact about resuming the Training Contract.</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The period of suspension is not recognised as part of the nominal term of the Training Contract. Upon resumption of the Training Contract, the nominal term of the Training Contract will be extended to cover the period of suspension.</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 xml:space="preserve">The Training Contract resumes at the end of the period of suspension. However, if the parties agree, and the Commission is advised in writing, the Training Contract can resume prior to the end date of the suspension. Above clause 10.1.5 indicates the Commission’s role to determine a period of suspension and notify the parties as the case requires. </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If a suspension commences during the probationary period of the Training Contract, the probationary period is to be extended by the amount of the probationary period lost through suspension of the Training Contract.</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Where the parties agree, the apprentice or trainee may continue with their off-job training during the period of suspension. Where the parties agree, time spent at off-job training will be credited towards the Training Contract and an adjustment made to the nominal term of the contract and suspension duration.  The apprentice or trainee should continue to be paid for the time they are engaged in their off-job training as per the award under the Training Contract.</w:t>
      </w:r>
    </w:p>
    <w:p w:rsidR="00E70407" w:rsidRPr="00E70407" w:rsidRDefault="00E70407" w:rsidP="00E70407">
      <w:pPr>
        <w:numPr>
          <w:ilvl w:val="1"/>
          <w:numId w:val="379"/>
        </w:numPr>
        <w:ind w:left="476"/>
        <w:rPr>
          <w:rFonts w:ascii="Times New Roman" w:eastAsia="Times New Roman" w:hAnsi="Times New Roman"/>
          <w:b/>
          <w:bCs/>
          <w:sz w:val="17"/>
          <w:szCs w:val="17"/>
        </w:rPr>
      </w:pPr>
      <w:r w:rsidRPr="00E70407">
        <w:rPr>
          <w:rFonts w:ascii="Times New Roman" w:eastAsia="Times New Roman" w:hAnsi="Times New Roman"/>
          <w:b/>
          <w:bCs/>
          <w:sz w:val="17"/>
          <w:szCs w:val="17"/>
        </w:rPr>
        <w:t>Training contract suspension for business-related reasons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xml:space="preserve"> S51)</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An application for Training Contract suspension may be made to the Commission for business related reasons such as re-structuring or re-location of the business.</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Suspension must be a last resort. Evidence must be provided to the Commission that the Training Contract suspension is required due to all other options having been exhausted.</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Other options that may first be considered before an application for Training Contract suspension are:</w:t>
      </w:r>
    </w:p>
    <w:p w:rsidR="00E70407" w:rsidRPr="00E70407" w:rsidRDefault="00E70407" w:rsidP="00E70407">
      <w:pPr>
        <w:numPr>
          <w:ilvl w:val="0"/>
          <w:numId w:val="322"/>
        </w:numPr>
        <w:ind w:left="1078"/>
        <w:rPr>
          <w:rFonts w:ascii="Times New Roman" w:eastAsia="Times New Roman" w:hAnsi="Times New Roman"/>
          <w:sz w:val="17"/>
          <w:szCs w:val="17"/>
        </w:rPr>
      </w:pPr>
      <w:r w:rsidRPr="00E70407">
        <w:rPr>
          <w:rFonts w:ascii="Times New Roman" w:eastAsia="Times New Roman" w:hAnsi="Times New Roman"/>
          <w:sz w:val="17"/>
          <w:szCs w:val="17"/>
        </w:rPr>
        <w:t>completing outstanding off-job training or bringing forward future off-job training</w:t>
      </w:r>
    </w:p>
    <w:p w:rsidR="00E70407" w:rsidRPr="00E70407" w:rsidRDefault="00E70407" w:rsidP="00E70407">
      <w:pPr>
        <w:numPr>
          <w:ilvl w:val="0"/>
          <w:numId w:val="322"/>
        </w:numPr>
        <w:ind w:left="1078"/>
        <w:rPr>
          <w:rFonts w:ascii="Times New Roman" w:eastAsia="Times New Roman" w:hAnsi="Times New Roman"/>
          <w:sz w:val="17"/>
          <w:szCs w:val="17"/>
        </w:rPr>
      </w:pPr>
      <w:r w:rsidRPr="00E70407">
        <w:rPr>
          <w:rFonts w:ascii="Times New Roman" w:eastAsia="Times New Roman" w:hAnsi="Times New Roman"/>
          <w:sz w:val="17"/>
          <w:szCs w:val="17"/>
        </w:rPr>
        <w:t>placing the apprentice or trainee with an alternative registered employer, host employer or group training organisation</w:t>
      </w:r>
    </w:p>
    <w:p w:rsidR="00E70407" w:rsidRPr="00E70407" w:rsidRDefault="00E70407" w:rsidP="00E70407">
      <w:pPr>
        <w:numPr>
          <w:ilvl w:val="0"/>
          <w:numId w:val="322"/>
        </w:numPr>
        <w:ind w:left="1078"/>
        <w:rPr>
          <w:rFonts w:ascii="Times New Roman" w:eastAsia="Times New Roman" w:hAnsi="Times New Roman"/>
          <w:sz w:val="17"/>
          <w:szCs w:val="17"/>
        </w:rPr>
      </w:pPr>
      <w:r w:rsidRPr="00E70407">
        <w:rPr>
          <w:rFonts w:ascii="Times New Roman" w:eastAsia="Times New Roman" w:hAnsi="Times New Roman"/>
          <w:sz w:val="17"/>
          <w:szCs w:val="17"/>
        </w:rPr>
        <w:t>taking of any accrued leave, for example, annual leave, rostered days off</w:t>
      </w:r>
    </w:p>
    <w:p w:rsidR="00E70407" w:rsidRPr="00E70407" w:rsidRDefault="00E70407" w:rsidP="00E70407">
      <w:pPr>
        <w:numPr>
          <w:ilvl w:val="0"/>
          <w:numId w:val="322"/>
        </w:numPr>
        <w:ind w:left="1078"/>
        <w:rPr>
          <w:rFonts w:ascii="Times New Roman" w:eastAsia="Times New Roman" w:hAnsi="Times New Roman"/>
          <w:sz w:val="17"/>
          <w:szCs w:val="17"/>
        </w:rPr>
      </w:pPr>
      <w:r w:rsidRPr="00E70407">
        <w:rPr>
          <w:rFonts w:ascii="Times New Roman" w:eastAsia="Times New Roman" w:hAnsi="Times New Roman"/>
          <w:sz w:val="17"/>
          <w:szCs w:val="17"/>
        </w:rPr>
        <w:t>rotating the apprentice or trainee with another apprentice or trainee who is due to attend off-job training or due to take leave, where both are employed by the same group training organisation or employer</w:t>
      </w:r>
    </w:p>
    <w:p w:rsidR="00E70407" w:rsidRPr="00E70407" w:rsidRDefault="00E70407" w:rsidP="00E70407">
      <w:pPr>
        <w:numPr>
          <w:ilvl w:val="0"/>
          <w:numId w:val="322"/>
        </w:numPr>
        <w:ind w:left="1078"/>
        <w:rPr>
          <w:rFonts w:ascii="Times New Roman" w:eastAsia="Times New Roman" w:hAnsi="Times New Roman"/>
          <w:sz w:val="17"/>
          <w:szCs w:val="17"/>
        </w:rPr>
      </w:pPr>
      <w:r w:rsidRPr="00E70407">
        <w:rPr>
          <w:rFonts w:ascii="Times New Roman" w:eastAsia="Times New Roman" w:hAnsi="Times New Roman"/>
          <w:sz w:val="17"/>
          <w:szCs w:val="17"/>
        </w:rPr>
        <w:t>negotiating a reduction in hours if possible, under the industrial award/agreement and varying the Training Contract accordingly.</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After 30 days, the Commission may review and extend a suspension upon consideration of the circumstances, including ongoing action taken to exhaust other options by the parties during the period of suspension.</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Other options as stated in the above clause 10.3.3 of this Standard must continue to be considered during the suspension period before any further application for suspension are applied for.</w:t>
      </w:r>
    </w:p>
    <w:p w:rsidR="00E70407" w:rsidRPr="00E70407" w:rsidRDefault="00E70407" w:rsidP="00E70407">
      <w:pPr>
        <w:numPr>
          <w:ilvl w:val="1"/>
          <w:numId w:val="379"/>
        </w:numPr>
        <w:ind w:left="476"/>
        <w:rPr>
          <w:rFonts w:ascii="Times New Roman" w:eastAsia="Times New Roman" w:hAnsi="Times New Roman"/>
          <w:b/>
          <w:bCs/>
          <w:sz w:val="17"/>
          <w:szCs w:val="17"/>
        </w:rPr>
      </w:pPr>
      <w:r w:rsidRPr="00E70407">
        <w:rPr>
          <w:rFonts w:ascii="Times New Roman" w:eastAsia="Times New Roman" w:hAnsi="Times New Roman"/>
          <w:b/>
          <w:bCs/>
          <w:sz w:val="17"/>
          <w:szCs w:val="17"/>
        </w:rPr>
        <w:t>Training contract suspension for non-business-related reasons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xml:space="preserve"> S51)</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The Commission may consider an application for Training Contract suspension for non-business-related reasons where the application is mutually agreed and meets the criteria in this Standard.</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Any accrued leave, including sick leave where appropriate, should be taken prior to seeking a non-business-related suspension.</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Non-business-related suspension reasons include:</w:t>
      </w:r>
    </w:p>
    <w:p w:rsidR="00E70407" w:rsidRPr="00E70407" w:rsidRDefault="00E70407" w:rsidP="00E70407">
      <w:pPr>
        <w:numPr>
          <w:ilvl w:val="0"/>
          <w:numId w:val="323"/>
        </w:numPr>
        <w:ind w:left="1134"/>
        <w:rPr>
          <w:rFonts w:ascii="Times New Roman" w:eastAsia="Times New Roman" w:hAnsi="Times New Roman"/>
          <w:sz w:val="17"/>
          <w:szCs w:val="17"/>
        </w:rPr>
      </w:pPr>
      <w:r w:rsidRPr="00E70407">
        <w:rPr>
          <w:rFonts w:ascii="Times New Roman" w:eastAsia="Times New Roman" w:hAnsi="Times New Roman"/>
          <w:sz w:val="17"/>
          <w:szCs w:val="17"/>
        </w:rPr>
        <w:t>pregnancy</w:t>
      </w:r>
    </w:p>
    <w:p w:rsidR="00E70407" w:rsidRPr="00E70407" w:rsidRDefault="00E70407" w:rsidP="00E70407">
      <w:pPr>
        <w:numPr>
          <w:ilvl w:val="0"/>
          <w:numId w:val="323"/>
        </w:numPr>
        <w:ind w:left="1134"/>
        <w:rPr>
          <w:rFonts w:ascii="Times New Roman" w:eastAsia="Times New Roman" w:hAnsi="Times New Roman"/>
          <w:sz w:val="17"/>
          <w:szCs w:val="17"/>
        </w:rPr>
      </w:pPr>
      <w:r w:rsidRPr="00E70407">
        <w:rPr>
          <w:rFonts w:ascii="Times New Roman" w:eastAsia="Times New Roman" w:hAnsi="Times New Roman"/>
          <w:sz w:val="17"/>
          <w:szCs w:val="17"/>
        </w:rPr>
        <w:t>maternity/paternity leave</w:t>
      </w:r>
    </w:p>
    <w:p w:rsidR="00E70407" w:rsidRPr="00E70407" w:rsidRDefault="00E70407" w:rsidP="00E70407">
      <w:pPr>
        <w:numPr>
          <w:ilvl w:val="0"/>
          <w:numId w:val="323"/>
        </w:numPr>
        <w:ind w:left="1134"/>
        <w:rPr>
          <w:rFonts w:ascii="Times New Roman" w:eastAsia="Times New Roman" w:hAnsi="Times New Roman"/>
          <w:sz w:val="17"/>
          <w:szCs w:val="17"/>
        </w:rPr>
      </w:pPr>
      <w:r w:rsidRPr="00E70407">
        <w:rPr>
          <w:rFonts w:ascii="Times New Roman" w:eastAsia="Times New Roman" w:hAnsi="Times New Roman"/>
          <w:sz w:val="17"/>
          <w:szCs w:val="17"/>
        </w:rPr>
        <w:t>a non-work-related injury or illness affecting the apprentice or trainee’s ability to undertake work and training (where sick leave has been exhausted)</w:t>
      </w:r>
    </w:p>
    <w:p w:rsidR="00E70407" w:rsidRPr="00E70407" w:rsidRDefault="00E70407" w:rsidP="00E70407">
      <w:pPr>
        <w:numPr>
          <w:ilvl w:val="0"/>
          <w:numId w:val="323"/>
        </w:numPr>
        <w:ind w:left="1134"/>
        <w:rPr>
          <w:rFonts w:ascii="Times New Roman" w:eastAsia="Times New Roman" w:hAnsi="Times New Roman"/>
          <w:sz w:val="17"/>
          <w:szCs w:val="17"/>
        </w:rPr>
      </w:pPr>
      <w:r w:rsidRPr="00E70407">
        <w:rPr>
          <w:rFonts w:ascii="Times New Roman" w:eastAsia="Times New Roman" w:hAnsi="Times New Roman"/>
          <w:sz w:val="17"/>
          <w:szCs w:val="17"/>
        </w:rPr>
        <w:t>higher level work or duties with the employer</w:t>
      </w:r>
    </w:p>
    <w:p w:rsidR="00E70407" w:rsidRPr="00E70407" w:rsidRDefault="00E70407" w:rsidP="00E70407">
      <w:pPr>
        <w:numPr>
          <w:ilvl w:val="0"/>
          <w:numId w:val="323"/>
        </w:numPr>
        <w:ind w:left="1134"/>
        <w:rPr>
          <w:rFonts w:ascii="Times New Roman" w:eastAsia="Times New Roman" w:hAnsi="Times New Roman"/>
          <w:sz w:val="17"/>
          <w:szCs w:val="17"/>
        </w:rPr>
      </w:pPr>
      <w:r w:rsidRPr="00E70407">
        <w:rPr>
          <w:rFonts w:ascii="Times New Roman" w:eastAsia="Times New Roman" w:hAnsi="Times New Roman"/>
          <w:sz w:val="17"/>
          <w:szCs w:val="17"/>
        </w:rPr>
        <w:t>personal reasons or commitments.</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In relation to the above clause 10.2.4 the maximum suspension for non-business related reasons is 30 days. The Commission may exercise its discretion to consider longer term suspensions, for example, for reasons of pregnancy, illness, natural disaster or pandemic.</w:t>
      </w:r>
    </w:p>
    <w:p w:rsidR="00E70407" w:rsidRPr="00E70407" w:rsidRDefault="00E70407" w:rsidP="00E70407">
      <w:pPr>
        <w:numPr>
          <w:ilvl w:val="1"/>
          <w:numId w:val="379"/>
        </w:numPr>
        <w:ind w:left="476"/>
        <w:rPr>
          <w:rFonts w:ascii="Times New Roman" w:eastAsia="Times New Roman" w:hAnsi="Times New Roman"/>
          <w:b/>
          <w:bCs/>
          <w:sz w:val="17"/>
          <w:szCs w:val="17"/>
        </w:rPr>
      </w:pPr>
      <w:r w:rsidRPr="00E70407">
        <w:rPr>
          <w:rFonts w:ascii="Times New Roman" w:eastAsia="Times New Roman" w:hAnsi="Times New Roman"/>
          <w:b/>
          <w:bCs/>
          <w:sz w:val="17"/>
          <w:szCs w:val="17"/>
        </w:rPr>
        <w:t>Dispute resolution in relation to a Training Contract suspension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S52)</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 xml:space="preserve">If either party to the Training Contract does not agree to the suspension, the party may dispute the suspension in writing to the Commission. </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The Commission may, before determining an application for suspension of a Training Contract, require the parties to the Training Contract to undertake dispute resolution of a specified kind.</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Refer to Standard 12, Complaints Handling, Mediation and Advocacy for detailed information regarding dispute resolution.</w:t>
      </w:r>
    </w:p>
    <w:p w:rsidR="007712EF" w:rsidRDefault="007712EF">
      <w:pPr>
        <w:spacing w:after="0" w:line="240" w:lineRule="auto"/>
        <w:jc w:val="left"/>
        <w:rPr>
          <w:rFonts w:ascii="Times New Roman" w:eastAsia="Times New Roman" w:hAnsi="Times New Roman"/>
          <w:b/>
          <w:bCs/>
          <w:sz w:val="17"/>
          <w:szCs w:val="17"/>
        </w:rPr>
      </w:pPr>
      <w:r>
        <w:rPr>
          <w:rFonts w:ascii="Times New Roman" w:eastAsia="Times New Roman" w:hAnsi="Times New Roman"/>
          <w:b/>
          <w:bCs/>
          <w:sz w:val="17"/>
          <w:szCs w:val="17"/>
        </w:rPr>
        <w:br w:type="page"/>
      </w:r>
    </w:p>
    <w:p w:rsidR="00E70407" w:rsidRPr="00E70407" w:rsidRDefault="00E70407" w:rsidP="00E70407">
      <w:pPr>
        <w:numPr>
          <w:ilvl w:val="1"/>
          <w:numId w:val="379"/>
        </w:numPr>
        <w:ind w:left="476"/>
        <w:rPr>
          <w:rFonts w:ascii="Times New Roman" w:eastAsia="Times New Roman" w:hAnsi="Times New Roman"/>
          <w:b/>
          <w:bCs/>
          <w:sz w:val="17"/>
          <w:szCs w:val="17"/>
        </w:rPr>
      </w:pPr>
      <w:r w:rsidRPr="00E70407">
        <w:rPr>
          <w:rFonts w:ascii="Times New Roman" w:eastAsia="Times New Roman" w:hAnsi="Times New Roman"/>
          <w:b/>
          <w:bCs/>
          <w:sz w:val="17"/>
          <w:szCs w:val="17"/>
        </w:rPr>
        <w:lastRenderedPageBreak/>
        <w:t>Employer may suspend apprentice or trainee for wilful and serious misconduct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xml:space="preserve"> S64)</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 xml:space="preserve">If an employer has reasonable grounds to believe that an apprentice or trainee employed by the employer is guilty of wilful and serious misconduct, the employer may (without first obtaining the approval of the Commission) suspend the apprentice’s or trainee’s employment. </w:t>
      </w:r>
    </w:p>
    <w:p w:rsidR="00E70407" w:rsidRPr="00E70407" w:rsidRDefault="00E70407" w:rsidP="00E70407">
      <w:pPr>
        <w:numPr>
          <w:ilvl w:val="2"/>
          <w:numId w:val="379"/>
        </w:numPr>
        <w:rPr>
          <w:rFonts w:ascii="Times New Roman" w:eastAsia="Times New Roman" w:hAnsi="Times New Roman"/>
          <w:sz w:val="17"/>
          <w:szCs w:val="17"/>
        </w:rPr>
      </w:pPr>
      <w:r w:rsidRPr="00E70407">
        <w:rPr>
          <w:rFonts w:ascii="Times New Roman" w:eastAsia="Times New Roman" w:hAnsi="Times New Roman"/>
          <w:sz w:val="17"/>
          <w:szCs w:val="17"/>
        </w:rPr>
        <w:t>If an employer suspends an apprentice’s or trainee’s employment under the above clause 10.6.1, the employer must, in accordance with any requirement set out in the Standards, as soon as reasonably practicable:</w:t>
      </w:r>
    </w:p>
    <w:p w:rsidR="00E70407" w:rsidRPr="00E70407" w:rsidRDefault="00E70407" w:rsidP="00E70407">
      <w:pPr>
        <w:numPr>
          <w:ilvl w:val="0"/>
          <w:numId w:val="326"/>
        </w:numPr>
        <w:ind w:left="1134"/>
        <w:rPr>
          <w:rFonts w:ascii="Times New Roman" w:eastAsia="Times New Roman" w:hAnsi="Times New Roman"/>
          <w:sz w:val="17"/>
          <w:szCs w:val="17"/>
        </w:rPr>
      </w:pPr>
      <w:r w:rsidRPr="00E70407">
        <w:rPr>
          <w:rFonts w:ascii="Times New Roman" w:eastAsia="Times New Roman" w:hAnsi="Times New Roman"/>
          <w:sz w:val="17"/>
          <w:szCs w:val="17"/>
        </w:rPr>
        <w:t>refer the matter to the Commission for mediation</w:t>
      </w:r>
    </w:p>
    <w:p w:rsidR="00E70407" w:rsidRPr="00E70407" w:rsidRDefault="00E70407" w:rsidP="00E70407">
      <w:pPr>
        <w:numPr>
          <w:ilvl w:val="0"/>
          <w:numId w:val="326"/>
        </w:numPr>
        <w:ind w:left="1134"/>
        <w:rPr>
          <w:rFonts w:ascii="Times New Roman" w:eastAsia="Times New Roman" w:hAnsi="Times New Roman"/>
          <w:sz w:val="17"/>
          <w:szCs w:val="17"/>
        </w:rPr>
      </w:pPr>
      <w:r w:rsidRPr="00E70407">
        <w:rPr>
          <w:rFonts w:ascii="Times New Roman" w:eastAsia="Times New Roman" w:hAnsi="Times New Roman"/>
          <w:sz w:val="17"/>
          <w:szCs w:val="17"/>
        </w:rPr>
        <w:t>notify the South Australian Employment Tribunal (SAET) that the matter has been so referred</w:t>
      </w:r>
    </w:p>
    <w:p w:rsidR="00E70407" w:rsidRPr="00E70407" w:rsidRDefault="00E70407" w:rsidP="00E70407">
      <w:pPr>
        <w:numPr>
          <w:ilvl w:val="0"/>
          <w:numId w:val="326"/>
        </w:numPr>
        <w:ind w:left="1134"/>
        <w:rPr>
          <w:rFonts w:ascii="Times New Roman" w:eastAsia="Times New Roman" w:hAnsi="Times New Roman"/>
          <w:sz w:val="17"/>
          <w:szCs w:val="17"/>
        </w:rPr>
      </w:pPr>
      <w:r w:rsidRPr="00E70407">
        <w:rPr>
          <w:rFonts w:ascii="Times New Roman" w:eastAsia="Times New Roman" w:hAnsi="Times New Roman"/>
          <w:sz w:val="17"/>
          <w:szCs w:val="17"/>
        </w:rPr>
        <w:t>notify the apprentice or trainee that the matter has been so referred</w:t>
      </w:r>
    </w:p>
    <w:p w:rsidR="00E70407" w:rsidRPr="00E70407" w:rsidRDefault="00E70407" w:rsidP="00E70407">
      <w:pPr>
        <w:numPr>
          <w:ilvl w:val="0"/>
          <w:numId w:val="326"/>
        </w:numPr>
        <w:ind w:left="1134"/>
        <w:rPr>
          <w:rFonts w:ascii="Times New Roman" w:eastAsia="Times New Roman" w:hAnsi="Times New Roman"/>
          <w:sz w:val="17"/>
          <w:szCs w:val="17"/>
        </w:rPr>
      </w:pPr>
      <w:r w:rsidRPr="00E70407">
        <w:rPr>
          <w:rFonts w:ascii="Times New Roman" w:eastAsia="Times New Roman" w:hAnsi="Times New Roman"/>
          <w:sz w:val="17"/>
          <w:szCs w:val="17"/>
        </w:rPr>
        <w:t>comply with any other reasonable requirement of the Commission in relation to the mediation.</w:t>
      </w:r>
    </w:p>
    <w:p w:rsidR="00E70407" w:rsidRPr="00E70407" w:rsidRDefault="00E70407" w:rsidP="00E70407">
      <w:pPr>
        <w:tabs>
          <w:tab w:val="left" w:pos="709"/>
        </w:tabs>
        <w:rPr>
          <w:rFonts w:ascii="Times New Roman" w:eastAsia="Times New Roman" w:hAnsi="Times New Roman"/>
          <w:sz w:val="17"/>
          <w:szCs w:val="17"/>
        </w:rPr>
      </w:pPr>
      <w:r w:rsidRPr="00E70407">
        <w:rPr>
          <w:rFonts w:ascii="Times New Roman" w:eastAsia="Times New Roman" w:hAnsi="Times New Roman"/>
          <w:sz w:val="17"/>
          <w:szCs w:val="17"/>
        </w:rPr>
        <w:t>10.6.3</w:t>
      </w:r>
      <w:r w:rsidRPr="00E70407">
        <w:rPr>
          <w:rFonts w:ascii="Times New Roman" w:eastAsia="Times New Roman" w:hAnsi="Times New Roman"/>
          <w:sz w:val="17"/>
          <w:szCs w:val="17"/>
        </w:rPr>
        <w:tab/>
        <w:t>The maximum penalty for a breach of this requirement is $5,000 and the expiation fee is $315.</w:t>
      </w:r>
    </w:p>
    <w:p w:rsidR="00E70407" w:rsidRPr="00E70407" w:rsidRDefault="00E70407" w:rsidP="00E70407">
      <w:pPr>
        <w:numPr>
          <w:ilvl w:val="2"/>
          <w:numId w:val="380"/>
        </w:numPr>
        <w:rPr>
          <w:rFonts w:ascii="Times New Roman" w:eastAsia="Times New Roman" w:hAnsi="Times New Roman"/>
          <w:sz w:val="17"/>
          <w:szCs w:val="17"/>
        </w:rPr>
      </w:pPr>
      <w:r w:rsidRPr="00E70407">
        <w:rPr>
          <w:rFonts w:ascii="Times New Roman" w:eastAsia="Times New Roman" w:hAnsi="Times New Roman"/>
          <w:sz w:val="17"/>
          <w:szCs w:val="17"/>
        </w:rPr>
        <w:t xml:space="preserve">If a matter is not resolved by mediation, the employer must, as soon as reasonably practicable after the conclusion of the mediation (but in any event, within 3 days) refer to the matter to the SAET for consideration. </w:t>
      </w:r>
    </w:p>
    <w:p w:rsidR="00E70407" w:rsidRPr="00E70407" w:rsidRDefault="00E70407" w:rsidP="00E70407">
      <w:pPr>
        <w:tabs>
          <w:tab w:val="left" w:pos="709"/>
        </w:tabs>
        <w:rPr>
          <w:rFonts w:ascii="Times New Roman" w:eastAsia="Times New Roman" w:hAnsi="Times New Roman"/>
          <w:sz w:val="17"/>
          <w:szCs w:val="17"/>
        </w:rPr>
      </w:pPr>
      <w:r w:rsidRPr="00E70407">
        <w:rPr>
          <w:rFonts w:ascii="Times New Roman" w:eastAsia="Times New Roman" w:hAnsi="Times New Roman"/>
          <w:sz w:val="17"/>
          <w:szCs w:val="17"/>
        </w:rPr>
        <w:t>10.6.5</w:t>
      </w:r>
      <w:r w:rsidRPr="00E70407">
        <w:rPr>
          <w:rFonts w:ascii="Times New Roman" w:eastAsia="Times New Roman" w:hAnsi="Times New Roman"/>
          <w:sz w:val="17"/>
          <w:szCs w:val="17"/>
        </w:rPr>
        <w:tab/>
        <w:t>The maximum penalty for a breach of this requirement is $5,000 and the expiation fee is $315.</w:t>
      </w:r>
    </w:p>
    <w:p w:rsidR="00E70407" w:rsidRPr="00E70407" w:rsidRDefault="00E70407" w:rsidP="00E70407">
      <w:pPr>
        <w:numPr>
          <w:ilvl w:val="2"/>
          <w:numId w:val="381"/>
        </w:numPr>
        <w:rPr>
          <w:rFonts w:ascii="Times New Roman" w:eastAsia="Times New Roman" w:hAnsi="Times New Roman"/>
          <w:sz w:val="17"/>
          <w:szCs w:val="17"/>
        </w:rPr>
      </w:pPr>
      <w:r w:rsidRPr="00E70407">
        <w:rPr>
          <w:rFonts w:ascii="Times New Roman" w:eastAsia="Times New Roman" w:hAnsi="Times New Roman"/>
          <w:sz w:val="17"/>
          <w:szCs w:val="17"/>
        </w:rPr>
        <w:t>The above clause 10.6.1 applies, except where:</w:t>
      </w:r>
    </w:p>
    <w:p w:rsidR="00E70407" w:rsidRPr="00E70407" w:rsidRDefault="00E70407" w:rsidP="00E70407">
      <w:pPr>
        <w:numPr>
          <w:ilvl w:val="0"/>
          <w:numId w:val="324"/>
        </w:numPr>
        <w:ind w:left="1134"/>
        <w:rPr>
          <w:rFonts w:ascii="Times New Roman" w:eastAsia="Times New Roman" w:hAnsi="Times New Roman"/>
          <w:sz w:val="17"/>
          <w:szCs w:val="17"/>
        </w:rPr>
      </w:pPr>
      <w:r w:rsidRPr="00E70407">
        <w:rPr>
          <w:rFonts w:ascii="Times New Roman" w:eastAsia="Times New Roman" w:hAnsi="Times New Roman"/>
          <w:sz w:val="17"/>
          <w:szCs w:val="17"/>
        </w:rPr>
        <w:t>the employer and the trainee or apprentice agree to a longer suspension (whether during mediation or otherwise)</w:t>
      </w:r>
    </w:p>
    <w:p w:rsidR="00E70407" w:rsidRPr="00E70407" w:rsidRDefault="00E70407" w:rsidP="00E70407">
      <w:pPr>
        <w:numPr>
          <w:ilvl w:val="0"/>
          <w:numId w:val="324"/>
        </w:numPr>
        <w:ind w:left="1134"/>
        <w:rPr>
          <w:rFonts w:ascii="Times New Roman" w:eastAsia="Times New Roman" w:hAnsi="Times New Roman"/>
          <w:sz w:val="17"/>
          <w:szCs w:val="17"/>
        </w:rPr>
      </w:pPr>
      <w:r w:rsidRPr="00E70407">
        <w:rPr>
          <w:rFonts w:ascii="Times New Roman" w:eastAsia="Times New Roman" w:hAnsi="Times New Roman"/>
          <w:sz w:val="17"/>
          <w:szCs w:val="17"/>
        </w:rPr>
        <w:t xml:space="preserve">the Commission extends the suspension for a specified period (not being more than 3 days after the conclusion of the mediation) </w:t>
      </w:r>
    </w:p>
    <w:p w:rsidR="00E70407" w:rsidRPr="00E70407" w:rsidRDefault="00E70407" w:rsidP="00E70407">
      <w:pPr>
        <w:numPr>
          <w:ilvl w:val="0"/>
          <w:numId w:val="324"/>
        </w:numPr>
        <w:ind w:left="1134"/>
        <w:rPr>
          <w:rFonts w:ascii="Times New Roman" w:eastAsia="Times New Roman" w:hAnsi="Times New Roman"/>
          <w:sz w:val="17"/>
          <w:szCs w:val="17"/>
        </w:rPr>
      </w:pPr>
      <w:r w:rsidRPr="00E70407">
        <w:rPr>
          <w:rFonts w:ascii="Times New Roman" w:eastAsia="Times New Roman" w:hAnsi="Times New Roman"/>
          <w:sz w:val="17"/>
          <w:szCs w:val="17"/>
        </w:rPr>
        <w:t xml:space="preserve">the SAET confirms or extends the suspension under Section 65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w:t>
      </w:r>
    </w:p>
    <w:p w:rsidR="00E70407" w:rsidRPr="00E70407" w:rsidRDefault="00E70407" w:rsidP="00E70407">
      <w:pPr>
        <w:numPr>
          <w:ilvl w:val="2"/>
          <w:numId w:val="381"/>
        </w:numPr>
        <w:rPr>
          <w:rFonts w:ascii="Times New Roman" w:eastAsia="Times New Roman" w:hAnsi="Times New Roman"/>
          <w:sz w:val="17"/>
          <w:szCs w:val="17"/>
        </w:rPr>
      </w:pPr>
      <w:r w:rsidRPr="00E70407">
        <w:rPr>
          <w:rFonts w:ascii="Times New Roman" w:eastAsia="Times New Roman" w:hAnsi="Times New Roman"/>
          <w:sz w:val="17"/>
          <w:szCs w:val="17"/>
        </w:rPr>
        <w:t xml:space="preserve">A suspension under Section 64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and the above clause 10.6.1 in this Standard will cease after 7 working days, unless cancelled sooner.</w:t>
      </w:r>
    </w:p>
    <w:p w:rsidR="00E70407" w:rsidRPr="00E70407" w:rsidRDefault="00E70407" w:rsidP="00E70407">
      <w:pPr>
        <w:numPr>
          <w:ilvl w:val="1"/>
          <w:numId w:val="379"/>
        </w:numPr>
        <w:ind w:left="476"/>
        <w:rPr>
          <w:rFonts w:ascii="Times New Roman" w:eastAsia="Times New Roman" w:hAnsi="Times New Roman"/>
          <w:b/>
          <w:bCs/>
          <w:sz w:val="17"/>
          <w:szCs w:val="17"/>
        </w:rPr>
      </w:pPr>
      <w:r w:rsidRPr="00E70407">
        <w:rPr>
          <w:rFonts w:ascii="Times New Roman" w:eastAsia="Times New Roman" w:hAnsi="Times New Roman"/>
          <w:b/>
          <w:bCs/>
          <w:sz w:val="17"/>
          <w:szCs w:val="17"/>
        </w:rPr>
        <w:t>South Australian Employment Tribunal may suspend employment of apprentice or trainee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S65)</w:t>
      </w:r>
    </w:p>
    <w:p w:rsidR="00E70407" w:rsidRPr="00E70407" w:rsidRDefault="00E70407" w:rsidP="00E70407">
      <w:pPr>
        <w:numPr>
          <w:ilvl w:val="2"/>
          <w:numId w:val="407"/>
        </w:numPr>
        <w:rPr>
          <w:rFonts w:ascii="Times New Roman" w:eastAsia="Times New Roman" w:hAnsi="Times New Roman"/>
          <w:sz w:val="17"/>
          <w:szCs w:val="17"/>
        </w:rPr>
      </w:pPr>
      <w:r w:rsidRPr="00E70407">
        <w:rPr>
          <w:rFonts w:ascii="Times New Roman" w:eastAsia="Times New Roman" w:hAnsi="Times New Roman"/>
          <w:sz w:val="17"/>
          <w:szCs w:val="17"/>
        </w:rPr>
        <w:t>If a dispute arises between parties to a Training Contract or a party to a Training Contract is aggrieved by the conduct of another party, a party to the contract may apply to the SAET for consideration of the matter.</w:t>
      </w:r>
    </w:p>
    <w:p w:rsidR="00E70407" w:rsidRPr="00E70407" w:rsidRDefault="00E70407" w:rsidP="00E70407">
      <w:pPr>
        <w:numPr>
          <w:ilvl w:val="2"/>
          <w:numId w:val="407"/>
        </w:numPr>
        <w:rPr>
          <w:rFonts w:ascii="Times New Roman" w:eastAsia="Times New Roman" w:hAnsi="Times New Roman"/>
          <w:sz w:val="17"/>
          <w:szCs w:val="17"/>
        </w:rPr>
      </w:pPr>
      <w:r w:rsidRPr="00E70407">
        <w:rPr>
          <w:rFonts w:ascii="Times New Roman" w:eastAsia="Times New Roman" w:hAnsi="Times New Roman"/>
          <w:sz w:val="17"/>
          <w:szCs w:val="17"/>
        </w:rPr>
        <w:t>The SAET may, if it thinks fit, suspend the employment of an apprentice or trainee commencing on a date specified in the order.</w:t>
      </w:r>
    </w:p>
    <w:p w:rsidR="00E70407" w:rsidRPr="00E70407" w:rsidRDefault="00E70407" w:rsidP="00E70407">
      <w:pPr>
        <w:numPr>
          <w:ilvl w:val="2"/>
          <w:numId w:val="407"/>
        </w:numPr>
        <w:rPr>
          <w:rFonts w:ascii="Times New Roman" w:eastAsia="Times New Roman" w:hAnsi="Times New Roman"/>
          <w:sz w:val="17"/>
          <w:szCs w:val="17"/>
        </w:rPr>
      </w:pPr>
      <w:r w:rsidRPr="00E70407">
        <w:rPr>
          <w:rFonts w:ascii="Times New Roman" w:eastAsia="Times New Roman" w:hAnsi="Times New Roman"/>
          <w:sz w:val="17"/>
          <w:szCs w:val="17"/>
        </w:rPr>
        <w:t>The SAET may confirm, extend (for a period not exceeding four weeks), or revoke a suspension imposed by an employer under Section 64 of the</w:t>
      </w:r>
      <w:r w:rsidRPr="00E70407">
        <w:rPr>
          <w:rFonts w:ascii="Times New Roman" w:eastAsia="Times New Roman" w:hAnsi="Times New Roman"/>
          <w:i/>
          <w:iCs/>
          <w:sz w:val="17"/>
          <w:szCs w:val="17"/>
        </w:rPr>
        <w:t xml:space="preserve"> Act</w:t>
      </w:r>
      <w:r w:rsidRPr="00E70407">
        <w:rPr>
          <w:rFonts w:ascii="Times New Roman" w:eastAsia="Times New Roman" w:hAnsi="Times New Roman"/>
          <w:sz w:val="17"/>
          <w:szCs w:val="17"/>
        </w:rPr>
        <w:t xml:space="preserve"> and in the event of revocation:</w:t>
      </w:r>
    </w:p>
    <w:p w:rsidR="00E70407" w:rsidRPr="00E70407" w:rsidRDefault="00E70407" w:rsidP="00E70407">
      <w:pPr>
        <w:numPr>
          <w:ilvl w:val="0"/>
          <w:numId w:val="325"/>
        </w:numPr>
        <w:ind w:left="1134"/>
        <w:rPr>
          <w:rFonts w:ascii="Times New Roman" w:eastAsia="Times New Roman" w:hAnsi="Times New Roman"/>
          <w:sz w:val="17"/>
          <w:szCs w:val="17"/>
        </w:rPr>
      </w:pPr>
      <w:r w:rsidRPr="00E70407">
        <w:rPr>
          <w:rFonts w:ascii="Times New Roman" w:eastAsia="Times New Roman" w:hAnsi="Times New Roman"/>
          <w:sz w:val="17"/>
          <w:szCs w:val="17"/>
        </w:rPr>
        <w:t>order the employer to pay any remuneration, or compensation for any non-monetary benefit, to which the apprentice or trainee would, but for the suspension, have been entitled</w:t>
      </w:r>
    </w:p>
    <w:p w:rsidR="00E70407" w:rsidRPr="00E70407" w:rsidRDefault="00E70407" w:rsidP="00E70407">
      <w:pPr>
        <w:numPr>
          <w:ilvl w:val="0"/>
          <w:numId w:val="325"/>
        </w:numPr>
        <w:ind w:left="1134"/>
        <w:rPr>
          <w:rFonts w:ascii="Times New Roman" w:eastAsia="Times New Roman" w:hAnsi="Times New Roman"/>
          <w:sz w:val="17"/>
          <w:szCs w:val="17"/>
        </w:rPr>
      </w:pPr>
      <w:r w:rsidRPr="00E70407">
        <w:rPr>
          <w:rFonts w:ascii="Times New Roman" w:eastAsia="Times New Roman" w:hAnsi="Times New Roman"/>
          <w:sz w:val="17"/>
          <w:szCs w:val="17"/>
        </w:rPr>
        <w:t>order the employer to treat the period of suspension as service for specified purposes.</w:t>
      </w:r>
    </w:p>
    <w:p w:rsidR="00E70407" w:rsidRPr="00E70407" w:rsidRDefault="00E70407" w:rsidP="00E70407">
      <w:pPr>
        <w:numPr>
          <w:ilvl w:val="1"/>
          <w:numId w:val="407"/>
        </w:numPr>
        <w:ind w:left="426" w:hanging="426"/>
        <w:rPr>
          <w:rFonts w:ascii="Times New Roman" w:eastAsia="Times New Roman" w:hAnsi="Times New Roman"/>
          <w:b/>
          <w:bCs/>
          <w:sz w:val="17"/>
          <w:szCs w:val="17"/>
        </w:rPr>
      </w:pPr>
      <w:r w:rsidRPr="00E70407">
        <w:rPr>
          <w:rFonts w:ascii="Times New Roman" w:eastAsia="Times New Roman" w:hAnsi="Times New Roman"/>
          <w:b/>
          <w:bCs/>
          <w:sz w:val="17"/>
          <w:szCs w:val="17"/>
        </w:rPr>
        <w:t>Offence to suspend Training Contract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xml:space="preserve"> S51C)</w:t>
      </w:r>
    </w:p>
    <w:p w:rsidR="00E70407" w:rsidRPr="00E70407" w:rsidRDefault="00E70407" w:rsidP="00E70407">
      <w:pPr>
        <w:numPr>
          <w:ilvl w:val="2"/>
          <w:numId w:val="407"/>
        </w:numPr>
        <w:rPr>
          <w:rFonts w:ascii="Times New Roman" w:eastAsia="Times New Roman" w:hAnsi="Times New Roman"/>
          <w:sz w:val="17"/>
          <w:szCs w:val="17"/>
        </w:rPr>
      </w:pPr>
      <w:r w:rsidRPr="00E70407">
        <w:rPr>
          <w:rFonts w:ascii="Times New Roman" w:eastAsia="Times New Roman" w:hAnsi="Times New Roman"/>
          <w:sz w:val="17"/>
          <w:szCs w:val="17"/>
        </w:rPr>
        <w:t xml:space="preserve">A person who, without being authorised to do so under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suspends or purports to suspend a Training Contract, is guilty of an offence.</w:t>
      </w:r>
    </w:p>
    <w:p w:rsidR="00E70407" w:rsidRPr="00E70407" w:rsidRDefault="00E70407" w:rsidP="00E70407">
      <w:pPr>
        <w:numPr>
          <w:ilvl w:val="2"/>
          <w:numId w:val="407"/>
        </w:numPr>
        <w:rPr>
          <w:rFonts w:ascii="Times New Roman" w:eastAsia="Times New Roman" w:hAnsi="Times New Roman"/>
          <w:sz w:val="17"/>
          <w:szCs w:val="17"/>
        </w:rPr>
      </w:pPr>
      <w:r w:rsidRPr="00E70407">
        <w:rPr>
          <w:rFonts w:ascii="Times New Roman" w:eastAsia="Times New Roman" w:hAnsi="Times New Roman"/>
          <w:sz w:val="17"/>
          <w:szCs w:val="17"/>
        </w:rPr>
        <w:t>The maximum penalty for a breach of this requirement is $5,000 and the expiation fee is $315.</w:t>
      </w:r>
    </w:p>
    <w:p w:rsidR="00E70407" w:rsidRPr="00E70407" w:rsidRDefault="00E70407" w:rsidP="00E70407">
      <w:pPr>
        <w:numPr>
          <w:ilvl w:val="1"/>
          <w:numId w:val="407"/>
        </w:numPr>
        <w:ind w:left="426" w:hanging="426"/>
        <w:rPr>
          <w:rFonts w:ascii="Times New Roman" w:eastAsia="Times New Roman" w:hAnsi="Times New Roman"/>
          <w:b/>
          <w:bCs/>
          <w:sz w:val="17"/>
          <w:szCs w:val="17"/>
        </w:rPr>
      </w:pPr>
      <w:r w:rsidRPr="00E70407">
        <w:rPr>
          <w:rFonts w:ascii="Times New Roman" w:eastAsia="Times New Roman" w:hAnsi="Times New Roman"/>
          <w:b/>
          <w:bCs/>
          <w:sz w:val="17"/>
          <w:szCs w:val="17"/>
        </w:rPr>
        <w:t>False or misleading information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S75)</w:t>
      </w:r>
    </w:p>
    <w:p w:rsidR="00E70407" w:rsidRPr="00E70407" w:rsidRDefault="00E70407" w:rsidP="00E70407">
      <w:pPr>
        <w:numPr>
          <w:ilvl w:val="2"/>
          <w:numId w:val="407"/>
        </w:numPr>
        <w:rPr>
          <w:rFonts w:ascii="Times New Roman" w:eastAsia="Times New Roman" w:hAnsi="Times New Roman"/>
          <w:sz w:val="17"/>
          <w:szCs w:val="17"/>
        </w:rPr>
      </w:pPr>
      <w:r w:rsidRPr="00E70407">
        <w:rPr>
          <w:rFonts w:ascii="Times New Roman" w:eastAsia="Times New Roman" w:hAnsi="Times New Roman"/>
          <w:sz w:val="17"/>
          <w:szCs w:val="17"/>
        </w:rPr>
        <w:t xml:space="preserve">A person must not make a statement that is false or misleading in a material particular (whether by reason of the inclusion or omission of any particular) in any information provided under the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xml:space="preserve">. </w:t>
      </w:r>
    </w:p>
    <w:p w:rsidR="00E70407" w:rsidRPr="00E70407" w:rsidRDefault="00E70407" w:rsidP="00E70407">
      <w:pPr>
        <w:numPr>
          <w:ilvl w:val="2"/>
          <w:numId w:val="407"/>
        </w:numPr>
        <w:rPr>
          <w:rFonts w:ascii="Times New Roman" w:eastAsia="Times New Roman" w:hAnsi="Times New Roman"/>
          <w:sz w:val="17"/>
          <w:szCs w:val="17"/>
        </w:rPr>
      </w:pPr>
      <w:r w:rsidRPr="00E70407">
        <w:rPr>
          <w:rFonts w:ascii="Times New Roman" w:eastAsia="Times New Roman" w:hAnsi="Times New Roman"/>
          <w:sz w:val="17"/>
          <w:szCs w:val="17"/>
        </w:rPr>
        <w:t>The maximum penalty for a breach of this requirement is $10,000.</w:t>
      </w:r>
    </w:p>
    <w:p w:rsidR="00E70407" w:rsidRPr="00E70407" w:rsidRDefault="00E70407" w:rsidP="00E70407">
      <w:pPr>
        <w:pBdr>
          <w:top w:val="single" w:sz="4" w:space="1" w:color="auto"/>
        </w:pBdr>
        <w:spacing w:before="100" w:line="14" w:lineRule="exact"/>
        <w:ind w:left="1080" w:right="1080"/>
        <w:jc w:val="center"/>
        <w:rPr>
          <w:rFonts w:ascii="Times New Roman" w:eastAsia="Times New Roman" w:hAnsi="Times New Roman"/>
          <w:b/>
          <w:bCs/>
          <w:sz w:val="17"/>
          <w:szCs w:val="17"/>
        </w:rPr>
      </w:pPr>
    </w:p>
    <w:p w:rsidR="00E70407" w:rsidRPr="00E70407" w:rsidRDefault="00E70407" w:rsidP="00E70407">
      <w:pPr>
        <w:jc w:val="center"/>
        <w:rPr>
          <w:rFonts w:ascii="Times New Roman" w:hAnsi="Times New Roman"/>
          <w:smallCaps/>
          <w:sz w:val="17"/>
          <w:szCs w:val="17"/>
        </w:rPr>
      </w:pPr>
      <w:bookmarkStart w:id="126" w:name="_Toc71813721"/>
      <w:bookmarkStart w:id="127" w:name="_Hlk71815383"/>
      <w:bookmarkStart w:id="128" w:name="_Toc75255253"/>
      <w:r w:rsidRPr="00E70407">
        <w:rPr>
          <w:rFonts w:ascii="Times New Roman" w:hAnsi="Times New Roman"/>
          <w:smallCaps/>
          <w:sz w:val="17"/>
          <w:szCs w:val="17"/>
        </w:rPr>
        <w:t>Standard 11</w:t>
      </w:r>
      <w:r w:rsidRPr="00E70407">
        <w:rPr>
          <w:rFonts w:ascii="Times New Roman" w:hAnsi="Times New Roman"/>
          <w:smallCaps/>
          <w:sz w:val="17"/>
          <w:szCs w:val="17"/>
        </w:rPr>
        <w:tab/>
      </w:r>
      <w:r w:rsidRPr="00E70407">
        <w:rPr>
          <w:rFonts w:ascii="Times New Roman" w:hAnsi="Times New Roman"/>
          <w:smallCaps/>
          <w:sz w:val="17"/>
          <w:szCs w:val="17"/>
        </w:rPr>
        <w:tab/>
        <w:t>Training Contract</w:t>
      </w:r>
      <w:bookmarkEnd w:id="126"/>
      <w:r w:rsidRPr="00E70407">
        <w:rPr>
          <w:rFonts w:ascii="Times New Roman" w:hAnsi="Times New Roman"/>
          <w:smallCaps/>
          <w:sz w:val="17"/>
          <w:szCs w:val="17"/>
        </w:rPr>
        <w:t xml:space="preserve"> Completion</w:t>
      </w:r>
      <w:bookmarkEnd w:id="127"/>
      <w:bookmarkEnd w:id="128"/>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This Standard relates to the completion of Training Contracts in accordance with the </w:t>
      </w:r>
      <w:r w:rsidRPr="00E70407">
        <w:rPr>
          <w:rFonts w:ascii="Times New Roman" w:eastAsia="Times New Roman" w:hAnsi="Times New Roman"/>
          <w:i/>
          <w:iCs/>
          <w:sz w:val="17"/>
          <w:szCs w:val="17"/>
        </w:rPr>
        <w:t>South Australian Skills Act 200</w:t>
      </w:r>
      <w:r w:rsidRPr="00E70407">
        <w:rPr>
          <w:rFonts w:ascii="Times New Roman" w:eastAsia="Times New Roman" w:hAnsi="Times New Roman"/>
          <w:sz w:val="17"/>
          <w:szCs w:val="17"/>
        </w:rPr>
        <w:t xml:space="preserve">8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It is the responsibility of each party to a Training Contract to take appropriate action to support completion of the apprenticeship or traineeship.</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Governance arrangements</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Under the </w:t>
      </w:r>
      <w:r w:rsidRPr="00E70407">
        <w:rPr>
          <w:rFonts w:ascii="Times New Roman" w:eastAsia="Times New Roman" w:hAnsi="Times New Roman"/>
          <w:i/>
          <w:iCs/>
          <w:sz w:val="17"/>
          <w:szCs w:val="17"/>
          <w:lang w:val="en-GB"/>
        </w:rPr>
        <w:t>SAS</w:t>
      </w:r>
      <w:r w:rsidRPr="00E70407">
        <w:rPr>
          <w:rFonts w:ascii="Times New Roman" w:eastAsia="Times New Roman" w:hAnsi="Times New Roman"/>
          <w:i/>
          <w:sz w:val="17"/>
          <w:szCs w:val="17"/>
          <w:lang w:val="en-GB"/>
        </w:rPr>
        <w:t xml:space="preserve"> </w:t>
      </w:r>
      <w:r w:rsidRPr="00E70407">
        <w:rPr>
          <w:rFonts w:ascii="Times New Roman" w:eastAsia="Times New Roman" w:hAnsi="Times New Roman"/>
          <w:i/>
          <w:iCs/>
          <w:sz w:val="17"/>
          <w:szCs w:val="17"/>
          <w:lang w:val="en-GB"/>
        </w:rPr>
        <w:t>Act</w:t>
      </w:r>
      <w:r w:rsidRPr="00E70407">
        <w:rPr>
          <w:rFonts w:ascii="Times New Roman" w:eastAsia="Times New Roman" w:hAnsi="Times New Roman"/>
          <w:sz w:val="17"/>
          <w:szCs w:val="17"/>
          <w:lang w:val="en-GB"/>
        </w:rPr>
        <w:t>, the South Australian Skills Commission (the Commission (or its delegate) is responsible for the regulation of the apprenticeship and traineeship system. To this end, its powers include the authority to assess, approve or decline applications for Training Contract completion.</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Compliance with the Standard</w:t>
      </w:r>
    </w:p>
    <w:p w:rsidR="00E70407" w:rsidRPr="00E70407" w:rsidRDefault="00E70407" w:rsidP="00E70407">
      <w:pPr>
        <w:numPr>
          <w:ilvl w:val="1"/>
          <w:numId w:val="382"/>
        </w:num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Means to complete Training Contracts (</w:t>
      </w:r>
      <w:r w:rsidRPr="00E70407">
        <w:rPr>
          <w:rFonts w:ascii="Times New Roman" w:eastAsia="Times New Roman" w:hAnsi="Times New Roman"/>
          <w:b/>
          <w:i/>
          <w:sz w:val="17"/>
          <w:szCs w:val="17"/>
          <w:lang w:val="en-GB"/>
        </w:rPr>
        <w:t>SAS Act</w:t>
      </w:r>
      <w:r w:rsidRPr="00E70407">
        <w:rPr>
          <w:rFonts w:ascii="Times New Roman" w:eastAsia="Times New Roman" w:hAnsi="Times New Roman"/>
          <w:b/>
          <w:bCs/>
          <w:sz w:val="17"/>
          <w:szCs w:val="17"/>
          <w:lang w:val="en-GB"/>
        </w:rPr>
        <w:t>, S49)</w:t>
      </w:r>
    </w:p>
    <w:p w:rsidR="00E70407" w:rsidRPr="00E70407" w:rsidRDefault="00E70407" w:rsidP="00E70407">
      <w:pPr>
        <w:numPr>
          <w:ilvl w:val="2"/>
          <w:numId w:val="382"/>
        </w:num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 Training Contract may be considered complete when:</w:t>
      </w:r>
    </w:p>
    <w:p w:rsidR="00E70407" w:rsidRPr="00E70407" w:rsidRDefault="00E70407" w:rsidP="00E70407">
      <w:pPr>
        <w:numPr>
          <w:ilvl w:val="0"/>
          <w:numId w:val="327"/>
        </w:numPr>
        <w:rPr>
          <w:rFonts w:ascii="Times New Roman" w:eastAsia="Times New Roman" w:hAnsi="Times New Roman"/>
          <w:sz w:val="17"/>
          <w:szCs w:val="17"/>
        </w:rPr>
      </w:pPr>
      <w:r w:rsidRPr="00E70407">
        <w:rPr>
          <w:rFonts w:ascii="Times New Roman" w:eastAsia="Times New Roman" w:hAnsi="Times New Roman"/>
          <w:sz w:val="17"/>
          <w:szCs w:val="17"/>
        </w:rPr>
        <w:t>there is agreement from the employer and the apprentice or trainee that the apprentice or trainee has achieved competency in the workplace</w:t>
      </w:r>
    </w:p>
    <w:p w:rsidR="00E70407" w:rsidRPr="00E70407" w:rsidRDefault="00E70407" w:rsidP="00E70407">
      <w:pPr>
        <w:numPr>
          <w:ilvl w:val="0"/>
          <w:numId w:val="327"/>
        </w:numPr>
        <w:rPr>
          <w:rFonts w:ascii="Times New Roman" w:eastAsia="Times New Roman" w:hAnsi="Times New Roman"/>
          <w:sz w:val="17"/>
          <w:szCs w:val="17"/>
        </w:rPr>
      </w:pPr>
      <w:r w:rsidRPr="00E70407">
        <w:rPr>
          <w:rFonts w:ascii="Times New Roman" w:eastAsia="Times New Roman" w:hAnsi="Times New Roman"/>
          <w:sz w:val="17"/>
          <w:szCs w:val="17"/>
        </w:rPr>
        <w:t>a Nominated Training Organisation (NTO) has certified that the qualification specified in the Training Contract has been completed by the apprentice or trainee.</w:t>
      </w:r>
    </w:p>
    <w:p w:rsidR="00E70407" w:rsidRPr="00E70407" w:rsidRDefault="00E70407" w:rsidP="00E70407">
      <w:pPr>
        <w:numPr>
          <w:ilvl w:val="2"/>
          <w:numId w:val="382"/>
        </w:numPr>
        <w:rPr>
          <w:rFonts w:ascii="Times New Roman" w:eastAsia="Times New Roman" w:hAnsi="Times New Roman"/>
          <w:sz w:val="17"/>
          <w:szCs w:val="17"/>
        </w:rPr>
      </w:pPr>
      <w:r w:rsidRPr="00E70407">
        <w:rPr>
          <w:rFonts w:ascii="Times New Roman" w:eastAsia="Times New Roman" w:hAnsi="Times New Roman"/>
          <w:sz w:val="17"/>
          <w:szCs w:val="17"/>
        </w:rPr>
        <w:t>A party to a Training Contract must notify the Commission, before the nominal completion date for the contract is reached, if the contract will not be completed by that date.</w:t>
      </w:r>
    </w:p>
    <w:p w:rsidR="00E70407" w:rsidRPr="00E70407" w:rsidRDefault="00E70407" w:rsidP="00E70407">
      <w:pPr>
        <w:numPr>
          <w:ilvl w:val="2"/>
          <w:numId w:val="382"/>
        </w:numPr>
        <w:rPr>
          <w:rFonts w:ascii="Times New Roman" w:eastAsia="Times New Roman" w:hAnsi="Times New Roman"/>
          <w:sz w:val="17"/>
          <w:szCs w:val="17"/>
        </w:rPr>
      </w:pPr>
      <w:r w:rsidRPr="00E70407">
        <w:rPr>
          <w:rFonts w:ascii="Times New Roman" w:eastAsia="Times New Roman" w:hAnsi="Times New Roman"/>
          <w:sz w:val="17"/>
          <w:szCs w:val="17"/>
        </w:rPr>
        <w:t xml:space="preserve">An application to extend the term of a Training Contract must be made prior to the expiry of the training contract, using the prescribed form available at </w:t>
      </w:r>
      <w:hyperlink r:id="rId111" w:history="1">
        <w:r w:rsidRPr="00E70407">
          <w:rPr>
            <w:rFonts w:ascii="Times New Roman" w:eastAsia="Times New Roman" w:hAnsi="Times New Roman"/>
            <w:color w:val="0000FF"/>
            <w:sz w:val="17"/>
            <w:szCs w:val="17"/>
            <w:u w:val="single"/>
            <w:lang w:val="en-GB"/>
          </w:rPr>
          <w:t>www.skills.sa.gov.au/business/forms</w:t>
        </w:r>
      </w:hyperlink>
      <w:r w:rsidRPr="00E70407">
        <w:rPr>
          <w:rFonts w:ascii="Times New Roman" w:eastAsia="Times New Roman" w:hAnsi="Times New Roman"/>
          <w:sz w:val="17"/>
          <w:szCs w:val="17"/>
          <w:lang w:val="en-GB"/>
        </w:rPr>
        <w:t>.</w:t>
      </w:r>
    </w:p>
    <w:p w:rsidR="00E70407" w:rsidRPr="00E70407" w:rsidRDefault="00E70407" w:rsidP="00E70407">
      <w:pPr>
        <w:numPr>
          <w:ilvl w:val="2"/>
          <w:numId w:val="382"/>
        </w:numPr>
        <w:rPr>
          <w:rFonts w:ascii="Times New Roman" w:eastAsia="Times New Roman" w:hAnsi="Times New Roman"/>
          <w:sz w:val="17"/>
          <w:szCs w:val="17"/>
        </w:rPr>
      </w:pPr>
      <w:r w:rsidRPr="00E70407">
        <w:rPr>
          <w:rFonts w:ascii="Times New Roman" w:eastAsia="Times New Roman" w:hAnsi="Times New Roman"/>
          <w:sz w:val="17"/>
          <w:szCs w:val="17"/>
        </w:rPr>
        <w:t>The Commission may consider whether a Training Contract is completed in the following circumstances:</w:t>
      </w:r>
    </w:p>
    <w:p w:rsidR="00E70407" w:rsidRPr="00E70407" w:rsidRDefault="00E70407" w:rsidP="00E70407">
      <w:pPr>
        <w:numPr>
          <w:ilvl w:val="0"/>
          <w:numId w:val="331"/>
        </w:numPr>
        <w:rPr>
          <w:rFonts w:ascii="Times New Roman" w:eastAsia="Times New Roman" w:hAnsi="Times New Roman"/>
          <w:sz w:val="17"/>
          <w:szCs w:val="17"/>
        </w:rPr>
      </w:pPr>
      <w:r w:rsidRPr="00E70407">
        <w:rPr>
          <w:rFonts w:ascii="Times New Roman" w:eastAsia="Times New Roman" w:hAnsi="Times New Roman"/>
          <w:sz w:val="17"/>
          <w:szCs w:val="17"/>
        </w:rPr>
        <w:t>a party to a Training Contract may apply to the Commission to complete a traineeship or apprenticeship</w:t>
      </w:r>
    </w:p>
    <w:p w:rsidR="00E70407" w:rsidRPr="00E70407" w:rsidRDefault="00E70407" w:rsidP="00E70407">
      <w:pPr>
        <w:numPr>
          <w:ilvl w:val="0"/>
          <w:numId w:val="331"/>
        </w:numPr>
        <w:rPr>
          <w:rFonts w:ascii="Times New Roman" w:eastAsia="Times New Roman" w:hAnsi="Times New Roman"/>
          <w:sz w:val="17"/>
          <w:szCs w:val="17"/>
        </w:rPr>
      </w:pPr>
      <w:r w:rsidRPr="00E70407">
        <w:rPr>
          <w:rFonts w:ascii="Times New Roman" w:eastAsia="Times New Roman" w:hAnsi="Times New Roman"/>
          <w:sz w:val="17"/>
          <w:szCs w:val="17"/>
        </w:rPr>
        <w:t>the Commission may certify on its own motion that the apprentice or trainee is to be considered to have completed the training required under the contract, without an application from one or both of the parties.</w:t>
      </w:r>
    </w:p>
    <w:p w:rsidR="00E70407" w:rsidRPr="00E70407" w:rsidRDefault="00E70407" w:rsidP="00E70407">
      <w:pPr>
        <w:numPr>
          <w:ilvl w:val="2"/>
          <w:numId w:val="382"/>
        </w:numPr>
        <w:rPr>
          <w:rFonts w:ascii="Times New Roman" w:eastAsia="Times New Roman" w:hAnsi="Times New Roman"/>
          <w:sz w:val="17"/>
          <w:szCs w:val="17"/>
        </w:rPr>
      </w:pPr>
      <w:r w:rsidRPr="00E70407">
        <w:rPr>
          <w:rFonts w:ascii="Times New Roman" w:eastAsia="Times New Roman" w:hAnsi="Times New Roman"/>
          <w:sz w:val="17"/>
          <w:szCs w:val="17"/>
        </w:rPr>
        <w:lastRenderedPageBreak/>
        <w:t>Applications under above clause 11.1.4 a) must:</w:t>
      </w:r>
    </w:p>
    <w:p w:rsidR="00E70407" w:rsidRPr="00E70407" w:rsidRDefault="00E70407" w:rsidP="00E70407">
      <w:pPr>
        <w:numPr>
          <w:ilvl w:val="0"/>
          <w:numId w:val="328"/>
        </w:numPr>
        <w:rPr>
          <w:rFonts w:ascii="Times New Roman" w:eastAsia="Times New Roman" w:hAnsi="Times New Roman"/>
          <w:sz w:val="17"/>
          <w:szCs w:val="17"/>
        </w:rPr>
      </w:pPr>
      <w:r w:rsidRPr="00E70407">
        <w:rPr>
          <w:rFonts w:ascii="Times New Roman" w:eastAsia="Times New Roman" w:hAnsi="Times New Roman"/>
          <w:sz w:val="17"/>
          <w:szCs w:val="17"/>
        </w:rPr>
        <w:t xml:space="preserve">be made in the prescribed form, available at </w:t>
      </w:r>
      <w:hyperlink r:id="rId112" w:history="1">
        <w:r w:rsidRPr="00E70407">
          <w:rPr>
            <w:rFonts w:ascii="Times New Roman" w:eastAsia="Times New Roman" w:hAnsi="Times New Roman"/>
            <w:color w:val="0000FF"/>
            <w:sz w:val="17"/>
            <w:szCs w:val="17"/>
            <w:u w:val="single"/>
            <w:lang w:val="en-GB"/>
          </w:rPr>
          <w:t>www.skills.sa.gov.au/business/forms</w:t>
        </w:r>
      </w:hyperlink>
      <w:r w:rsidRPr="00E70407">
        <w:rPr>
          <w:rFonts w:ascii="Times New Roman" w:eastAsia="Times New Roman" w:hAnsi="Times New Roman"/>
          <w:sz w:val="17"/>
          <w:szCs w:val="17"/>
          <w:lang w:val="en-GB"/>
        </w:rPr>
        <w:t>.</w:t>
      </w:r>
    </w:p>
    <w:p w:rsidR="00E70407" w:rsidRPr="00E70407" w:rsidRDefault="00E70407" w:rsidP="00E70407">
      <w:pPr>
        <w:numPr>
          <w:ilvl w:val="0"/>
          <w:numId w:val="328"/>
        </w:numPr>
        <w:rPr>
          <w:rFonts w:ascii="Times New Roman" w:eastAsia="Times New Roman" w:hAnsi="Times New Roman"/>
          <w:sz w:val="17"/>
          <w:szCs w:val="17"/>
        </w:rPr>
      </w:pPr>
      <w:r w:rsidRPr="00E70407">
        <w:rPr>
          <w:rFonts w:ascii="Times New Roman" w:eastAsia="Times New Roman" w:hAnsi="Times New Roman"/>
          <w:sz w:val="17"/>
          <w:szCs w:val="17"/>
        </w:rPr>
        <w:t>be accompanied by such information or documents as required by the Commission to consider the application, including evidence of successful completion of the qualification specified in the Training Contract.</w:t>
      </w:r>
    </w:p>
    <w:p w:rsidR="00E70407" w:rsidRPr="00E70407" w:rsidRDefault="00E70407" w:rsidP="00E70407">
      <w:pPr>
        <w:numPr>
          <w:ilvl w:val="2"/>
          <w:numId w:val="382"/>
        </w:numPr>
        <w:rPr>
          <w:rFonts w:ascii="Times New Roman" w:eastAsia="Times New Roman" w:hAnsi="Times New Roman"/>
          <w:sz w:val="17"/>
          <w:szCs w:val="17"/>
        </w:rPr>
      </w:pPr>
      <w:r w:rsidRPr="00E70407">
        <w:rPr>
          <w:rFonts w:ascii="Times New Roman" w:eastAsia="Times New Roman" w:hAnsi="Times New Roman"/>
          <w:sz w:val="17"/>
          <w:szCs w:val="17"/>
        </w:rPr>
        <w:t>Where the contractual parties are in dispute, and the employer or apprentice or trainee does not accept the apprentice or trainee is competent, or the employer cannot be found, the Commission may obtain independent industry advice in regard to the competency of the apprentice or trainee.</w:t>
      </w:r>
    </w:p>
    <w:p w:rsidR="00E70407" w:rsidRPr="00E70407" w:rsidRDefault="00E70407" w:rsidP="00E70407">
      <w:pPr>
        <w:numPr>
          <w:ilvl w:val="2"/>
          <w:numId w:val="382"/>
        </w:numPr>
        <w:rPr>
          <w:rFonts w:ascii="Times New Roman" w:eastAsia="Times New Roman" w:hAnsi="Times New Roman"/>
          <w:sz w:val="17"/>
          <w:szCs w:val="17"/>
        </w:rPr>
      </w:pPr>
      <w:r w:rsidRPr="00E70407">
        <w:rPr>
          <w:rFonts w:ascii="Times New Roman" w:eastAsia="Times New Roman" w:hAnsi="Times New Roman"/>
          <w:sz w:val="17"/>
          <w:szCs w:val="17"/>
        </w:rPr>
        <w:t>The Commission will notify the parties to a Training Contract of the result of the application, and if successful certify that the apprentice or trainee is to be taken to have completed the training required under the contract.</w:t>
      </w:r>
    </w:p>
    <w:p w:rsidR="00E70407" w:rsidRPr="00E70407" w:rsidRDefault="00E70407" w:rsidP="00E70407">
      <w:pPr>
        <w:numPr>
          <w:ilvl w:val="2"/>
          <w:numId w:val="382"/>
        </w:numPr>
        <w:rPr>
          <w:rFonts w:ascii="Times New Roman" w:eastAsia="Times New Roman" w:hAnsi="Times New Roman"/>
          <w:sz w:val="17"/>
          <w:szCs w:val="17"/>
        </w:rPr>
      </w:pPr>
      <w:r w:rsidRPr="00E70407">
        <w:rPr>
          <w:rFonts w:ascii="Times New Roman" w:eastAsia="Times New Roman" w:hAnsi="Times New Roman"/>
          <w:sz w:val="17"/>
          <w:szCs w:val="17"/>
        </w:rPr>
        <w:t>If the Commission certifies that the (current or former) apprentice or trainee has completed the training required under the contract, the Commission may:</w:t>
      </w:r>
    </w:p>
    <w:p w:rsidR="00E70407" w:rsidRPr="00E70407" w:rsidRDefault="00E70407" w:rsidP="00E70407">
      <w:pPr>
        <w:numPr>
          <w:ilvl w:val="0"/>
          <w:numId w:val="329"/>
        </w:numPr>
        <w:rPr>
          <w:rFonts w:ascii="Times New Roman" w:eastAsia="Times New Roman" w:hAnsi="Times New Roman"/>
          <w:sz w:val="17"/>
          <w:szCs w:val="17"/>
        </w:rPr>
      </w:pPr>
      <w:r w:rsidRPr="00E70407">
        <w:rPr>
          <w:rFonts w:ascii="Times New Roman" w:eastAsia="Times New Roman" w:hAnsi="Times New Roman"/>
          <w:sz w:val="17"/>
          <w:szCs w:val="17"/>
        </w:rPr>
        <w:t>if the contract is still in operation, finalise the contract and relieve the parties of their obligations under the contract; and</w:t>
      </w:r>
    </w:p>
    <w:p w:rsidR="00E70407" w:rsidRPr="00E70407" w:rsidRDefault="00E70407" w:rsidP="00E70407">
      <w:pPr>
        <w:numPr>
          <w:ilvl w:val="0"/>
          <w:numId w:val="329"/>
        </w:numPr>
        <w:rPr>
          <w:rFonts w:ascii="Times New Roman" w:eastAsia="Times New Roman" w:hAnsi="Times New Roman"/>
          <w:sz w:val="17"/>
          <w:szCs w:val="17"/>
        </w:rPr>
      </w:pPr>
      <w:r w:rsidRPr="00E70407">
        <w:rPr>
          <w:rFonts w:ascii="Times New Roman" w:eastAsia="Times New Roman" w:hAnsi="Times New Roman"/>
          <w:sz w:val="17"/>
          <w:szCs w:val="17"/>
        </w:rPr>
        <w:t>certify that the apprentice or trainee has completed the training required under the contract for the relevant trade or declared vocation.</w:t>
      </w:r>
    </w:p>
    <w:p w:rsidR="00E70407" w:rsidRPr="00E70407" w:rsidRDefault="00E70407" w:rsidP="00E70407">
      <w:pPr>
        <w:numPr>
          <w:ilvl w:val="1"/>
          <w:numId w:val="382"/>
        </w:num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Dispute resolution (</w:t>
      </w:r>
      <w:r w:rsidRPr="00E70407">
        <w:rPr>
          <w:rFonts w:ascii="Times New Roman" w:eastAsia="Times New Roman" w:hAnsi="Times New Roman"/>
          <w:b/>
          <w:bCs/>
          <w:i/>
          <w:iCs/>
          <w:sz w:val="17"/>
          <w:szCs w:val="17"/>
          <w:lang w:val="en-GB"/>
        </w:rPr>
        <w:t>SAS Act</w:t>
      </w:r>
      <w:r w:rsidRPr="00E70407">
        <w:rPr>
          <w:rFonts w:ascii="Times New Roman" w:eastAsia="Times New Roman" w:hAnsi="Times New Roman"/>
          <w:b/>
          <w:bCs/>
          <w:sz w:val="17"/>
          <w:szCs w:val="17"/>
          <w:lang w:val="en-GB"/>
        </w:rPr>
        <w:t>, S65)</w:t>
      </w:r>
    </w:p>
    <w:p w:rsidR="00E70407" w:rsidRPr="00E70407" w:rsidRDefault="00E70407" w:rsidP="00E70407">
      <w:pPr>
        <w:numPr>
          <w:ilvl w:val="2"/>
          <w:numId w:val="382"/>
        </w:numPr>
        <w:rPr>
          <w:rFonts w:ascii="Times New Roman" w:eastAsia="Times New Roman" w:hAnsi="Times New Roman"/>
          <w:sz w:val="17"/>
          <w:szCs w:val="17"/>
        </w:rPr>
      </w:pPr>
      <w:r w:rsidRPr="00E70407">
        <w:rPr>
          <w:rFonts w:ascii="Times New Roman" w:eastAsia="Times New Roman" w:hAnsi="Times New Roman"/>
          <w:sz w:val="17"/>
          <w:szCs w:val="17"/>
        </w:rPr>
        <w:t>Where the contractual parties are in dispute about whether:</w:t>
      </w:r>
    </w:p>
    <w:p w:rsidR="00E70407" w:rsidRPr="00E70407" w:rsidRDefault="00E70407" w:rsidP="00E70407">
      <w:pPr>
        <w:numPr>
          <w:ilvl w:val="0"/>
          <w:numId w:val="330"/>
        </w:numPr>
        <w:rPr>
          <w:rFonts w:ascii="Times New Roman" w:eastAsia="Times New Roman" w:hAnsi="Times New Roman"/>
          <w:sz w:val="17"/>
          <w:szCs w:val="17"/>
        </w:rPr>
      </w:pPr>
      <w:r w:rsidRPr="00E70407">
        <w:rPr>
          <w:rFonts w:ascii="Times New Roman" w:eastAsia="Times New Roman" w:hAnsi="Times New Roman"/>
          <w:sz w:val="17"/>
          <w:szCs w:val="17"/>
        </w:rPr>
        <w:t>the apprentice or trainee has achieved competency in the workplace</w:t>
      </w:r>
    </w:p>
    <w:p w:rsidR="00E70407" w:rsidRPr="00E70407" w:rsidRDefault="00E70407" w:rsidP="00E70407">
      <w:pPr>
        <w:numPr>
          <w:ilvl w:val="0"/>
          <w:numId w:val="330"/>
        </w:numPr>
        <w:rPr>
          <w:rFonts w:ascii="Times New Roman" w:eastAsia="Times New Roman" w:hAnsi="Times New Roman"/>
          <w:sz w:val="17"/>
          <w:szCs w:val="17"/>
        </w:rPr>
      </w:pPr>
      <w:r w:rsidRPr="00E70407">
        <w:rPr>
          <w:rFonts w:ascii="Times New Roman" w:eastAsia="Times New Roman" w:hAnsi="Times New Roman"/>
          <w:sz w:val="17"/>
          <w:szCs w:val="17"/>
        </w:rPr>
        <w:t xml:space="preserve">there is evidence that the apprentice or trainee has successfully completed the qualification specified in the Training Contract </w:t>
      </w:r>
    </w:p>
    <w:p w:rsidR="00E70407" w:rsidRPr="00E70407" w:rsidRDefault="00E70407" w:rsidP="00E70407">
      <w:pPr>
        <w:ind w:left="560" w:firstLine="160"/>
        <w:rPr>
          <w:rFonts w:ascii="Times New Roman" w:eastAsia="Times New Roman" w:hAnsi="Times New Roman"/>
          <w:sz w:val="17"/>
          <w:szCs w:val="17"/>
        </w:rPr>
      </w:pPr>
      <w:r w:rsidRPr="00E70407">
        <w:rPr>
          <w:rFonts w:ascii="Times New Roman" w:eastAsia="Times New Roman" w:hAnsi="Times New Roman"/>
          <w:sz w:val="17"/>
          <w:szCs w:val="17"/>
        </w:rPr>
        <w:t>a party to the Training Contract may apply to the South Australian Employment Tribunal (SAET) for consideration of the matter.</w:t>
      </w:r>
    </w:p>
    <w:p w:rsidR="00E70407" w:rsidRPr="00E70407" w:rsidRDefault="00E70407" w:rsidP="00E70407">
      <w:pPr>
        <w:numPr>
          <w:ilvl w:val="2"/>
          <w:numId w:val="383"/>
        </w:numPr>
        <w:rPr>
          <w:rFonts w:ascii="Times New Roman" w:eastAsia="Times New Roman" w:hAnsi="Times New Roman"/>
          <w:sz w:val="17"/>
          <w:szCs w:val="17"/>
        </w:rPr>
      </w:pPr>
      <w:r w:rsidRPr="00E70407">
        <w:rPr>
          <w:rFonts w:ascii="Times New Roman" w:eastAsia="Times New Roman" w:hAnsi="Times New Roman"/>
          <w:sz w:val="17"/>
          <w:szCs w:val="17"/>
        </w:rPr>
        <w:t xml:space="preserve">As per Section 65(2)(a)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the SAET may make recommendations to the Commission about the assessment of the skills of an apprentice or trainee and, if appropriate, the granting of an appropriate qualification under the Australian Qualifications Framework (AQF).</w:t>
      </w:r>
    </w:p>
    <w:p w:rsidR="00E70407" w:rsidRPr="00E70407" w:rsidRDefault="00E70407" w:rsidP="00E70407">
      <w:pPr>
        <w:numPr>
          <w:ilvl w:val="2"/>
          <w:numId w:val="383"/>
        </w:numPr>
        <w:rPr>
          <w:rFonts w:ascii="Times New Roman" w:eastAsia="Times New Roman" w:hAnsi="Times New Roman"/>
          <w:sz w:val="17"/>
          <w:szCs w:val="17"/>
        </w:rPr>
      </w:pPr>
      <w:r w:rsidRPr="00E70407">
        <w:rPr>
          <w:rFonts w:ascii="Times New Roman" w:eastAsia="Times New Roman" w:hAnsi="Times New Roman"/>
          <w:sz w:val="17"/>
          <w:szCs w:val="17"/>
        </w:rPr>
        <w:t>Applications to the SAET under the</w:t>
      </w:r>
      <w:r w:rsidRPr="00E70407">
        <w:rPr>
          <w:rFonts w:ascii="Times New Roman" w:eastAsia="Times New Roman" w:hAnsi="Times New Roman"/>
          <w:i/>
          <w:iCs/>
          <w:sz w:val="17"/>
          <w:szCs w:val="17"/>
        </w:rPr>
        <w:t xml:space="preserve"> SAS Act </w:t>
      </w:r>
      <w:r w:rsidRPr="00E70407">
        <w:rPr>
          <w:rFonts w:ascii="Times New Roman" w:eastAsia="Times New Roman" w:hAnsi="Times New Roman"/>
          <w:sz w:val="17"/>
          <w:szCs w:val="17"/>
        </w:rPr>
        <w:t>must be during the term of the relevant Training Contract or within 6 months after the expiry, termination, or cancellation of the relevant Training Contract. The SAET may extend the time within which any such application may be made.</w:t>
      </w:r>
    </w:p>
    <w:p w:rsidR="00E70407" w:rsidRPr="00E70407" w:rsidRDefault="00E70407" w:rsidP="00E70407">
      <w:pPr>
        <w:numPr>
          <w:ilvl w:val="2"/>
          <w:numId w:val="383"/>
        </w:numPr>
        <w:rPr>
          <w:rFonts w:ascii="Times New Roman" w:eastAsia="Times New Roman" w:hAnsi="Times New Roman"/>
          <w:sz w:val="17"/>
          <w:szCs w:val="17"/>
        </w:rPr>
      </w:pPr>
      <w:r w:rsidRPr="00E70407">
        <w:rPr>
          <w:rFonts w:ascii="Times New Roman" w:eastAsia="Times New Roman" w:hAnsi="Times New Roman"/>
          <w:sz w:val="17"/>
          <w:szCs w:val="17"/>
        </w:rPr>
        <w:t>Under Section 66 of the</w:t>
      </w:r>
      <w:r w:rsidRPr="00E70407">
        <w:rPr>
          <w:rFonts w:ascii="Times New Roman" w:eastAsia="Times New Roman" w:hAnsi="Times New Roman"/>
          <w:i/>
          <w:iCs/>
          <w:sz w:val="17"/>
          <w:szCs w:val="17"/>
        </w:rPr>
        <w:t xml:space="preserve"> SAS Act</w:t>
      </w:r>
      <w:r w:rsidRPr="00E70407">
        <w:rPr>
          <w:rFonts w:ascii="Times New Roman" w:eastAsia="Times New Roman" w:hAnsi="Times New Roman"/>
          <w:sz w:val="17"/>
          <w:szCs w:val="17"/>
        </w:rPr>
        <w:t xml:space="preserve"> and as described in Section 43 of the </w:t>
      </w:r>
      <w:r w:rsidRPr="00E70407">
        <w:rPr>
          <w:rFonts w:ascii="Times New Roman" w:eastAsia="Times New Roman" w:hAnsi="Times New Roman"/>
          <w:i/>
          <w:iCs/>
          <w:sz w:val="17"/>
          <w:szCs w:val="17"/>
        </w:rPr>
        <w:t>SAET Act 2014</w:t>
      </w:r>
      <w:r w:rsidRPr="00E70407">
        <w:rPr>
          <w:rFonts w:ascii="Times New Roman" w:eastAsia="Times New Roman" w:hAnsi="Times New Roman"/>
          <w:sz w:val="17"/>
          <w:szCs w:val="17"/>
        </w:rPr>
        <w:t>, parties are required to attend a compulsory conciliation conference, if directed to do so. This applies to both the employer and the apprentice or trainee.</w:t>
      </w:r>
    </w:p>
    <w:p w:rsidR="00E70407" w:rsidRPr="00E70407" w:rsidRDefault="00E70407" w:rsidP="00E70407">
      <w:pPr>
        <w:numPr>
          <w:ilvl w:val="2"/>
          <w:numId w:val="383"/>
        </w:numPr>
        <w:rPr>
          <w:rFonts w:ascii="Times New Roman" w:eastAsia="Times New Roman" w:hAnsi="Times New Roman"/>
          <w:sz w:val="17"/>
          <w:szCs w:val="17"/>
        </w:rPr>
      </w:pPr>
      <w:r w:rsidRPr="00E70407">
        <w:rPr>
          <w:rFonts w:ascii="Times New Roman" w:eastAsia="Times New Roman" w:hAnsi="Times New Roman"/>
          <w:sz w:val="17"/>
          <w:szCs w:val="17"/>
        </w:rPr>
        <w:t>If a conflict occurs between a determination of the Commission about the completion of a Training Contract and a determination of the SAET, the determination of the SAET prevails.</w:t>
      </w:r>
    </w:p>
    <w:p w:rsidR="00E70407" w:rsidRPr="00E70407" w:rsidRDefault="00E70407" w:rsidP="00E70407">
      <w:pPr>
        <w:numPr>
          <w:ilvl w:val="2"/>
          <w:numId w:val="383"/>
        </w:numPr>
        <w:rPr>
          <w:rFonts w:ascii="Times New Roman" w:eastAsia="Times New Roman" w:hAnsi="Times New Roman"/>
          <w:sz w:val="17"/>
          <w:szCs w:val="17"/>
        </w:rPr>
      </w:pPr>
      <w:r w:rsidRPr="00E70407">
        <w:rPr>
          <w:rFonts w:ascii="Times New Roman" w:eastAsia="Times New Roman" w:hAnsi="Times New Roman"/>
          <w:sz w:val="17"/>
          <w:szCs w:val="17"/>
        </w:rPr>
        <w:t xml:space="preserve">The SAET has powers to exercise an order under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Parties must not contravene an order of the SAET, with the maximum penalty for non-compliance being $5,000.</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 xml:space="preserve">11.3 </w:t>
      </w:r>
      <w:r w:rsidRPr="00E70407">
        <w:rPr>
          <w:rFonts w:ascii="Times New Roman" w:eastAsia="Times New Roman" w:hAnsi="Times New Roman"/>
          <w:b/>
          <w:bCs/>
          <w:sz w:val="17"/>
          <w:szCs w:val="17"/>
        </w:rPr>
        <w:tab/>
        <w:t>False or misleading information (</w:t>
      </w:r>
      <w:r w:rsidRPr="00E70407">
        <w:rPr>
          <w:rFonts w:ascii="Times New Roman" w:eastAsia="Times New Roman" w:hAnsi="Times New Roman"/>
          <w:b/>
          <w:i/>
          <w:sz w:val="17"/>
          <w:szCs w:val="17"/>
        </w:rPr>
        <w:t>SAS Act</w:t>
      </w:r>
      <w:r w:rsidRPr="00E70407">
        <w:rPr>
          <w:rFonts w:ascii="Times New Roman" w:eastAsia="Times New Roman" w:hAnsi="Times New Roman"/>
          <w:b/>
          <w:bCs/>
          <w:sz w:val="17"/>
          <w:szCs w:val="17"/>
        </w:rPr>
        <w:t>, S75)</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11.3.1</w:t>
      </w:r>
      <w:r w:rsidRPr="00E70407">
        <w:rPr>
          <w:rFonts w:ascii="Times New Roman" w:eastAsia="Times New Roman" w:hAnsi="Times New Roman"/>
          <w:sz w:val="17"/>
          <w:szCs w:val="17"/>
        </w:rPr>
        <w:tab/>
        <w:t xml:space="preserve">A person must not make a statement that is false or misleading in a material particular (whether by reason of the inclusion or omission of any particular) in any information provided under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11.3.2 </w:t>
      </w:r>
      <w:r w:rsidRPr="00E70407">
        <w:rPr>
          <w:rFonts w:ascii="Times New Roman" w:eastAsia="Times New Roman" w:hAnsi="Times New Roman"/>
          <w:sz w:val="17"/>
          <w:szCs w:val="17"/>
        </w:rPr>
        <w:tab/>
        <w:t>The maximum penalty for a breach of this requirement is $10,000.</w:t>
      </w:r>
    </w:p>
    <w:p w:rsidR="00E70407" w:rsidRPr="00E70407" w:rsidRDefault="00E70407" w:rsidP="00E70407">
      <w:pPr>
        <w:pBdr>
          <w:top w:val="single" w:sz="4" w:space="1" w:color="auto"/>
        </w:pBdr>
        <w:spacing w:before="100" w:line="14" w:lineRule="exact"/>
        <w:ind w:left="1080" w:right="1080"/>
        <w:jc w:val="center"/>
        <w:rPr>
          <w:rFonts w:ascii="Times New Roman" w:eastAsia="Times New Roman" w:hAnsi="Times New Roman"/>
          <w:sz w:val="17"/>
          <w:szCs w:val="17"/>
        </w:rPr>
      </w:pPr>
    </w:p>
    <w:p w:rsidR="00E70407" w:rsidRPr="00E70407" w:rsidRDefault="00E70407" w:rsidP="00E70407">
      <w:pPr>
        <w:jc w:val="center"/>
        <w:rPr>
          <w:rFonts w:ascii="Times New Roman" w:hAnsi="Times New Roman"/>
          <w:smallCaps/>
          <w:sz w:val="17"/>
          <w:szCs w:val="17"/>
        </w:rPr>
      </w:pPr>
      <w:bookmarkStart w:id="129" w:name="_Toc71813722"/>
      <w:bookmarkStart w:id="130" w:name="_Toc75255254"/>
      <w:r w:rsidRPr="00E70407">
        <w:rPr>
          <w:rFonts w:ascii="Times New Roman" w:hAnsi="Times New Roman"/>
          <w:smallCaps/>
          <w:sz w:val="17"/>
          <w:szCs w:val="17"/>
        </w:rPr>
        <w:t>Standard 12</w:t>
      </w:r>
      <w:r w:rsidRPr="00E70407">
        <w:rPr>
          <w:rFonts w:ascii="Times New Roman" w:hAnsi="Times New Roman"/>
          <w:smallCaps/>
          <w:sz w:val="17"/>
          <w:szCs w:val="17"/>
        </w:rPr>
        <w:tab/>
        <w:t>Complaint Handling, Mediation and Advocacy</w:t>
      </w:r>
      <w:bookmarkEnd w:id="129"/>
      <w:bookmarkEnd w:id="130"/>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This Standard details a range of complaint handling, mediation, and advocacy services in accordance with the </w:t>
      </w:r>
      <w:r w:rsidRPr="00E70407">
        <w:rPr>
          <w:rFonts w:ascii="Times New Roman" w:eastAsia="Times New Roman" w:hAnsi="Times New Roman"/>
          <w:i/>
          <w:iCs/>
          <w:sz w:val="17"/>
          <w:szCs w:val="17"/>
        </w:rPr>
        <w:t xml:space="preserve">South Australian Skills Act 2008 </w:t>
      </w:r>
      <w:r w:rsidRPr="00E70407">
        <w:rPr>
          <w:rFonts w:ascii="Times New Roman" w:eastAsia="Times New Roman" w:hAnsi="Times New Roman"/>
          <w:sz w:val="17"/>
          <w:szCs w:val="17"/>
        </w:rPr>
        <w:t xml:space="preserve">(the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and the South Australian Skills Commission (the Commission). The services are provided free of charge and are confidential and impartial.</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The services of complaint handling, mediation and advocacy may relate to the resolution of disputes in respect of apprenticeships and traineeships, vocational education and training, higher education, and international education.</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Stakeholders to whom this Standard applies include apprentices, trainees, employers, students, international students and training and education providers. Stakeholders may also include a parent or guardian, where applicable. </w:t>
      </w:r>
    </w:p>
    <w:p w:rsidR="00E70407" w:rsidRPr="00E70407" w:rsidRDefault="00E70407" w:rsidP="00E70407">
      <w:pPr>
        <w:rPr>
          <w:rFonts w:ascii="Times New Roman" w:eastAsia="Times New Roman" w:hAnsi="Times New Roman"/>
          <w:b/>
          <w:sz w:val="17"/>
          <w:szCs w:val="17"/>
        </w:rPr>
      </w:pPr>
      <w:r w:rsidRPr="00E70407">
        <w:rPr>
          <w:rFonts w:ascii="Times New Roman" w:eastAsia="Times New Roman" w:hAnsi="Times New Roman"/>
          <w:b/>
          <w:sz w:val="17"/>
          <w:szCs w:val="17"/>
        </w:rPr>
        <w:t>Governance arrangements</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To ensure any potential conflict of interest is managed, the Commission has delegated regulatory decision-making functions to the Department for Innovation and Skills (DIS). The </w:t>
      </w:r>
      <w:r w:rsidRPr="00E70407">
        <w:rPr>
          <w:rFonts w:ascii="Times New Roman" w:eastAsia="Times New Roman" w:hAnsi="Times New Roman"/>
          <w:iCs/>
          <w:sz w:val="17"/>
          <w:szCs w:val="17"/>
        </w:rPr>
        <w:t>Standard on Complaint Handling, Mediation and Advocacy is</w:t>
      </w:r>
      <w:r w:rsidRPr="00E70407">
        <w:rPr>
          <w:rFonts w:ascii="Times New Roman" w:eastAsia="Times New Roman" w:hAnsi="Times New Roman"/>
          <w:sz w:val="17"/>
          <w:szCs w:val="17"/>
        </w:rPr>
        <w:t xml:space="preserve"> governed by the Commission, and not DIS. Complaints raised with DIS or other agencies will be referred to the Commission where appropriate.</w:t>
      </w:r>
    </w:p>
    <w:p w:rsidR="00E70407" w:rsidRPr="00E70407" w:rsidRDefault="00E70407" w:rsidP="00E70407">
      <w:pPr>
        <w:rPr>
          <w:rFonts w:ascii="Times New Roman" w:eastAsia="Times New Roman" w:hAnsi="Times New Roman"/>
          <w:b/>
          <w:sz w:val="17"/>
          <w:szCs w:val="17"/>
        </w:rPr>
      </w:pPr>
      <w:r w:rsidRPr="00E70407">
        <w:rPr>
          <w:rFonts w:ascii="Times New Roman" w:eastAsia="Times New Roman" w:hAnsi="Times New Roman"/>
          <w:b/>
          <w:sz w:val="17"/>
          <w:szCs w:val="17"/>
        </w:rPr>
        <w:t>Compliance with the Standard</w:t>
      </w:r>
    </w:p>
    <w:p w:rsidR="00E70407" w:rsidRPr="00E70407" w:rsidRDefault="00E70407" w:rsidP="00E70407">
      <w:pPr>
        <w:numPr>
          <w:ilvl w:val="1"/>
          <w:numId w:val="384"/>
        </w:numPr>
        <w:rPr>
          <w:rFonts w:ascii="Times New Roman" w:eastAsia="Times New Roman" w:hAnsi="Times New Roman"/>
          <w:b/>
          <w:bCs/>
          <w:sz w:val="17"/>
          <w:szCs w:val="17"/>
        </w:rPr>
      </w:pPr>
      <w:r w:rsidRPr="00E70407">
        <w:rPr>
          <w:rFonts w:ascii="Times New Roman" w:eastAsia="Times New Roman" w:hAnsi="Times New Roman"/>
          <w:b/>
          <w:bCs/>
          <w:sz w:val="17"/>
          <w:szCs w:val="17"/>
        </w:rPr>
        <w:t>Scope of functions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xml:space="preserve"> S19, S52)</w:t>
      </w:r>
    </w:p>
    <w:p w:rsidR="00E70407" w:rsidRPr="00E70407" w:rsidRDefault="00E70407" w:rsidP="00E70407">
      <w:pPr>
        <w:ind w:left="709" w:hanging="709"/>
        <w:rPr>
          <w:rFonts w:ascii="Times New Roman" w:eastAsia="Times New Roman" w:hAnsi="Times New Roman"/>
          <w:b/>
          <w:bCs/>
          <w:sz w:val="17"/>
          <w:szCs w:val="17"/>
          <w:lang w:val="en-US"/>
        </w:rPr>
      </w:pPr>
      <w:r w:rsidRPr="00E70407">
        <w:rPr>
          <w:rFonts w:ascii="Times New Roman" w:eastAsia="Times New Roman" w:hAnsi="Times New Roman"/>
          <w:sz w:val="17"/>
          <w:szCs w:val="17"/>
        </w:rPr>
        <w:t>12.1.1</w:t>
      </w:r>
      <w:r w:rsidRPr="00E70407">
        <w:rPr>
          <w:rFonts w:ascii="Times New Roman" w:eastAsia="Times New Roman" w:hAnsi="Times New Roman"/>
          <w:sz w:val="17"/>
          <w:szCs w:val="17"/>
        </w:rPr>
        <w:tab/>
        <w:t xml:space="preserve">The functions of the Commission under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are to undertake complaint handling and provide, where appropriate, mediation and advocacy services in disputes relating to apprenticeships and traineeships, vocational education and training, higher education or international education, and to otherwise assist in the resolution of such disputes including by providing advocacy services for parties in proceedings before the South Australian Employment Tribunal (SAET).</w:t>
      </w:r>
    </w:p>
    <w:p w:rsidR="00E70407" w:rsidRPr="00E70407" w:rsidRDefault="00E70407" w:rsidP="00E70407">
      <w:pPr>
        <w:numPr>
          <w:ilvl w:val="2"/>
          <w:numId w:val="385"/>
        </w:numPr>
        <w:rPr>
          <w:rFonts w:ascii="Times New Roman" w:eastAsia="Times New Roman" w:hAnsi="Times New Roman"/>
          <w:sz w:val="17"/>
          <w:szCs w:val="17"/>
        </w:rPr>
      </w:pPr>
      <w:r w:rsidRPr="00E70407">
        <w:rPr>
          <w:rFonts w:ascii="Times New Roman" w:eastAsia="Times New Roman" w:hAnsi="Times New Roman"/>
          <w:sz w:val="17"/>
          <w:szCs w:val="17"/>
        </w:rPr>
        <w:t>The following party/parties may raise a complaint or dispute with the Commission:</w:t>
      </w:r>
    </w:p>
    <w:p w:rsidR="00E70407" w:rsidRPr="00E70407" w:rsidRDefault="00E70407" w:rsidP="00E70407">
      <w:pPr>
        <w:numPr>
          <w:ilvl w:val="0"/>
          <w:numId w:val="297"/>
        </w:numPr>
        <w:ind w:left="1078" w:hanging="364"/>
        <w:rPr>
          <w:rFonts w:ascii="Times New Roman" w:eastAsia="Times New Roman" w:hAnsi="Times New Roman"/>
          <w:sz w:val="17"/>
          <w:szCs w:val="17"/>
        </w:rPr>
      </w:pPr>
      <w:r w:rsidRPr="00E70407">
        <w:rPr>
          <w:rFonts w:ascii="Times New Roman" w:eastAsia="Times New Roman" w:hAnsi="Times New Roman"/>
          <w:sz w:val="17"/>
          <w:szCs w:val="17"/>
        </w:rPr>
        <w:t xml:space="preserve">apprentices/trainees </w:t>
      </w:r>
    </w:p>
    <w:p w:rsidR="00E70407" w:rsidRPr="00E70407" w:rsidRDefault="00E70407" w:rsidP="00E70407">
      <w:pPr>
        <w:numPr>
          <w:ilvl w:val="0"/>
          <w:numId w:val="297"/>
        </w:numPr>
        <w:ind w:left="1078" w:hanging="364"/>
        <w:rPr>
          <w:rFonts w:ascii="Times New Roman" w:eastAsia="Times New Roman" w:hAnsi="Times New Roman"/>
          <w:sz w:val="17"/>
          <w:szCs w:val="17"/>
        </w:rPr>
      </w:pPr>
      <w:r w:rsidRPr="00E70407">
        <w:rPr>
          <w:rFonts w:ascii="Times New Roman" w:eastAsia="Times New Roman" w:hAnsi="Times New Roman"/>
          <w:sz w:val="17"/>
          <w:szCs w:val="17"/>
        </w:rPr>
        <w:t>parents/guardians of apprentices and trainees</w:t>
      </w:r>
    </w:p>
    <w:p w:rsidR="00E70407" w:rsidRPr="00E70407" w:rsidRDefault="00E70407" w:rsidP="00E70407">
      <w:pPr>
        <w:numPr>
          <w:ilvl w:val="0"/>
          <w:numId w:val="297"/>
        </w:numPr>
        <w:ind w:left="1078" w:hanging="364"/>
        <w:rPr>
          <w:rFonts w:ascii="Times New Roman" w:eastAsia="Times New Roman" w:hAnsi="Times New Roman"/>
          <w:sz w:val="17"/>
          <w:szCs w:val="17"/>
        </w:rPr>
      </w:pPr>
      <w:r w:rsidRPr="00E70407">
        <w:rPr>
          <w:rFonts w:ascii="Times New Roman" w:eastAsia="Times New Roman" w:hAnsi="Times New Roman"/>
          <w:sz w:val="17"/>
          <w:szCs w:val="17"/>
        </w:rPr>
        <w:t>employers</w:t>
      </w:r>
    </w:p>
    <w:p w:rsidR="00E70407" w:rsidRPr="00E70407" w:rsidRDefault="00E70407" w:rsidP="00E70407">
      <w:pPr>
        <w:numPr>
          <w:ilvl w:val="0"/>
          <w:numId w:val="297"/>
        </w:numPr>
        <w:ind w:left="1078" w:hanging="364"/>
        <w:rPr>
          <w:rFonts w:ascii="Times New Roman" w:eastAsia="Times New Roman" w:hAnsi="Times New Roman"/>
          <w:sz w:val="17"/>
          <w:szCs w:val="17"/>
        </w:rPr>
      </w:pPr>
      <w:r w:rsidRPr="00E70407">
        <w:rPr>
          <w:rFonts w:ascii="Times New Roman" w:eastAsia="Times New Roman" w:hAnsi="Times New Roman"/>
          <w:sz w:val="17"/>
          <w:szCs w:val="17"/>
        </w:rPr>
        <w:t>Nominated Training Organisations (NTOs)</w:t>
      </w:r>
    </w:p>
    <w:p w:rsidR="00E70407" w:rsidRPr="00E70407" w:rsidRDefault="00E70407" w:rsidP="00E70407">
      <w:pPr>
        <w:numPr>
          <w:ilvl w:val="0"/>
          <w:numId w:val="297"/>
        </w:numPr>
        <w:ind w:left="1078" w:hanging="364"/>
        <w:rPr>
          <w:rFonts w:ascii="Times New Roman" w:eastAsia="Times New Roman" w:hAnsi="Times New Roman"/>
          <w:sz w:val="17"/>
          <w:szCs w:val="17"/>
        </w:rPr>
      </w:pPr>
      <w:r w:rsidRPr="00E70407">
        <w:rPr>
          <w:rFonts w:ascii="Times New Roman" w:eastAsia="Times New Roman" w:hAnsi="Times New Roman"/>
          <w:sz w:val="17"/>
          <w:szCs w:val="17"/>
        </w:rPr>
        <w:t>students</w:t>
      </w:r>
    </w:p>
    <w:p w:rsidR="00E70407" w:rsidRPr="00E70407" w:rsidRDefault="00E70407" w:rsidP="00E70407">
      <w:pPr>
        <w:numPr>
          <w:ilvl w:val="0"/>
          <w:numId w:val="297"/>
        </w:numPr>
        <w:ind w:left="1078" w:hanging="364"/>
        <w:rPr>
          <w:rFonts w:ascii="Times New Roman" w:eastAsia="Times New Roman" w:hAnsi="Times New Roman"/>
          <w:sz w:val="17"/>
          <w:szCs w:val="17"/>
          <w:u w:val="single"/>
        </w:rPr>
      </w:pPr>
      <w:r w:rsidRPr="00E70407">
        <w:rPr>
          <w:rFonts w:ascii="Times New Roman" w:eastAsia="Times New Roman" w:hAnsi="Times New Roman"/>
          <w:sz w:val="17"/>
          <w:szCs w:val="17"/>
        </w:rPr>
        <w:t>international students</w:t>
      </w:r>
    </w:p>
    <w:p w:rsidR="00E70407" w:rsidRPr="00E70407" w:rsidRDefault="00E70407" w:rsidP="00E70407">
      <w:pPr>
        <w:numPr>
          <w:ilvl w:val="0"/>
          <w:numId w:val="297"/>
        </w:numPr>
        <w:ind w:left="1078" w:hanging="364"/>
        <w:rPr>
          <w:rFonts w:ascii="Times New Roman" w:eastAsia="Times New Roman" w:hAnsi="Times New Roman"/>
          <w:sz w:val="17"/>
          <w:szCs w:val="17"/>
          <w:u w:val="single"/>
        </w:rPr>
      </w:pPr>
      <w:r w:rsidRPr="00E70407">
        <w:rPr>
          <w:rFonts w:ascii="Times New Roman" w:eastAsia="Times New Roman" w:hAnsi="Times New Roman"/>
          <w:sz w:val="17"/>
          <w:szCs w:val="17"/>
        </w:rPr>
        <w:lastRenderedPageBreak/>
        <w:t>the delegated regulator of the apprenticeship and traineeship system, where issues are identified through the course of regulating the system (including under Section 52).</w:t>
      </w:r>
    </w:p>
    <w:p w:rsidR="00E70407" w:rsidRPr="00E70407" w:rsidRDefault="00E70407" w:rsidP="00E70407">
      <w:pPr>
        <w:numPr>
          <w:ilvl w:val="1"/>
          <w:numId w:val="385"/>
        </w:numPr>
        <w:rPr>
          <w:rFonts w:ascii="Times New Roman" w:eastAsia="Times New Roman" w:hAnsi="Times New Roman"/>
          <w:b/>
          <w:bCs/>
          <w:sz w:val="17"/>
          <w:szCs w:val="17"/>
        </w:rPr>
      </w:pPr>
      <w:r w:rsidRPr="00E70407">
        <w:rPr>
          <w:rFonts w:ascii="Times New Roman" w:eastAsia="Times New Roman" w:hAnsi="Times New Roman"/>
          <w:b/>
          <w:bCs/>
          <w:sz w:val="17"/>
          <w:szCs w:val="17"/>
        </w:rPr>
        <w:t>Expectations of the parties</w:t>
      </w:r>
    </w:p>
    <w:p w:rsidR="00E70407" w:rsidRPr="00E70407" w:rsidRDefault="00E70407" w:rsidP="00E70407">
      <w:pPr>
        <w:numPr>
          <w:ilvl w:val="2"/>
          <w:numId w:val="386"/>
        </w:numPr>
        <w:rPr>
          <w:rFonts w:ascii="Times New Roman" w:eastAsia="Times New Roman" w:hAnsi="Times New Roman"/>
          <w:sz w:val="17"/>
          <w:szCs w:val="17"/>
        </w:rPr>
      </w:pPr>
      <w:r w:rsidRPr="00E70407">
        <w:rPr>
          <w:rFonts w:ascii="Times New Roman" w:eastAsia="Times New Roman" w:hAnsi="Times New Roman"/>
          <w:sz w:val="17"/>
          <w:szCs w:val="17"/>
        </w:rPr>
        <w:t>All parties accessing services of the Commission through complaint handling, mediation, advocacy, or dispute resolution are expected to:</w:t>
      </w:r>
    </w:p>
    <w:p w:rsidR="00E70407" w:rsidRPr="00E70407" w:rsidRDefault="00E70407" w:rsidP="00E70407">
      <w:pPr>
        <w:numPr>
          <w:ilvl w:val="0"/>
          <w:numId w:val="301"/>
        </w:numPr>
        <w:ind w:left="1134"/>
        <w:rPr>
          <w:rFonts w:ascii="Times New Roman" w:eastAsia="Times New Roman" w:hAnsi="Times New Roman"/>
          <w:sz w:val="17"/>
          <w:szCs w:val="17"/>
        </w:rPr>
      </w:pPr>
      <w:r w:rsidRPr="00E70407">
        <w:rPr>
          <w:rFonts w:ascii="Times New Roman" w:eastAsia="Times New Roman" w:hAnsi="Times New Roman"/>
          <w:sz w:val="17"/>
          <w:szCs w:val="17"/>
        </w:rPr>
        <w:t>attempt to resolve the matter with the other party verbally or in writing</w:t>
      </w:r>
    </w:p>
    <w:p w:rsidR="00E70407" w:rsidRPr="00E70407" w:rsidRDefault="00E70407" w:rsidP="00E70407">
      <w:pPr>
        <w:numPr>
          <w:ilvl w:val="0"/>
          <w:numId w:val="301"/>
        </w:numPr>
        <w:ind w:left="1134"/>
        <w:rPr>
          <w:rFonts w:ascii="Times New Roman" w:eastAsia="Times New Roman" w:hAnsi="Times New Roman"/>
          <w:sz w:val="17"/>
          <w:szCs w:val="17"/>
        </w:rPr>
      </w:pPr>
      <w:r w:rsidRPr="00E70407">
        <w:rPr>
          <w:rFonts w:ascii="Times New Roman" w:eastAsia="Times New Roman" w:hAnsi="Times New Roman"/>
          <w:sz w:val="17"/>
          <w:szCs w:val="17"/>
        </w:rPr>
        <w:t>provide full contact details including physical address, mobile number and email</w:t>
      </w:r>
    </w:p>
    <w:p w:rsidR="00E70407" w:rsidRPr="00E70407" w:rsidRDefault="00E70407" w:rsidP="00E70407">
      <w:pPr>
        <w:numPr>
          <w:ilvl w:val="0"/>
          <w:numId w:val="301"/>
        </w:numPr>
        <w:ind w:left="1134"/>
        <w:rPr>
          <w:rFonts w:ascii="Times New Roman" w:eastAsia="Times New Roman" w:hAnsi="Times New Roman"/>
          <w:sz w:val="17"/>
          <w:szCs w:val="17"/>
        </w:rPr>
      </w:pPr>
      <w:r w:rsidRPr="00E70407">
        <w:rPr>
          <w:rFonts w:ascii="Times New Roman" w:eastAsia="Times New Roman" w:hAnsi="Times New Roman"/>
          <w:sz w:val="17"/>
          <w:szCs w:val="17"/>
        </w:rPr>
        <w:t>provide copies of relevant correspondence, documentation, and evidence to the Commission</w:t>
      </w:r>
    </w:p>
    <w:p w:rsidR="00E70407" w:rsidRPr="00E70407" w:rsidRDefault="00E70407" w:rsidP="00E70407">
      <w:pPr>
        <w:numPr>
          <w:ilvl w:val="0"/>
          <w:numId w:val="301"/>
        </w:numPr>
        <w:ind w:left="1134"/>
        <w:rPr>
          <w:rFonts w:ascii="Times New Roman" w:eastAsia="Times New Roman" w:hAnsi="Times New Roman"/>
          <w:sz w:val="17"/>
          <w:szCs w:val="17"/>
        </w:rPr>
      </w:pPr>
      <w:r w:rsidRPr="00E70407">
        <w:rPr>
          <w:rFonts w:ascii="Times New Roman" w:eastAsia="Times New Roman" w:hAnsi="Times New Roman"/>
          <w:sz w:val="17"/>
          <w:szCs w:val="17"/>
        </w:rPr>
        <w:t>maintain appropriate contact with the Commission</w:t>
      </w:r>
    </w:p>
    <w:p w:rsidR="00E70407" w:rsidRPr="00E70407" w:rsidRDefault="00E70407" w:rsidP="00E70407">
      <w:pPr>
        <w:numPr>
          <w:ilvl w:val="0"/>
          <w:numId w:val="301"/>
        </w:numPr>
        <w:ind w:left="1134"/>
        <w:rPr>
          <w:rFonts w:ascii="Times New Roman" w:eastAsia="Times New Roman" w:hAnsi="Times New Roman"/>
          <w:sz w:val="17"/>
          <w:szCs w:val="17"/>
        </w:rPr>
      </w:pPr>
      <w:r w:rsidRPr="00E70407">
        <w:rPr>
          <w:rFonts w:ascii="Times New Roman" w:eastAsia="Times New Roman" w:hAnsi="Times New Roman"/>
          <w:sz w:val="17"/>
          <w:szCs w:val="17"/>
        </w:rPr>
        <w:t>maintain confidentiality</w:t>
      </w:r>
    </w:p>
    <w:p w:rsidR="00E70407" w:rsidRPr="00E70407" w:rsidRDefault="00E70407" w:rsidP="00E70407">
      <w:pPr>
        <w:numPr>
          <w:ilvl w:val="0"/>
          <w:numId w:val="301"/>
        </w:numPr>
        <w:ind w:left="1134"/>
        <w:rPr>
          <w:rFonts w:ascii="Times New Roman" w:eastAsia="Times New Roman" w:hAnsi="Times New Roman"/>
          <w:sz w:val="17"/>
          <w:szCs w:val="17"/>
        </w:rPr>
      </w:pPr>
      <w:r w:rsidRPr="00E70407">
        <w:rPr>
          <w:rFonts w:ascii="Times New Roman" w:eastAsia="Times New Roman" w:hAnsi="Times New Roman"/>
          <w:sz w:val="17"/>
          <w:szCs w:val="17"/>
        </w:rPr>
        <w:t>not disseminate information or advice provided by the Commission</w:t>
      </w:r>
    </w:p>
    <w:p w:rsidR="00E70407" w:rsidRPr="00E70407" w:rsidRDefault="00E70407" w:rsidP="00E70407">
      <w:pPr>
        <w:numPr>
          <w:ilvl w:val="0"/>
          <w:numId w:val="301"/>
        </w:numPr>
        <w:ind w:left="1134"/>
        <w:rPr>
          <w:rFonts w:ascii="Times New Roman" w:eastAsia="Times New Roman" w:hAnsi="Times New Roman"/>
          <w:sz w:val="17"/>
          <w:szCs w:val="17"/>
        </w:rPr>
      </w:pPr>
      <w:r w:rsidRPr="00E70407">
        <w:rPr>
          <w:rFonts w:ascii="Times New Roman" w:eastAsia="Times New Roman" w:hAnsi="Times New Roman"/>
          <w:sz w:val="17"/>
          <w:szCs w:val="17"/>
        </w:rPr>
        <w:t>not misuse confidential information</w:t>
      </w:r>
    </w:p>
    <w:p w:rsidR="00E70407" w:rsidRPr="00E70407" w:rsidRDefault="00E70407" w:rsidP="00E70407">
      <w:pPr>
        <w:numPr>
          <w:ilvl w:val="0"/>
          <w:numId w:val="301"/>
        </w:numPr>
        <w:ind w:left="1134"/>
        <w:rPr>
          <w:rFonts w:ascii="Times New Roman" w:eastAsia="Times New Roman" w:hAnsi="Times New Roman"/>
          <w:sz w:val="17"/>
          <w:szCs w:val="17"/>
        </w:rPr>
      </w:pPr>
      <w:r w:rsidRPr="00E70407">
        <w:rPr>
          <w:rFonts w:ascii="Times New Roman" w:eastAsia="Times New Roman" w:hAnsi="Times New Roman"/>
          <w:sz w:val="17"/>
          <w:szCs w:val="17"/>
        </w:rPr>
        <w:t>make and attend appointments, as required</w:t>
      </w:r>
    </w:p>
    <w:p w:rsidR="00E70407" w:rsidRPr="00E70407" w:rsidRDefault="00E70407" w:rsidP="00E70407">
      <w:pPr>
        <w:numPr>
          <w:ilvl w:val="0"/>
          <w:numId w:val="301"/>
        </w:numPr>
        <w:ind w:left="1134"/>
        <w:rPr>
          <w:rFonts w:ascii="Times New Roman" w:eastAsia="Times New Roman" w:hAnsi="Times New Roman"/>
          <w:sz w:val="17"/>
          <w:szCs w:val="17"/>
        </w:rPr>
      </w:pPr>
      <w:r w:rsidRPr="00E70407">
        <w:rPr>
          <w:rFonts w:ascii="Times New Roman" w:eastAsia="Times New Roman" w:hAnsi="Times New Roman"/>
          <w:sz w:val="17"/>
          <w:szCs w:val="17"/>
        </w:rPr>
        <w:t>follow all reasonable instructions</w:t>
      </w:r>
    </w:p>
    <w:p w:rsidR="00E70407" w:rsidRPr="00E70407" w:rsidRDefault="00E70407" w:rsidP="00E70407">
      <w:pPr>
        <w:numPr>
          <w:ilvl w:val="0"/>
          <w:numId w:val="301"/>
        </w:numPr>
        <w:ind w:left="1134"/>
        <w:rPr>
          <w:rFonts w:ascii="Times New Roman" w:eastAsia="Times New Roman" w:hAnsi="Times New Roman"/>
          <w:sz w:val="17"/>
          <w:szCs w:val="17"/>
        </w:rPr>
      </w:pPr>
      <w:r w:rsidRPr="00E70407">
        <w:rPr>
          <w:rFonts w:ascii="Times New Roman" w:eastAsia="Times New Roman" w:hAnsi="Times New Roman"/>
          <w:sz w:val="17"/>
          <w:szCs w:val="17"/>
        </w:rPr>
        <w:t>comply with any other reasonable requirement of the Commission in relation to the dispute resolution.</w:t>
      </w:r>
    </w:p>
    <w:p w:rsidR="00E70407" w:rsidRPr="00E70407" w:rsidRDefault="00E70407" w:rsidP="00E70407">
      <w:pPr>
        <w:numPr>
          <w:ilvl w:val="2"/>
          <w:numId w:val="386"/>
        </w:numPr>
        <w:rPr>
          <w:rFonts w:ascii="Times New Roman" w:eastAsia="Times New Roman" w:hAnsi="Times New Roman"/>
          <w:sz w:val="17"/>
          <w:szCs w:val="17"/>
        </w:rPr>
      </w:pPr>
      <w:r w:rsidRPr="00E70407">
        <w:rPr>
          <w:rFonts w:ascii="Times New Roman" w:eastAsia="Times New Roman" w:hAnsi="Times New Roman"/>
          <w:sz w:val="17"/>
          <w:szCs w:val="17"/>
        </w:rPr>
        <w:t>Parties may raise complaints confidentially, however, the Commission will be limited in what action it can take in these circumstances.</w:t>
      </w:r>
    </w:p>
    <w:p w:rsidR="00E70407" w:rsidRPr="00E70407" w:rsidRDefault="00E70407" w:rsidP="00E70407">
      <w:pPr>
        <w:numPr>
          <w:ilvl w:val="1"/>
          <w:numId w:val="386"/>
        </w:numPr>
        <w:rPr>
          <w:rFonts w:ascii="Times New Roman" w:eastAsia="Times New Roman" w:hAnsi="Times New Roman"/>
          <w:b/>
          <w:bCs/>
          <w:sz w:val="17"/>
          <w:szCs w:val="17"/>
        </w:rPr>
      </w:pPr>
      <w:r w:rsidRPr="00E70407">
        <w:rPr>
          <w:rFonts w:ascii="Times New Roman" w:eastAsia="Times New Roman" w:hAnsi="Times New Roman"/>
          <w:b/>
          <w:bCs/>
          <w:sz w:val="17"/>
          <w:szCs w:val="17"/>
        </w:rPr>
        <w:t>Complaint handling</w:t>
      </w:r>
    </w:p>
    <w:p w:rsidR="00E70407" w:rsidRPr="00E70407" w:rsidRDefault="00E70407" w:rsidP="00E70407">
      <w:pPr>
        <w:numPr>
          <w:ilvl w:val="2"/>
          <w:numId w:val="386"/>
        </w:numPr>
        <w:rPr>
          <w:rFonts w:ascii="Times New Roman" w:eastAsia="Times New Roman" w:hAnsi="Times New Roman"/>
          <w:sz w:val="17"/>
          <w:szCs w:val="17"/>
        </w:rPr>
      </w:pPr>
      <w:r w:rsidRPr="00E70407">
        <w:rPr>
          <w:rFonts w:ascii="Times New Roman" w:eastAsia="Times New Roman" w:hAnsi="Times New Roman"/>
          <w:sz w:val="17"/>
          <w:szCs w:val="17"/>
        </w:rPr>
        <w:t>The Commission will provide an independent complaint handling service and investigate complaints relating to the provision of apprenticeships and traineeships, vocational education and training, higher education or international education.</w:t>
      </w:r>
    </w:p>
    <w:p w:rsidR="00E70407" w:rsidRPr="00E70407" w:rsidRDefault="00E70407" w:rsidP="00E70407">
      <w:pPr>
        <w:numPr>
          <w:ilvl w:val="2"/>
          <w:numId w:val="386"/>
        </w:numPr>
        <w:rPr>
          <w:rFonts w:ascii="Times New Roman" w:eastAsia="Times New Roman" w:hAnsi="Times New Roman"/>
          <w:sz w:val="17"/>
          <w:szCs w:val="17"/>
        </w:rPr>
      </w:pPr>
      <w:r w:rsidRPr="00E70407">
        <w:rPr>
          <w:rFonts w:ascii="Times New Roman" w:eastAsia="Times New Roman" w:hAnsi="Times New Roman"/>
          <w:sz w:val="17"/>
          <w:szCs w:val="17"/>
        </w:rPr>
        <w:t>The independent complaint handling process may include:</w:t>
      </w:r>
    </w:p>
    <w:p w:rsidR="00E70407" w:rsidRPr="00E70407" w:rsidRDefault="00E70407" w:rsidP="00E70407">
      <w:pPr>
        <w:numPr>
          <w:ilvl w:val="0"/>
          <w:numId w:val="298"/>
        </w:numPr>
        <w:ind w:left="1134"/>
        <w:rPr>
          <w:rFonts w:ascii="Times New Roman" w:eastAsia="Times New Roman" w:hAnsi="Times New Roman"/>
          <w:sz w:val="17"/>
          <w:szCs w:val="17"/>
        </w:rPr>
      </w:pPr>
      <w:r w:rsidRPr="00E70407">
        <w:rPr>
          <w:rFonts w:ascii="Times New Roman" w:eastAsia="Times New Roman" w:hAnsi="Times New Roman"/>
          <w:sz w:val="17"/>
          <w:szCs w:val="17"/>
        </w:rPr>
        <w:t>the investigation of a complaint</w:t>
      </w:r>
    </w:p>
    <w:p w:rsidR="00E70407" w:rsidRPr="00E70407" w:rsidRDefault="00E70407" w:rsidP="00E70407">
      <w:pPr>
        <w:numPr>
          <w:ilvl w:val="0"/>
          <w:numId w:val="298"/>
        </w:numPr>
        <w:ind w:left="1134"/>
        <w:rPr>
          <w:rFonts w:ascii="Times New Roman" w:eastAsia="Times New Roman" w:hAnsi="Times New Roman"/>
          <w:sz w:val="17"/>
          <w:szCs w:val="17"/>
        </w:rPr>
      </w:pPr>
      <w:r w:rsidRPr="00E70407">
        <w:rPr>
          <w:rFonts w:ascii="Times New Roman" w:eastAsia="Times New Roman" w:hAnsi="Times New Roman"/>
          <w:sz w:val="17"/>
          <w:szCs w:val="17"/>
        </w:rPr>
        <w:t>the negotiation and mediation of matters arising out of a complaint</w:t>
      </w:r>
    </w:p>
    <w:p w:rsidR="00E70407" w:rsidRPr="00E70407" w:rsidRDefault="00E70407" w:rsidP="00E70407">
      <w:pPr>
        <w:numPr>
          <w:ilvl w:val="0"/>
          <w:numId w:val="298"/>
        </w:numPr>
        <w:ind w:left="1134"/>
        <w:rPr>
          <w:rFonts w:ascii="Times New Roman" w:eastAsia="Times New Roman" w:hAnsi="Times New Roman"/>
          <w:sz w:val="17"/>
          <w:szCs w:val="17"/>
        </w:rPr>
      </w:pPr>
      <w:r w:rsidRPr="00E70407">
        <w:rPr>
          <w:rFonts w:ascii="Times New Roman" w:eastAsia="Times New Roman" w:hAnsi="Times New Roman"/>
          <w:sz w:val="17"/>
          <w:szCs w:val="17"/>
        </w:rPr>
        <w:t>making recommendations in relation to complaints</w:t>
      </w:r>
    </w:p>
    <w:p w:rsidR="00E70407" w:rsidRPr="00E70407" w:rsidRDefault="00E70407" w:rsidP="00E70407">
      <w:pPr>
        <w:numPr>
          <w:ilvl w:val="0"/>
          <w:numId w:val="298"/>
        </w:numPr>
        <w:ind w:left="1134"/>
        <w:rPr>
          <w:rFonts w:ascii="Times New Roman" w:eastAsia="Times New Roman" w:hAnsi="Times New Roman"/>
          <w:sz w:val="17"/>
          <w:szCs w:val="17"/>
        </w:rPr>
      </w:pPr>
      <w:r w:rsidRPr="00E70407">
        <w:rPr>
          <w:rFonts w:ascii="Times New Roman" w:eastAsia="Times New Roman" w:hAnsi="Times New Roman"/>
          <w:sz w:val="17"/>
          <w:szCs w:val="17"/>
        </w:rPr>
        <w:t>notifying the parties of the outcome of the complaint within a reasonable timeframe.</w:t>
      </w:r>
    </w:p>
    <w:p w:rsidR="00E70407" w:rsidRPr="00E70407" w:rsidRDefault="00E70407" w:rsidP="00E70407">
      <w:pPr>
        <w:numPr>
          <w:ilvl w:val="1"/>
          <w:numId w:val="386"/>
        </w:numPr>
        <w:rPr>
          <w:rFonts w:ascii="Times New Roman" w:eastAsia="Times New Roman" w:hAnsi="Times New Roman"/>
          <w:b/>
          <w:bCs/>
          <w:sz w:val="17"/>
          <w:szCs w:val="17"/>
        </w:rPr>
      </w:pPr>
      <w:r w:rsidRPr="00E70407">
        <w:rPr>
          <w:rFonts w:ascii="Times New Roman" w:eastAsia="Times New Roman" w:hAnsi="Times New Roman"/>
          <w:b/>
          <w:bCs/>
          <w:sz w:val="17"/>
          <w:szCs w:val="17"/>
        </w:rPr>
        <w:t>Advocacy</w:t>
      </w:r>
    </w:p>
    <w:p w:rsidR="00E70407" w:rsidRPr="00E70407" w:rsidRDefault="00E70407" w:rsidP="00E70407">
      <w:pPr>
        <w:numPr>
          <w:ilvl w:val="2"/>
          <w:numId w:val="386"/>
        </w:numPr>
        <w:rPr>
          <w:rFonts w:ascii="Times New Roman" w:eastAsia="Times New Roman" w:hAnsi="Times New Roman"/>
          <w:sz w:val="17"/>
          <w:szCs w:val="17"/>
        </w:rPr>
      </w:pPr>
      <w:r w:rsidRPr="00E70407">
        <w:rPr>
          <w:rFonts w:ascii="Times New Roman" w:eastAsia="Times New Roman" w:hAnsi="Times New Roman"/>
          <w:sz w:val="17"/>
          <w:szCs w:val="17"/>
        </w:rPr>
        <w:t>The Commission may speak for and negotiate on behalf of:</w:t>
      </w:r>
    </w:p>
    <w:p w:rsidR="00E70407" w:rsidRPr="00E70407" w:rsidRDefault="00E70407" w:rsidP="00E70407">
      <w:pPr>
        <w:numPr>
          <w:ilvl w:val="0"/>
          <w:numId w:val="300"/>
        </w:numPr>
        <w:ind w:left="1134"/>
        <w:rPr>
          <w:rFonts w:ascii="Times New Roman" w:eastAsia="Times New Roman" w:hAnsi="Times New Roman"/>
          <w:sz w:val="17"/>
          <w:szCs w:val="17"/>
        </w:rPr>
      </w:pPr>
      <w:r w:rsidRPr="00E70407">
        <w:rPr>
          <w:rFonts w:ascii="Times New Roman" w:eastAsia="Times New Roman" w:hAnsi="Times New Roman"/>
          <w:sz w:val="17"/>
          <w:szCs w:val="17"/>
        </w:rPr>
        <w:t>education and training providers and clients of education and training providers, in the resolution of any matters arising out of the delivery of education and training</w:t>
      </w:r>
    </w:p>
    <w:p w:rsidR="00E70407" w:rsidRPr="00E70407" w:rsidRDefault="00E70407" w:rsidP="00E70407">
      <w:pPr>
        <w:numPr>
          <w:ilvl w:val="0"/>
          <w:numId w:val="300"/>
        </w:numPr>
        <w:ind w:left="1134"/>
        <w:rPr>
          <w:rFonts w:ascii="Times New Roman" w:eastAsia="Times New Roman" w:hAnsi="Times New Roman"/>
          <w:sz w:val="17"/>
          <w:szCs w:val="17"/>
        </w:rPr>
      </w:pPr>
      <w:r w:rsidRPr="00E70407">
        <w:rPr>
          <w:rFonts w:ascii="Times New Roman" w:eastAsia="Times New Roman" w:hAnsi="Times New Roman"/>
          <w:sz w:val="17"/>
          <w:szCs w:val="17"/>
        </w:rPr>
        <w:t>an employer, an apprentice/ trainee and/or an NTO in the resolution of any matters arising in relation to a Training Contract with the other party/parties to the Training Contract</w:t>
      </w:r>
    </w:p>
    <w:p w:rsidR="00E70407" w:rsidRPr="00E70407" w:rsidRDefault="00E70407" w:rsidP="00E70407">
      <w:pPr>
        <w:numPr>
          <w:ilvl w:val="0"/>
          <w:numId w:val="300"/>
        </w:numPr>
        <w:ind w:left="1134"/>
        <w:rPr>
          <w:rFonts w:ascii="Times New Roman" w:eastAsia="Times New Roman" w:hAnsi="Times New Roman"/>
          <w:sz w:val="17"/>
          <w:szCs w:val="17"/>
        </w:rPr>
      </w:pPr>
      <w:r w:rsidRPr="00E70407">
        <w:rPr>
          <w:rFonts w:ascii="Times New Roman" w:eastAsia="Times New Roman" w:hAnsi="Times New Roman"/>
          <w:sz w:val="17"/>
          <w:szCs w:val="17"/>
        </w:rPr>
        <w:t>an employer or an apprentice/ trainee in the resolution of any matters arising in relation to a Training Contract, including by providing advocacy services for parties in proceedings before the SAET.</w:t>
      </w:r>
    </w:p>
    <w:p w:rsidR="00E70407" w:rsidRPr="00E70407" w:rsidRDefault="00E70407" w:rsidP="00E70407">
      <w:pPr>
        <w:numPr>
          <w:ilvl w:val="1"/>
          <w:numId w:val="386"/>
        </w:numPr>
        <w:rPr>
          <w:rFonts w:ascii="Times New Roman" w:eastAsia="Times New Roman" w:hAnsi="Times New Roman"/>
          <w:b/>
          <w:bCs/>
          <w:sz w:val="17"/>
          <w:szCs w:val="17"/>
        </w:rPr>
      </w:pPr>
      <w:r w:rsidRPr="00E70407">
        <w:rPr>
          <w:rFonts w:ascii="Times New Roman" w:eastAsia="Times New Roman" w:hAnsi="Times New Roman"/>
          <w:b/>
          <w:bCs/>
          <w:sz w:val="17"/>
          <w:szCs w:val="17"/>
        </w:rPr>
        <w:t>Mediation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xml:space="preserve">, S54N, S54O, s64, </w:t>
      </w:r>
      <w:r w:rsidRPr="00E70407">
        <w:rPr>
          <w:rFonts w:ascii="Times New Roman" w:eastAsia="Times New Roman" w:hAnsi="Times New Roman"/>
          <w:b/>
          <w:bCs/>
          <w:i/>
          <w:iCs/>
          <w:sz w:val="17"/>
          <w:szCs w:val="17"/>
        </w:rPr>
        <w:t xml:space="preserve">Regulation </w:t>
      </w:r>
      <w:r w:rsidRPr="00E70407">
        <w:rPr>
          <w:rFonts w:ascii="Times New Roman" w:eastAsia="Times New Roman" w:hAnsi="Times New Roman"/>
          <w:b/>
          <w:bCs/>
          <w:sz w:val="17"/>
          <w:szCs w:val="17"/>
        </w:rPr>
        <w:t>13)</w:t>
      </w:r>
    </w:p>
    <w:p w:rsidR="00E70407" w:rsidRPr="00E70407" w:rsidRDefault="00E70407" w:rsidP="00E70407">
      <w:pPr>
        <w:numPr>
          <w:ilvl w:val="2"/>
          <w:numId w:val="386"/>
        </w:numPr>
        <w:rPr>
          <w:rFonts w:ascii="Times New Roman" w:eastAsia="Times New Roman" w:hAnsi="Times New Roman"/>
          <w:sz w:val="17"/>
          <w:szCs w:val="17"/>
        </w:rPr>
      </w:pPr>
      <w:r w:rsidRPr="00E70407">
        <w:rPr>
          <w:rFonts w:ascii="Times New Roman" w:eastAsia="Times New Roman" w:hAnsi="Times New Roman"/>
          <w:sz w:val="17"/>
          <w:szCs w:val="17"/>
        </w:rPr>
        <w:t>The Commission may provide mediation between parties to a Training Contract or between previous and proposed employers, in the case of transfer. Mediation aims to resolve disputes in a timely manner and the parties are encouraged to act in good faith during discussions or negotiations to reach an outcome that is satisfactory for all parties.</w:t>
      </w:r>
    </w:p>
    <w:p w:rsidR="00E70407" w:rsidRPr="00E70407" w:rsidRDefault="00E70407" w:rsidP="00E70407">
      <w:pPr>
        <w:numPr>
          <w:ilvl w:val="2"/>
          <w:numId w:val="386"/>
        </w:numPr>
        <w:rPr>
          <w:rFonts w:ascii="Times New Roman" w:eastAsia="Times New Roman" w:hAnsi="Times New Roman"/>
          <w:sz w:val="17"/>
          <w:szCs w:val="17"/>
        </w:rPr>
      </w:pPr>
      <w:r w:rsidRPr="00E70407">
        <w:rPr>
          <w:rFonts w:ascii="Times New Roman" w:eastAsia="Times New Roman" w:hAnsi="Times New Roman"/>
          <w:sz w:val="17"/>
          <w:szCs w:val="17"/>
        </w:rPr>
        <w:t>The Commission may provide mediation services in the following instances:</w:t>
      </w:r>
    </w:p>
    <w:p w:rsidR="00E70407" w:rsidRPr="00E70407" w:rsidRDefault="00E70407" w:rsidP="00E70407">
      <w:pPr>
        <w:numPr>
          <w:ilvl w:val="0"/>
          <w:numId w:val="299"/>
        </w:numPr>
        <w:ind w:left="1134"/>
        <w:rPr>
          <w:rFonts w:ascii="Times New Roman" w:eastAsia="Times New Roman" w:hAnsi="Times New Roman"/>
          <w:sz w:val="17"/>
          <w:szCs w:val="17"/>
        </w:rPr>
      </w:pPr>
      <w:r w:rsidRPr="00E70407">
        <w:rPr>
          <w:rFonts w:ascii="Times New Roman" w:eastAsia="Times New Roman" w:hAnsi="Times New Roman"/>
          <w:sz w:val="17"/>
          <w:szCs w:val="17"/>
        </w:rPr>
        <w:t>arising from a complaint as outlined above</w:t>
      </w:r>
    </w:p>
    <w:p w:rsidR="00E70407" w:rsidRPr="00E70407" w:rsidRDefault="00E70407" w:rsidP="00E70407">
      <w:pPr>
        <w:numPr>
          <w:ilvl w:val="0"/>
          <w:numId w:val="299"/>
        </w:numPr>
        <w:ind w:left="1134"/>
        <w:rPr>
          <w:rFonts w:ascii="Times New Roman" w:eastAsia="Times New Roman" w:hAnsi="Times New Roman"/>
          <w:sz w:val="17"/>
          <w:szCs w:val="17"/>
        </w:rPr>
      </w:pPr>
      <w:r w:rsidRPr="00E70407">
        <w:rPr>
          <w:rFonts w:ascii="Times New Roman" w:eastAsia="Times New Roman" w:hAnsi="Times New Roman"/>
          <w:sz w:val="17"/>
          <w:szCs w:val="17"/>
        </w:rPr>
        <w:t>referral of a matter by an employer where an apprentice or trainee has been suspended for serious misconduct</w:t>
      </w:r>
    </w:p>
    <w:p w:rsidR="00E70407" w:rsidRPr="00E70407" w:rsidRDefault="00E70407" w:rsidP="00E70407">
      <w:pPr>
        <w:numPr>
          <w:ilvl w:val="0"/>
          <w:numId w:val="299"/>
        </w:numPr>
        <w:ind w:left="1134"/>
        <w:rPr>
          <w:rFonts w:ascii="Times New Roman" w:eastAsia="Times New Roman" w:hAnsi="Times New Roman"/>
          <w:sz w:val="17"/>
          <w:szCs w:val="17"/>
        </w:rPr>
      </w:pPr>
      <w:r w:rsidRPr="00E70407">
        <w:rPr>
          <w:rFonts w:ascii="Times New Roman" w:eastAsia="Times New Roman" w:hAnsi="Times New Roman"/>
          <w:sz w:val="17"/>
          <w:szCs w:val="17"/>
        </w:rPr>
        <w:t xml:space="preserve">where there is disagreement between the parties in relation to the transfer fee under Section 54O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xml:space="preserve"> and </w:t>
      </w:r>
      <w:r w:rsidRPr="00E70407">
        <w:rPr>
          <w:rFonts w:ascii="Times New Roman" w:eastAsia="Times New Roman" w:hAnsi="Times New Roman"/>
          <w:i/>
          <w:iCs/>
          <w:sz w:val="17"/>
          <w:szCs w:val="17"/>
        </w:rPr>
        <w:t xml:space="preserve">Regulation </w:t>
      </w:r>
      <w:r w:rsidRPr="00E70407">
        <w:rPr>
          <w:rFonts w:ascii="Times New Roman" w:eastAsia="Times New Roman" w:hAnsi="Times New Roman"/>
          <w:sz w:val="17"/>
          <w:szCs w:val="17"/>
        </w:rPr>
        <w:t>12</w:t>
      </w:r>
    </w:p>
    <w:p w:rsidR="00E70407" w:rsidRPr="00E70407" w:rsidRDefault="00E70407" w:rsidP="00E70407">
      <w:pPr>
        <w:numPr>
          <w:ilvl w:val="0"/>
          <w:numId w:val="299"/>
        </w:numPr>
        <w:ind w:left="1134"/>
        <w:rPr>
          <w:rFonts w:ascii="Times New Roman" w:eastAsia="Times New Roman" w:hAnsi="Times New Roman"/>
          <w:sz w:val="17"/>
          <w:szCs w:val="17"/>
        </w:rPr>
      </w:pPr>
      <w:r w:rsidRPr="00E70407">
        <w:rPr>
          <w:rFonts w:ascii="Times New Roman" w:eastAsia="Times New Roman" w:hAnsi="Times New Roman"/>
          <w:sz w:val="17"/>
          <w:szCs w:val="17"/>
        </w:rPr>
        <w:t>any other instances where the Commission sees fit.</w:t>
      </w:r>
    </w:p>
    <w:p w:rsidR="00E70407" w:rsidRPr="00E70407" w:rsidRDefault="00E70407" w:rsidP="00E70407">
      <w:pPr>
        <w:numPr>
          <w:ilvl w:val="2"/>
          <w:numId w:val="386"/>
        </w:numPr>
        <w:rPr>
          <w:rFonts w:ascii="Times New Roman" w:eastAsia="Times New Roman" w:hAnsi="Times New Roman"/>
          <w:sz w:val="17"/>
          <w:szCs w:val="17"/>
        </w:rPr>
      </w:pPr>
      <w:r w:rsidRPr="00E70407">
        <w:rPr>
          <w:rFonts w:ascii="Times New Roman" w:eastAsia="Times New Roman" w:hAnsi="Times New Roman"/>
          <w:sz w:val="17"/>
          <w:szCs w:val="17"/>
        </w:rPr>
        <w:t>An explicit settlement agreement made between the parties as a result of a mediation (facilitated by the Commission) is legally enforceable.</w:t>
      </w:r>
    </w:p>
    <w:p w:rsidR="00E70407" w:rsidRPr="00E70407" w:rsidRDefault="00E70407" w:rsidP="00E70407">
      <w:pPr>
        <w:numPr>
          <w:ilvl w:val="2"/>
          <w:numId w:val="386"/>
        </w:numPr>
        <w:rPr>
          <w:rFonts w:ascii="Times New Roman" w:eastAsia="Times New Roman" w:hAnsi="Times New Roman"/>
          <w:sz w:val="17"/>
          <w:szCs w:val="17"/>
        </w:rPr>
      </w:pPr>
      <w:r w:rsidRPr="00E70407">
        <w:rPr>
          <w:rFonts w:ascii="Times New Roman" w:eastAsia="Times New Roman" w:hAnsi="Times New Roman"/>
          <w:sz w:val="17"/>
          <w:szCs w:val="17"/>
        </w:rPr>
        <w:t>If a matter related to wilful and serious misconduct is unable to be resolved by mediation, the employer must as soon as is reasonably practicable after the conclusion of the mediation (but in any event within 3 days), refer the matter to the SAET for consideration.</w:t>
      </w:r>
    </w:p>
    <w:p w:rsidR="00E70407" w:rsidRPr="00E70407" w:rsidRDefault="00E70407" w:rsidP="00E70407">
      <w:pPr>
        <w:numPr>
          <w:ilvl w:val="1"/>
          <w:numId w:val="386"/>
        </w:numPr>
        <w:rPr>
          <w:rFonts w:ascii="Times New Roman" w:eastAsia="Times New Roman" w:hAnsi="Times New Roman"/>
          <w:b/>
          <w:bCs/>
          <w:sz w:val="17"/>
          <w:szCs w:val="17"/>
        </w:rPr>
      </w:pPr>
      <w:r w:rsidRPr="00E70407">
        <w:rPr>
          <w:rFonts w:ascii="Times New Roman" w:eastAsia="Times New Roman" w:hAnsi="Times New Roman"/>
          <w:b/>
          <w:bCs/>
          <w:sz w:val="17"/>
          <w:szCs w:val="17"/>
        </w:rPr>
        <w:t>Dispute resolution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S52)</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12.6.1 </w:t>
      </w:r>
      <w:r w:rsidRPr="00E70407">
        <w:rPr>
          <w:rFonts w:ascii="Times New Roman" w:eastAsia="Times New Roman" w:hAnsi="Times New Roman"/>
          <w:sz w:val="17"/>
          <w:szCs w:val="17"/>
        </w:rPr>
        <w:tab/>
        <w:t>Parties who wish to vary a Training Contract must mutually agree to do so via application to the Commission. An exception to this is a withdrawal from a Training Contract during a probationary period, where mutual agreement is not required and either party can apply individually to the Commission.</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12.6.2 </w:t>
      </w:r>
      <w:r w:rsidRPr="00E70407">
        <w:rPr>
          <w:rFonts w:ascii="Times New Roman" w:eastAsia="Times New Roman" w:hAnsi="Times New Roman"/>
          <w:sz w:val="17"/>
          <w:szCs w:val="17"/>
        </w:rPr>
        <w:tab/>
        <w:t xml:space="preserve">Under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the Commission may, before determining an application for termination, suspension, or substitution of an employer in relation to a Training Contract, require the parties to the Training Contract to undertake dispute resolution of a specified kind.</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12.6.3 </w:t>
      </w:r>
      <w:r w:rsidRPr="00E70407">
        <w:rPr>
          <w:rFonts w:ascii="Times New Roman" w:eastAsia="Times New Roman" w:hAnsi="Times New Roman"/>
          <w:sz w:val="17"/>
          <w:szCs w:val="17"/>
        </w:rPr>
        <w:tab/>
        <w:t xml:space="preserve">For the purposes of Section 52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dispute resolution may be undertaken by the Commission in accordance with the approach to mediation outlined in clause 12.5. In addition, or as an alternative, the Commission may use direct negotiation when attempting to resolve disputes. Each dispute will be individually assessed.</w:t>
      </w:r>
    </w:p>
    <w:p w:rsidR="00E70407" w:rsidRPr="00E70407" w:rsidRDefault="00E70407" w:rsidP="00E70407">
      <w:pPr>
        <w:numPr>
          <w:ilvl w:val="1"/>
          <w:numId w:val="386"/>
        </w:numPr>
        <w:rPr>
          <w:rFonts w:ascii="Times New Roman" w:eastAsia="Times New Roman" w:hAnsi="Times New Roman"/>
          <w:b/>
          <w:bCs/>
          <w:sz w:val="17"/>
          <w:szCs w:val="17"/>
        </w:rPr>
      </w:pPr>
      <w:r w:rsidRPr="00E70407">
        <w:rPr>
          <w:rFonts w:ascii="Times New Roman" w:eastAsia="Times New Roman" w:hAnsi="Times New Roman"/>
          <w:b/>
          <w:bCs/>
          <w:sz w:val="17"/>
          <w:szCs w:val="17"/>
        </w:rPr>
        <w:t>Suspension for wilful and serious misconduct (</w:t>
      </w:r>
      <w:r w:rsidRPr="00E70407">
        <w:rPr>
          <w:rFonts w:ascii="Times New Roman" w:eastAsia="Times New Roman" w:hAnsi="Times New Roman"/>
          <w:b/>
          <w:bCs/>
          <w:i/>
          <w:iCs/>
          <w:sz w:val="17"/>
          <w:szCs w:val="17"/>
        </w:rPr>
        <w:t>SAS Act</w:t>
      </w:r>
      <w:r w:rsidRPr="00E70407">
        <w:rPr>
          <w:rFonts w:ascii="Times New Roman" w:eastAsia="Times New Roman" w:hAnsi="Times New Roman"/>
          <w:b/>
          <w:bCs/>
          <w:sz w:val="17"/>
          <w:szCs w:val="17"/>
        </w:rPr>
        <w:t>, S64, s65)</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12.7.1 </w:t>
      </w:r>
      <w:r w:rsidRPr="00E70407">
        <w:rPr>
          <w:rFonts w:ascii="Times New Roman" w:eastAsia="Times New Roman" w:hAnsi="Times New Roman"/>
          <w:sz w:val="17"/>
          <w:szCs w:val="17"/>
        </w:rPr>
        <w:tab/>
        <w:t xml:space="preserve">An employer may suspend an apprentice or trainee for serious misconduct if the employer has reasonable grounds to believe that an apprentice or trainee employed by the employer is guilty of wilful and serious misconduct. </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lastRenderedPageBreak/>
        <w:t xml:space="preserve">12.7.2 </w:t>
      </w:r>
      <w:r w:rsidRPr="00E70407">
        <w:rPr>
          <w:rFonts w:ascii="Times New Roman" w:eastAsia="Times New Roman" w:hAnsi="Times New Roman"/>
          <w:sz w:val="17"/>
          <w:szCs w:val="17"/>
        </w:rPr>
        <w:tab/>
        <w:t xml:space="preserve">The employer may, without first obtaining the approval of the Commission, suspend the apprentice or trainee from employment under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12.7.3 </w:t>
      </w:r>
      <w:r w:rsidRPr="00E70407">
        <w:rPr>
          <w:rFonts w:ascii="Times New Roman" w:eastAsia="Times New Roman" w:hAnsi="Times New Roman"/>
          <w:sz w:val="17"/>
          <w:szCs w:val="17"/>
        </w:rPr>
        <w:tab/>
        <w:t>A suspension under this Section will cease after 7 working days, unless cancelled sooner, except where:</w:t>
      </w:r>
    </w:p>
    <w:p w:rsidR="00E70407" w:rsidRPr="00E70407" w:rsidRDefault="00E70407" w:rsidP="00E70407">
      <w:pPr>
        <w:numPr>
          <w:ilvl w:val="0"/>
          <w:numId w:val="296"/>
        </w:numPr>
        <w:ind w:left="1078"/>
        <w:rPr>
          <w:rFonts w:ascii="Times New Roman" w:eastAsia="Times New Roman" w:hAnsi="Times New Roman"/>
          <w:sz w:val="17"/>
          <w:szCs w:val="17"/>
        </w:rPr>
      </w:pPr>
      <w:r w:rsidRPr="00E70407">
        <w:rPr>
          <w:rFonts w:ascii="Times New Roman" w:eastAsia="Times New Roman" w:hAnsi="Times New Roman"/>
          <w:sz w:val="17"/>
          <w:szCs w:val="17"/>
        </w:rPr>
        <w:t xml:space="preserve">the employer and the trainee or apprentice agree to a longer suspension (whether in the course of mediation or otherwise) </w:t>
      </w:r>
    </w:p>
    <w:p w:rsidR="00E70407" w:rsidRPr="00E70407" w:rsidRDefault="00E70407" w:rsidP="00E70407">
      <w:pPr>
        <w:numPr>
          <w:ilvl w:val="0"/>
          <w:numId w:val="296"/>
        </w:numPr>
        <w:ind w:left="1078"/>
        <w:rPr>
          <w:rFonts w:ascii="Times New Roman" w:eastAsia="Times New Roman" w:hAnsi="Times New Roman"/>
          <w:sz w:val="17"/>
          <w:szCs w:val="17"/>
        </w:rPr>
      </w:pPr>
      <w:r w:rsidRPr="00E70407">
        <w:rPr>
          <w:rFonts w:ascii="Times New Roman" w:eastAsia="Times New Roman" w:hAnsi="Times New Roman"/>
          <w:sz w:val="17"/>
          <w:szCs w:val="17"/>
        </w:rPr>
        <w:t xml:space="preserve">the Commission extends the suspension for a specified period (not being more than 3 business days after the conclusion of the mediation) </w:t>
      </w:r>
    </w:p>
    <w:p w:rsidR="00E70407" w:rsidRPr="00E70407" w:rsidRDefault="00E70407" w:rsidP="00E70407">
      <w:pPr>
        <w:numPr>
          <w:ilvl w:val="0"/>
          <w:numId w:val="296"/>
        </w:numPr>
        <w:ind w:left="1078"/>
        <w:rPr>
          <w:rFonts w:ascii="Times New Roman" w:eastAsia="Times New Roman" w:hAnsi="Times New Roman"/>
          <w:sz w:val="17"/>
          <w:szCs w:val="17"/>
        </w:rPr>
      </w:pPr>
      <w:r w:rsidRPr="00E70407">
        <w:rPr>
          <w:rFonts w:ascii="Times New Roman" w:eastAsia="Times New Roman" w:hAnsi="Times New Roman"/>
          <w:sz w:val="17"/>
          <w:szCs w:val="17"/>
        </w:rPr>
        <w:t>the South Australian Employment Tribunal (SAET) confirms or extends the suspension under Section 65.</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12.7.4 </w:t>
      </w:r>
      <w:r w:rsidRPr="00E70407">
        <w:rPr>
          <w:rFonts w:ascii="Times New Roman" w:eastAsia="Times New Roman" w:hAnsi="Times New Roman"/>
          <w:sz w:val="17"/>
          <w:szCs w:val="17"/>
        </w:rPr>
        <w:tab/>
        <w:t xml:space="preserve">A referral to the SAET under this Section will be dealt with under Part 3 Division 1 of the </w:t>
      </w:r>
      <w:hyperlink r:id="rId113" w:history="1">
        <w:r w:rsidRPr="00E70407">
          <w:rPr>
            <w:rFonts w:ascii="Times New Roman" w:eastAsia="Times New Roman" w:hAnsi="Times New Roman"/>
            <w:i/>
            <w:iCs/>
            <w:color w:val="0000FF"/>
            <w:sz w:val="17"/>
            <w:szCs w:val="17"/>
            <w:u w:val="single"/>
          </w:rPr>
          <w:t>South Australian Employment Tribunal Act 2014</w:t>
        </w:r>
      </w:hyperlink>
      <w:r w:rsidRPr="00E70407">
        <w:rPr>
          <w:rFonts w:ascii="Times New Roman" w:eastAsia="Times New Roman" w:hAnsi="Times New Roman"/>
          <w:sz w:val="17"/>
          <w:szCs w:val="17"/>
        </w:rPr>
        <w:t>.</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12.7.5 </w:t>
      </w:r>
      <w:r w:rsidRPr="00E70407">
        <w:rPr>
          <w:rFonts w:ascii="Times New Roman" w:eastAsia="Times New Roman" w:hAnsi="Times New Roman"/>
          <w:sz w:val="17"/>
          <w:szCs w:val="17"/>
        </w:rPr>
        <w:tab/>
        <w:t>If an employer suspends an apprentice or trainee from employment for wilful and serious misconduct, in accordance with the requirements set out in this Standard, the employer must, as soon as reasonably practicable:</w:t>
      </w:r>
    </w:p>
    <w:p w:rsidR="00E70407" w:rsidRPr="00E70407" w:rsidRDefault="00E70407" w:rsidP="00E70407">
      <w:pPr>
        <w:numPr>
          <w:ilvl w:val="0"/>
          <w:numId w:val="295"/>
        </w:numPr>
        <w:ind w:left="1064"/>
        <w:rPr>
          <w:rFonts w:ascii="Times New Roman" w:eastAsia="Times New Roman" w:hAnsi="Times New Roman"/>
          <w:sz w:val="17"/>
          <w:szCs w:val="17"/>
        </w:rPr>
      </w:pPr>
      <w:r w:rsidRPr="00E70407">
        <w:rPr>
          <w:rFonts w:ascii="Times New Roman" w:eastAsia="Times New Roman" w:hAnsi="Times New Roman"/>
          <w:sz w:val="17"/>
          <w:szCs w:val="17"/>
        </w:rPr>
        <w:t>refer the matter to the Commission for mediation</w:t>
      </w:r>
    </w:p>
    <w:p w:rsidR="00E70407" w:rsidRPr="00E70407" w:rsidRDefault="00E70407" w:rsidP="00E70407">
      <w:pPr>
        <w:numPr>
          <w:ilvl w:val="0"/>
          <w:numId w:val="295"/>
        </w:numPr>
        <w:ind w:left="1064"/>
        <w:rPr>
          <w:rFonts w:ascii="Times New Roman" w:eastAsia="Times New Roman" w:hAnsi="Times New Roman"/>
          <w:sz w:val="17"/>
          <w:szCs w:val="17"/>
        </w:rPr>
      </w:pPr>
      <w:r w:rsidRPr="00E70407">
        <w:rPr>
          <w:rFonts w:ascii="Times New Roman" w:eastAsia="Times New Roman" w:hAnsi="Times New Roman"/>
          <w:sz w:val="17"/>
          <w:szCs w:val="17"/>
        </w:rPr>
        <w:t>notify the SAET that the matter has been so referred</w:t>
      </w:r>
    </w:p>
    <w:p w:rsidR="00E70407" w:rsidRPr="00E70407" w:rsidRDefault="00E70407" w:rsidP="00E70407">
      <w:pPr>
        <w:numPr>
          <w:ilvl w:val="0"/>
          <w:numId w:val="295"/>
        </w:numPr>
        <w:ind w:left="1064"/>
        <w:rPr>
          <w:rFonts w:ascii="Times New Roman" w:eastAsia="Times New Roman" w:hAnsi="Times New Roman"/>
          <w:sz w:val="17"/>
          <w:szCs w:val="17"/>
        </w:rPr>
      </w:pPr>
      <w:r w:rsidRPr="00E70407">
        <w:rPr>
          <w:rFonts w:ascii="Times New Roman" w:eastAsia="Times New Roman" w:hAnsi="Times New Roman"/>
          <w:sz w:val="17"/>
          <w:szCs w:val="17"/>
        </w:rPr>
        <w:t>notify the apprentice or trainee that the matter has been so referred</w:t>
      </w:r>
    </w:p>
    <w:p w:rsidR="00E70407" w:rsidRPr="00E70407" w:rsidRDefault="00E70407" w:rsidP="00E70407">
      <w:pPr>
        <w:numPr>
          <w:ilvl w:val="0"/>
          <w:numId w:val="295"/>
        </w:numPr>
        <w:ind w:left="1064"/>
        <w:rPr>
          <w:rFonts w:ascii="Times New Roman" w:eastAsia="Times New Roman" w:hAnsi="Times New Roman"/>
          <w:sz w:val="17"/>
          <w:szCs w:val="17"/>
        </w:rPr>
      </w:pPr>
      <w:r w:rsidRPr="00E70407">
        <w:rPr>
          <w:rFonts w:ascii="Times New Roman" w:eastAsia="Times New Roman" w:hAnsi="Times New Roman"/>
          <w:sz w:val="17"/>
          <w:szCs w:val="17"/>
        </w:rPr>
        <w:t>comply with any reasonable requirements of the Commission in relation to the mediation.</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12.7.6</w:t>
      </w:r>
      <w:r w:rsidRPr="00E70407">
        <w:rPr>
          <w:rFonts w:ascii="Times New Roman" w:eastAsia="Times New Roman" w:hAnsi="Times New Roman"/>
          <w:sz w:val="17"/>
          <w:szCs w:val="17"/>
        </w:rPr>
        <w:tab/>
        <w:t>If a matter is unable to be resolved by mediation the employer must, as soon as is reasonably practicable after the conclusion of the mediation (but in any event within 3 business days), refer the matter to the SAET for consideration.</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12.7.7</w:t>
      </w:r>
      <w:r w:rsidRPr="00E70407">
        <w:rPr>
          <w:rFonts w:ascii="Times New Roman" w:eastAsia="Times New Roman" w:hAnsi="Times New Roman"/>
          <w:sz w:val="17"/>
          <w:szCs w:val="17"/>
        </w:rPr>
        <w:tab/>
        <w:t xml:space="preserve">Where directed, the employer and apprentice or trainee must undertake dispute resolution of a specified kind determined by the Commission. </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12.7.8 </w:t>
      </w:r>
      <w:r w:rsidRPr="00E70407">
        <w:rPr>
          <w:rFonts w:ascii="Times New Roman" w:eastAsia="Times New Roman" w:hAnsi="Times New Roman"/>
          <w:sz w:val="17"/>
          <w:szCs w:val="17"/>
        </w:rPr>
        <w:tab/>
        <w:t>The employer and/or apprentice or trainee must not contravene an order of the SAET.</w:t>
      </w:r>
    </w:p>
    <w:p w:rsidR="00E70407" w:rsidRPr="00E70407" w:rsidRDefault="00E70407" w:rsidP="00E70407">
      <w:pPr>
        <w:numPr>
          <w:ilvl w:val="1"/>
          <w:numId w:val="386"/>
        </w:numPr>
        <w:rPr>
          <w:rFonts w:ascii="Times New Roman" w:eastAsia="Times New Roman" w:hAnsi="Times New Roman"/>
          <w:b/>
          <w:bCs/>
          <w:sz w:val="17"/>
          <w:szCs w:val="17"/>
        </w:rPr>
      </w:pPr>
      <w:r w:rsidRPr="00E70407">
        <w:rPr>
          <w:rFonts w:ascii="Times New Roman" w:eastAsia="Times New Roman" w:hAnsi="Times New Roman"/>
          <w:b/>
          <w:bCs/>
          <w:sz w:val="17"/>
          <w:szCs w:val="17"/>
        </w:rPr>
        <w:t>Services for parties in proceedings before the South Australian Employment Tribunal</w:t>
      </w:r>
    </w:p>
    <w:p w:rsidR="00E70407" w:rsidRPr="00E70407" w:rsidRDefault="00E70407" w:rsidP="00E70407">
      <w:pPr>
        <w:numPr>
          <w:ilvl w:val="2"/>
          <w:numId w:val="386"/>
        </w:numPr>
        <w:rPr>
          <w:rFonts w:ascii="Times New Roman" w:eastAsia="Times New Roman" w:hAnsi="Times New Roman"/>
          <w:sz w:val="17"/>
          <w:szCs w:val="17"/>
        </w:rPr>
      </w:pPr>
      <w:r w:rsidRPr="00E70407">
        <w:rPr>
          <w:rFonts w:ascii="Times New Roman" w:eastAsia="Times New Roman" w:hAnsi="Times New Roman"/>
          <w:sz w:val="17"/>
          <w:szCs w:val="17"/>
        </w:rPr>
        <w:t>The South Australian Employment Tribunal (SAET) considers disputes between employers and apprentices and trainees related to their Training Contracts or working conditions. Either party to a Training Contract can make an application to SAET for consideration if there is a dispute between the parties, or one of the parties has a grievance.</w:t>
      </w:r>
    </w:p>
    <w:p w:rsidR="00E70407" w:rsidRPr="00E70407" w:rsidRDefault="00E70407" w:rsidP="00E70407">
      <w:pPr>
        <w:numPr>
          <w:ilvl w:val="2"/>
          <w:numId w:val="386"/>
        </w:numPr>
        <w:rPr>
          <w:rFonts w:ascii="Times New Roman" w:eastAsia="Times New Roman" w:hAnsi="Times New Roman"/>
          <w:sz w:val="17"/>
          <w:szCs w:val="17"/>
        </w:rPr>
      </w:pPr>
      <w:r w:rsidRPr="00E70407">
        <w:rPr>
          <w:rFonts w:ascii="Times New Roman" w:eastAsia="Times New Roman" w:hAnsi="Times New Roman"/>
          <w:sz w:val="17"/>
          <w:szCs w:val="17"/>
        </w:rPr>
        <w:t>The SAET deals with:</w:t>
      </w:r>
    </w:p>
    <w:p w:rsidR="00E70407" w:rsidRPr="00E70407" w:rsidRDefault="00E70407" w:rsidP="00E70407">
      <w:pPr>
        <w:numPr>
          <w:ilvl w:val="0"/>
          <w:numId w:val="302"/>
        </w:numPr>
        <w:ind w:left="1092"/>
        <w:rPr>
          <w:rFonts w:ascii="Times New Roman" w:eastAsia="Times New Roman" w:hAnsi="Times New Roman"/>
          <w:sz w:val="17"/>
          <w:szCs w:val="17"/>
        </w:rPr>
      </w:pPr>
      <w:r w:rsidRPr="00E70407">
        <w:rPr>
          <w:rFonts w:ascii="Times New Roman" w:eastAsia="Times New Roman" w:hAnsi="Times New Roman"/>
          <w:sz w:val="17"/>
          <w:szCs w:val="17"/>
        </w:rPr>
        <w:t>disputes between parties to a Training Contract</w:t>
      </w:r>
    </w:p>
    <w:p w:rsidR="00E70407" w:rsidRPr="00E70407" w:rsidRDefault="00E70407" w:rsidP="00E70407">
      <w:pPr>
        <w:numPr>
          <w:ilvl w:val="0"/>
          <w:numId w:val="302"/>
        </w:numPr>
        <w:ind w:left="1092"/>
        <w:rPr>
          <w:rFonts w:ascii="Times New Roman" w:eastAsia="Times New Roman" w:hAnsi="Times New Roman"/>
          <w:sz w:val="17"/>
          <w:szCs w:val="17"/>
        </w:rPr>
      </w:pPr>
      <w:r w:rsidRPr="00E70407">
        <w:rPr>
          <w:rFonts w:ascii="Times New Roman" w:eastAsia="Times New Roman" w:hAnsi="Times New Roman"/>
          <w:sz w:val="17"/>
          <w:szCs w:val="17"/>
        </w:rPr>
        <w:t>a grievance by one party to the Training Contract about the conduct of the other party</w:t>
      </w:r>
    </w:p>
    <w:p w:rsidR="00E70407" w:rsidRPr="00E70407" w:rsidRDefault="00E70407" w:rsidP="00E70407">
      <w:pPr>
        <w:numPr>
          <w:ilvl w:val="0"/>
          <w:numId w:val="302"/>
        </w:numPr>
        <w:ind w:left="1092"/>
        <w:rPr>
          <w:rFonts w:ascii="Times New Roman" w:eastAsia="Times New Roman" w:hAnsi="Times New Roman"/>
          <w:sz w:val="17"/>
          <w:szCs w:val="17"/>
        </w:rPr>
      </w:pPr>
      <w:r w:rsidRPr="00E70407">
        <w:rPr>
          <w:rFonts w:ascii="Times New Roman" w:eastAsia="Times New Roman" w:hAnsi="Times New Roman"/>
          <w:sz w:val="17"/>
          <w:szCs w:val="17"/>
        </w:rPr>
        <w:t>suspension of an apprentice or trainee on reasonable grounds of serious and wilful misconduct.</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12.8.3 </w:t>
      </w:r>
      <w:r w:rsidRPr="00E70407">
        <w:rPr>
          <w:rFonts w:ascii="Times New Roman" w:eastAsia="Times New Roman" w:hAnsi="Times New Roman"/>
          <w:sz w:val="17"/>
          <w:szCs w:val="17"/>
        </w:rPr>
        <w:tab/>
        <w:t xml:space="preserve">Applications to the SAET under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must be during the term of the relevant Training Contract or within 6 months after the expiry, termination, or cancellation of the relevant Training Contract, the SAET may extend the time within which any such application may be made.</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 xml:space="preserve">12.8.4 </w:t>
      </w:r>
      <w:r w:rsidRPr="00E70407">
        <w:rPr>
          <w:rFonts w:ascii="Times New Roman" w:eastAsia="Times New Roman" w:hAnsi="Times New Roman"/>
          <w:sz w:val="17"/>
          <w:szCs w:val="17"/>
        </w:rPr>
        <w:tab/>
        <w:t xml:space="preserve">Under Section 66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xml:space="preserve"> and as described in Section 43 of the </w:t>
      </w:r>
      <w:r w:rsidRPr="00E70407">
        <w:rPr>
          <w:rFonts w:ascii="Times New Roman" w:eastAsia="Times New Roman" w:hAnsi="Times New Roman"/>
          <w:i/>
          <w:iCs/>
          <w:sz w:val="17"/>
          <w:szCs w:val="17"/>
        </w:rPr>
        <w:t>South Australian Employment Tribunal Act 2014</w:t>
      </w:r>
      <w:r w:rsidRPr="00E70407">
        <w:rPr>
          <w:rFonts w:ascii="Times New Roman" w:eastAsia="Times New Roman" w:hAnsi="Times New Roman"/>
          <w:sz w:val="17"/>
          <w:szCs w:val="17"/>
        </w:rPr>
        <w:t>, parties are required to attend a Compulsory Conciliation Conference. This applies to both employer and apprentice or trainee.</w:t>
      </w:r>
    </w:p>
    <w:p w:rsidR="00E70407" w:rsidRPr="00E70407" w:rsidRDefault="00E70407" w:rsidP="00E70407">
      <w:pPr>
        <w:numPr>
          <w:ilvl w:val="2"/>
          <w:numId w:val="387"/>
        </w:numPr>
        <w:rPr>
          <w:rFonts w:ascii="Times New Roman" w:eastAsia="Times New Roman" w:hAnsi="Times New Roman"/>
          <w:sz w:val="17"/>
          <w:szCs w:val="17"/>
        </w:rPr>
      </w:pPr>
      <w:r w:rsidRPr="00E70407">
        <w:rPr>
          <w:rFonts w:ascii="Times New Roman" w:eastAsia="Times New Roman" w:hAnsi="Times New Roman"/>
          <w:sz w:val="17"/>
          <w:szCs w:val="17"/>
        </w:rPr>
        <w:t xml:space="preserve">Under Section 65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iCs/>
          <w:sz w:val="17"/>
          <w:szCs w:val="17"/>
        </w:rPr>
        <w:t>,</w:t>
      </w:r>
      <w:r w:rsidRPr="00E70407">
        <w:rPr>
          <w:rFonts w:ascii="Times New Roman" w:eastAsia="Times New Roman" w:hAnsi="Times New Roman"/>
          <w:sz w:val="17"/>
          <w:szCs w:val="17"/>
        </w:rPr>
        <w:t xml:space="preserve"> the SAET has powers to make orders binding on parties to Training Contracts; and the Commission, without further inquiry, may accept and act on any recommendation of the SAET. </w:t>
      </w:r>
    </w:p>
    <w:p w:rsidR="00E70407" w:rsidRPr="00E70407" w:rsidRDefault="00E70407" w:rsidP="00E70407">
      <w:pPr>
        <w:numPr>
          <w:ilvl w:val="2"/>
          <w:numId w:val="387"/>
        </w:numPr>
        <w:rPr>
          <w:rFonts w:ascii="Times New Roman" w:eastAsia="Times New Roman" w:hAnsi="Times New Roman"/>
          <w:sz w:val="17"/>
          <w:szCs w:val="17"/>
        </w:rPr>
      </w:pPr>
      <w:r w:rsidRPr="00E70407">
        <w:rPr>
          <w:rFonts w:ascii="Times New Roman" w:eastAsia="Times New Roman" w:hAnsi="Times New Roman"/>
          <w:sz w:val="17"/>
          <w:szCs w:val="17"/>
        </w:rPr>
        <w:t>Parties must not contravene an order of the SAET. A maximum penalty for a breach of this requirement is $5,000.</w:t>
      </w:r>
    </w:p>
    <w:p w:rsidR="00E70407" w:rsidRPr="00E70407" w:rsidRDefault="00E70407" w:rsidP="00E70407">
      <w:pPr>
        <w:pBdr>
          <w:top w:val="single" w:sz="4" w:space="1" w:color="auto"/>
        </w:pBdr>
        <w:spacing w:before="100" w:line="14" w:lineRule="exact"/>
        <w:ind w:left="1080" w:right="1080"/>
        <w:jc w:val="center"/>
        <w:rPr>
          <w:rFonts w:ascii="Times New Roman" w:eastAsia="Times New Roman" w:hAnsi="Times New Roman"/>
          <w:sz w:val="17"/>
          <w:szCs w:val="17"/>
        </w:rPr>
      </w:pPr>
    </w:p>
    <w:p w:rsidR="00E70407" w:rsidRPr="00E70407" w:rsidRDefault="00E70407" w:rsidP="00E70407">
      <w:pPr>
        <w:jc w:val="center"/>
        <w:rPr>
          <w:rFonts w:ascii="Times New Roman" w:hAnsi="Times New Roman"/>
          <w:smallCaps/>
          <w:sz w:val="17"/>
          <w:szCs w:val="17"/>
        </w:rPr>
      </w:pPr>
      <w:bookmarkStart w:id="131" w:name="_Toc75255255"/>
      <w:r w:rsidRPr="00E70407">
        <w:rPr>
          <w:rFonts w:ascii="Times New Roman" w:hAnsi="Times New Roman"/>
          <w:smallCaps/>
          <w:sz w:val="17"/>
          <w:szCs w:val="17"/>
        </w:rPr>
        <w:t>Standard 13</w:t>
      </w:r>
      <w:r w:rsidRPr="00E70407">
        <w:rPr>
          <w:rFonts w:ascii="Times New Roman" w:hAnsi="Times New Roman"/>
          <w:smallCaps/>
          <w:sz w:val="17"/>
          <w:szCs w:val="17"/>
        </w:rPr>
        <w:tab/>
        <w:t>Recognition of Other Qualifications and Experience in Trades and Declared Vocations</w:t>
      </w:r>
      <w:bookmarkEnd w:id="131"/>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This Standard relates to the assessment and certification of a person’s qualifications and/or experience in relation to a particular trade or declared vocation, where the person has:</w:t>
      </w:r>
    </w:p>
    <w:p w:rsidR="00E70407" w:rsidRPr="00E70407" w:rsidRDefault="00E70407" w:rsidP="00E70407">
      <w:pPr>
        <w:numPr>
          <w:ilvl w:val="0"/>
          <w:numId w:val="398"/>
        </w:numPr>
        <w:spacing w:after="0"/>
        <w:ind w:left="567"/>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Not completed an apprenticeship or traineeship but developed the skills and knowledge for a trade or declared vocation through employment and training in a trade or declared vocation-related occupation or an occupation listed on the Traineeship and Apprenticeship Pathways (TAP) Schedule that allowed the person to develop trade or declared vocation-related skills</w:t>
      </w:r>
    </w:p>
    <w:p w:rsidR="00E70407" w:rsidRPr="00E70407" w:rsidRDefault="00E70407" w:rsidP="00E70407">
      <w:pPr>
        <w:numPr>
          <w:ilvl w:val="0"/>
          <w:numId w:val="398"/>
        </w:numPr>
        <w:ind w:left="567"/>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Gained a trade or declared vocation-related qualification overseas.</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This Standard is in accordance with the requirements contained in the </w:t>
      </w:r>
      <w:r w:rsidRPr="00E70407">
        <w:rPr>
          <w:rFonts w:ascii="Times New Roman" w:eastAsia="Times New Roman" w:hAnsi="Times New Roman"/>
          <w:i/>
          <w:sz w:val="17"/>
          <w:szCs w:val="17"/>
          <w:lang w:val="en-GB"/>
        </w:rPr>
        <w:t>South Australian Skills Act 2008</w:t>
      </w:r>
      <w:r w:rsidRPr="00E70407">
        <w:rPr>
          <w:rFonts w:ascii="Times New Roman" w:eastAsia="Times New Roman" w:hAnsi="Times New Roman"/>
          <w:sz w:val="17"/>
          <w:szCs w:val="17"/>
          <w:lang w:val="en-GB"/>
        </w:rPr>
        <w:t xml:space="preserve"> (the </w:t>
      </w:r>
      <w:r w:rsidRPr="00E70407">
        <w:rPr>
          <w:rFonts w:ascii="Times New Roman" w:eastAsia="Times New Roman" w:hAnsi="Times New Roman"/>
          <w:i/>
          <w:sz w:val="17"/>
          <w:szCs w:val="17"/>
          <w:lang w:val="en-GB"/>
        </w:rPr>
        <w:t>Act</w:t>
      </w:r>
      <w:r w:rsidRPr="00E70407">
        <w:rPr>
          <w:rFonts w:ascii="Times New Roman" w:eastAsia="Times New Roman" w:hAnsi="Times New Roman"/>
          <w:sz w:val="17"/>
          <w:szCs w:val="17"/>
          <w:lang w:val="en-GB"/>
        </w:rPr>
        <w:t>).</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Recognition arrangements outlined in this Standard are not provided for the purposes of migration. Individuals requiring skills assessment for the purpose of applying for an Australian visa should seek information from the Australian Government Department of Home Affairs.</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Commission provides certification arrangements for trades and declared vocations that acknowledge employment-based skills outcomes, and also provide recognition for:</w:t>
      </w:r>
    </w:p>
    <w:p w:rsidR="00E70407" w:rsidRPr="00E70407" w:rsidRDefault="00E70407" w:rsidP="00E70407">
      <w:pPr>
        <w:numPr>
          <w:ilvl w:val="0"/>
          <w:numId w:val="398"/>
        </w:numPr>
        <w:spacing w:after="0"/>
        <w:ind w:left="567"/>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obtaining non-conditional occupational licenses (if a license is required for the purpose of employment in South Australia)</w:t>
      </w:r>
    </w:p>
    <w:p w:rsidR="00E70407" w:rsidRPr="00E70407" w:rsidRDefault="00E70407" w:rsidP="00E70407">
      <w:pPr>
        <w:numPr>
          <w:ilvl w:val="0"/>
          <w:numId w:val="398"/>
        </w:numPr>
        <w:spacing w:after="0"/>
        <w:ind w:left="567"/>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accessing trade or declared vocation-level remuneration under awards or other industrial agreements</w:t>
      </w:r>
    </w:p>
    <w:p w:rsidR="00E70407" w:rsidRPr="00E70407" w:rsidRDefault="00E70407" w:rsidP="00E70407">
      <w:pPr>
        <w:numPr>
          <w:ilvl w:val="0"/>
          <w:numId w:val="398"/>
        </w:numPr>
        <w:spacing w:after="0"/>
        <w:ind w:left="567"/>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further career progression and up-skilling</w:t>
      </w:r>
    </w:p>
    <w:p w:rsidR="00E70407" w:rsidRPr="00E70407" w:rsidRDefault="00E70407" w:rsidP="00E70407">
      <w:pPr>
        <w:numPr>
          <w:ilvl w:val="0"/>
          <w:numId w:val="398"/>
        </w:numPr>
        <w:ind w:left="567"/>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recognising overseas-qualified applicants.</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Commission does not award qualifications under the Australian Qualifications Framework (AQF), or occupational licenses. Individuals are responsible for acquiring these if required.</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Governance arrangements</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Under Section 70A of the </w:t>
      </w:r>
      <w:r w:rsidRPr="00E70407">
        <w:rPr>
          <w:rFonts w:ascii="Times New Roman" w:eastAsia="Times New Roman" w:hAnsi="Times New Roman"/>
          <w:i/>
          <w:sz w:val="17"/>
          <w:szCs w:val="17"/>
          <w:lang w:val="en-GB"/>
        </w:rPr>
        <w:t>Act</w:t>
      </w:r>
      <w:r w:rsidRPr="00E70407">
        <w:rPr>
          <w:rFonts w:ascii="Times New Roman" w:eastAsia="Times New Roman" w:hAnsi="Times New Roman"/>
          <w:sz w:val="17"/>
          <w:szCs w:val="17"/>
          <w:lang w:val="en-GB"/>
        </w:rPr>
        <w:t>, a person may apply to the Commission for recognition of the person’s qualifications or experience in relation to a particular trade or declared vocation (not being qualifications obtained under a Training Contract).</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Under Section 70B of the </w:t>
      </w:r>
      <w:r w:rsidRPr="00E70407">
        <w:rPr>
          <w:rFonts w:ascii="Times New Roman" w:eastAsia="Times New Roman" w:hAnsi="Times New Roman"/>
          <w:i/>
          <w:sz w:val="17"/>
          <w:szCs w:val="17"/>
          <w:lang w:val="en-GB"/>
        </w:rPr>
        <w:t>Act</w:t>
      </w:r>
      <w:r w:rsidRPr="00E70407">
        <w:rPr>
          <w:rFonts w:ascii="Times New Roman" w:eastAsia="Times New Roman" w:hAnsi="Times New Roman"/>
          <w:sz w:val="17"/>
          <w:szCs w:val="17"/>
          <w:lang w:val="en-GB"/>
        </w:rPr>
        <w:t>, the Commission, if it is satisfied that an applicant for recognition of qualifications or experience in a particular trade or declared vocation has acquired the competencies of the trade or declared vocation, may:</w:t>
      </w:r>
    </w:p>
    <w:p w:rsidR="00E70407" w:rsidRPr="00E70407" w:rsidRDefault="00E70407" w:rsidP="00E70407">
      <w:pPr>
        <w:numPr>
          <w:ilvl w:val="0"/>
          <w:numId w:val="398"/>
        </w:numPr>
        <w:spacing w:after="0"/>
        <w:ind w:left="567"/>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Determine that the applicant is adequately trained to pursue that vocation; and</w:t>
      </w:r>
    </w:p>
    <w:p w:rsidR="00E70407" w:rsidRPr="00E70407" w:rsidRDefault="00E70407" w:rsidP="00E70407">
      <w:pPr>
        <w:numPr>
          <w:ilvl w:val="0"/>
          <w:numId w:val="398"/>
        </w:numPr>
        <w:ind w:left="567"/>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Certify to that effect.</w:t>
      </w:r>
    </w:p>
    <w:p w:rsidR="000B7B5F" w:rsidRDefault="000B7B5F">
      <w:pPr>
        <w:spacing w:after="0" w:line="240" w:lineRule="auto"/>
        <w:jc w:val="left"/>
        <w:rPr>
          <w:rFonts w:ascii="Times New Roman" w:eastAsia="Times New Roman" w:hAnsi="Times New Roman"/>
          <w:sz w:val="17"/>
          <w:szCs w:val="17"/>
          <w:lang w:val="en-GB"/>
        </w:rPr>
      </w:pPr>
      <w:r>
        <w:rPr>
          <w:rFonts w:ascii="Times New Roman" w:eastAsia="Times New Roman" w:hAnsi="Times New Roman"/>
          <w:sz w:val="17"/>
          <w:szCs w:val="17"/>
          <w:lang w:val="en-GB"/>
        </w:rPr>
        <w:br w:type="page"/>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lastRenderedPageBreak/>
        <w:t>Where the Commission determines that an individual competency assessment is required, the Commission will utilise specific assessment panels to undertake the competency assessment of applications, and may engage with those same panels (or other appropriately skilled or experienced persons or bodies) to provide any other advice to the Commission in relation to applications for the recognition of qualifications or experience.</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In the first instance, this Standard will be limited to the recognition of qualifications or experience in the trades of baker, cook, and hairdresser. This Standard will be updated to allow for the introduction of assessment arrangements for other trades and declared vocations.</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Compliance with the Standard</w:t>
      </w:r>
    </w:p>
    <w:p w:rsidR="00E70407" w:rsidRPr="00E70407" w:rsidRDefault="00E70407" w:rsidP="00E70407">
      <w:pPr>
        <w:numPr>
          <w:ilvl w:val="1"/>
          <w:numId w:val="388"/>
        </w:numPr>
        <w:rPr>
          <w:rFonts w:ascii="Times New Roman" w:eastAsia="Times New Roman" w:hAnsi="Times New Roman"/>
          <w:b/>
          <w:bCs/>
          <w:sz w:val="17"/>
          <w:szCs w:val="17"/>
        </w:rPr>
      </w:pPr>
      <w:r w:rsidRPr="00E70407">
        <w:rPr>
          <w:rFonts w:ascii="Times New Roman" w:eastAsia="Times New Roman" w:hAnsi="Times New Roman"/>
          <w:b/>
          <w:bCs/>
          <w:sz w:val="17"/>
          <w:szCs w:val="17"/>
        </w:rPr>
        <w:t xml:space="preserve">Criteria for certification </w:t>
      </w:r>
    </w:p>
    <w:p w:rsidR="00E70407" w:rsidRPr="00E70407" w:rsidRDefault="00E70407" w:rsidP="00E70407">
      <w:pPr>
        <w:numPr>
          <w:ilvl w:val="2"/>
          <w:numId w:val="388"/>
        </w:numPr>
        <w:rPr>
          <w:rFonts w:ascii="Times New Roman" w:eastAsia="Times New Roman" w:hAnsi="Times New Roman"/>
          <w:sz w:val="17"/>
          <w:szCs w:val="17"/>
          <w:lang w:val="en-GB"/>
        </w:rPr>
      </w:pPr>
      <w:r w:rsidRPr="00E70407">
        <w:rPr>
          <w:rFonts w:ascii="Times New Roman" w:eastAsia="Times New Roman" w:hAnsi="Times New Roman"/>
          <w:sz w:val="17"/>
          <w:szCs w:val="17"/>
        </w:rPr>
        <w:t>The assessment arrangements for an application for a Certificate of Recognition must have regard to:</w:t>
      </w:r>
    </w:p>
    <w:p w:rsidR="00E70407" w:rsidRPr="00E70407" w:rsidRDefault="00E70407" w:rsidP="00E70407">
      <w:pPr>
        <w:numPr>
          <w:ilvl w:val="0"/>
          <w:numId w:val="399"/>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the need to maintain a satisfactory level of equivalence to the standards and outcomes of the relevant nationally endorsed qualification</w:t>
      </w:r>
    </w:p>
    <w:p w:rsidR="00E70407" w:rsidRPr="00E70407" w:rsidRDefault="00E70407" w:rsidP="00E70407">
      <w:pPr>
        <w:numPr>
          <w:ilvl w:val="0"/>
          <w:numId w:val="399"/>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the breadth, depth and currency of employment experience required for trade or declared vocation recognition.</w:t>
      </w:r>
    </w:p>
    <w:p w:rsidR="00E70407" w:rsidRPr="00E70407" w:rsidRDefault="00E70407" w:rsidP="00E70407">
      <w:pPr>
        <w:numPr>
          <w:ilvl w:val="2"/>
          <w:numId w:val="388"/>
        </w:numPr>
        <w:rPr>
          <w:rFonts w:ascii="Times New Roman" w:eastAsia="Times New Roman" w:hAnsi="Times New Roman"/>
          <w:sz w:val="17"/>
          <w:szCs w:val="17"/>
        </w:rPr>
      </w:pPr>
      <w:r w:rsidRPr="00E70407">
        <w:rPr>
          <w:rFonts w:ascii="Times New Roman" w:eastAsia="Times New Roman" w:hAnsi="Times New Roman"/>
          <w:sz w:val="17"/>
          <w:szCs w:val="17"/>
        </w:rPr>
        <w:t>In the case of an overseas qualification, the assessment arrangements must establish a satisfactory level of equivalence between the overseas qualification and requirements for trade or declared vocation recognition in Australia. The assessment may lead to a recommendation that an overseas qualification is equivalent, contingent upon the satisfactory attainment of specified units of competence from an AQF qualification.</w:t>
      </w:r>
    </w:p>
    <w:p w:rsidR="00E70407" w:rsidRPr="00E70407" w:rsidRDefault="00E70407" w:rsidP="00E70407">
      <w:pPr>
        <w:numPr>
          <w:ilvl w:val="1"/>
          <w:numId w:val="388"/>
        </w:numPr>
        <w:rPr>
          <w:rFonts w:ascii="Times New Roman" w:eastAsia="Times New Roman" w:hAnsi="Times New Roman"/>
          <w:b/>
          <w:bCs/>
          <w:sz w:val="17"/>
          <w:szCs w:val="17"/>
        </w:rPr>
      </w:pPr>
      <w:r w:rsidRPr="00E70407">
        <w:rPr>
          <w:rFonts w:ascii="Times New Roman" w:eastAsia="Times New Roman" w:hAnsi="Times New Roman"/>
          <w:b/>
          <w:bCs/>
          <w:sz w:val="17"/>
          <w:szCs w:val="17"/>
        </w:rPr>
        <w:t>Application process</w:t>
      </w:r>
    </w:p>
    <w:p w:rsidR="00E70407" w:rsidRPr="00E70407" w:rsidRDefault="00E70407" w:rsidP="00E70407">
      <w:pPr>
        <w:numPr>
          <w:ilvl w:val="2"/>
          <w:numId w:val="388"/>
        </w:numPr>
        <w:rPr>
          <w:rFonts w:ascii="Times New Roman" w:eastAsia="Times New Roman" w:hAnsi="Times New Roman"/>
          <w:sz w:val="17"/>
          <w:szCs w:val="17"/>
        </w:rPr>
      </w:pPr>
      <w:r w:rsidRPr="00E70407">
        <w:rPr>
          <w:rFonts w:ascii="Times New Roman" w:eastAsia="Times New Roman" w:hAnsi="Times New Roman"/>
          <w:sz w:val="17"/>
          <w:szCs w:val="17"/>
        </w:rPr>
        <w:t>A person may apply to the Commission for recognition of their qualifications (not being obtained under a Training Contract) and/or experience in relation to a particular trade or declared vocation.</w:t>
      </w:r>
    </w:p>
    <w:p w:rsidR="00E70407" w:rsidRPr="00E70407" w:rsidRDefault="00E70407" w:rsidP="00E70407">
      <w:pPr>
        <w:numPr>
          <w:ilvl w:val="2"/>
          <w:numId w:val="388"/>
        </w:numPr>
        <w:rPr>
          <w:rFonts w:ascii="Times New Roman" w:eastAsia="Times New Roman" w:hAnsi="Times New Roman"/>
          <w:b/>
          <w:bCs/>
          <w:spacing w:val="-2"/>
          <w:sz w:val="17"/>
          <w:szCs w:val="17"/>
        </w:rPr>
      </w:pPr>
      <w:r w:rsidRPr="00E70407">
        <w:rPr>
          <w:rFonts w:ascii="Times New Roman" w:eastAsia="Times New Roman" w:hAnsi="Times New Roman"/>
          <w:spacing w:val="-2"/>
          <w:sz w:val="17"/>
          <w:szCs w:val="17"/>
        </w:rPr>
        <w:t>An individual may have acquired the skills and knowledge for a particular trade or declared vocation through any combination of:</w:t>
      </w:r>
    </w:p>
    <w:p w:rsidR="00E70407" w:rsidRPr="00E70407" w:rsidRDefault="00E70407" w:rsidP="00E70407">
      <w:pPr>
        <w:numPr>
          <w:ilvl w:val="0"/>
          <w:numId w:val="400"/>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employment</w:t>
      </w:r>
    </w:p>
    <w:p w:rsidR="00E70407" w:rsidRPr="00E70407" w:rsidRDefault="00E70407" w:rsidP="00E70407">
      <w:pPr>
        <w:numPr>
          <w:ilvl w:val="0"/>
          <w:numId w:val="400"/>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training in a qualification aligned to a particular trade or declared vocation in South Australia, or</w:t>
      </w:r>
    </w:p>
    <w:p w:rsidR="00E70407" w:rsidRPr="00E70407" w:rsidRDefault="00E70407" w:rsidP="00E70407">
      <w:pPr>
        <w:numPr>
          <w:ilvl w:val="0"/>
          <w:numId w:val="400"/>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other training that allowed the person to develop skills related to the trade or declared vocation in question.</w:t>
      </w:r>
    </w:p>
    <w:p w:rsidR="00E70407" w:rsidRPr="00E70407" w:rsidRDefault="00E70407" w:rsidP="00E70407">
      <w:pPr>
        <w:numPr>
          <w:ilvl w:val="2"/>
          <w:numId w:val="388"/>
        </w:numPr>
        <w:rPr>
          <w:rFonts w:ascii="Times New Roman" w:eastAsia="Times New Roman" w:hAnsi="Times New Roman"/>
          <w:sz w:val="17"/>
          <w:szCs w:val="17"/>
        </w:rPr>
      </w:pPr>
      <w:r w:rsidRPr="00E70407">
        <w:rPr>
          <w:rFonts w:ascii="Times New Roman" w:eastAsia="Times New Roman" w:hAnsi="Times New Roman"/>
          <w:sz w:val="17"/>
          <w:szCs w:val="17"/>
        </w:rPr>
        <w:t>An application must be made using the application form and must be accompanied by:</w:t>
      </w:r>
    </w:p>
    <w:p w:rsidR="00E70407" w:rsidRPr="00E70407" w:rsidRDefault="00E70407" w:rsidP="00E70407">
      <w:pPr>
        <w:numPr>
          <w:ilvl w:val="0"/>
          <w:numId w:val="401"/>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such supporting information and documents as are stipulated in the application form</w:t>
      </w:r>
    </w:p>
    <w:p w:rsidR="00E70407" w:rsidRPr="00E70407" w:rsidRDefault="00E70407" w:rsidP="00E70407">
      <w:pPr>
        <w:numPr>
          <w:ilvl w:val="0"/>
          <w:numId w:val="401"/>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the prescribed fee.</w:t>
      </w:r>
    </w:p>
    <w:p w:rsidR="00E70407" w:rsidRPr="00E70407" w:rsidRDefault="00E70407" w:rsidP="00E70407">
      <w:pPr>
        <w:numPr>
          <w:ilvl w:val="1"/>
          <w:numId w:val="388"/>
        </w:numPr>
        <w:rPr>
          <w:rFonts w:ascii="Times New Roman" w:eastAsia="Times New Roman" w:hAnsi="Times New Roman"/>
          <w:b/>
          <w:bCs/>
          <w:sz w:val="17"/>
          <w:szCs w:val="17"/>
        </w:rPr>
      </w:pPr>
      <w:r w:rsidRPr="00E70407">
        <w:rPr>
          <w:rFonts w:ascii="Times New Roman" w:eastAsia="Times New Roman" w:hAnsi="Times New Roman"/>
          <w:b/>
          <w:bCs/>
          <w:sz w:val="17"/>
          <w:szCs w:val="17"/>
        </w:rPr>
        <w:t>Assessment of applications (</w:t>
      </w:r>
      <w:r w:rsidRPr="00E70407">
        <w:rPr>
          <w:rFonts w:ascii="Times New Roman" w:eastAsia="Times New Roman" w:hAnsi="Times New Roman"/>
          <w:b/>
          <w:bCs/>
          <w:i/>
          <w:sz w:val="17"/>
          <w:szCs w:val="17"/>
        </w:rPr>
        <w:t>SAS Act</w:t>
      </w:r>
      <w:r w:rsidRPr="00E70407">
        <w:rPr>
          <w:rFonts w:ascii="Times New Roman" w:eastAsia="Times New Roman" w:hAnsi="Times New Roman"/>
          <w:b/>
          <w:bCs/>
          <w:sz w:val="17"/>
          <w:szCs w:val="17"/>
        </w:rPr>
        <w:t>, S70A)</w:t>
      </w:r>
    </w:p>
    <w:p w:rsidR="00E70407" w:rsidRPr="00E70407" w:rsidRDefault="00E70407" w:rsidP="00E70407">
      <w:pPr>
        <w:numPr>
          <w:ilvl w:val="2"/>
          <w:numId w:val="388"/>
        </w:numPr>
        <w:rPr>
          <w:rFonts w:ascii="Times New Roman" w:eastAsia="Times New Roman" w:hAnsi="Times New Roman"/>
          <w:sz w:val="17"/>
          <w:szCs w:val="17"/>
        </w:rPr>
      </w:pPr>
      <w:r w:rsidRPr="00E70407">
        <w:rPr>
          <w:rFonts w:ascii="Times New Roman" w:eastAsia="Times New Roman" w:hAnsi="Times New Roman"/>
          <w:sz w:val="17"/>
          <w:szCs w:val="17"/>
        </w:rPr>
        <w:t>To determine whether the applicant has acquired the competencies of the relevant trade or declared vocation, the Commission may require the applicant to:</w:t>
      </w:r>
    </w:p>
    <w:p w:rsidR="00E70407" w:rsidRPr="00E70407" w:rsidRDefault="00E70407" w:rsidP="00E70407">
      <w:pPr>
        <w:numPr>
          <w:ilvl w:val="0"/>
          <w:numId w:val="402"/>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Undertake an examination or test; or</w:t>
      </w:r>
    </w:p>
    <w:p w:rsidR="00E70407" w:rsidRPr="00E70407" w:rsidRDefault="00E70407" w:rsidP="00E70407">
      <w:pPr>
        <w:numPr>
          <w:ilvl w:val="0"/>
          <w:numId w:val="402"/>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Undergo an independent competency assessment of a kind specified by the Commission.</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13.3.2</w:t>
      </w:r>
      <w:r w:rsidRPr="00E70407">
        <w:rPr>
          <w:rFonts w:ascii="Times New Roman" w:eastAsia="Times New Roman" w:hAnsi="Times New Roman"/>
          <w:sz w:val="17"/>
          <w:szCs w:val="17"/>
        </w:rPr>
        <w:tab/>
        <w:t>The Commission may, in determining the application, seek advice from any person or body who, in the Commission’s opinion, has special knowledge of, and experience in, the relevant trade or declared vocation.</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13.3.3</w:t>
      </w:r>
      <w:r w:rsidRPr="00E70407">
        <w:rPr>
          <w:rFonts w:ascii="Times New Roman" w:eastAsia="Times New Roman" w:hAnsi="Times New Roman"/>
          <w:sz w:val="17"/>
          <w:szCs w:val="17"/>
        </w:rPr>
        <w:tab/>
        <w:t>In determining whether a person has acquired the competencies of the trade or declared vocation the Commission must have regard to:</w:t>
      </w:r>
    </w:p>
    <w:p w:rsidR="00E70407" w:rsidRPr="00E70407" w:rsidRDefault="00E70407" w:rsidP="00E70407">
      <w:pPr>
        <w:numPr>
          <w:ilvl w:val="0"/>
          <w:numId w:val="403"/>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The length of time the applicant has been working in the relevant trade or declared vocation</w:t>
      </w:r>
    </w:p>
    <w:p w:rsidR="00E70407" w:rsidRPr="00E70407" w:rsidRDefault="00E70407" w:rsidP="00E70407">
      <w:pPr>
        <w:numPr>
          <w:ilvl w:val="0"/>
          <w:numId w:val="403"/>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The nature and duration of any instruction or training received by the applicant in the relevant trade or declared vocation</w:t>
      </w:r>
    </w:p>
    <w:p w:rsidR="00E70407" w:rsidRPr="00E70407" w:rsidRDefault="00E70407" w:rsidP="00E70407">
      <w:pPr>
        <w:numPr>
          <w:ilvl w:val="0"/>
          <w:numId w:val="403"/>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The nature of any qualifications held by the applicant in relation to the relevant trade or declared vocation</w:t>
      </w:r>
    </w:p>
    <w:p w:rsidR="00E70407" w:rsidRPr="00E70407" w:rsidRDefault="00E70407" w:rsidP="00E70407">
      <w:pPr>
        <w:numPr>
          <w:ilvl w:val="0"/>
          <w:numId w:val="403"/>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Any advice received from a person or body under section 13.3.2 of this Standard.</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13.3.4</w:t>
      </w:r>
      <w:r w:rsidRPr="00E70407">
        <w:rPr>
          <w:rFonts w:ascii="Times New Roman" w:eastAsia="Times New Roman" w:hAnsi="Times New Roman"/>
          <w:sz w:val="17"/>
          <w:szCs w:val="17"/>
        </w:rPr>
        <w:tab/>
        <w:t>If the Commission, or delegate, determines that the applicant requires further training to acquire the competencies of the relevant trade or declared vocation, it may refuse to make a determination until it is satisfied that the applicant has satisfactorily completed such training.</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13.3.5</w:t>
      </w:r>
      <w:r w:rsidRPr="00E70407">
        <w:rPr>
          <w:rFonts w:ascii="Times New Roman" w:eastAsia="Times New Roman" w:hAnsi="Times New Roman"/>
          <w:sz w:val="17"/>
          <w:szCs w:val="17"/>
        </w:rPr>
        <w:tab/>
        <w:t>Any training undertaken to acquire the competencies of the relevant trade or declared vocation will be at the individual’s expense.</w:t>
      </w:r>
    </w:p>
    <w:p w:rsidR="00E70407" w:rsidRPr="00E70407" w:rsidRDefault="00E70407" w:rsidP="00E70407">
      <w:pPr>
        <w:numPr>
          <w:ilvl w:val="1"/>
          <w:numId w:val="388"/>
        </w:numPr>
        <w:rPr>
          <w:rFonts w:ascii="Times New Roman" w:eastAsia="Times New Roman" w:hAnsi="Times New Roman"/>
          <w:b/>
          <w:bCs/>
          <w:sz w:val="17"/>
          <w:szCs w:val="17"/>
        </w:rPr>
      </w:pPr>
      <w:r w:rsidRPr="00E70407">
        <w:rPr>
          <w:rFonts w:ascii="Times New Roman" w:eastAsia="Times New Roman" w:hAnsi="Times New Roman"/>
          <w:b/>
          <w:bCs/>
          <w:sz w:val="17"/>
          <w:szCs w:val="17"/>
        </w:rPr>
        <w:t>Issuance of a Certificate of Recognition (</w:t>
      </w:r>
      <w:r w:rsidRPr="00E70407">
        <w:rPr>
          <w:rFonts w:ascii="Times New Roman" w:eastAsia="Times New Roman" w:hAnsi="Times New Roman"/>
          <w:b/>
          <w:bCs/>
          <w:i/>
          <w:sz w:val="17"/>
          <w:szCs w:val="17"/>
        </w:rPr>
        <w:t>SAS Act</w:t>
      </w:r>
      <w:r w:rsidRPr="00E70407">
        <w:rPr>
          <w:rFonts w:ascii="Times New Roman" w:eastAsia="Times New Roman" w:hAnsi="Times New Roman"/>
          <w:b/>
          <w:bCs/>
          <w:sz w:val="17"/>
          <w:szCs w:val="17"/>
        </w:rPr>
        <w:t>, S70B)</w:t>
      </w:r>
    </w:p>
    <w:p w:rsidR="00E70407" w:rsidRPr="00E70407" w:rsidRDefault="00E70407" w:rsidP="00E70407">
      <w:pPr>
        <w:numPr>
          <w:ilvl w:val="2"/>
          <w:numId w:val="388"/>
        </w:numPr>
        <w:rPr>
          <w:rFonts w:ascii="Times New Roman" w:eastAsia="Times New Roman" w:hAnsi="Times New Roman"/>
          <w:sz w:val="17"/>
          <w:szCs w:val="17"/>
        </w:rPr>
      </w:pPr>
      <w:r w:rsidRPr="00E70407">
        <w:rPr>
          <w:rFonts w:ascii="Times New Roman" w:eastAsia="Times New Roman" w:hAnsi="Times New Roman"/>
          <w:sz w:val="17"/>
          <w:szCs w:val="17"/>
        </w:rPr>
        <w:t>The Commission will determine whether it is satisfied the applicant has acquired the competencies of the relevant trade or declared vocation and, if satisfied, certify to that effect.</w:t>
      </w:r>
    </w:p>
    <w:p w:rsidR="00E70407" w:rsidRPr="00E70407" w:rsidRDefault="00E70407" w:rsidP="00E70407">
      <w:pPr>
        <w:numPr>
          <w:ilvl w:val="2"/>
          <w:numId w:val="388"/>
        </w:numPr>
        <w:rPr>
          <w:rFonts w:ascii="Times New Roman" w:eastAsia="Times New Roman" w:hAnsi="Times New Roman"/>
          <w:sz w:val="17"/>
          <w:szCs w:val="17"/>
        </w:rPr>
      </w:pPr>
      <w:r w:rsidRPr="00E70407">
        <w:rPr>
          <w:rFonts w:ascii="Times New Roman" w:eastAsia="Times New Roman" w:hAnsi="Times New Roman"/>
          <w:sz w:val="17"/>
          <w:szCs w:val="17"/>
        </w:rPr>
        <w:t>The certification issued by the Commission (or appropriate delegate) will take the form of a Certificate of Recognition.</w:t>
      </w:r>
    </w:p>
    <w:p w:rsidR="00E70407" w:rsidRPr="00E70407" w:rsidRDefault="00E70407" w:rsidP="00E70407">
      <w:pPr>
        <w:numPr>
          <w:ilvl w:val="1"/>
          <w:numId w:val="388"/>
        </w:numPr>
        <w:rPr>
          <w:rFonts w:ascii="Times New Roman" w:eastAsia="Times New Roman" w:hAnsi="Times New Roman"/>
          <w:b/>
          <w:bCs/>
          <w:sz w:val="17"/>
          <w:szCs w:val="17"/>
        </w:rPr>
      </w:pPr>
      <w:r w:rsidRPr="00E70407">
        <w:rPr>
          <w:rFonts w:ascii="Times New Roman" w:eastAsia="Times New Roman" w:hAnsi="Times New Roman"/>
          <w:b/>
          <w:bCs/>
          <w:sz w:val="17"/>
          <w:szCs w:val="17"/>
        </w:rPr>
        <w:t>Prescribed fees (</w:t>
      </w:r>
      <w:r w:rsidRPr="00E70407">
        <w:rPr>
          <w:rFonts w:ascii="Times New Roman" w:eastAsia="Times New Roman" w:hAnsi="Times New Roman"/>
          <w:b/>
          <w:bCs/>
          <w:i/>
          <w:sz w:val="17"/>
          <w:szCs w:val="17"/>
        </w:rPr>
        <w:t>SAS Act</w:t>
      </w:r>
      <w:r w:rsidRPr="00E70407">
        <w:rPr>
          <w:rFonts w:ascii="Times New Roman" w:eastAsia="Times New Roman" w:hAnsi="Times New Roman"/>
          <w:b/>
          <w:bCs/>
          <w:sz w:val="17"/>
          <w:szCs w:val="17"/>
        </w:rPr>
        <w:t>, S70A, South Australian Skills (Fees) Notice 2021, Schedule 1, cl. 1)</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13.5.1</w:t>
      </w:r>
      <w:r w:rsidRPr="00E70407">
        <w:rPr>
          <w:rFonts w:ascii="Times New Roman" w:eastAsia="Times New Roman" w:hAnsi="Times New Roman"/>
          <w:sz w:val="17"/>
          <w:szCs w:val="17"/>
        </w:rPr>
        <w:tab/>
        <w:t>Prescribed fees are published in the South Australian Skills (Fees) Notice 2021.</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13.5.2</w:t>
      </w:r>
      <w:r w:rsidRPr="00E70407">
        <w:rPr>
          <w:rFonts w:ascii="Times New Roman" w:eastAsia="Times New Roman" w:hAnsi="Times New Roman"/>
          <w:sz w:val="17"/>
          <w:szCs w:val="17"/>
        </w:rPr>
        <w:tab/>
        <w:t>The mechanism for paying the prescribed fee is contained in the application form.</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13.5.3</w:t>
      </w:r>
      <w:r w:rsidRPr="00E70407">
        <w:rPr>
          <w:rFonts w:ascii="Times New Roman" w:eastAsia="Times New Roman" w:hAnsi="Times New Roman"/>
          <w:sz w:val="17"/>
          <w:szCs w:val="17"/>
        </w:rPr>
        <w:tab/>
        <w:t>The prescribed fees payable for recognition of qualifications and/or experience in relation to a particular trade or declared vocation are:</w:t>
      </w:r>
    </w:p>
    <w:p w:rsidR="00E70407" w:rsidRPr="00E70407" w:rsidRDefault="00E70407" w:rsidP="00E70407">
      <w:pPr>
        <w:numPr>
          <w:ilvl w:val="0"/>
          <w:numId w:val="404"/>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$500 for a first or initial assessment</w:t>
      </w:r>
    </w:p>
    <w:p w:rsidR="00E70407" w:rsidRPr="00E70407" w:rsidRDefault="00E70407" w:rsidP="00E70407">
      <w:pPr>
        <w:numPr>
          <w:ilvl w:val="0"/>
          <w:numId w:val="404"/>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$1,000 for a competency assessment or examination or test</w:t>
      </w:r>
    </w:p>
    <w:p w:rsidR="00E70407" w:rsidRPr="00E70407" w:rsidRDefault="00E70407" w:rsidP="00E70407">
      <w:pPr>
        <w:numPr>
          <w:ilvl w:val="0"/>
          <w:numId w:val="404"/>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$200 for a second or subsequent assessment.</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13.5.4</w:t>
      </w:r>
      <w:r w:rsidRPr="00E70407">
        <w:rPr>
          <w:rFonts w:ascii="Times New Roman" w:eastAsia="Times New Roman" w:hAnsi="Times New Roman"/>
          <w:sz w:val="17"/>
          <w:szCs w:val="17"/>
        </w:rPr>
        <w:tab/>
        <w:t xml:space="preserve">Under the </w:t>
      </w:r>
      <w:r w:rsidRPr="00E70407">
        <w:rPr>
          <w:rFonts w:ascii="Times New Roman" w:eastAsia="Times New Roman" w:hAnsi="Times New Roman"/>
          <w:i/>
          <w:sz w:val="17"/>
          <w:szCs w:val="17"/>
        </w:rPr>
        <w:t>South Australian Skills Regulations 2021</w:t>
      </w:r>
      <w:r w:rsidRPr="00E70407">
        <w:rPr>
          <w:rFonts w:ascii="Times New Roman" w:eastAsia="Times New Roman" w:hAnsi="Times New Roman"/>
          <w:sz w:val="17"/>
          <w:szCs w:val="17"/>
        </w:rPr>
        <w:t xml:space="preserve"> (the </w:t>
      </w:r>
      <w:r w:rsidRPr="00E70407">
        <w:rPr>
          <w:rFonts w:ascii="Times New Roman" w:eastAsia="Times New Roman" w:hAnsi="Times New Roman"/>
          <w:i/>
          <w:sz w:val="17"/>
          <w:szCs w:val="17"/>
        </w:rPr>
        <w:t>Regulations</w:t>
      </w:r>
      <w:r w:rsidRPr="00E70407">
        <w:rPr>
          <w:rFonts w:ascii="Times New Roman" w:eastAsia="Times New Roman" w:hAnsi="Times New Roman"/>
          <w:sz w:val="17"/>
          <w:szCs w:val="17"/>
        </w:rPr>
        <w:t>), the Commission has the ability to:</w:t>
      </w:r>
    </w:p>
    <w:p w:rsidR="00E70407" w:rsidRPr="00E70407" w:rsidRDefault="00E70407" w:rsidP="00E70407">
      <w:pPr>
        <w:numPr>
          <w:ilvl w:val="0"/>
          <w:numId w:val="405"/>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waive the prescribed fee in full, or</w:t>
      </w:r>
    </w:p>
    <w:p w:rsidR="00E70407" w:rsidRPr="00E70407" w:rsidRDefault="00E70407" w:rsidP="00E70407">
      <w:pPr>
        <w:numPr>
          <w:ilvl w:val="0"/>
          <w:numId w:val="405"/>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charge 80 per cent of the fees specified in Clause 13.5.3 (in effect, a 20 per cent reduction in the fees).</w:t>
      </w:r>
    </w:p>
    <w:p w:rsidR="000B7B5F" w:rsidRDefault="000B7B5F">
      <w:pPr>
        <w:spacing w:after="0" w:line="240" w:lineRule="auto"/>
        <w:jc w:val="left"/>
        <w:rPr>
          <w:rFonts w:ascii="Times New Roman" w:eastAsia="Times New Roman" w:hAnsi="Times New Roman"/>
          <w:b/>
          <w:bCs/>
          <w:sz w:val="17"/>
          <w:szCs w:val="17"/>
        </w:rPr>
      </w:pPr>
      <w:r>
        <w:rPr>
          <w:rFonts w:ascii="Times New Roman" w:eastAsia="Times New Roman" w:hAnsi="Times New Roman"/>
          <w:b/>
          <w:bCs/>
          <w:sz w:val="17"/>
          <w:szCs w:val="17"/>
        </w:rPr>
        <w:br w:type="page"/>
      </w:r>
    </w:p>
    <w:p w:rsidR="00E70407" w:rsidRPr="00E70407" w:rsidRDefault="00E70407" w:rsidP="00E70407">
      <w:pPr>
        <w:numPr>
          <w:ilvl w:val="1"/>
          <w:numId w:val="388"/>
        </w:numPr>
        <w:rPr>
          <w:rFonts w:ascii="Times New Roman" w:eastAsia="Times New Roman" w:hAnsi="Times New Roman"/>
          <w:b/>
          <w:bCs/>
          <w:sz w:val="17"/>
          <w:szCs w:val="17"/>
        </w:rPr>
      </w:pPr>
      <w:r w:rsidRPr="00E70407">
        <w:rPr>
          <w:rFonts w:ascii="Times New Roman" w:eastAsia="Times New Roman" w:hAnsi="Times New Roman"/>
          <w:b/>
          <w:bCs/>
          <w:sz w:val="17"/>
          <w:szCs w:val="17"/>
        </w:rPr>
        <w:lastRenderedPageBreak/>
        <w:t>Review of decisions by the South Australian Civil and Administrative Tribunal (</w:t>
      </w:r>
      <w:r w:rsidRPr="00E70407">
        <w:rPr>
          <w:rFonts w:ascii="Times New Roman" w:eastAsia="Times New Roman" w:hAnsi="Times New Roman"/>
          <w:b/>
          <w:bCs/>
          <w:i/>
          <w:sz w:val="17"/>
          <w:szCs w:val="17"/>
        </w:rPr>
        <w:t>SAS Act</w:t>
      </w:r>
      <w:r w:rsidRPr="00E70407">
        <w:rPr>
          <w:rFonts w:ascii="Times New Roman" w:eastAsia="Times New Roman" w:hAnsi="Times New Roman"/>
          <w:b/>
          <w:bCs/>
          <w:sz w:val="17"/>
          <w:szCs w:val="17"/>
        </w:rPr>
        <w:t>, S70F)</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13.6.1</w:t>
      </w:r>
      <w:r w:rsidRPr="00E70407">
        <w:rPr>
          <w:rFonts w:ascii="Times New Roman" w:eastAsia="Times New Roman" w:hAnsi="Times New Roman"/>
          <w:sz w:val="17"/>
          <w:szCs w:val="17"/>
        </w:rPr>
        <w:tab/>
        <w:t xml:space="preserve">The South Australian Civil and Administrative Tribunal (SACAT) has jurisdiction to review a decision of the Commission to refuse an application for recognition of a person’s qualifications or experience under Section 70B of the </w:t>
      </w:r>
      <w:r w:rsidRPr="00E70407">
        <w:rPr>
          <w:rFonts w:ascii="Times New Roman" w:eastAsia="Times New Roman" w:hAnsi="Times New Roman"/>
          <w:i/>
          <w:sz w:val="17"/>
          <w:szCs w:val="17"/>
        </w:rPr>
        <w:t>Act</w:t>
      </w:r>
      <w:r w:rsidRPr="00E70407">
        <w:rPr>
          <w:rFonts w:ascii="Times New Roman" w:eastAsia="Times New Roman" w:hAnsi="Times New Roman"/>
          <w:sz w:val="17"/>
          <w:szCs w:val="17"/>
        </w:rPr>
        <w:t>.</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13.6.2</w:t>
      </w:r>
      <w:r w:rsidRPr="00E70407">
        <w:rPr>
          <w:rFonts w:ascii="Times New Roman" w:eastAsia="Times New Roman" w:hAnsi="Times New Roman"/>
          <w:sz w:val="17"/>
          <w:szCs w:val="17"/>
        </w:rPr>
        <w:tab/>
        <w:t>An applicant must apply to the SACAT within 28 days of receiving notice of the relevant decision.</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13.6.3</w:t>
      </w:r>
      <w:r w:rsidRPr="00E70407">
        <w:rPr>
          <w:rFonts w:ascii="Times New Roman" w:eastAsia="Times New Roman" w:hAnsi="Times New Roman"/>
          <w:sz w:val="17"/>
          <w:szCs w:val="17"/>
        </w:rPr>
        <w:tab/>
        <w:t>The SACAT may allow an extension of time to this application period if it is satisfied that:</w:t>
      </w:r>
    </w:p>
    <w:p w:rsidR="00E70407" w:rsidRPr="00E70407" w:rsidRDefault="00E70407" w:rsidP="00E70407">
      <w:pPr>
        <w:numPr>
          <w:ilvl w:val="0"/>
          <w:numId w:val="406"/>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special circumstances exist</w:t>
      </w:r>
    </w:p>
    <w:p w:rsidR="00E70407" w:rsidRPr="00E70407" w:rsidRDefault="00E70407" w:rsidP="00E70407">
      <w:pPr>
        <w:numPr>
          <w:ilvl w:val="0"/>
          <w:numId w:val="406"/>
        </w:numPr>
        <w:ind w:left="1134"/>
        <w:rPr>
          <w:rFonts w:ascii="Times New Roman" w:eastAsia="Times New Roman" w:hAnsi="Times New Roman"/>
          <w:sz w:val="17"/>
          <w:szCs w:val="17"/>
          <w:lang w:val="en-GB"/>
        </w:rPr>
      </w:pPr>
      <w:r w:rsidRPr="00E70407">
        <w:rPr>
          <w:rFonts w:ascii="Times New Roman" w:eastAsia="Times New Roman" w:hAnsi="Times New Roman"/>
          <w:sz w:val="17"/>
          <w:szCs w:val="17"/>
        </w:rPr>
        <w:t>another party will not be unreasonably disadvantaged because of the delay in commencing proceedings.</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13.6.4</w:t>
      </w:r>
      <w:r w:rsidRPr="00E70407">
        <w:rPr>
          <w:rFonts w:ascii="Times New Roman" w:eastAsia="Times New Roman" w:hAnsi="Times New Roman"/>
          <w:sz w:val="17"/>
          <w:szCs w:val="17"/>
        </w:rPr>
        <w:tab/>
        <w:t>An application to the SACAT to review a decision must be made using the online form available at</w:t>
      </w:r>
      <w:r w:rsidRPr="00E70407">
        <w:rPr>
          <w:rFonts w:ascii="Times New Roman" w:eastAsia="Times New Roman" w:hAnsi="Times New Roman"/>
          <w:sz w:val="17"/>
          <w:szCs w:val="17"/>
          <w:u w:val="single"/>
        </w:rPr>
        <w:t xml:space="preserve"> </w:t>
      </w:r>
      <w:hyperlink r:id="rId114" w:history="1">
        <w:r w:rsidRPr="00E70407">
          <w:rPr>
            <w:rFonts w:ascii="Times New Roman" w:eastAsia="Times New Roman" w:hAnsi="Times New Roman"/>
            <w:color w:val="0000FF"/>
            <w:sz w:val="17"/>
            <w:szCs w:val="17"/>
            <w:u w:val="single"/>
          </w:rPr>
          <w:t>www.sacat.sa.gov.au/application-form</w:t>
        </w:r>
      </w:hyperlink>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rPr>
        <w:t>13.6.5</w:t>
      </w:r>
      <w:r w:rsidRPr="00E70407">
        <w:rPr>
          <w:rFonts w:ascii="Times New Roman" w:eastAsia="Times New Roman" w:hAnsi="Times New Roman"/>
          <w:sz w:val="17"/>
          <w:szCs w:val="17"/>
        </w:rPr>
        <w:tab/>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rsidR="00E70407" w:rsidRPr="00E70407" w:rsidRDefault="00E70407" w:rsidP="00E70407">
      <w:pPr>
        <w:pBdr>
          <w:top w:val="single" w:sz="4" w:space="1" w:color="auto"/>
        </w:pBdr>
        <w:spacing w:before="100" w:line="14" w:lineRule="exact"/>
        <w:ind w:left="1080" w:right="1080"/>
        <w:jc w:val="center"/>
        <w:rPr>
          <w:rFonts w:ascii="Times New Roman" w:eastAsia="Times New Roman" w:hAnsi="Times New Roman"/>
          <w:b/>
          <w:bCs/>
          <w:sz w:val="17"/>
          <w:szCs w:val="17"/>
        </w:rPr>
      </w:pPr>
      <w:bookmarkStart w:id="132" w:name="_Toc71813725"/>
    </w:p>
    <w:p w:rsidR="00E70407" w:rsidRPr="00E70407" w:rsidRDefault="00E70407" w:rsidP="00E70407">
      <w:pPr>
        <w:jc w:val="center"/>
        <w:rPr>
          <w:rFonts w:ascii="Times New Roman" w:hAnsi="Times New Roman"/>
          <w:smallCaps/>
          <w:sz w:val="17"/>
          <w:szCs w:val="17"/>
        </w:rPr>
      </w:pPr>
      <w:bookmarkStart w:id="133" w:name="_Toc75255256"/>
      <w:r w:rsidRPr="00E70407">
        <w:rPr>
          <w:rFonts w:ascii="Times New Roman" w:hAnsi="Times New Roman"/>
          <w:smallCaps/>
          <w:sz w:val="17"/>
          <w:szCs w:val="17"/>
        </w:rPr>
        <w:t>Standard 14</w:t>
      </w:r>
      <w:r w:rsidRPr="00E70407">
        <w:rPr>
          <w:rFonts w:ascii="Times New Roman" w:hAnsi="Times New Roman"/>
          <w:smallCaps/>
          <w:sz w:val="17"/>
          <w:szCs w:val="17"/>
        </w:rPr>
        <w:tab/>
      </w:r>
      <w:r w:rsidRPr="00E70407">
        <w:rPr>
          <w:rFonts w:ascii="Times New Roman" w:hAnsi="Times New Roman"/>
          <w:smallCaps/>
          <w:sz w:val="17"/>
          <w:szCs w:val="17"/>
        </w:rPr>
        <w:tab/>
        <w:t>Record Keeping</w:t>
      </w:r>
      <w:bookmarkEnd w:id="133"/>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This Standard relates to the records that employers and Nominated Training Organisations (NTOs) must keep in accordance with the </w:t>
      </w:r>
      <w:r w:rsidRPr="00E70407">
        <w:rPr>
          <w:rFonts w:ascii="Times New Roman" w:eastAsia="Times New Roman" w:hAnsi="Times New Roman"/>
          <w:i/>
          <w:sz w:val="17"/>
          <w:szCs w:val="17"/>
          <w:lang w:val="en-GB"/>
        </w:rPr>
        <w:t>South Australian Skills Act 2008</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sz w:val="17"/>
          <w:szCs w:val="17"/>
          <w:lang w:val="en-GB"/>
        </w:rPr>
        <w:t>Act</w:t>
      </w:r>
      <w:r w:rsidRPr="00E70407">
        <w:rPr>
          <w:rFonts w:ascii="Times New Roman" w:eastAsia="Times New Roman" w:hAnsi="Times New Roman"/>
          <w:sz w:val="17"/>
          <w:szCs w:val="17"/>
          <w:lang w:val="en-GB"/>
        </w:rPr>
        <w:t>).</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primary purpose of the Training Contract system is to ensure the provision of quality training for apprentices and trainees while they undertake employment relevant to the trade or vocation.</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Record keeping requirements assist with this process by ensuring that a comprehensive record is available for regulatory purposes.</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sz w:val="17"/>
          <w:szCs w:val="17"/>
        </w:rPr>
        <w:t xml:space="preserve">To avoid duplication, where records are required to be kept for other reasons (for example, to meet workplace health and safety obligations under the </w:t>
      </w:r>
      <w:r w:rsidRPr="00E70407">
        <w:rPr>
          <w:rFonts w:ascii="Times New Roman" w:eastAsia="Times New Roman" w:hAnsi="Times New Roman"/>
          <w:i/>
          <w:sz w:val="17"/>
          <w:szCs w:val="17"/>
        </w:rPr>
        <w:t>Workplace Health and Safety Act 2012</w:t>
      </w:r>
      <w:r w:rsidRPr="00E70407">
        <w:rPr>
          <w:rFonts w:ascii="Times New Roman" w:eastAsia="Times New Roman" w:hAnsi="Times New Roman"/>
          <w:sz w:val="17"/>
          <w:szCs w:val="17"/>
        </w:rPr>
        <w:t>), these records can be utilised for the purposes of meeting this Standard.</w:t>
      </w:r>
    </w:p>
    <w:p w:rsidR="00E70407" w:rsidRPr="00E70407" w:rsidRDefault="00E70407" w:rsidP="00E70407">
      <w:pPr>
        <w:rPr>
          <w:rFonts w:ascii="Times New Roman" w:eastAsia="Times New Roman" w:hAnsi="Times New Roman"/>
          <w:b/>
          <w:sz w:val="17"/>
          <w:szCs w:val="17"/>
          <w:lang w:val="en-GB"/>
        </w:rPr>
      </w:pPr>
      <w:r w:rsidRPr="00E70407">
        <w:rPr>
          <w:rFonts w:ascii="Times New Roman" w:eastAsia="Times New Roman" w:hAnsi="Times New Roman"/>
          <w:b/>
          <w:sz w:val="17"/>
          <w:szCs w:val="17"/>
          <w:lang w:val="en-GB"/>
        </w:rPr>
        <w:t>Governance arrangements</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Under the </w:t>
      </w:r>
      <w:r w:rsidRPr="00E70407">
        <w:rPr>
          <w:rFonts w:ascii="Times New Roman" w:eastAsia="Times New Roman" w:hAnsi="Times New Roman"/>
          <w:i/>
          <w:iCs/>
          <w:sz w:val="17"/>
          <w:szCs w:val="17"/>
          <w:lang w:val="en-GB"/>
        </w:rPr>
        <w:t>SAS A</w:t>
      </w:r>
      <w:r w:rsidRPr="00E70407">
        <w:rPr>
          <w:rFonts w:ascii="Times New Roman" w:eastAsia="Times New Roman" w:hAnsi="Times New Roman"/>
          <w:i/>
          <w:sz w:val="17"/>
          <w:szCs w:val="17"/>
          <w:lang w:val="en-GB"/>
        </w:rPr>
        <w:t>ct</w:t>
      </w:r>
      <w:r w:rsidRPr="00E70407">
        <w:rPr>
          <w:rFonts w:ascii="Times New Roman" w:eastAsia="Times New Roman" w:hAnsi="Times New Roman"/>
          <w:sz w:val="17"/>
          <w:szCs w:val="17"/>
          <w:lang w:val="en-GB"/>
        </w:rPr>
        <w:t>, the Commission (or its delegate) is responsible for the regulation of the apprenticeship and traineeship system.</w:t>
      </w:r>
    </w:p>
    <w:p w:rsidR="00E70407" w:rsidRPr="00E70407" w:rsidRDefault="00E70407" w:rsidP="00E70407">
      <w:pPr>
        <w:rPr>
          <w:rFonts w:ascii="Times New Roman" w:eastAsia="Times New Roman" w:hAnsi="Times New Roman"/>
          <w:b/>
          <w:sz w:val="17"/>
          <w:szCs w:val="17"/>
          <w:lang w:val="en-GB"/>
        </w:rPr>
      </w:pPr>
      <w:r w:rsidRPr="00E70407">
        <w:rPr>
          <w:rFonts w:ascii="Times New Roman" w:eastAsia="Times New Roman" w:hAnsi="Times New Roman"/>
          <w:b/>
          <w:sz w:val="17"/>
          <w:szCs w:val="17"/>
          <w:lang w:val="en-GB"/>
        </w:rPr>
        <w:t>Compliance with the Standard</w:t>
      </w:r>
    </w:p>
    <w:p w:rsidR="00E70407" w:rsidRPr="00E70407" w:rsidRDefault="00E70407" w:rsidP="00E70407">
      <w:p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 xml:space="preserve">14.1 </w:t>
      </w:r>
      <w:r w:rsidRPr="00E70407">
        <w:rPr>
          <w:rFonts w:ascii="Times New Roman" w:eastAsia="Times New Roman" w:hAnsi="Times New Roman"/>
          <w:b/>
          <w:bCs/>
          <w:sz w:val="17"/>
          <w:szCs w:val="17"/>
          <w:lang w:val="en-GB"/>
        </w:rPr>
        <w:tab/>
        <w:t>General record keeping requirements (</w:t>
      </w:r>
      <w:r w:rsidRPr="00E70407">
        <w:rPr>
          <w:rFonts w:ascii="Times New Roman" w:eastAsia="Times New Roman" w:hAnsi="Times New Roman"/>
          <w:b/>
          <w:bCs/>
          <w:i/>
          <w:sz w:val="17"/>
          <w:szCs w:val="17"/>
          <w:lang w:val="en-GB"/>
        </w:rPr>
        <w:t>SAS Act</w:t>
      </w:r>
      <w:r w:rsidRPr="00E70407">
        <w:rPr>
          <w:rFonts w:ascii="Times New Roman" w:eastAsia="Times New Roman" w:hAnsi="Times New Roman"/>
          <w:b/>
          <w:bCs/>
          <w:sz w:val="17"/>
          <w:szCs w:val="17"/>
          <w:lang w:val="en-GB"/>
        </w:rPr>
        <w:t>, S54L, S54U, Regulations 12 and 16)</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14.1.1</w:t>
      </w:r>
      <w:r w:rsidRPr="00E70407">
        <w:rPr>
          <w:rFonts w:ascii="Times New Roman" w:eastAsia="Times New Roman" w:hAnsi="Times New Roman"/>
          <w:sz w:val="17"/>
          <w:szCs w:val="17"/>
          <w:lang w:val="en-GB"/>
        </w:rPr>
        <w:tab/>
        <w:t xml:space="preserve">An </w:t>
      </w:r>
      <w:r w:rsidRPr="00E70407">
        <w:rPr>
          <w:rFonts w:ascii="Times New Roman" w:eastAsia="Times New Roman" w:hAnsi="Times New Roman"/>
          <w:sz w:val="17"/>
          <w:szCs w:val="17"/>
        </w:rPr>
        <w:t>employer</w:t>
      </w:r>
      <w:r w:rsidRPr="00E70407">
        <w:rPr>
          <w:rFonts w:ascii="Times New Roman" w:eastAsia="Times New Roman" w:hAnsi="Times New Roman"/>
          <w:sz w:val="17"/>
          <w:szCs w:val="17"/>
          <w:lang w:val="en-GB"/>
        </w:rPr>
        <w:t xml:space="preserve"> in relation to a Training Contract and an NTO under a Training Contract must keep such records as required by the </w:t>
      </w:r>
      <w:r w:rsidRPr="00E70407">
        <w:rPr>
          <w:rFonts w:ascii="Times New Roman" w:eastAsia="Times New Roman" w:hAnsi="Times New Roman"/>
          <w:i/>
          <w:iCs/>
          <w:sz w:val="17"/>
          <w:szCs w:val="17"/>
        </w:rPr>
        <w:t>South Australian Skills Regulations 2021</w:t>
      </w:r>
      <w:r w:rsidRPr="00E70407">
        <w:rPr>
          <w:rFonts w:ascii="Times New Roman" w:eastAsia="Times New Roman" w:hAnsi="Times New Roman"/>
          <w:sz w:val="17"/>
          <w:szCs w:val="17"/>
        </w:rPr>
        <w:t xml:space="preserve"> (the </w:t>
      </w:r>
      <w:r w:rsidRPr="00E70407">
        <w:rPr>
          <w:rFonts w:ascii="Times New Roman" w:eastAsia="Times New Roman" w:hAnsi="Times New Roman"/>
          <w:i/>
          <w:sz w:val="17"/>
          <w:szCs w:val="17"/>
          <w:lang w:val="en-GB"/>
        </w:rPr>
        <w:t>Regulations)</w:t>
      </w:r>
      <w:r w:rsidRPr="00E70407">
        <w:rPr>
          <w:rFonts w:ascii="Times New Roman" w:eastAsia="Times New Roman" w:hAnsi="Times New Roman"/>
          <w:sz w:val="17"/>
          <w:szCs w:val="17"/>
          <w:lang w:val="en-GB"/>
        </w:rPr>
        <w:t>. NTOs that were, but are no longer, the NTO under a Training Contract are also bound by the requirements contained in this Standard.</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14.1.2</w:t>
      </w:r>
      <w:r w:rsidRPr="00E70407">
        <w:rPr>
          <w:rFonts w:ascii="Times New Roman" w:eastAsia="Times New Roman" w:hAnsi="Times New Roman"/>
          <w:sz w:val="17"/>
          <w:szCs w:val="17"/>
          <w:lang w:val="en-GB"/>
        </w:rPr>
        <w:tab/>
        <w:t xml:space="preserve">To avoid doubt, all record keeping requirements contained in the </w:t>
      </w:r>
      <w:r w:rsidRPr="00E70407">
        <w:rPr>
          <w:rFonts w:ascii="Times New Roman" w:eastAsia="Times New Roman" w:hAnsi="Times New Roman"/>
          <w:i/>
          <w:sz w:val="17"/>
          <w:szCs w:val="17"/>
          <w:lang w:val="en-GB"/>
        </w:rPr>
        <w:t>Regulations</w:t>
      </w:r>
      <w:r w:rsidRPr="00E70407">
        <w:rPr>
          <w:rFonts w:ascii="Times New Roman" w:eastAsia="Times New Roman" w:hAnsi="Times New Roman"/>
          <w:sz w:val="17"/>
          <w:szCs w:val="17"/>
          <w:lang w:val="en-GB"/>
        </w:rPr>
        <w:t xml:space="preserve"> are consistent with this Standard.</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14.1.3</w:t>
      </w:r>
      <w:r w:rsidRPr="00E70407">
        <w:rPr>
          <w:rFonts w:ascii="Times New Roman" w:eastAsia="Times New Roman" w:hAnsi="Times New Roman"/>
          <w:sz w:val="17"/>
          <w:szCs w:val="17"/>
          <w:lang w:val="en-GB"/>
        </w:rPr>
        <w:tab/>
        <w:t>An employer and an NTO must retain their records for at least 7 years after the completion, expiry, or termination (as the case requires) of the Training Contract to which the record relates.</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14.1.4</w:t>
      </w:r>
      <w:r w:rsidRPr="00E70407">
        <w:rPr>
          <w:rFonts w:ascii="Times New Roman" w:eastAsia="Times New Roman" w:hAnsi="Times New Roman"/>
          <w:sz w:val="17"/>
          <w:szCs w:val="17"/>
          <w:lang w:val="en-GB"/>
        </w:rPr>
        <w:tab/>
      </w:r>
      <w:r w:rsidRPr="00E70407">
        <w:rPr>
          <w:rFonts w:ascii="Times New Roman" w:eastAsia="Times New Roman" w:hAnsi="Times New Roman"/>
          <w:sz w:val="17"/>
          <w:szCs w:val="17"/>
        </w:rPr>
        <w:t>Where</w:t>
      </w:r>
      <w:r w:rsidRPr="00E70407">
        <w:rPr>
          <w:rFonts w:ascii="Times New Roman" w:eastAsia="Times New Roman" w:hAnsi="Times New Roman"/>
          <w:sz w:val="17"/>
          <w:szCs w:val="17"/>
          <w:lang w:val="en-GB"/>
        </w:rPr>
        <w:t xml:space="preserve"> an NTO has entered into a Funded Activity Agreement (FAA) with the Department for Innovation and Skills (DIS), any additional record keeping requirements contained in the FAA remain in force.</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14.1.5</w:t>
      </w:r>
      <w:r w:rsidRPr="00E70407">
        <w:rPr>
          <w:rFonts w:ascii="Times New Roman" w:eastAsia="Times New Roman" w:hAnsi="Times New Roman"/>
          <w:sz w:val="17"/>
          <w:szCs w:val="17"/>
          <w:lang w:val="en-GB"/>
        </w:rPr>
        <w:tab/>
        <w:t>The maximum penalty for refusing or failing to comply with the record keeping requirements is $5,000, with an expiation fee of $315.</w:t>
      </w:r>
    </w:p>
    <w:p w:rsidR="00E70407" w:rsidRPr="00E70407" w:rsidRDefault="00E70407" w:rsidP="00E70407">
      <w:p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 xml:space="preserve">14.2 </w:t>
      </w:r>
      <w:r w:rsidRPr="00E70407">
        <w:rPr>
          <w:rFonts w:ascii="Times New Roman" w:eastAsia="Times New Roman" w:hAnsi="Times New Roman"/>
          <w:b/>
          <w:bCs/>
          <w:sz w:val="17"/>
          <w:szCs w:val="17"/>
          <w:lang w:val="en-GB"/>
        </w:rPr>
        <w:tab/>
        <w:t>Employer-related record keeping requirements (</w:t>
      </w:r>
      <w:r w:rsidRPr="00E70407">
        <w:rPr>
          <w:rFonts w:ascii="Times New Roman" w:eastAsia="Times New Roman" w:hAnsi="Times New Roman"/>
          <w:b/>
          <w:bCs/>
          <w:i/>
          <w:iCs/>
          <w:sz w:val="17"/>
          <w:szCs w:val="17"/>
          <w:lang w:val="en-GB"/>
        </w:rPr>
        <w:t>SAS Act</w:t>
      </w:r>
      <w:r w:rsidRPr="00E70407">
        <w:rPr>
          <w:rFonts w:ascii="Times New Roman" w:eastAsia="Times New Roman" w:hAnsi="Times New Roman"/>
          <w:b/>
          <w:bCs/>
          <w:sz w:val="17"/>
          <w:szCs w:val="17"/>
          <w:lang w:val="en-GB"/>
        </w:rPr>
        <w:t>, S46, S54F, S54K, S54O, Regulation 12)</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14.2.1</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 xml:space="preserve">An employer must keep a copy of the Employer Registration Declaration, and evidence to support the declarations made as part of the </w:t>
      </w:r>
      <w:r w:rsidRPr="00E70407">
        <w:rPr>
          <w:rFonts w:ascii="Times New Roman" w:eastAsia="Times New Roman" w:hAnsi="Times New Roman"/>
          <w:sz w:val="17"/>
          <w:szCs w:val="17"/>
        </w:rPr>
        <w:t>employer</w:t>
      </w:r>
      <w:r w:rsidRPr="00E70407">
        <w:rPr>
          <w:rFonts w:ascii="Times New Roman" w:eastAsia="Times New Roman" w:hAnsi="Times New Roman"/>
          <w:sz w:val="17"/>
          <w:szCs w:val="17"/>
          <w:lang w:val="en-GB"/>
        </w:rPr>
        <w:t xml:space="preserve"> registration process (for example, evidence of suitable equipment and safe methods to be used in training, evidence of supervisor suitability, and evidence of the employer’s ability to deliver adequate scope of work to allow the apprentice or trainee to develop the skills and competencies required by the trade or vocation).</w:t>
      </w:r>
    </w:p>
    <w:p w:rsidR="00E70407" w:rsidRPr="00E70407" w:rsidRDefault="00E70407" w:rsidP="00E70407">
      <w:pPr>
        <w:ind w:left="709" w:hanging="709"/>
        <w:rPr>
          <w:rFonts w:ascii="Times New Roman" w:eastAsia="Times New Roman" w:hAnsi="Times New Roman"/>
          <w:sz w:val="17"/>
          <w:szCs w:val="17"/>
        </w:rPr>
      </w:pPr>
      <w:r w:rsidRPr="00E70407">
        <w:rPr>
          <w:rFonts w:ascii="Times New Roman" w:eastAsia="Times New Roman" w:hAnsi="Times New Roman"/>
          <w:sz w:val="17"/>
          <w:szCs w:val="17"/>
          <w:lang w:val="en-GB"/>
        </w:rPr>
        <w:t>14.2.2</w:t>
      </w:r>
      <w:r w:rsidRPr="00E70407">
        <w:rPr>
          <w:rFonts w:ascii="Times New Roman" w:eastAsia="Times New Roman" w:hAnsi="Times New Roman"/>
          <w:sz w:val="17"/>
          <w:szCs w:val="17"/>
          <w:lang w:val="en-GB"/>
        </w:rPr>
        <w:tab/>
        <w:t xml:space="preserve">An </w:t>
      </w:r>
      <w:r w:rsidRPr="00E70407">
        <w:rPr>
          <w:rFonts w:ascii="Times New Roman" w:eastAsia="Times New Roman" w:hAnsi="Times New Roman"/>
          <w:sz w:val="17"/>
          <w:szCs w:val="17"/>
        </w:rPr>
        <w:t>employer</w:t>
      </w:r>
      <w:r w:rsidRPr="00E70407">
        <w:rPr>
          <w:rFonts w:ascii="Times New Roman" w:eastAsia="Times New Roman" w:hAnsi="Times New Roman"/>
          <w:sz w:val="17"/>
          <w:szCs w:val="17"/>
          <w:lang w:val="en-GB"/>
        </w:rPr>
        <w:t>, in relation to their registration, must keep records, including all correspondence to and from the Commission, regarding: </w:t>
      </w:r>
    </w:p>
    <w:p w:rsidR="00E70407" w:rsidRPr="00E70407" w:rsidRDefault="00E70407" w:rsidP="00E70407">
      <w:pPr>
        <w:numPr>
          <w:ilvl w:val="0"/>
          <w:numId w:val="347"/>
        </w:numPr>
        <w:ind w:left="1078"/>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scope of the employer’s registration </w:t>
      </w:r>
    </w:p>
    <w:p w:rsidR="00E70407" w:rsidRPr="00E70407" w:rsidRDefault="00E70407" w:rsidP="00E70407">
      <w:pPr>
        <w:numPr>
          <w:ilvl w:val="0"/>
          <w:numId w:val="347"/>
        </w:numPr>
        <w:ind w:left="1078"/>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any conditions placed on the employer’s registration by the Commission </w:t>
      </w:r>
    </w:p>
    <w:p w:rsidR="00E70407" w:rsidRPr="00E70407" w:rsidRDefault="00E70407" w:rsidP="00E70407">
      <w:pPr>
        <w:numPr>
          <w:ilvl w:val="0"/>
          <w:numId w:val="347"/>
        </w:numPr>
        <w:ind w:left="1078"/>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any variation, suspension, or cancellation of the employer’s registration </w:t>
      </w:r>
    </w:p>
    <w:p w:rsidR="00E70407" w:rsidRPr="00E70407" w:rsidRDefault="00E70407" w:rsidP="00E70407">
      <w:pPr>
        <w:numPr>
          <w:ilvl w:val="0"/>
          <w:numId w:val="347"/>
        </w:numPr>
        <w:ind w:left="1078"/>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prohibition, or revocation of the prohibition, of the employer’s registration</w:t>
      </w:r>
    </w:p>
    <w:p w:rsidR="00E70407" w:rsidRPr="00E70407" w:rsidRDefault="00E70407" w:rsidP="00E70407">
      <w:pPr>
        <w:numPr>
          <w:ilvl w:val="0"/>
          <w:numId w:val="347"/>
        </w:numPr>
        <w:ind w:left="1078"/>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substitution of an employer following the variation, suspension, or cancellation of registration</w:t>
      </w:r>
    </w:p>
    <w:p w:rsidR="00E70407" w:rsidRPr="00E70407" w:rsidRDefault="00E70407" w:rsidP="00E70407">
      <w:pPr>
        <w:numPr>
          <w:ilvl w:val="0"/>
          <w:numId w:val="347"/>
        </w:numPr>
        <w:ind w:left="1078"/>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renewal of the employer’s registration</w:t>
      </w:r>
    </w:p>
    <w:p w:rsidR="00E70407" w:rsidRPr="00E70407" w:rsidRDefault="00E70407" w:rsidP="00E70407">
      <w:pPr>
        <w:numPr>
          <w:ilvl w:val="0"/>
          <w:numId w:val="347"/>
        </w:numPr>
        <w:ind w:left="1078"/>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any other notifications or correspondence to and from the Commission regarding the employer’s registration.</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14.2.3</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An employer in relation to a Training Contract is required to keep the following records:</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(a) </w:t>
      </w:r>
      <w:r w:rsidRPr="00E70407">
        <w:rPr>
          <w:rFonts w:ascii="Times New Roman" w:eastAsia="Times New Roman" w:hAnsi="Times New Roman"/>
          <w:sz w:val="17"/>
          <w:szCs w:val="17"/>
          <w:lang w:val="en-GB"/>
        </w:rPr>
        <w:tab/>
        <w:t>the Training Contract and Training Plan</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(b) </w:t>
      </w:r>
      <w:r w:rsidRPr="00E70407">
        <w:rPr>
          <w:rFonts w:ascii="Times New Roman" w:eastAsia="Times New Roman" w:hAnsi="Times New Roman"/>
          <w:sz w:val="17"/>
          <w:szCs w:val="17"/>
          <w:lang w:val="en-GB"/>
        </w:rPr>
        <w:tab/>
        <w:t>a letter of appointment (where required under the relevant industrial arrangement)</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(c)</w:t>
      </w:r>
      <w:r w:rsidRPr="00E70407">
        <w:rPr>
          <w:rFonts w:ascii="Times New Roman" w:eastAsia="Times New Roman" w:hAnsi="Times New Roman"/>
          <w:sz w:val="17"/>
          <w:szCs w:val="17"/>
          <w:lang w:val="en-GB"/>
        </w:rPr>
        <w:tab/>
        <w:t>induction records (for example, documented safe working practices and expectations of behaviour in the workplace which have been communicated to the apprentice or trainee)</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(d) </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on-job training and competency assessments</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(e) </w:t>
      </w:r>
      <w:r w:rsidRPr="00E70407">
        <w:rPr>
          <w:rFonts w:ascii="Times New Roman" w:eastAsia="Times New Roman" w:hAnsi="Times New Roman"/>
          <w:sz w:val="17"/>
          <w:szCs w:val="17"/>
          <w:lang w:val="en-GB"/>
        </w:rPr>
        <w:tab/>
        <w:t>records that identify the type of work performed by the apprentice or trainee. Examples include certificates of compliance in relation to work performed by apprentices under supervision (in electrical, plumbing, gas fitting or any other trade where a certificate of compliance is required to be issued for work done), e-profiling records, job log books, or job journals</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(f) </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attendance and time records for each apprentice or trainee for each day while at work or training (both on-job and off-job training), including start and finish work/training times, meal or other break times, and the location of any training (whether at the workplace or another specified location)</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(g) </w:t>
      </w:r>
      <w:r w:rsidRPr="00E70407">
        <w:rPr>
          <w:rFonts w:ascii="Times New Roman" w:eastAsia="Times New Roman" w:hAnsi="Times New Roman"/>
          <w:sz w:val="17"/>
          <w:szCs w:val="17"/>
          <w:lang w:val="en-GB"/>
        </w:rPr>
        <w:tab/>
        <w:t>disciplinary records</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lastRenderedPageBreak/>
        <w:t xml:space="preserve">(h) </w:t>
      </w:r>
      <w:r w:rsidRPr="00E70407">
        <w:rPr>
          <w:rFonts w:ascii="Times New Roman" w:eastAsia="Times New Roman" w:hAnsi="Times New Roman"/>
          <w:sz w:val="17"/>
          <w:szCs w:val="17"/>
          <w:lang w:val="en-GB"/>
        </w:rPr>
        <w:tab/>
        <w:t>where the employer and apprentice or trainee have agreed to average the hours of employment and training, or change a part-time working arrangement to full-time, or vice-versa, records of the agreements, which specify the pattern of employment and training, and are signed and dated by both parties</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(i) </w:t>
      </w:r>
      <w:r w:rsidRPr="00E70407">
        <w:rPr>
          <w:rFonts w:ascii="Times New Roman" w:eastAsia="Times New Roman" w:hAnsi="Times New Roman"/>
          <w:sz w:val="17"/>
          <w:szCs w:val="17"/>
          <w:lang w:val="en-GB"/>
        </w:rPr>
        <w:tab/>
        <w:t>costs incurred by the employer and the apprentice or trainee for training identified in, or associated with, their Training Contract</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(j) </w:t>
      </w:r>
      <w:r w:rsidRPr="00E70407">
        <w:rPr>
          <w:rFonts w:ascii="Times New Roman" w:eastAsia="Times New Roman" w:hAnsi="Times New Roman"/>
          <w:sz w:val="17"/>
          <w:szCs w:val="17"/>
          <w:lang w:val="en-GB"/>
        </w:rPr>
        <w:tab/>
        <w:t xml:space="preserve">records relating to the pay for apprentices and trainees as outlined in </w:t>
      </w:r>
      <w:r w:rsidRPr="00E70407">
        <w:rPr>
          <w:rFonts w:ascii="Times New Roman" w:eastAsia="Times New Roman" w:hAnsi="Times New Roman"/>
          <w:i/>
          <w:sz w:val="17"/>
          <w:szCs w:val="17"/>
          <w:lang w:val="en-GB"/>
        </w:rPr>
        <w:t>Fair Work Act 2009</w:t>
      </w:r>
      <w:r w:rsidRPr="00E70407">
        <w:rPr>
          <w:rFonts w:ascii="Times New Roman" w:eastAsia="Times New Roman" w:hAnsi="Times New Roman"/>
          <w:sz w:val="17"/>
          <w:szCs w:val="17"/>
          <w:lang w:val="en-GB"/>
        </w:rPr>
        <w:t xml:space="preserve"> (Cth) or the </w:t>
      </w:r>
      <w:r w:rsidRPr="00E70407">
        <w:rPr>
          <w:rFonts w:ascii="Times New Roman" w:eastAsia="Times New Roman" w:hAnsi="Times New Roman"/>
          <w:i/>
          <w:iCs/>
          <w:sz w:val="17"/>
          <w:szCs w:val="17"/>
          <w:lang w:val="en-GB"/>
        </w:rPr>
        <w:t>Fair Work Act 1994 (SA),</w:t>
      </w:r>
      <w:r w:rsidRPr="00E70407">
        <w:rPr>
          <w:rFonts w:ascii="Times New Roman" w:eastAsia="Times New Roman" w:hAnsi="Times New Roman"/>
          <w:sz w:val="17"/>
          <w:szCs w:val="17"/>
          <w:lang w:val="en-GB"/>
        </w:rPr>
        <w:t xml:space="preserve"> whichever applied to the apprentice or trainee employed. The records should include:</w:t>
      </w:r>
    </w:p>
    <w:p w:rsidR="00E70407" w:rsidRPr="00E70407" w:rsidRDefault="00E70407" w:rsidP="00E70407">
      <w:pPr>
        <w:numPr>
          <w:ilvl w:val="5"/>
          <w:numId w:val="389"/>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rate of remuneration paid to the apprentice or trainee</w:t>
      </w:r>
    </w:p>
    <w:p w:rsidR="00E70407" w:rsidRPr="00E70407" w:rsidRDefault="00E70407" w:rsidP="00E70407">
      <w:pPr>
        <w:numPr>
          <w:ilvl w:val="5"/>
          <w:numId w:val="389"/>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gross and net amounts paid to the apprentice or trainee</w:t>
      </w:r>
    </w:p>
    <w:p w:rsidR="00E70407" w:rsidRPr="00E70407" w:rsidRDefault="00E70407" w:rsidP="00E70407">
      <w:pPr>
        <w:numPr>
          <w:ilvl w:val="5"/>
          <w:numId w:val="389"/>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any deductions made from the gross amount paid to the apprentice or trainee</w:t>
      </w:r>
    </w:p>
    <w:p w:rsidR="00E70407" w:rsidRPr="00E70407" w:rsidRDefault="00E70407" w:rsidP="00E70407">
      <w:pPr>
        <w:numPr>
          <w:ilvl w:val="5"/>
          <w:numId w:val="389"/>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any incentive-based payment, bonus, loading, penalty rate, monetary allowance or separately identifiable entitlement paid to the apprentice or trainee.</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(k) </w:t>
      </w:r>
      <w:r w:rsidRPr="00E70407">
        <w:rPr>
          <w:rFonts w:ascii="Times New Roman" w:eastAsia="Times New Roman" w:hAnsi="Times New Roman"/>
          <w:sz w:val="17"/>
          <w:szCs w:val="17"/>
          <w:lang w:val="en-GB"/>
        </w:rPr>
        <w:tab/>
        <w:t xml:space="preserve">records of each payment of a transfer fee under Section 54O of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sz w:val="17"/>
          <w:szCs w:val="17"/>
          <w:lang w:val="en-GB"/>
        </w:rPr>
        <w:t>Act</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(l) </w:t>
      </w:r>
      <w:r w:rsidRPr="00E70407">
        <w:rPr>
          <w:rFonts w:ascii="Times New Roman" w:eastAsia="Times New Roman" w:hAnsi="Times New Roman"/>
          <w:sz w:val="17"/>
          <w:szCs w:val="17"/>
          <w:lang w:val="en-GB"/>
        </w:rPr>
        <w:tab/>
        <w:t>leave records for the apprentice or trainee, including leave taken and the balance of any outstanding leave (if any). This includes annual leave, personal/carer’s and compassionate leave, parental leave, and community service leave</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(m) </w:t>
      </w:r>
      <w:r w:rsidRPr="00E70407">
        <w:rPr>
          <w:rFonts w:ascii="Times New Roman" w:eastAsia="Times New Roman" w:hAnsi="Times New Roman"/>
          <w:sz w:val="17"/>
          <w:szCs w:val="17"/>
          <w:lang w:val="en-GB"/>
        </w:rPr>
        <w:tab/>
        <w:t>supervision-related records (for more detail see Standard 5, Supervision) including:</w:t>
      </w:r>
    </w:p>
    <w:p w:rsidR="00E70407" w:rsidRPr="00E70407" w:rsidRDefault="00E70407" w:rsidP="00E70407">
      <w:pPr>
        <w:numPr>
          <w:ilvl w:val="5"/>
          <w:numId w:val="390"/>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 record of the type of supervision the apprentice or trainee is under at any given time in their apprenticeship or traineeship</w:t>
      </w:r>
    </w:p>
    <w:p w:rsidR="00E70407" w:rsidRPr="00E70407" w:rsidRDefault="00E70407" w:rsidP="00E70407">
      <w:pPr>
        <w:numPr>
          <w:ilvl w:val="5"/>
          <w:numId w:val="390"/>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records showing how the employer determined the appropriate supervision type</w:t>
      </w:r>
    </w:p>
    <w:p w:rsidR="00E70407" w:rsidRPr="00E70407" w:rsidRDefault="00E70407" w:rsidP="00E70407">
      <w:pPr>
        <w:numPr>
          <w:ilvl w:val="5"/>
          <w:numId w:val="390"/>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any requests to, and correspondence from, the Commission to operate outside the specified supervision ratio or to provide remote supervision for the apprentice or trainee</w:t>
      </w:r>
    </w:p>
    <w:p w:rsidR="00E70407" w:rsidRPr="00E70407" w:rsidRDefault="00E70407" w:rsidP="00E70407">
      <w:pPr>
        <w:numPr>
          <w:ilvl w:val="5"/>
          <w:numId w:val="390"/>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qualifications and/or evidence of relevant experience and skills in relation to the person(s) who supervise, or who are to supervise, the apprentice or trainee</w:t>
      </w:r>
    </w:p>
    <w:p w:rsidR="00E70407" w:rsidRPr="00E70407" w:rsidRDefault="00E70407" w:rsidP="00E70407">
      <w:pPr>
        <w:numPr>
          <w:ilvl w:val="5"/>
          <w:numId w:val="390"/>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 time record for the person(s) responsible for supervising each apprentice or trainee for each day while at work, while supervising the apprentice or trainee.</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(n) </w:t>
      </w:r>
      <w:r w:rsidRPr="00E70407">
        <w:rPr>
          <w:rFonts w:ascii="Times New Roman" w:eastAsia="Times New Roman" w:hAnsi="Times New Roman"/>
          <w:sz w:val="17"/>
          <w:szCs w:val="17"/>
          <w:lang w:val="en-GB"/>
        </w:rPr>
        <w:tab/>
        <w:t>where host employment arrangements are utilised, host employment arrangement-related records (for more detail refer to Standard 4, Host Employment Arrangements)</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(o) </w:t>
      </w:r>
      <w:r w:rsidRPr="00E70407">
        <w:rPr>
          <w:rFonts w:ascii="Times New Roman" w:eastAsia="Times New Roman" w:hAnsi="Times New Roman"/>
          <w:sz w:val="17"/>
          <w:szCs w:val="17"/>
          <w:lang w:val="en-GB"/>
        </w:rPr>
        <w:tab/>
        <w:t>appropriate business licenses and/or worker registrations, such as a building work contractor’s licence, a plumbing contractor’s licence, or an electrical worker’s registration</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(p) </w:t>
      </w:r>
      <w:r w:rsidRPr="00E70407">
        <w:rPr>
          <w:rFonts w:ascii="Times New Roman" w:eastAsia="Times New Roman" w:hAnsi="Times New Roman"/>
          <w:sz w:val="17"/>
          <w:szCs w:val="17"/>
          <w:lang w:val="en-GB"/>
        </w:rPr>
        <w:tab/>
        <w:t>records that confirm compliance with orders of the South Australian Employment Tribunal, where orders have been made</w:t>
      </w:r>
    </w:p>
    <w:p w:rsidR="00E70407" w:rsidRPr="00E70407" w:rsidRDefault="00E70407" w:rsidP="00E70407">
      <w:pPr>
        <w:tabs>
          <w:tab w:val="left" w:pos="1106"/>
        </w:tabs>
        <w:ind w:left="1120" w:hanging="411"/>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(q) </w:t>
      </w:r>
      <w:r w:rsidRPr="00E70407">
        <w:rPr>
          <w:rFonts w:ascii="Times New Roman" w:eastAsia="Times New Roman" w:hAnsi="Times New Roman"/>
          <w:sz w:val="17"/>
          <w:szCs w:val="17"/>
          <w:lang w:val="en-GB"/>
        </w:rPr>
        <w:tab/>
        <w:t xml:space="preserve">copies of any notifications the employer submits to the Commission in relation to Section 54K of the </w:t>
      </w:r>
      <w:r w:rsidRPr="00E70407">
        <w:rPr>
          <w:rFonts w:ascii="Times New Roman" w:eastAsia="Times New Roman" w:hAnsi="Times New Roman"/>
          <w:i/>
          <w:iCs/>
          <w:sz w:val="17"/>
          <w:szCs w:val="17"/>
          <w:lang w:val="en-GB"/>
        </w:rPr>
        <w:t>SAS</w:t>
      </w:r>
      <w:r w:rsidRPr="00E70407">
        <w:rPr>
          <w:rFonts w:ascii="Times New Roman" w:eastAsia="Times New Roman" w:hAnsi="Times New Roman"/>
          <w:sz w:val="17"/>
          <w:szCs w:val="17"/>
          <w:lang w:val="en-GB"/>
        </w:rPr>
        <w:t xml:space="preserve"> </w:t>
      </w:r>
      <w:r w:rsidRPr="00E70407">
        <w:rPr>
          <w:rFonts w:ascii="Times New Roman" w:eastAsia="Times New Roman" w:hAnsi="Times New Roman"/>
          <w:i/>
          <w:sz w:val="17"/>
          <w:szCs w:val="17"/>
          <w:lang w:val="en-GB"/>
        </w:rPr>
        <w:t>Act</w:t>
      </w:r>
      <w:r w:rsidRPr="00E70407">
        <w:rPr>
          <w:rFonts w:ascii="Times New Roman" w:eastAsia="Times New Roman" w:hAnsi="Times New Roman"/>
          <w:sz w:val="17"/>
          <w:szCs w:val="17"/>
          <w:lang w:val="en-GB"/>
        </w:rPr>
        <w:t>, and any correspondence received from the Commission in return. Under Section 54K, an employer in relation to a Training Contract must notify the Commission if any of the following occurs:</w:t>
      </w:r>
    </w:p>
    <w:p w:rsidR="00E70407" w:rsidRPr="00E70407" w:rsidRDefault="00E70407" w:rsidP="00E70407">
      <w:pPr>
        <w:numPr>
          <w:ilvl w:val="5"/>
          <w:numId w:val="391"/>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there is a material change in any information provided to the Commission in relation to the employer’s application for registration</w:t>
      </w:r>
    </w:p>
    <w:p w:rsidR="00E70407" w:rsidRPr="00E70407" w:rsidRDefault="00E70407" w:rsidP="00E70407">
      <w:pPr>
        <w:numPr>
          <w:ilvl w:val="5"/>
          <w:numId w:val="391"/>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employer sells, or offers for sale, the business to which the employer’s registration relates</w:t>
      </w:r>
    </w:p>
    <w:p w:rsidR="00E70407" w:rsidRPr="00E70407" w:rsidRDefault="00E70407" w:rsidP="00E70407">
      <w:pPr>
        <w:numPr>
          <w:ilvl w:val="5"/>
          <w:numId w:val="391"/>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employer, or the business to which the employer’s registration relates, becomes insolvent or bankrupt</w:t>
      </w:r>
    </w:p>
    <w:p w:rsidR="00E70407" w:rsidRPr="00E70407" w:rsidRDefault="00E70407" w:rsidP="00E70407">
      <w:pPr>
        <w:numPr>
          <w:ilvl w:val="5"/>
          <w:numId w:val="391"/>
        </w:numPr>
        <w:ind w:left="1560"/>
        <w:rPr>
          <w:rFonts w:ascii="Times New Roman" w:eastAsia="Times New Roman" w:hAnsi="Times New Roman"/>
          <w:spacing w:val="-4"/>
          <w:sz w:val="17"/>
          <w:szCs w:val="17"/>
          <w:lang w:val="en-GB"/>
        </w:rPr>
      </w:pPr>
      <w:r w:rsidRPr="00E70407">
        <w:rPr>
          <w:rFonts w:ascii="Times New Roman" w:eastAsia="Times New Roman" w:hAnsi="Times New Roman"/>
          <w:spacing w:val="-4"/>
          <w:sz w:val="17"/>
          <w:szCs w:val="17"/>
          <w:lang w:val="en-GB"/>
        </w:rPr>
        <w:t>the employer is convicted of an indictable offence or a summary offence for which a term of imprisonment may be imposed</w:t>
      </w:r>
    </w:p>
    <w:p w:rsidR="00E70407" w:rsidRPr="00E70407" w:rsidRDefault="00E70407" w:rsidP="00E70407">
      <w:pPr>
        <w:numPr>
          <w:ilvl w:val="5"/>
          <w:numId w:val="391"/>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failure of an apprentice or trainee in relation to a Training Contract to:</w:t>
      </w:r>
    </w:p>
    <w:p w:rsidR="00E70407" w:rsidRPr="00E70407" w:rsidRDefault="00E70407" w:rsidP="00E70407">
      <w:pPr>
        <w:numPr>
          <w:ilvl w:val="4"/>
          <w:numId w:val="340"/>
        </w:numPr>
        <w:spacing w:after="0"/>
        <w:ind w:left="198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comply with the Standards</w:t>
      </w:r>
    </w:p>
    <w:p w:rsidR="00E70407" w:rsidRPr="00E70407" w:rsidRDefault="00E70407" w:rsidP="00E70407">
      <w:pPr>
        <w:numPr>
          <w:ilvl w:val="4"/>
          <w:numId w:val="340"/>
        </w:numPr>
        <w:spacing w:after="0"/>
        <w:ind w:left="198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comply with any other obligation specified in the Training Contract or Training Plan that is applicable to the apprentice or trainee</w:t>
      </w:r>
    </w:p>
    <w:p w:rsidR="00E70407" w:rsidRPr="00E70407" w:rsidRDefault="00E70407" w:rsidP="00E70407">
      <w:pPr>
        <w:numPr>
          <w:ilvl w:val="4"/>
          <w:numId w:val="340"/>
        </w:numPr>
        <w:ind w:left="198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as far as is reasonably practicable, participate in the development of their Training Plan, and contribute to the attainment of their development goals under the Training Contract and Training Plan.</w:t>
      </w:r>
    </w:p>
    <w:p w:rsidR="00E70407" w:rsidRPr="00E70407" w:rsidRDefault="00E70407" w:rsidP="00E70407">
      <w:p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 xml:space="preserve">14.3 </w:t>
      </w:r>
      <w:r w:rsidRPr="00E70407">
        <w:rPr>
          <w:rFonts w:ascii="Times New Roman" w:eastAsia="Times New Roman" w:hAnsi="Times New Roman"/>
          <w:b/>
          <w:bCs/>
          <w:sz w:val="17"/>
          <w:szCs w:val="17"/>
          <w:lang w:val="en-GB"/>
        </w:rPr>
        <w:tab/>
        <w:t>Nominated Training Organisation-related record keeping requirements (</w:t>
      </w:r>
      <w:r w:rsidRPr="00E70407">
        <w:rPr>
          <w:rFonts w:ascii="Times New Roman" w:eastAsia="Times New Roman" w:hAnsi="Times New Roman"/>
          <w:b/>
          <w:bCs/>
          <w:i/>
          <w:iCs/>
          <w:sz w:val="17"/>
          <w:szCs w:val="17"/>
          <w:lang w:val="en-GB"/>
        </w:rPr>
        <w:t>SAS Act</w:t>
      </w:r>
      <w:r w:rsidRPr="00E70407">
        <w:rPr>
          <w:rFonts w:ascii="Times New Roman" w:eastAsia="Times New Roman" w:hAnsi="Times New Roman"/>
          <w:b/>
          <w:bCs/>
          <w:sz w:val="17"/>
          <w:szCs w:val="17"/>
          <w:lang w:val="en-GB"/>
        </w:rPr>
        <w:t>, S54U, Regulation 16)</w:t>
      </w:r>
    </w:p>
    <w:p w:rsidR="00E70407" w:rsidRPr="00E70407" w:rsidRDefault="00E70407" w:rsidP="00E70407">
      <w:pPr>
        <w:ind w:left="709" w:hanging="709"/>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14.3.1</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An NTO under a Training Contract is required to keep the following records:</w:t>
      </w:r>
    </w:p>
    <w:p w:rsidR="00E70407" w:rsidRPr="00E70407" w:rsidRDefault="00E70407" w:rsidP="00E70407">
      <w:pPr>
        <w:tabs>
          <w:tab w:val="left" w:pos="1134"/>
        </w:tabs>
        <w:ind w:left="1134" w:hanging="42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(a) </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records of the NTO’s acceptance of its nomination for each Training Contract for which they are the NTO</w:t>
      </w:r>
    </w:p>
    <w:p w:rsidR="00E70407" w:rsidRPr="00E70407" w:rsidRDefault="00E70407" w:rsidP="00E70407">
      <w:pPr>
        <w:tabs>
          <w:tab w:val="left" w:pos="1134"/>
        </w:tabs>
        <w:ind w:left="1134" w:hanging="42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(b)</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for NTOs utilising third party arrangements, records of these arrangements</w:t>
      </w:r>
    </w:p>
    <w:p w:rsidR="00E70407" w:rsidRPr="00E70407" w:rsidRDefault="00E70407" w:rsidP="00E70407">
      <w:pPr>
        <w:tabs>
          <w:tab w:val="left" w:pos="1134"/>
        </w:tabs>
        <w:ind w:left="1134" w:hanging="42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(c) </w:t>
      </w:r>
      <w:r w:rsidRPr="00E70407">
        <w:rPr>
          <w:rFonts w:ascii="Times New Roman" w:eastAsia="Times New Roman" w:hAnsi="Times New Roman"/>
          <w:sz w:val="17"/>
          <w:szCs w:val="17"/>
        </w:rPr>
        <w:tab/>
      </w:r>
      <w:r w:rsidRPr="00E70407">
        <w:rPr>
          <w:rFonts w:ascii="Times New Roman" w:eastAsia="Times New Roman" w:hAnsi="Times New Roman"/>
          <w:sz w:val="17"/>
          <w:szCs w:val="17"/>
          <w:lang w:val="en-GB"/>
        </w:rPr>
        <w:t>records of discussions with the employer and the apprentice or trainee regarding the development of the Training Plan for a Training Contract, including any discussions on:</w:t>
      </w:r>
    </w:p>
    <w:p w:rsidR="00E70407" w:rsidRPr="00E70407" w:rsidRDefault="00E70407" w:rsidP="00E70407">
      <w:pPr>
        <w:numPr>
          <w:ilvl w:val="5"/>
          <w:numId w:val="392"/>
        </w:numPr>
        <w:ind w:left="1560" w:hanging="142"/>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how, when and where the training will be delivered</w:t>
      </w:r>
    </w:p>
    <w:p w:rsidR="00E70407" w:rsidRPr="00E70407" w:rsidRDefault="00E70407" w:rsidP="00E70407">
      <w:pPr>
        <w:numPr>
          <w:ilvl w:val="5"/>
          <w:numId w:val="392"/>
        </w:numPr>
        <w:ind w:left="1560" w:hanging="142"/>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units of competence or units of study that will be delivered</w:t>
      </w:r>
    </w:p>
    <w:p w:rsidR="00E70407" w:rsidRPr="00E70407" w:rsidRDefault="00E70407" w:rsidP="00E70407">
      <w:pPr>
        <w:numPr>
          <w:ilvl w:val="5"/>
          <w:numId w:val="392"/>
        </w:numPr>
        <w:ind w:left="1560" w:hanging="142"/>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who will assess the apprentice or trainee</w:t>
      </w:r>
    </w:p>
    <w:p w:rsidR="00E70407" w:rsidRPr="00E70407" w:rsidRDefault="00E70407" w:rsidP="00E70407">
      <w:pPr>
        <w:numPr>
          <w:ilvl w:val="5"/>
          <w:numId w:val="392"/>
        </w:numPr>
        <w:ind w:left="1560" w:hanging="142"/>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types of assessments that will be conducted.</w:t>
      </w:r>
    </w:p>
    <w:p w:rsidR="00E70407" w:rsidRPr="00E70407" w:rsidRDefault="00E70407" w:rsidP="00E70407">
      <w:pPr>
        <w:tabs>
          <w:tab w:val="left" w:pos="1134"/>
        </w:tabs>
        <w:ind w:left="1134" w:hanging="42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(d) </w:t>
      </w:r>
      <w:r w:rsidRPr="00E70407">
        <w:rPr>
          <w:rFonts w:ascii="Times New Roman" w:eastAsia="Times New Roman" w:hAnsi="Times New Roman"/>
          <w:sz w:val="17"/>
          <w:szCs w:val="17"/>
          <w:lang w:val="en-GB"/>
        </w:rPr>
        <w:tab/>
        <w:t>all iterations of a Training Plan for any apprentice and trainee for whom they are the NTO</w:t>
      </w:r>
    </w:p>
    <w:p w:rsidR="00E70407" w:rsidRPr="00E70407" w:rsidRDefault="00E70407" w:rsidP="00E70407">
      <w:pPr>
        <w:tabs>
          <w:tab w:val="left" w:pos="1134"/>
        </w:tabs>
        <w:ind w:left="1134" w:hanging="42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(e) </w:t>
      </w:r>
      <w:r w:rsidRPr="00E70407">
        <w:rPr>
          <w:rFonts w:ascii="Times New Roman" w:eastAsia="Times New Roman" w:hAnsi="Times New Roman"/>
          <w:sz w:val="17"/>
          <w:szCs w:val="17"/>
          <w:lang w:val="en-GB"/>
        </w:rPr>
        <w:tab/>
        <w:t>the names and contact details of all apprentices, trainees, and employers under each Training Contract for which they are the NTO</w:t>
      </w:r>
    </w:p>
    <w:p w:rsidR="00E70407" w:rsidRPr="00E70407" w:rsidRDefault="00E70407" w:rsidP="00E70407">
      <w:pPr>
        <w:tabs>
          <w:tab w:val="left" w:pos="1134"/>
        </w:tabs>
        <w:ind w:left="1134" w:hanging="42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(f) </w:t>
      </w:r>
      <w:r w:rsidRPr="00E70407">
        <w:rPr>
          <w:rFonts w:ascii="Times New Roman" w:eastAsia="Times New Roman" w:hAnsi="Times New Roman"/>
          <w:sz w:val="17"/>
          <w:szCs w:val="17"/>
          <w:lang w:val="en-GB"/>
        </w:rPr>
        <w:tab/>
        <w:t>records of meetings with apprentices, trainees, and employers under each Training Contract for which they are the NTO, and records of outcomes of those meetings, including:</w:t>
      </w:r>
    </w:p>
    <w:p w:rsidR="00E70407" w:rsidRPr="00E70407" w:rsidRDefault="00E70407" w:rsidP="00E70407">
      <w:pPr>
        <w:numPr>
          <w:ilvl w:val="5"/>
          <w:numId w:val="393"/>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records of any reviews of the Training Plan, including details of the revisions made as a result of the review</w:t>
      </w:r>
    </w:p>
    <w:p w:rsidR="00E70407" w:rsidRPr="00E70407" w:rsidRDefault="00E70407" w:rsidP="00E70407">
      <w:pPr>
        <w:numPr>
          <w:ilvl w:val="5"/>
          <w:numId w:val="393"/>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progress or lack of progress in training by an apprentice or trainee</w:t>
      </w:r>
    </w:p>
    <w:p w:rsidR="00E70407" w:rsidRPr="00E70407" w:rsidRDefault="00E70407" w:rsidP="00E70407">
      <w:pPr>
        <w:numPr>
          <w:ilvl w:val="5"/>
          <w:numId w:val="393"/>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any agreed remedial action to address lack of progress in training by an apprentice or trainee</w:t>
      </w:r>
    </w:p>
    <w:p w:rsidR="00E70407" w:rsidRPr="00E70407" w:rsidRDefault="00E70407" w:rsidP="00E70407">
      <w:pPr>
        <w:numPr>
          <w:ilvl w:val="5"/>
          <w:numId w:val="393"/>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lastRenderedPageBreak/>
        <w:t>supports provided by an employer to assist the apprentice or trainee to meet their training goals as set out in the Training Plan.</w:t>
      </w:r>
    </w:p>
    <w:p w:rsidR="00E70407" w:rsidRPr="00E70407" w:rsidRDefault="00E70407" w:rsidP="00E70407">
      <w:pPr>
        <w:tabs>
          <w:tab w:val="left" w:pos="1134"/>
        </w:tabs>
        <w:ind w:left="1134" w:hanging="42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(g) </w:t>
      </w:r>
      <w:r w:rsidRPr="00E70407">
        <w:rPr>
          <w:rFonts w:ascii="Times New Roman" w:eastAsia="Times New Roman" w:hAnsi="Times New Roman"/>
          <w:sz w:val="17"/>
          <w:szCs w:val="17"/>
          <w:lang w:val="en-GB"/>
        </w:rPr>
        <w:tab/>
        <w:t xml:space="preserve">copies of any notifications the NTO submits to the Commission in relation to Section 54S of the </w:t>
      </w:r>
      <w:r w:rsidRPr="00E70407">
        <w:rPr>
          <w:rFonts w:ascii="Times New Roman" w:eastAsia="Times New Roman" w:hAnsi="Times New Roman"/>
          <w:i/>
          <w:iCs/>
          <w:sz w:val="17"/>
          <w:szCs w:val="17"/>
          <w:lang w:val="en-GB"/>
        </w:rPr>
        <w:t>SAS A</w:t>
      </w:r>
      <w:r w:rsidRPr="00E70407">
        <w:rPr>
          <w:rFonts w:ascii="Times New Roman" w:eastAsia="Times New Roman" w:hAnsi="Times New Roman"/>
          <w:i/>
          <w:sz w:val="17"/>
          <w:szCs w:val="17"/>
          <w:lang w:val="en-GB"/>
        </w:rPr>
        <w:t>ct</w:t>
      </w:r>
      <w:r w:rsidRPr="00E70407">
        <w:rPr>
          <w:rFonts w:ascii="Times New Roman" w:eastAsia="Times New Roman" w:hAnsi="Times New Roman"/>
          <w:sz w:val="17"/>
          <w:szCs w:val="17"/>
          <w:lang w:val="en-GB"/>
        </w:rPr>
        <w:t>, and any correspondence received from the Commission in return. Under Section 54S, an NTO under a Training Contract must notify the Commission if any of the following occurs:</w:t>
      </w:r>
    </w:p>
    <w:p w:rsidR="00E70407" w:rsidRPr="00E70407" w:rsidRDefault="00E70407" w:rsidP="00E70407">
      <w:pPr>
        <w:numPr>
          <w:ilvl w:val="5"/>
          <w:numId w:val="394"/>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NTO becomes aware that an apprentice or trainee under a Training Plan is not meeting the goals (however described) set out in the Training Plan</w:t>
      </w:r>
    </w:p>
    <w:p w:rsidR="00E70407" w:rsidRPr="00E70407" w:rsidRDefault="00E70407" w:rsidP="00E70407">
      <w:pPr>
        <w:numPr>
          <w:ilvl w:val="5"/>
          <w:numId w:val="394"/>
        </w:numPr>
        <w:ind w:left="1560"/>
        <w:rPr>
          <w:rFonts w:ascii="Times New Roman" w:eastAsia="Times New Roman" w:hAnsi="Times New Roman"/>
          <w:spacing w:val="-2"/>
          <w:sz w:val="17"/>
          <w:szCs w:val="17"/>
          <w:lang w:val="en-GB"/>
        </w:rPr>
      </w:pPr>
      <w:r w:rsidRPr="00E70407">
        <w:rPr>
          <w:rFonts w:ascii="Times New Roman" w:eastAsia="Times New Roman" w:hAnsi="Times New Roman"/>
          <w:spacing w:val="-2"/>
          <w:sz w:val="17"/>
          <w:szCs w:val="17"/>
          <w:lang w:val="en-GB"/>
        </w:rPr>
        <w:t>the NTO becomes aware that an employer is not meeting its obligations under the Training Contract or Training Plan</w:t>
      </w:r>
    </w:p>
    <w:p w:rsidR="00E70407" w:rsidRPr="00E70407" w:rsidRDefault="00E70407" w:rsidP="00E70407">
      <w:pPr>
        <w:numPr>
          <w:ilvl w:val="5"/>
          <w:numId w:val="394"/>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NTO becomes aware that it may not be able to comply with any obligations applicable to the NTO under the Training Plan for an apprentice or trainee</w:t>
      </w:r>
    </w:p>
    <w:p w:rsidR="00E70407" w:rsidRPr="00E70407" w:rsidRDefault="00E70407" w:rsidP="00E70407">
      <w:pPr>
        <w:numPr>
          <w:ilvl w:val="5"/>
          <w:numId w:val="394"/>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the NTO ceases to be the NTO under the Training Contract</w:t>
      </w:r>
    </w:p>
    <w:p w:rsidR="00E70407" w:rsidRPr="00E70407" w:rsidRDefault="00E70407" w:rsidP="00E70407">
      <w:pPr>
        <w:numPr>
          <w:ilvl w:val="5"/>
          <w:numId w:val="394"/>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if ASQA or TEQSA has made a decision in relation to the NTO:</w:t>
      </w:r>
    </w:p>
    <w:p w:rsidR="00E70407" w:rsidRPr="00E70407" w:rsidRDefault="00E70407" w:rsidP="00E70407">
      <w:pPr>
        <w:numPr>
          <w:ilvl w:val="0"/>
          <w:numId w:val="395"/>
        </w:numPr>
        <w:spacing w:after="0"/>
        <w:ind w:left="198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suspending or cancelling their registration or recognition</w:t>
      </w:r>
    </w:p>
    <w:p w:rsidR="00E70407" w:rsidRPr="00E70407" w:rsidRDefault="00E70407" w:rsidP="00E70407">
      <w:pPr>
        <w:numPr>
          <w:ilvl w:val="0"/>
          <w:numId w:val="395"/>
        </w:numPr>
        <w:spacing w:after="0"/>
        <w:ind w:left="198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cancelling a qualification or statement of attainment</w:t>
      </w:r>
    </w:p>
    <w:p w:rsidR="00E70407" w:rsidRPr="00E70407" w:rsidRDefault="00E70407" w:rsidP="00E70407">
      <w:pPr>
        <w:numPr>
          <w:ilvl w:val="0"/>
          <w:numId w:val="395"/>
        </w:numPr>
        <w:ind w:left="198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rejecting an application for renewal of a registration or recognition.</w:t>
      </w:r>
    </w:p>
    <w:p w:rsidR="00E70407" w:rsidRPr="00E70407" w:rsidRDefault="00E70407" w:rsidP="00E70407">
      <w:pPr>
        <w:numPr>
          <w:ilvl w:val="5"/>
          <w:numId w:val="394"/>
        </w:numPr>
        <w:ind w:left="1560"/>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if, in relation to a qualification under a Training Contract in respect of which the NTO, ASQA or TEQSA has made a decision:</w:t>
      </w:r>
    </w:p>
    <w:p w:rsidR="00E70407" w:rsidRPr="00E70407" w:rsidRDefault="00E70407" w:rsidP="00E70407">
      <w:pPr>
        <w:numPr>
          <w:ilvl w:val="0"/>
          <w:numId w:val="396"/>
        </w:numPr>
        <w:spacing w:after="0"/>
        <w:ind w:left="198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amending the NTO’s scope of training</w:t>
      </w:r>
    </w:p>
    <w:p w:rsidR="00E70407" w:rsidRPr="00E70407" w:rsidRDefault="00E70407" w:rsidP="00E70407">
      <w:pPr>
        <w:numPr>
          <w:ilvl w:val="0"/>
          <w:numId w:val="396"/>
        </w:numPr>
        <w:spacing w:after="0"/>
        <w:ind w:left="198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imposing a condition of the NTO’s registration or recognition</w:t>
      </w:r>
    </w:p>
    <w:p w:rsidR="00E70407" w:rsidRPr="00E70407" w:rsidRDefault="00E70407" w:rsidP="00E70407">
      <w:pPr>
        <w:numPr>
          <w:ilvl w:val="0"/>
          <w:numId w:val="396"/>
        </w:numPr>
        <w:ind w:left="198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allowing the NTO to enter into an enforceable undertaking.</w:t>
      </w:r>
    </w:p>
    <w:p w:rsidR="00E70407" w:rsidRPr="00E70407" w:rsidRDefault="00E70407" w:rsidP="00E70407">
      <w:pPr>
        <w:tabs>
          <w:tab w:val="left" w:pos="1134"/>
        </w:tabs>
        <w:ind w:left="1134" w:hanging="425"/>
        <w:rPr>
          <w:rFonts w:ascii="Times New Roman" w:eastAsia="Times New Roman" w:hAnsi="Times New Roman"/>
          <w:sz w:val="17"/>
          <w:szCs w:val="17"/>
          <w:lang w:val="en-GB"/>
        </w:rPr>
      </w:pPr>
      <w:r w:rsidRPr="00E70407">
        <w:rPr>
          <w:rFonts w:ascii="Times New Roman" w:eastAsia="Times New Roman" w:hAnsi="Times New Roman"/>
          <w:sz w:val="17"/>
          <w:szCs w:val="17"/>
          <w:lang w:val="en-GB"/>
        </w:rPr>
        <w:t xml:space="preserve">(h) </w:t>
      </w:r>
      <w:r w:rsidRPr="00E70407">
        <w:rPr>
          <w:rFonts w:ascii="Times New Roman" w:eastAsia="Times New Roman" w:hAnsi="Times New Roman"/>
          <w:sz w:val="17"/>
          <w:szCs w:val="17"/>
          <w:lang w:val="en-GB"/>
        </w:rPr>
        <w:tab/>
        <w:t>records of the qualifications or statements of attainment issued for each Training Contract for which they are the NTO.</w:t>
      </w:r>
    </w:p>
    <w:bookmarkEnd w:id="132"/>
    <w:p w:rsidR="00E70407" w:rsidRPr="00E70407" w:rsidRDefault="00E70407" w:rsidP="00E70407">
      <w:pPr>
        <w:pBdr>
          <w:top w:val="single" w:sz="4" w:space="1" w:color="auto"/>
        </w:pBdr>
        <w:spacing w:before="100" w:line="14" w:lineRule="exact"/>
        <w:ind w:left="1080" w:right="1080"/>
        <w:jc w:val="center"/>
        <w:rPr>
          <w:rFonts w:ascii="Times New Roman" w:eastAsia="Times New Roman" w:hAnsi="Times New Roman"/>
          <w:b/>
          <w:bCs/>
          <w:sz w:val="17"/>
          <w:szCs w:val="17"/>
        </w:rPr>
      </w:pPr>
    </w:p>
    <w:p w:rsidR="00E70407" w:rsidRPr="00E70407" w:rsidRDefault="00E70407" w:rsidP="00E70407">
      <w:pPr>
        <w:spacing w:after="0"/>
        <w:jc w:val="center"/>
        <w:rPr>
          <w:rFonts w:ascii="Times New Roman" w:hAnsi="Times New Roman"/>
          <w:smallCaps/>
          <w:sz w:val="17"/>
          <w:szCs w:val="17"/>
        </w:rPr>
      </w:pPr>
      <w:bookmarkStart w:id="134" w:name="_Toc75255257"/>
      <w:r w:rsidRPr="00E70407">
        <w:rPr>
          <w:rFonts w:ascii="Times New Roman" w:hAnsi="Times New Roman"/>
          <w:smallCaps/>
          <w:sz w:val="17"/>
          <w:szCs w:val="17"/>
        </w:rPr>
        <w:t>Definitions and Terminology</w:t>
      </w:r>
      <w:bookmarkEnd w:id="134"/>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Advocacy</w:t>
      </w:r>
    </w:p>
    <w:p w:rsidR="00E70407" w:rsidRPr="00E70407" w:rsidRDefault="00E70407" w:rsidP="00E70407">
      <w:pPr>
        <w:ind w:left="160"/>
        <w:rPr>
          <w:rFonts w:ascii="Times New Roman" w:eastAsia="Times New Roman" w:hAnsi="Times New Roman"/>
          <w:i/>
          <w:iCs/>
          <w:spacing w:val="-2"/>
          <w:sz w:val="17"/>
          <w:szCs w:val="17"/>
        </w:rPr>
      </w:pPr>
      <w:r w:rsidRPr="00E70407">
        <w:rPr>
          <w:rFonts w:ascii="Times New Roman" w:eastAsia="Times New Roman" w:hAnsi="Times New Roman"/>
          <w:spacing w:val="-2"/>
          <w:sz w:val="17"/>
          <w:szCs w:val="17"/>
        </w:rPr>
        <w:t>Speaking for and negotiating on behalf of education and training providers and students (and prospective students) of education and training providers in the resolution of any matters arising out of the delivery of education and training. Speaking for, and negotiating on behalf of, an employer or an apprentice or trainee in the resolution of any matters arising as defined by the </w:t>
      </w:r>
      <w:r w:rsidRPr="00E70407">
        <w:rPr>
          <w:rFonts w:ascii="Times New Roman" w:eastAsia="Times New Roman" w:hAnsi="Times New Roman"/>
          <w:i/>
          <w:iCs/>
          <w:spacing w:val="-2"/>
          <w:sz w:val="17"/>
          <w:szCs w:val="17"/>
        </w:rPr>
        <w:t>South Australian Skills Act 2008 (SAS Act).</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Applicant (Trade or Vocation Declaration process)</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The </w:t>
      </w:r>
      <w:r w:rsidRPr="00E70407">
        <w:rPr>
          <w:rFonts w:ascii="Times New Roman" w:eastAsia="Times New Roman" w:hAnsi="Times New Roman"/>
          <w:spacing w:val="-2"/>
          <w:sz w:val="17"/>
          <w:szCs w:val="17"/>
        </w:rPr>
        <w:t>sponsor</w:t>
      </w:r>
      <w:r w:rsidRPr="00E70407">
        <w:rPr>
          <w:rFonts w:ascii="Times New Roman" w:eastAsia="Times New Roman" w:hAnsi="Times New Roman"/>
          <w:sz w:val="17"/>
          <w:szCs w:val="17"/>
        </w:rPr>
        <w:t xml:space="preserve"> or initiator of an application for the declaration of a trade or declared vocation. </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Apprentice</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A person who has entered into a legally binding arrangement to work and undertake training in a trade (a Training Contract) that has been </w:t>
      </w:r>
      <w:r w:rsidRPr="00E70407">
        <w:rPr>
          <w:rFonts w:ascii="Times New Roman" w:eastAsia="Times New Roman" w:hAnsi="Times New Roman"/>
          <w:spacing w:val="-2"/>
          <w:sz w:val="17"/>
          <w:szCs w:val="17"/>
        </w:rPr>
        <w:t>approved</w:t>
      </w:r>
      <w:r w:rsidRPr="00E70407">
        <w:rPr>
          <w:rFonts w:ascii="Times New Roman" w:eastAsia="Times New Roman" w:hAnsi="Times New Roman"/>
          <w:sz w:val="17"/>
          <w:szCs w:val="17"/>
        </w:rPr>
        <w:t xml:space="preserve"> by the Commission. Note that apprentice plumbers, gasfitters and electricians are required to have an in-training licence with Consumer and Business Services. </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 xml:space="preserve">Apprenticeship </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Training provided under a declared trade that meets the standard conditions for that trade as specified in the declaration, and as published by </w:t>
      </w:r>
      <w:r w:rsidRPr="00E70407">
        <w:rPr>
          <w:rFonts w:ascii="Times New Roman" w:eastAsia="Times New Roman" w:hAnsi="Times New Roman"/>
          <w:spacing w:val="-2"/>
          <w:sz w:val="17"/>
          <w:szCs w:val="17"/>
        </w:rPr>
        <w:t>notice</w:t>
      </w:r>
      <w:r w:rsidRPr="00E70407">
        <w:rPr>
          <w:rFonts w:ascii="Times New Roman" w:eastAsia="Times New Roman" w:hAnsi="Times New Roman"/>
          <w:sz w:val="17"/>
          <w:szCs w:val="17"/>
        </w:rPr>
        <w:t xml:space="preserve"> in the </w:t>
      </w:r>
      <w:r w:rsidRPr="00E70407">
        <w:rPr>
          <w:rFonts w:ascii="Times New Roman" w:eastAsia="Times New Roman" w:hAnsi="Times New Roman"/>
          <w:i/>
          <w:iCs/>
          <w:sz w:val="17"/>
          <w:szCs w:val="17"/>
        </w:rPr>
        <w:t>Gazette</w:t>
      </w:r>
      <w:r w:rsidRPr="00E70407">
        <w:rPr>
          <w:rFonts w:ascii="Times New Roman" w:eastAsia="Times New Roman" w:hAnsi="Times New Roman"/>
          <w:sz w:val="17"/>
          <w:szCs w:val="17"/>
        </w:rPr>
        <w:t>. An apprenticeship is undertaken through a Training Contract, which is underpinned by bona fide industrial arrangements. </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Apprenticeship Network Provider</w:t>
      </w:r>
      <w:r w:rsidRPr="00E70407">
        <w:rPr>
          <w:rFonts w:ascii="Times New Roman" w:eastAsia="Times New Roman" w:hAnsi="Times New Roman"/>
          <w:sz w:val="17"/>
          <w:szCs w:val="17"/>
        </w:rPr>
        <w:t xml:space="preserve"> </w:t>
      </w:r>
      <w:r w:rsidRPr="00E70407">
        <w:rPr>
          <w:rFonts w:ascii="Times New Roman" w:eastAsia="Times New Roman" w:hAnsi="Times New Roman"/>
          <w:b/>
          <w:bCs/>
          <w:sz w:val="17"/>
          <w:szCs w:val="17"/>
        </w:rPr>
        <w:t>(ANP)</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An organisation contracted by the Australian Government to deliver essential administrative support, payment processing, and other services to the parties to a Training Contract.</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Australian Apprenticeship Support Network (AASN)</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pacing w:val="-2"/>
          <w:sz w:val="17"/>
          <w:szCs w:val="17"/>
        </w:rPr>
        <w:t>The</w:t>
      </w:r>
      <w:r w:rsidRPr="00E70407">
        <w:rPr>
          <w:rFonts w:ascii="Times New Roman" w:eastAsia="Times New Roman" w:hAnsi="Times New Roman"/>
          <w:sz w:val="17"/>
          <w:szCs w:val="17"/>
        </w:rPr>
        <w:t xml:space="preserve"> AASN delivers support services to the parties to the Training Contract. This may include lodgement of Training Contract applications with the Commission. </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Australian Apprenticeships Training Information Services (AATIS)</w:t>
      </w:r>
    </w:p>
    <w:p w:rsidR="00E70407" w:rsidRPr="00E70407" w:rsidRDefault="00E70407" w:rsidP="00E70407">
      <w:pPr>
        <w:ind w:left="160"/>
        <w:rPr>
          <w:rFonts w:ascii="Times New Roman" w:eastAsia="Times New Roman" w:hAnsi="Times New Roman"/>
          <w:spacing w:val="-4"/>
          <w:sz w:val="17"/>
          <w:szCs w:val="17"/>
        </w:rPr>
      </w:pPr>
      <w:r w:rsidRPr="00E70407">
        <w:rPr>
          <w:rFonts w:ascii="Times New Roman" w:eastAsia="Times New Roman" w:hAnsi="Times New Roman"/>
          <w:spacing w:val="-4"/>
          <w:sz w:val="17"/>
          <w:szCs w:val="17"/>
        </w:rPr>
        <w:t>AATIS provides information for people considering training options, employers looking at recruitment and those providing support and advice.</w:t>
      </w:r>
      <w:bookmarkStart w:id="135" w:name="_Toc71788124"/>
      <w:bookmarkStart w:id="136" w:name="_Toc71801880"/>
      <w:bookmarkStart w:id="137" w:name="_Toc71813726"/>
    </w:p>
    <w:p w:rsidR="00E70407" w:rsidRPr="00E70407" w:rsidRDefault="00E70407" w:rsidP="00E70407">
      <w:pPr>
        <w:rPr>
          <w:rFonts w:ascii="Times New Roman" w:eastAsia="Times New Roman" w:hAnsi="Times New Roman"/>
          <w:b/>
          <w:bCs/>
          <w:sz w:val="17"/>
          <w:szCs w:val="17"/>
        </w:rPr>
      </w:pPr>
      <w:bookmarkStart w:id="138" w:name="_Toc72839198"/>
      <w:bookmarkStart w:id="139" w:name="_Toc72928907"/>
      <w:r w:rsidRPr="00E70407">
        <w:rPr>
          <w:rFonts w:ascii="Times New Roman" w:eastAsia="Times New Roman" w:hAnsi="Times New Roman"/>
          <w:b/>
          <w:bCs/>
          <w:sz w:val="17"/>
          <w:szCs w:val="17"/>
        </w:rPr>
        <w:t>Declared vocation</w:t>
      </w:r>
      <w:bookmarkEnd w:id="135"/>
      <w:bookmarkEnd w:id="136"/>
      <w:bookmarkEnd w:id="137"/>
      <w:bookmarkEnd w:id="138"/>
      <w:bookmarkEnd w:id="139"/>
      <w:r w:rsidRPr="00E70407">
        <w:rPr>
          <w:rFonts w:ascii="Times New Roman" w:eastAsia="Times New Roman" w:hAnsi="Times New Roman"/>
          <w:b/>
          <w:bCs/>
          <w:sz w:val="17"/>
          <w:szCs w:val="17"/>
        </w:rPr>
        <w:t xml:space="preserve"> </w:t>
      </w:r>
    </w:p>
    <w:p w:rsidR="00E70407" w:rsidRPr="00E70407" w:rsidRDefault="00E70407" w:rsidP="00E70407">
      <w:pPr>
        <w:ind w:left="160"/>
        <w:rPr>
          <w:rFonts w:ascii="Times New Roman" w:eastAsia="Times New Roman" w:hAnsi="Times New Roman"/>
          <w:bCs/>
          <w:sz w:val="17"/>
          <w:szCs w:val="17"/>
          <w:lang w:val="en-US"/>
        </w:rPr>
      </w:pPr>
      <w:r w:rsidRPr="00E70407">
        <w:rPr>
          <w:rFonts w:ascii="Times New Roman" w:eastAsia="Times New Roman" w:hAnsi="Times New Roman"/>
          <w:bCs/>
          <w:sz w:val="17"/>
          <w:szCs w:val="17"/>
          <w:lang w:val="en-US"/>
        </w:rPr>
        <w:t xml:space="preserve">An occupation declared under Section 6 of the </w:t>
      </w:r>
      <w:r w:rsidRPr="00E70407">
        <w:rPr>
          <w:rFonts w:ascii="Times New Roman" w:eastAsia="Times New Roman" w:hAnsi="Times New Roman"/>
          <w:bCs/>
          <w:i/>
          <w:iCs/>
          <w:sz w:val="17"/>
          <w:szCs w:val="17"/>
          <w:lang w:val="en-US"/>
        </w:rPr>
        <w:t>SAS Act</w:t>
      </w:r>
      <w:r w:rsidRPr="00E70407">
        <w:rPr>
          <w:rFonts w:ascii="Times New Roman" w:eastAsia="Times New Roman" w:hAnsi="Times New Roman"/>
          <w:bCs/>
          <w:sz w:val="17"/>
          <w:szCs w:val="17"/>
          <w:lang w:val="en-US"/>
        </w:rPr>
        <w:t xml:space="preserve"> to be a declared vocation for the purposes of the </w:t>
      </w:r>
      <w:r w:rsidRPr="00E70407">
        <w:rPr>
          <w:rFonts w:ascii="Times New Roman" w:eastAsia="Times New Roman" w:hAnsi="Times New Roman"/>
          <w:bCs/>
          <w:i/>
          <w:iCs/>
          <w:sz w:val="17"/>
          <w:szCs w:val="17"/>
          <w:lang w:val="en-US"/>
        </w:rPr>
        <w:t>SAS Act</w:t>
      </w:r>
      <w:r w:rsidRPr="00E70407">
        <w:rPr>
          <w:rFonts w:ascii="Times New Roman" w:eastAsia="Times New Roman" w:hAnsi="Times New Roman"/>
          <w:bCs/>
          <w:sz w:val="17"/>
          <w:szCs w:val="17"/>
          <w:lang w:val="en-US"/>
        </w:rPr>
        <w:t>.</w:t>
      </w:r>
    </w:p>
    <w:p w:rsidR="00E70407" w:rsidRPr="00E70407" w:rsidRDefault="00E70407" w:rsidP="00E70407">
      <w:pPr>
        <w:rPr>
          <w:rFonts w:ascii="Times New Roman" w:eastAsia="Times New Roman" w:hAnsi="Times New Roman"/>
          <w:b/>
          <w:bCs/>
          <w:sz w:val="17"/>
          <w:szCs w:val="17"/>
          <w:lang w:val="en-US"/>
        </w:rPr>
      </w:pPr>
      <w:r w:rsidRPr="00E70407">
        <w:rPr>
          <w:rFonts w:ascii="Times New Roman" w:eastAsia="Times New Roman" w:hAnsi="Times New Roman"/>
          <w:b/>
          <w:bCs/>
          <w:sz w:val="17"/>
          <w:szCs w:val="17"/>
          <w:lang w:val="en-US"/>
        </w:rPr>
        <w:t>Delegate</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pacing w:val="-2"/>
          <w:sz w:val="17"/>
          <w:szCs w:val="17"/>
        </w:rPr>
        <w:t>Under</w:t>
      </w:r>
      <w:r w:rsidRPr="00E70407">
        <w:rPr>
          <w:rFonts w:ascii="Times New Roman" w:eastAsia="Times New Roman" w:hAnsi="Times New Roman"/>
          <w:sz w:val="17"/>
          <w:szCs w:val="17"/>
        </w:rPr>
        <w:t xml:space="preserve"> Section 8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the Minister may delegate a function or power of the Minister under the </w:t>
      </w:r>
      <w:r w:rsidRPr="00E70407">
        <w:rPr>
          <w:rFonts w:ascii="Times New Roman" w:eastAsia="Times New Roman" w:hAnsi="Times New Roman"/>
          <w:i/>
          <w:iCs/>
          <w:sz w:val="17"/>
          <w:szCs w:val="17"/>
        </w:rPr>
        <w:t xml:space="preserve">SAS Act </w:t>
      </w:r>
      <w:r w:rsidRPr="00E70407">
        <w:rPr>
          <w:rFonts w:ascii="Times New Roman" w:eastAsia="Times New Roman" w:hAnsi="Times New Roman"/>
          <w:sz w:val="17"/>
          <w:szCs w:val="17"/>
        </w:rPr>
        <w:t>to the:</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(a) </w:t>
      </w:r>
      <w:r w:rsidRPr="00E70407">
        <w:rPr>
          <w:rFonts w:ascii="Times New Roman" w:eastAsia="Times New Roman" w:hAnsi="Times New Roman"/>
          <w:sz w:val="17"/>
          <w:szCs w:val="17"/>
        </w:rPr>
        <w:tab/>
        <w:t>Commission or any other particular person or body</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(b) </w:t>
      </w:r>
      <w:r w:rsidRPr="00E70407">
        <w:rPr>
          <w:rFonts w:ascii="Times New Roman" w:eastAsia="Times New Roman" w:hAnsi="Times New Roman"/>
          <w:sz w:val="17"/>
          <w:szCs w:val="17"/>
        </w:rPr>
        <w:tab/>
        <w:t>person for the time being occupying a particular office or position.</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pacing w:val="-2"/>
          <w:sz w:val="17"/>
          <w:szCs w:val="17"/>
        </w:rPr>
        <w:t>Under</w:t>
      </w:r>
      <w:r w:rsidRPr="00E70407">
        <w:rPr>
          <w:rFonts w:ascii="Times New Roman" w:eastAsia="Times New Roman" w:hAnsi="Times New Roman"/>
          <w:sz w:val="17"/>
          <w:szCs w:val="17"/>
        </w:rPr>
        <w:t xml:space="preserve"> Section 20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the Commission may, with the approval of the Minister, delegate any of its functions or powers under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to a specified person or body.</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A function or power delegated under Section 8 or Section 20 may, if the instrument of delegation so provides, be further delegated.</w:t>
      </w:r>
    </w:p>
    <w:p w:rsidR="00E70407" w:rsidRPr="00E70407" w:rsidRDefault="00E70407" w:rsidP="00E70407">
      <w:pPr>
        <w:rPr>
          <w:rFonts w:ascii="Times New Roman" w:eastAsia="Times New Roman" w:hAnsi="Times New Roman"/>
          <w:b/>
          <w:bCs/>
          <w:sz w:val="17"/>
          <w:szCs w:val="17"/>
        </w:rPr>
      </w:pPr>
      <w:bookmarkStart w:id="140" w:name="_Toc71788125"/>
      <w:bookmarkStart w:id="141" w:name="_Toc71801881"/>
      <w:bookmarkStart w:id="142" w:name="_Toc71813727"/>
      <w:bookmarkStart w:id="143" w:name="_Toc72839199"/>
      <w:bookmarkStart w:id="144" w:name="_Toc72928908"/>
      <w:r w:rsidRPr="00E70407">
        <w:rPr>
          <w:rFonts w:ascii="Times New Roman" w:eastAsia="Times New Roman" w:hAnsi="Times New Roman"/>
          <w:b/>
          <w:bCs/>
          <w:sz w:val="17"/>
          <w:szCs w:val="17"/>
          <w:lang w:val="en-US"/>
        </w:rPr>
        <w:t>Direct supervision</w:t>
      </w:r>
      <w:bookmarkEnd w:id="140"/>
      <w:bookmarkEnd w:id="141"/>
      <w:bookmarkEnd w:id="142"/>
      <w:bookmarkEnd w:id="143"/>
      <w:bookmarkEnd w:id="144"/>
    </w:p>
    <w:p w:rsidR="00E70407" w:rsidRPr="00E70407" w:rsidRDefault="00E70407" w:rsidP="00E70407">
      <w:pPr>
        <w:ind w:left="160"/>
        <w:rPr>
          <w:rFonts w:ascii="Times New Roman" w:eastAsia="Times New Roman" w:hAnsi="Times New Roman"/>
          <w:sz w:val="17"/>
          <w:szCs w:val="17"/>
          <w:lang w:val="en-US"/>
        </w:rPr>
      </w:pPr>
      <w:r w:rsidRPr="00E70407">
        <w:rPr>
          <w:rFonts w:ascii="Times New Roman" w:eastAsia="Times New Roman" w:hAnsi="Times New Roman"/>
          <w:sz w:val="17"/>
          <w:szCs w:val="17"/>
          <w:lang w:val="en-US"/>
        </w:rPr>
        <w:t xml:space="preserve">Direct supervision means that a person qualified or experienced in the trade or declared vocation is physically present in the workplace and </w:t>
      </w:r>
      <w:r w:rsidRPr="00E70407">
        <w:rPr>
          <w:rFonts w:ascii="Times New Roman" w:eastAsia="Times New Roman" w:hAnsi="Times New Roman"/>
          <w:spacing w:val="-2"/>
          <w:sz w:val="17"/>
          <w:szCs w:val="17"/>
        </w:rPr>
        <w:t>within</w:t>
      </w:r>
      <w:r w:rsidRPr="00E70407">
        <w:rPr>
          <w:rFonts w:ascii="Times New Roman" w:eastAsia="Times New Roman" w:hAnsi="Times New Roman"/>
          <w:sz w:val="17"/>
          <w:szCs w:val="17"/>
          <w:lang w:val="en-US"/>
        </w:rPr>
        <w:t xml:space="preserve"> eyesight and earshot of the apprentice or trainee, working with them to provide training and instruction on any given task, and available to respond to their needs in accordance with the supervision ratios. Direct supervision cannot be provided by electronic means, including but not limited to, telephones, radios and webcams.</w:t>
      </w:r>
    </w:p>
    <w:p w:rsidR="00E70407" w:rsidRPr="00E70407" w:rsidRDefault="00E70407" w:rsidP="00E70407">
      <w:pPr>
        <w:rPr>
          <w:rFonts w:ascii="Times New Roman" w:eastAsia="Times New Roman" w:hAnsi="Times New Roman"/>
          <w:b/>
          <w:bCs/>
          <w:sz w:val="17"/>
          <w:szCs w:val="17"/>
          <w:lang w:val="en-US"/>
        </w:rPr>
      </w:pPr>
      <w:r w:rsidRPr="00E70407">
        <w:rPr>
          <w:rFonts w:ascii="Times New Roman" w:eastAsia="Times New Roman" w:hAnsi="Times New Roman"/>
          <w:b/>
          <w:bCs/>
          <w:sz w:val="17"/>
          <w:szCs w:val="17"/>
          <w:lang w:val="en-US"/>
        </w:rPr>
        <w:t>Dispute</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lang w:val="en-US"/>
        </w:rPr>
        <w:t xml:space="preserve">An argument or disagreement between people or groups </w:t>
      </w:r>
      <w:r w:rsidRPr="00E70407">
        <w:rPr>
          <w:rFonts w:ascii="Times New Roman" w:eastAsia="Times New Roman" w:hAnsi="Times New Roman"/>
          <w:sz w:val="17"/>
          <w:szCs w:val="17"/>
        </w:rPr>
        <w:t xml:space="preserve">relating to apprenticeships and traineeships, vocational education and training and </w:t>
      </w:r>
      <w:r w:rsidRPr="00E70407">
        <w:rPr>
          <w:rFonts w:ascii="Times New Roman" w:eastAsia="Times New Roman" w:hAnsi="Times New Roman"/>
          <w:spacing w:val="-2"/>
          <w:sz w:val="17"/>
          <w:szCs w:val="17"/>
        </w:rPr>
        <w:t>international</w:t>
      </w:r>
      <w:r w:rsidRPr="00E70407">
        <w:rPr>
          <w:rFonts w:ascii="Times New Roman" w:eastAsia="Times New Roman" w:hAnsi="Times New Roman"/>
          <w:sz w:val="17"/>
          <w:szCs w:val="17"/>
        </w:rPr>
        <w:t xml:space="preserve"> education</w:t>
      </w:r>
      <w:r w:rsidRPr="00E70407">
        <w:rPr>
          <w:rFonts w:ascii="Times New Roman" w:eastAsia="Times New Roman" w:hAnsi="Times New Roman"/>
          <w:sz w:val="17"/>
          <w:szCs w:val="17"/>
          <w:lang w:val="en-US"/>
        </w:rPr>
        <w:t>.</w:t>
      </w:r>
    </w:p>
    <w:p w:rsidR="000B7B5F" w:rsidRDefault="000B7B5F">
      <w:pPr>
        <w:spacing w:after="0" w:line="240" w:lineRule="auto"/>
        <w:jc w:val="left"/>
        <w:rPr>
          <w:rFonts w:ascii="Times New Roman" w:eastAsia="Times New Roman" w:hAnsi="Times New Roman"/>
          <w:b/>
          <w:bCs/>
          <w:sz w:val="17"/>
          <w:szCs w:val="17"/>
          <w:lang w:val="en-US"/>
        </w:rPr>
      </w:pPr>
      <w:r>
        <w:rPr>
          <w:rFonts w:ascii="Times New Roman" w:eastAsia="Times New Roman" w:hAnsi="Times New Roman"/>
          <w:b/>
          <w:bCs/>
          <w:sz w:val="17"/>
          <w:szCs w:val="17"/>
          <w:lang w:val="en-US"/>
        </w:rPr>
        <w:br w:type="page"/>
      </w:r>
    </w:p>
    <w:p w:rsidR="00E70407" w:rsidRPr="00E70407" w:rsidRDefault="00E70407" w:rsidP="00E70407">
      <w:pPr>
        <w:rPr>
          <w:rFonts w:ascii="Times New Roman" w:eastAsia="Times New Roman" w:hAnsi="Times New Roman"/>
          <w:b/>
          <w:bCs/>
          <w:sz w:val="17"/>
          <w:szCs w:val="17"/>
          <w:lang w:val="en-US"/>
        </w:rPr>
      </w:pPr>
      <w:r w:rsidRPr="00E70407">
        <w:rPr>
          <w:rFonts w:ascii="Times New Roman" w:eastAsia="Times New Roman" w:hAnsi="Times New Roman"/>
          <w:b/>
          <w:bCs/>
          <w:sz w:val="17"/>
          <w:szCs w:val="17"/>
          <w:lang w:val="en-US"/>
        </w:rPr>
        <w:lastRenderedPageBreak/>
        <w:t>Education and training provider</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lang w:val="en-US"/>
        </w:rPr>
        <w:t xml:space="preserve">An education and training services provider that is registered on the Commonwealth Register of Institutions and Courses for Overseas Students (CRICOS) to deliver to overseas students, or an organization that is registered on CRICOS and delivers English Language </w:t>
      </w:r>
      <w:r w:rsidRPr="00E70407">
        <w:rPr>
          <w:rFonts w:ascii="Times New Roman" w:eastAsia="Times New Roman" w:hAnsi="Times New Roman"/>
          <w:spacing w:val="-2"/>
          <w:sz w:val="17"/>
          <w:szCs w:val="17"/>
        </w:rPr>
        <w:t>Intensive</w:t>
      </w:r>
      <w:r w:rsidRPr="00E70407">
        <w:rPr>
          <w:rFonts w:ascii="Times New Roman" w:eastAsia="Times New Roman" w:hAnsi="Times New Roman"/>
          <w:sz w:val="17"/>
          <w:szCs w:val="17"/>
          <w:lang w:val="en-US"/>
        </w:rPr>
        <w:t xml:space="preserve"> Courses for Overseas Students (ELICOS), or a higher education provider, or a school.</w:t>
      </w:r>
    </w:p>
    <w:p w:rsidR="00E70407" w:rsidRPr="00E70407" w:rsidRDefault="00E70407" w:rsidP="00E70407">
      <w:pPr>
        <w:rPr>
          <w:rFonts w:ascii="Times New Roman" w:eastAsia="Times New Roman" w:hAnsi="Times New Roman"/>
          <w:b/>
          <w:bCs/>
          <w:sz w:val="17"/>
          <w:szCs w:val="17"/>
        </w:rPr>
      </w:pPr>
      <w:bookmarkStart w:id="145" w:name="_Toc71788126"/>
      <w:bookmarkStart w:id="146" w:name="_Toc71801882"/>
      <w:bookmarkStart w:id="147" w:name="_Toc71813728"/>
      <w:bookmarkStart w:id="148" w:name="_Toc72839200"/>
      <w:bookmarkStart w:id="149" w:name="_Toc72928909"/>
      <w:r w:rsidRPr="00E70407">
        <w:rPr>
          <w:rFonts w:ascii="Times New Roman" w:eastAsia="Times New Roman" w:hAnsi="Times New Roman"/>
          <w:b/>
          <w:bCs/>
          <w:sz w:val="17"/>
          <w:szCs w:val="17"/>
        </w:rPr>
        <w:t>Employer</w:t>
      </w:r>
      <w:bookmarkEnd w:id="145"/>
      <w:bookmarkEnd w:id="146"/>
      <w:bookmarkEnd w:id="147"/>
      <w:bookmarkEnd w:id="148"/>
      <w:bookmarkEnd w:id="149"/>
      <w:r w:rsidRPr="00E70407">
        <w:rPr>
          <w:rFonts w:ascii="Times New Roman" w:eastAsia="Times New Roman" w:hAnsi="Times New Roman"/>
          <w:b/>
          <w:bCs/>
          <w:sz w:val="17"/>
          <w:szCs w:val="17"/>
        </w:rPr>
        <w:t xml:space="preserve"> </w:t>
      </w:r>
    </w:p>
    <w:p w:rsidR="00E70407" w:rsidRPr="00E70407" w:rsidRDefault="00E70407" w:rsidP="00E70407">
      <w:pPr>
        <w:ind w:left="160"/>
        <w:rPr>
          <w:rFonts w:ascii="Times New Roman" w:eastAsia="Times New Roman" w:hAnsi="Times New Roman"/>
          <w:sz w:val="17"/>
          <w:szCs w:val="17"/>
          <w:lang w:val="en-US"/>
        </w:rPr>
      </w:pPr>
      <w:r w:rsidRPr="00E70407">
        <w:rPr>
          <w:rFonts w:ascii="Times New Roman" w:eastAsia="Times New Roman" w:hAnsi="Times New Roman"/>
          <w:sz w:val="17"/>
          <w:szCs w:val="17"/>
          <w:lang w:val="en-US"/>
        </w:rPr>
        <w:t xml:space="preserve">The employer, usually an individual person, sole trader, a company, incorporated association, group training organisation or government </w:t>
      </w:r>
      <w:r w:rsidRPr="00E70407">
        <w:rPr>
          <w:rFonts w:ascii="Times New Roman" w:eastAsia="Times New Roman" w:hAnsi="Times New Roman"/>
          <w:spacing w:val="-2"/>
          <w:sz w:val="17"/>
          <w:szCs w:val="17"/>
        </w:rPr>
        <w:t>agency</w:t>
      </w:r>
      <w:r w:rsidRPr="00E70407">
        <w:rPr>
          <w:rFonts w:ascii="Times New Roman" w:eastAsia="Times New Roman" w:hAnsi="Times New Roman"/>
          <w:sz w:val="17"/>
          <w:szCs w:val="17"/>
          <w:lang w:val="en-US"/>
        </w:rPr>
        <w:t>, is the legal entity that has entered into a legally binding Training Contract that has been approved by the Commission.</w:t>
      </w:r>
    </w:p>
    <w:p w:rsidR="00E70407" w:rsidRPr="00E70407" w:rsidRDefault="00E70407" w:rsidP="00E70407">
      <w:pPr>
        <w:rPr>
          <w:rFonts w:ascii="Times New Roman" w:eastAsia="Times New Roman" w:hAnsi="Times New Roman"/>
          <w:b/>
          <w:bCs/>
          <w:sz w:val="17"/>
          <w:szCs w:val="17"/>
          <w:lang w:val="en-GB"/>
        </w:rPr>
      </w:pPr>
      <w:r w:rsidRPr="00E70407">
        <w:rPr>
          <w:rFonts w:ascii="Times New Roman" w:eastAsia="Times New Roman" w:hAnsi="Times New Roman"/>
          <w:b/>
          <w:bCs/>
          <w:sz w:val="17"/>
          <w:szCs w:val="17"/>
          <w:lang w:val="en-GB"/>
        </w:rPr>
        <w:t>Funded Activity Agreement (FAA)</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An agreement between a training provider and the South Australian Government wherein the training provider is subsidised to deliver training.</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Former owner</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In relation to a change of owner of a business under Section 54M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the person who owned the business before the change of </w:t>
      </w:r>
      <w:r w:rsidRPr="00E70407">
        <w:rPr>
          <w:rFonts w:ascii="Times New Roman" w:eastAsia="Times New Roman" w:hAnsi="Times New Roman"/>
          <w:spacing w:val="-2"/>
          <w:sz w:val="17"/>
          <w:szCs w:val="17"/>
        </w:rPr>
        <w:t>ownership</w:t>
      </w:r>
      <w:r w:rsidRPr="00E70407">
        <w:rPr>
          <w:rFonts w:ascii="Times New Roman" w:eastAsia="Times New Roman" w:hAnsi="Times New Roman"/>
          <w:sz w:val="17"/>
          <w:szCs w:val="17"/>
        </w:rPr>
        <w:t xml:space="preserve"> occurs. </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 xml:space="preserve">Host employment arrangement </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An arrangement under a written agreement in which the employer of an apprentice or trainee places the apprentice or trainee with another person or body for particular training required under a Training Contract or the Training Plan.</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Host employer</w:t>
      </w:r>
    </w:p>
    <w:p w:rsidR="00E70407" w:rsidRPr="00E70407" w:rsidRDefault="00E70407" w:rsidP="00E70407">
      <w:pPr>
        <w:ind w:left="160"/>
        <w:rPr>
          <w:rFonts w:ascii="Times New Roman" w:eastAsia="Times New Roman" w:hAnsi="Times New Roman"/>
          <w:sz w:val="17"/>
          <w:szCs w:val="17"/>
          <w:lang w:val="en-US"/>
        </w:rPr>
      </w:pPr>
      <w:r w:rsidRPr="00E70407">
        <w:rPr>
          <w:rFonts w:ascii="Times New Roman" w:eastAsia="Times New Roman" w:hAnsi="Times New Roman"/>
          <w:sz w:val="17"/>
          <w:szCs w:val="17"/>
          <w:lang w:val="en-US"/>
        </w:rPr>
        <w:t xml:space="preserve">An </w:t>
      </w:r>
      <w:r w:rsidRPr="00E70407">
        <w:rPr>
          <w:rFonts w:ascii="Times New Roman" w:eastAsia="Times New Roman" w:hAnsi="Times New Roman"/>
          <w:spacing w:val="-2"/>
          <w:sz w:val="17"/>
          <w:szCs w:val="17"/>
        </w:rPr>
        <w:t>organisation</w:t>
      </w:r>
      <w:r w:rsidRPr="00E70407">
        <w:rPr>
          <w:rFonts w:ascii="Times New Roman" w:eastAsia="Times New Roman" w:hAnsi="Times New Roman"/>
          <w:sz w:val="17"/>
          <w:szCs w:val="17"/>
          <w:lang w:val="en-US"/>
        </w:rPr>
        <w:t xml:space="preserve"> that hosts, under a written agreement, an apprentice or trainee employed at that time by an employer.</w:t>
      </w:r>
    </w:p>
    <w:p w:rsidR="00E70407" w:rsidRPr="00E70407" w:rsidRDefault="00E70407" w:rsidP="00E70407">
      <w:pPr>
        <w:rPr>
          <w:rFonts w:ascii="Times New Roman" w:eastAsia="Times New Roman" w:hAnsi="Times New Roman"/>
          <w:b/>
          <w:bCs/>
          <w:sz w:val="17"/>
          <w:szCs w:val="17"/>
        </w:rPr>
      </w:pPr>
      <w:bookmarkStart w:id="150" w:name="_Toc71788127"/>
      <w:bookmarkStart w:id="151" w:name="_Toc71801883"/>
      <w:bookmarkStart w:id="152" w:name="_Toc71813729"/>
      <w:bookmarkStart w:id="153" w:name="_Toc72839201"/>
      <w:bookmarkStart w:id="154" w:name="_Toc72928910"/>
      <w:r w:rsidRPr="00E70407">
        <w:rPr>
          <w:rFonts w:ascii="Times New Roman" w:eastAsia="Times New Roman" w:hAnsi="Times New Roman"/>
          <w:b/>
          <w:bCs/>
          <w:sz w:val="17"/>
          <w:szCs w:val="17"/>
          <w:lang w:val="en-US"/>
        </w:rPr>
        <w:t>Indirect supervision</w:t>
      </w:r>
      <w:bookmarkEnd w:id="150"/>
      <w:bookmarkEnd w:id="151"/>
      <w:bookmarkEnd w:id="152"/>
      <w:bookmarkEnd w:id="153"/>
      <w:bookmarkEnd w:id="154"/>
    </w:p>
    <w:p w:rsidR="00E70407" w:rsidRPr="00E70407" w:rsidRDefault="00E70407" w:rsidP="00E70407">
      <w:pPr>
        <w:ind w:left="160"/>
        <w:rPr>
          <w:rFonts w:ascii="Times New Roman" w:eastAsia="Times New Roman" w:hAnsi="Times New Roman"/>
          <w:sz w:val="17"/>
          <w:szCs w:val="17"/>
          <w:lang w:val="en-US"/>
        </w:rPr>
      </w:pPr>
      <w:r w:rsidRPr="00E70407">
        <w:rPr>
          <w:rFonts w:ascii="Times New Roman" w:eastAsia="Times New Roman" w:hAnsi="Times New Roman"/>
          <w:sz w:val="17"/>
          <w:szCs w:val="17"/>
          <w:lang w:val="en-US"/>
        </w:rPr>
        <w:t xml:space="preserve">Indirect supervision occurs where an apprentice or trainee is undertaking a task that may reasonably be undertaken independently or for </w:t>
      </w:r>
      <w:r w:rsidRPr="00E70407">
        <w:rPr>
          <w:rFonts w:ascii="Times New Roman" w:eastAsia="Times New Roman" w:hAnsi="Times New Roman"/>
          <w:spacing w:val="-2"/>
          <w:sz w:val="17"/>
          <w:szCs w:val="17"/>
        </w:rPr>
        <w:t>which</w:t>
      </w:r>
      <w:r w:rsidRPr="00E70407">
        <w:rPr>
          <w:rFonts w:ascii="Times New Roman" w:eastAsia="Times New Roman" w:hAnsi="Times New Roman"/>
          <w:sz w:val="17"/>
          <w:szCs w:val="17"/>
          <w:lang w:val="en-US"/>
        </w:rPr>
        <w:t xml:space="preserve"> the apprentice or trainee has demonstrated a level of competence. The supervisor/on-job trainer will be readily available in the work area for the majority of the time and/or be readily available to communicate directly or by electronic means (i.e. telephone, radio, webcam) with the apprentice or trainee when required.</w:t>
      </w:r>
    </w:p>
    <w:p w:rsidR="00E70407" w:rsidRPr="00E70407" w:rsidRDefault="00E70407" w:rsidP="00E70407">
      <w:pPr>
        <w:rPr>
          <w:rFonts w:ascii="Times New Roman" w:eastAsia="Times New Roman" w:hAnsi="Times New Roman"/>
          <w:b/>
          <w:bCs/>
          <w:sz w:val="17"/>
          <w:szCs w:val="17"/>
          <w:lang w:val="en-US"/>
        </w:rPr>
      </w:pPr>
      <w:r w:rsidRPr="00E70407">
        <w:rPr>
          <w:rFonts w:ascii="Times New Roman" w:eastAsia="Times New Roman" w:hAnsi="Times New Roman"/>
          <w:b/>
          <w:bCs/>
          <w:sz w:val="17"/>
          <w:szCs w:val="17"/>
          <w:lang w:val="en-US"/>
        </w:rPr>
        <w:t>International student</w:t>
      </w:r>
    </w:p>
    <w:p w:rsidR="00E70407" w:rsidRPr="00E70407" w:rsidRDefault="00E70407" w:rsidP="00E70407">
      <w:pPr>
        <w:ind w:left="160"/>
        <w:rPr>
          <w:rFonts w:ascii="Times New Roman" w:eastAsia="Times New Roman" w:hAnsi="Times New Roman"/>
          <w:i/>
          <w:iCs/>
          <w:sz w:val="17"/>
          <w:szCs w:val="17"/>
        </w:rPr>
      </w:pPr>
      <w:r w:rsidRPr="00E70407">
        <w:rPr>
          <w:rFonts w:ascii="Times New Roman" w:eastAsia="Times New Roman" w:hAnsi="Times New Roman"/>
          <w:spacing w:val="-2"/>
          <w:sz w:val="17"/>
          <w:szCs w:val="17"/>
        </w:rPr>
        <w:t>Classified</w:t>
      </w:r>
      <w:r w:rsidRPr="00E70407">
        <w:rPr>
          <w:rFonts w:ascii="Times New Roman" w:eastAsia="Times New Roman" w:hAnsi="Times New Roman"/>
          <w:sz w:val="17"/>
          <w:szCs w:val="17"/>
          <w:lang w:val="en-US"/>
        </w:rPr>
        <w:t xml:space="preserve"> as a person holding a visa type (categorised by the Department of Home Affairs (DHA)) that is recognised by the </w:t>
      </w:r>
      <w:r w:rsidRPr="00E70407">
        <w:rPr>
          <w:rFonts w:ascii="Times New Roman" w:eastAsia="Times New Roman" w:hAnsi="Times New Roman"/>
          <w:i/>
          <w:iCs/>
          <w:sz w:val="17"/>
          <w:szCs w:val="17"/>
          <w:lang w:val="en-US"/>
        </w:rPr>
        <w:t>Education Services for Overseas Students (ESOS) Act 2000 (Cth).</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Junior</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An </w:t>
      </w:r>
      <w:r w:rsidRPr="00E70407">
        <w:rPr>
          <w:rFonts w:ascii="Times New Roman" w:eastAsia="Times New Roman" w:hAnsi="Times New Roman"/>
          <w:spacing w:val="-2"/>
          <w:sz w:val="17"/>
          <w:szCs w:val="17"/>
        </w:rPr>
        <w:t>apprentice</w:t>
      </w:r>
      <w:r w:rsidRPr="00E70407">
        <w:rPr>
          <w:rFonts w:ascii="Times New Roman" w:eastAsia="Times New Roman" w:hAnsi="Times New Roman"/>
          <w:sz w:val="17"/>
          <w:szCs w:val="17"/>
        </w:rPr>
        <w:t xml:space="preserve"> or trainee under the age of 18.</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Jurisdictions</w:t>
      </w:r>
    </w:p>
    <w:p w:rsidR="00E70407" w:rsidRPr="00E70407" w:rsidRDefault="00E70407" w:rsidP="00E70407">
      <w:pPr>
        <w:ind w:left="160"/>
        <w:rPr>
          <w:rFonts w:ascii="Times New Roman" w:eastAsia="Times New Roman" w:hAnsi="Times New Roman"/>
          <w:spacing w:val="-6"/>
          <w:sz w:val="17"/>
          <w:szCs w:val="17"/>
        </w:rPr>
      </w:pPr>
      <w:r w:rsidRPr="00E70407">
        <w:rPr>
          <w:rFonts w:ascii="Times New Roman" w:eastAsia="Times New Roman" w:hAnsi="Times New Roman"/>
          <w:spacing w:val="-6"/>
          <w:sz w:val="17"/>
          <w:szCs w:val="17"/>
        </w:rPr>
        <w:t>The states and territories of Australia that make up the regional governments in Australia, distinct from the federal government and local governments.</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Mediation</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A</w:t>
      </w:r>
      <w:r w:rsidRPr="00E70407">
        <w:rPr>
          <w:rFonts w:ascii="Times New Roman" w:eastAsia="Times New Roman" w:hAnsi="Times New Roman"/>
          <w:sz w:val="17"/>
          <w:szCs w:val="17"/>
          <w:lang w:val="en-US"/>
        </w:rPr>
        <w:t> structured negotiation process in which an independent person, known as a mediator, assists the parties to identify and assess options and negotiate an agreement to resolve their dispute.</w:t>
      </w:r>
      <w:r w:rsidRPr="00E70407">
        <w:rPr>
          <w:rFonts w:ascii="Times New Roman" w:eastAsia="Times New Roman" w:hAnsi="Times New Roman"/>
          <w:sz w:val="17"/>
          <w:szCs w:val="17"/>
        </w:rPr>
        <w:t> </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New owner</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In relation to a change of ownership of a business under Section 54MA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the person who owns the business after the change of </w:t>
      </w:r>
      <w:r w:rsidRPr="00E70407">
        <w:rPr>
          <w:rFonts w:ascii="Times New Roman" w:eastAsia="Times New Roman" w:hAnsi="Times New Roman"/>
          <w:spacing w:val="-2"/>
          <w:sz w:val="17"/>
          <w:szCs w:val="17"/>
        </w:rPr>
        <w:t>ownership</w:t>
      </w:r>
      <w:r w:rsidRPr="00E70407">
        <w:rPr>
          <w:rFonts w:ascii="Times New Roman" w:eastAsia="Times New Roman" w:hAnsi="Times New Roman"/>
          <w:sz w:val="17"/>
          <w:szCs w:val="17"/>
        </w:rPr>
        <w:t xml:space="preserve"> occurs. </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Nominated Training Organisation</w:t>
      </w:r>
      <w:r w:rsidRPr="00E70407">
        <w:rPr>
          <w:rFonts w:ascii="Times New Roman" w:eastAsia="Times New Roman" w:hAnsi="Times New Roman"/>
          <w:sz w:val="17"/>
          <w:szCs w:val="17"/>
        </w:rPr>
        <w:t xml:space="preserve"> (</w:t>
      </w:r>
      <w:r w:rsidRPr="00E70407">
        <w:rPr>
          <w:rFonts w:ascii="Times New Roman" w:eastAsia="Times New Roman" w:hAnsi="Times New Roman"/>
          <w:b/>
          <w:bCs/>
          <w:sz w:val="17"/>
          <w:szCs w:val="17"/>
        </w:rPr>
        <w:t>NTO)</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Is a registered training organisation or registered higher education provider that accepts a nomination by an apprentice or trainee and an </w:t>
      </w:r>
      <w:r w:rsidRPr="00E70407">
        <w:rPr>
          <w:rFonts w:ascii="Times New Roman" w:eastAsia="Times New Roman" w:hAnsi="Times New Roman"/>
          <w:spacing w:val="-2"/>
          <w:sz w:val="17"/>
          <w:szCs w:val="17"/>
        </w:rPr>
        <w:t>employer</w:t>
      </w:r>
      <w:r w:rsidRPr="00E70407">
        <w:rPr>
          <w:rFonts w:ascii="Times New Roman" w:eastAsia="Times New Roman" w:hAnsi="Times New Roman"/>
          <w:sz w:val="17"/>
          <w:szCs w:val="17"/>
        </w:rPr>
        <w:t xml:space="preserve"> in relation to a Training Contract, to:</w:t>
      </w:r>
    </w:p>
    <w:p w:rsidR="00E70407" w:rsidRPr="00E70407" w:rsidRDefault="00E70407" w:rsidP="00E70407">
      <w:pPr>
        <w:numPr>
          <w:ilvl w:val="0"/>
          <w:numId w:val="303"/>
        </w:numPr>
        <w:spacing w:after="0"/>
        <w:rPr>
          <w:rFonts w:ascii="Times New Roman" w:eastAsia="Times New Roman" w:hAnsi="Times New Roman"/>
          <w:sz w:val="17"/>
          <w:szCs w:val="17"/>
        </w:rPr>
      </w:pPr>
      <w:r w:rsidRPr="00E70407">
        <w:rPr>
          <w:rFonts w:ascii="Times New Roman" w:eastAsia="Times New Roman" w:hAnsi="Times New Roman"/>
          <w:sz w:val="17"/>
          <w:szCs w:val="17"/>
        </w:rPr>
        <w:t>deliver training to the apprentice or trainee in accordance with the Training Plan</w:t>
      </w:r>
    </w:p>
    <w:p w:rsidR="00E70407" w:rsidRPr="00E70407" w:rsidRDefault="00E70407" w:rsidP="00E70407">
      <w:pPr>
        <w:numPr>
          <w:ilvl w:val="0"/>
          <w:numId w:val="303"/>
        </w:numPr>
        <w:rPr>
          <w:rFonts w:ascii="Times New Roman" w:eastAsia="Times New Roman" w:hAnsi="Times New Roman"/>
          <w:sz w:val="17"/>
          <w:szCs w:val="17"/>
        </w:rPr>
      </w:pPr>
      <w:r w:rsidRPr="00E70407">
        <w:rPr>
          <w:rFonts w:ascii="Times New Roman" w:eastAsia="Times New Roman" w:hAnsi="Times New Roman"/>
          <w:sz w:val="17"/>
          <w:szCs w:val="17"/>
        </w:rPr>
        <w:t xml:space="preserve">meet such other obligations as are required of it under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w:t>
      </w:r>
    </w:p>
    <w:p w:rsidR="00E70407" w:rsidRPr="00E70407" w:rsidRDefault="00E70407" w:rsidP="00E70407">
      <w:pPr>
        <w:rPr>
          <w:rFonts w:ascii="Times New Roman" w:eastAsia="Times New Roman" w:hAnsi="Times New Roman"/>
          <w:b/>
          <w:bCs/>
          <w:sz w:val="17"/>
          <w:szCs w:val="17"/>
        </w:rPr>
      </w:pPr>
      <w:bookmarkStart w:id="155" w:name="_Toc71788128"/>
      <w:bookmarkStart w:id="156" w:name="_Toc71801884"/>
      <w:bookmarkStart w:id="157" w:name="_Toc71813730"/>
      <w:bookmarkStart w:id="158" w:name="_Toc72839202"/>
      <w:bookmarkStart w:id="159" w:name="_Toc72928911"/>
      <w:r w:rsidRPr="00E70407">
        <w:rPr>
          <w:rFonts w:ascii="Times New Roman" w:eastAsia="Times New Roman" w:hAnsi="Times New Roman"/>
          <w:b/>
          <w:bCs/>
          <w:sz w:val="17"/>
          <w:szCs w:val="17"/>
        </w:rPr>
        <w:t>Off-Job training</w:t>
      </w:r>
      <w:bookmarkEnd w:id="155"/>
      <w:bookmarkEnd w:id="156"/>
      <w:bookmarkEnd w:id="157"/>
      <w:bookmarkEnd w:id="158"/>
      <w:bookmarkEnd w:id="159"/>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Off-job training is the education and training in a nationally recognised qualification, delivered in a course provided by a Registered </w:t>
      </w:r>
      <w:r w:rsidRPr="00E70407">
        <w:rPr>
          <w:rFonts w:ascii="Times New Roman" w:eastAsia="Times New Roman" w:hAnsi="Times New Roman"/>
          <w:spacing w:val="-2"/>
          <w:sz w:val="17"/>
          <w:szCs w:val="17"/>
        </w:rPr>
        <w:t>Training</w:t>
      </w:r>
      <w:r w:rsidRPr="00E70407">
        <w:rPr>
          <w:rFonts w:ascii="Times New Roman" w:eastAsia="Times New Roman" w:hAnsi="Times New Roman"/>
          <w:sz w:val="17"/>
          <w:szCs w:val="17"/>
        </w:rPr>
        <w:t xml:space="preserve"> Organisation.  </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How and where off-job training is delivered is negotiated between the employer, the apprentice or trainee, and the Registered Training </w:t>
      </w:r>
      <w:r w:rsidRPr="00E70407">
        <w:rPr>
          <w:rFonts w:ascii="Times New Roman" w:eastAsia="Times New Roman" w:hAnsi="Times New Roman"/>
          <w:spacing w:val="-2"/>
          <w:sz w:val="17"/>
          <w:szCs w:val="17"/>
        </w:rPr>
        <w:t>Organisation</w:t>
      </w:r>
      <w:r w:rsidRPr="00E70407">
        <w:rPr>
          <w:rFonts w:ascii="Times New Roman" w:eastAsia="Times New Roman" w:hAnsi="Times New Roman"/>
          <w:sz w:val="17"/>
          <w:szCs w:val="17"/>
        </w:rPr>
        <w:t>.  Off-job training may be delivered in a variety of places and modes, including but not limited to:</w:t>
      </w:r>
    </w:p>
    <w:p w:rsidR="00E70407" w:rsidRPr="00E70407" w:rsidRDefault="00E70407" w:rsidP="00E70407">
      <w:pPr>
        <w:numPr>
          <w:ilvl w:val="0"/>
          <w:numId w:val="303"/>
        </w:numPr>
        <w:spacing w:after="0"/>
        <w:rPr>
          <w:rFonts w:ascii="Times New Roman" w:eastAsia="Times New Roman" w:hAnsi="Times New Roman"/>
          <w:sz w:val="17"/>
          <w:szCs w:val="17"/>
        </w:rPr>
      </w:pPr>
      <w:r w:rsidRPr="00E70407">
        <w:rPr>
          <w:rFonts w:ascii="Times New Roman" w:eastAsia="Times New Roman" w:hAnsi="Times New Roman"/>
          <w:sz w:val="17"/>
          <w:szCs w:val="17"/>
        </w:rPr>
        <w:t>Face-to-face in the Registered Training Organisation’s premises</w:t>
      </w:r>
    </w:p>
    <w:p w:rsidR="00E70407" w:rsidRPr="00E70407" w:rsidRDefault="00E70407" w:rsidP="00E70407">
      <w:pPr>
        <w:numPr>
          <w:ilvl w:val="0"/>
          <w:numId w:val="303"/>
        </w:numPr>
        <w:spacing w:after="0"/>
        <w:rPr>
          <w:rFonts w:ascii="Times New Roman" w:eastAsia="Times New Roman" w:hAnsi="Times New Roman"/>
          <w:sz w:val="17"/>
          <w:szCs w:val="17"/>
        </w:rPr>
      </w:pPr>
      <w:r w:rsidRPr="00E70407">
        <w:rPr>
          <w:rFonts w:ascii="Times New Roman" w:eastAsia="Times New Roman" w:hAnsi="Times New Roman"/>
          <w:sz w:val="17"/>
          <w:szCs w:val="17"/>
        </w:rPr>
        <w:t>Face-to face in the employer’s workplace</w:t>
      </w:r>
    </w:p>
    <w:p w:rsidR="00E70407" w:rsidRPr="00E70407" w:rsidRDefault="00E70407" w:rsidP="00E70407">
      <w:pPr>
        <w:numPr>
          <w:ilvl w:val="0"/>
          <w:numId w:val="303"/>
        </w:numPr>
        <w:rPr>
          <w:rFonts w:ascii="Times New Roman" w:eastAsia="Times New Roman" w:hAnsi="Times New Roman"/>
          <w:sz w:val="17"/>
          <w:szCs w:val="17"/>
        </w:rPr>
      </w:pPr>
      <w:r w:rsidRPr="00E70407">
        <w:rPr>
          <w:rFonts w:ascii="Times New Roman" w:eastAsia="Times New Roman" w:hAnsi="Times New Roman"/>
          <w:sz w:val="17"/>
          <w:szCs w:val="17"/>
        </w:rPr>
        <w:t>Online.</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No </w:t>
      </w:r>
      <w:r w:rsidRPr="00E70407">
        <w:rPr>
          <w:rFonts w:ascii="Times New Roman" w:eastAsia="Times New Roman" w:hAnsi="Times New Roman"/>
          <w:spacing w:val="-2"/>
          <w:sz w:val="17"/>
          <w:szCs w:val="17"/>
        </w:rPr>
        <w:t>matter</w:t>
      </w:r>
      <w:r w:rsidRPr="00E70407">
        <w:rPr>
          <w:rFonts w:ascii="Times New Roman" w:eastAsia="Times New Roman" w:hAnsi="Times New Roman"/>
          <w:sz w:val="17"/>
          <w:szCs w:val="17"/>
        </w:rPr>
        <w:t xml:space="preserve"> how and where it happens, employers must make sure that apprentices or trainees are withdrawn or released from their work duties to undertake off-job training.</w:t>
      </w:r>
    </w:p>
    <w:p w:rsidR="00E70407" w:rsidRPr="00E70407" w:rsidRDefault="00E70407" w:rsidP="00E70407">
      <w:pPr>
        <w:rPr>
          <w:rFonts w:ascii="Times New Roman" w:eastAsia="Times New Roman" w:hAnsi="Times New Roman"/>
          <w:b/>
          <w:bCs/>
          <w:sz w:val="17"/>
          <w:szCs w:val="17"/>
        </w:rPr>
      </w:pPr>
      <w:bookmarkStart w:id="160" w:name="_Toc71788129"/>
      <w:bookmarkStart w:id="161" w:name="_Toc71801885"/>
      <w:bookmarkStart w:id="162" w:name="_Toc71813731"/>
      <w:bookmarkStart w:id="163" w:name="_Toc72839203"/>
      <w:bookmarkStart w:id="164" w:name="_Toc72928912"/>
      <w:r w:rsidRPr="00E70407">
        <w:rPr>
          <w:rFonts w:ascii="Times New Roman" w:eastAsia="Times New Roman" w:hAnsi="Times New Roman"/>
          <w:b/>
          <w:bCs/>
          <w:sz w:val="17"/>
          <w:szCs w:val="17"/>
        </w:rPr>
        <w:t>On-Job training</w:t>
      </w:r>
      <w:bookmarkEnd w:id="160"/>
      <w:bookmarkEnd w:id="161"/>
      <w:bookmarkEnd w:id="162"/>
      <w:bookmarkEnd w:id="163"/>
      <w:bookmarkEnd w:id="164"/>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On-job training is the instruction, training and transfer of skills and knowledge to a person learning a trade/declared vocation in a workplace. On-job training must meet the requirements set out in these Standards.</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Pastoral and monitoring support meetings</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Is a purposeful meeting with person to person contact between the employer of the trainee/apprentice or their delegate, and the </w:t>
      </w:r>
      <w:r w:rsidRPr="00E70407">
        <w:rPr>
          <w:rFonts w:ascii="Times New Roman" w:eastAsia="Times New Roman" w:hAnsi="Times New Roman"/>
          <w:spacing w:val="-2"/>
          <w:sz w:val="17"/>
          <w:szCs w:val="17"/>
        </w:rPr>
        <w:t>trainee</w:t>
      </w:r>
      <w:r w:rsidRPr="00E70407">
        <w:rPr>
          <w:rFonts w:ascii="Times New Roman" w:eastAsia="Times New Roman" w:hAnsi="Times New Roman"/>
          <w:sz w:val="17"/>
          <w:szCs w:val="17"/>
        </w:rPr>
        <w:t>/apprentice, where the employer/delegate:</w:t>
      </w:r>
    </w:p>
    <w:p w:rsidR="00E70407" w:rsidRPr="00E70407" w:rsidRDefault="00E70407" w:rsidP="00E70407">
      <w:pPr>
        <w:numPr>
          <w:ilvl w:val="0"/>
          <w:numId w:val="303"/>
        </w:numPr>
        <w:spacing w:after="0"/>
        <w:rPr>
          <w:rFonts w:ascii="Times New Roman" w:eastAsia="Times New Roman" w:hAnsi="Times New Roman"/>
          <w:sz w:val="17"/>
          <w:szCs w:val="17"/>
        </w:rPr>
      </w:pPr>
      <w:r w:rsidRPr="00E70407">
        <w:rPr>
          <w:rFonts w:ascii="Times New Roman" w:eastAsia="Times New Roman" w:hAnsi="Times New Roman"/>
          <w:sz w:val="17"/>
          <w:szCs w:val="17"/>
        </w:rPr>
        <w:t>determines competency-based training and wage progression</w:t>
      </w:r>
    </w:p>
    <w:p w:rsidR="00E70407" w:rsidRPr="00E70407" w:rsidRDefault="00E70407" w:rsidP="00E70407">
      <w:pPr>
        <w:numPr>
          <w:ilvl w:val="0"/>
          <w:numId w:val="303"/>
        </w:numPr>
        <w:spacing w:after="0"/>
        <w:rPr>
          <w:rFonts w:ascii="Times New Roman" w:eastAsia="Times New Roman" w:hAnsi="Times New Roman"/>
          <w:sz w:val="17"/>
          <w:szCs w:val="17"/>
        </w:rPr>
      </w:pPr>
      <w:r w:rsidRPr="00E70407">
        <w:rPr>
          <w:rFonts w:ascii="Times New Roman" w:eastAsia="Times New Roman" w:hAnsi="Times New Roman"/>
          <w:sz w:val="17"/>
          <w:szCs w:val="17"/>
        </w:rPr>
        <w:t>ascertains any concerns and issues relating to the Training Contract or the safety, health and welfare of the apprentice or trainee</w:t>
      </w:r>
    </w:p>
    <w:p w:rsidR="00E70407" w:rsidRPr="00E70407" w:rsidRDefault="00E70407" w:rsidP="00E70407">
      <w:pPr>
        <w:numPr>
          <w:ilvl w:val="0"/>
          <w:numId w:val="303"/>
        </w:numPr>
        <w:spacing w:after="0"/>
        <w:rPr>
          <w:rFonts w:ascii="Times New Roman" w:eastAsia="Times New Roman" w:hAnsi="Times New Roman"/>
          <w:sz w:val="17"/>
          <w:szCs w:val="17"/>
        </w:rPr>
      </w:pPr>
      <w:r w:rsidRPr="00E70407">
        <w:rPr>
          <w:rFonts w:ascii="Times New Roman" w:eastAsia="Times New Roman" w:hAnsi="Times New Roman"/>
          <w:sz w:val="17"/>
          <w:szCs w:val="17"/>
        </w:rPr>
        <w:t xml:space="preserve">addresses and resolves those concerns and issues </w:t>
      </w:r>
    </w:p>
    <w:p w:rsidR="00E70407" w:rsidRPr="00E70407" w:rsidRDefault="00E70407" w:rsidP="00E70407">
      <w:pPr>
        <w:numPr>
          <w:ilvl w:val="0"/>
          <w:numId w:val="303"/>
        </w:numPr>
        <w:rPr>
          <w:rFonts w:ascii="Times New Roman" w:eastAsia="Times New Roman" w:hAnsi="Times New Roman"/>
          <w:sz w:val="17"/>
          <w:szCs w:val="17"/>
        </w:rPr>
      </w:pPr>
      <w:r w:rsidRPr="00E70407">
        <w:rPr>
          <w:rFonts w:ascii="Times New Roman" w:eastAsia="Times New Roman" w:hAnsi="Times New Roman"/>
          <w:sz w:val="17"/>
          <w:szCs w:val="17"/>
        </w:rPr>
        <w:t xml:space="preserve">provides encouragement, guidance and support to facilitate the successful completion of the Training Contract.  </w:t>
      </w:r>
    </w:p>
    <w:p w:rsidR="000B7B5F" w:rsidRDefault="000B7B5F">
      <w:pPr>
        <w:spacing w:after="0" w:line="240" w:lineRule="auto"/>
        <w:jc w:val="left"/>
        <w:rPr>
          <w:rFonts w:ascii="Times New Roman" w:eastAsia="Times New Roman" w:hAnsi="Times New Roman"/>
          <w:b/>
          <w:bCs/>
          <w:sz w:val="17"/>
          <w:szCs w:val="17"/>
        </w:rPr>
      </w:pPr>
      <w:r>
        <w:rPr>
          <w:rFonts w:ascii="Times New Roman" w:eastAsia="Times New Roman" w:hAnsi="Times New Roman"/>
          <w:b/>
          <w:bCs/>
          <w:sz w:val="17"/>
          <w:szCs w:val="17"/>
        </w:rPr>
        <w:br w:type="page"/>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lastRenderedPageBreak/>
        <w:t xml:space="preserve">Parent/Guardian </w:t>
      </w:r>
    </w:p>
    <w:p w:rsidR="00E70407" w:rsidRPr="00E70407" w:rsidRDefault="00E70407" w:rsidP="00E70407">
      <w:pPr>
        <w:ind w:left="160"/>
        <w:rPr>
          <w:rFonts w:ascii="Times New Roman" w:eastAsia="Times New Roman" w:hAnsi="Times New Roman"/>
          <w:spacing w:val="-2"/>
          <w:sz w:val="17"/>
          <w:szCs w:val="17"/>
          <w:lang w:val="en-US"/>
        </w:rPr>
      </w:pPr>
      <w:r w:rsidRPr="00E70407">
        <w:rPr>
          <w:rFonts w:ascii="Times New Roman" w:eastAsia="Times New Roman" w:hAnsi="Times New Roman"/>
          <w:spacing w:val="-2"/>
          <w:sz w:val="17"/>
          <w:szCs w:val="17"/>
          <w:lang w:val="en-US"/>
        </w:rPr>
        <w:t>Where a person under the age of 18 years at the commencement of training enters into an apprenticeship or traineeship, a parent/guardian will usually sign and be a party to the Training Contract. Under a Training Contract, a parent/guardian is legally obliged to uphold the responsibilities for the apprentice or trainee until they are 18 years of age. The Training Plan must also be negotiated and agreed between the employer and the apprentice or trainee, and their parent/guardian where they are under the age of 18 years, in consultation with the NTO.</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Prescribed person</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For </w:t>
      </w:r>
      <w:r w:rsidRPr="00E70407">
        <w:rPr>
          <w:rFonts w:ascii="Times New Roman" w:eastAsia="Times New Roman" w:hAnsi="Times New Roman"/>
          <w:spacing w:val="-2"/>
          <w:sz w:val="17"/>
          <w:szCs w:val="17"/>
        </w:rPr>
        <w:t>the</w:t>
      </w:r>
      <w:r w:rsidRPr="00E70407">
        <w:rPr>
          <w:rFonts w:ascii="Times New Roman" w:eastAsia="Times New Roman" w:hAnsi="Times New Roman"/>
          <w:sz w:val="17"/>
          <w:szCs w:val="17"/>
        </w:rPr>
        <w:t xml:space="preserve"> purposes of issuing compliance notices, under Section 63(5)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a prescribed person is:</w:t>
      </w:r>
    </w:p>
    <w:p w:rsidR="00E70407" w:rsidRPr="00E70407" w:rsidRDefault="00E70407" w:rsidP="00E70407">
      <w:pPr>
        <w:numPr>
          <w:ilvl w:val="0"/>
          <w:numId w:val="344"/>
        </w:numPr>
        <w:rPr>
          <w:rFonts w:ascii="Times New Roman" w:eastAsia="Times New Roman" w:hAnsi="Times New Roman"/>
          <w:sz w:val="17"/>
          <w:szCs w:val="17"/>
        </w:rPr>
      </w:pPr>
      <w:r w:rsidRPr="00E70407">
        <w:rPr>
          <w:rFonts w:ascii="Times New Roman" w:eastAsia="Times New Roman" w:hAnsi="Times New Roman"/>
          <w:sz w:val="17"/>
          <w:szCs w:val="17"/>
        </w:rPr>
        <w:t>an employer in relation to a Training Contract</w:t>
      </w:r>
    </w:p>
    <w:p w:rsidR="00E70407" w:rsidRPr="00E70407" w:rsidRDefault="00E70407" w:rsidP="00E70407">
      <w:pPr>
        <w:numPr>
          <w:ilvl w:val="0"/>
          <w:numId w:val="344"/>
        </w:numPr>
        <w:rPr>
          <w:rFonts w:ascii="Times New Roman" w:eastAsia="Times New Roman" w:hAnsi="Times New Roman"/>
          <w:sz w:val="17"/>
          <w:szCs w:val="17"/>
        </w:rPr>
      </w:pPr>
      <w:r w:rsidRPr="00E70407">
        <w:rPr>
          <w:rFonts w:ascii="Times New Roman" w:eastAsia="Times New Roman" w:hAnsi="Times New Roman"/>
          <w:sz w:val="17"/>
          <w:szCs w:val="17"/>
        </w:rPr>
        <w:t>an NTO for an apprentice or trainee</w:t>
      </w:r>
    </w:p>
    <w:p w:rsidR="00E70407" w:rsidRPr="00E70407" w:rsidRDefault="00E70407" w:rsidP="00E70407">
      <w:pPr>
        <w:numPr>
          <w:ilvl w:val="0"/>
          <w:numId w:val="344"/>
        </w:numPr>
        <w:rPr>
          <w:rFonts w:ascii="Times New Roman" w:eastAsia="Times New Roman" w:hAnsi="Times New Roman"/>
          <w:sz w:val="17"/>
          <w:szCs w:val="17"/>
        </w:rPr>
      </w:pPr>
      <w:r w:rsidRPr="00E70407">
        <w:rPr>
          <w:rFonts w:ascii="Times New Roman" w:eastAsia="Times New Roman" w:hAnsi="Times New Roman"/>
          <w:sz w:val="17"/>
          <w:szCs w:val="17"/>
        </w:rPr>
        <w:t>a host employer with whom an apprentice or trainees is or was placed:</w:t>
      </w:r>
    </w:p>
    <w:p w:rsidR="00E70407" w:rsidRPr="00E70407" w:rsidRDefault="00E70407" w:rsidP="00E70407">
      <w:pPr>
        <w:numPr>
          <w:ilvl w:val="0"/>
          <w:numId w:val="344"/>
        </w:numPr>
        <w:rPr>
          <w:rFonts w:ascii="Times New Roman" w:eastAsia="Times New Roman" w:hAnsi="Times New Roman"/>
          <w:sz w:val="17"/>
          <w:szCs w:val="17"/>
        </w:rPr>
      </w:pPr>
      <w:r w:rsidRPr="00E70407">
        <w:rPr>
          <w:rFonts w:ascii="Times New Roman" w:eastAsia="Times New Roman" w:hAnsi="Times New Roman"/>
          <w:sz w:val="17"/>
          <w:szCs w:val="17"/>
        </w:rPr>
        <w:t>a supervisor of an apprentice or trainee under a Training Contract.</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pacing w:val="-2"/>
          <w:sz w:val="17"/>
          <w:szCs w:val="17"/>
        </w:rPr>
        <w:t>For</w:t>
      </w:r>
      <w:r w:rsidRPr="00E70407">
        <w:rPr>
          <w:rFonts w:ascii="Times New Roman" w:eastAsia="Times New Roman" w:hAnsi="Times New Roman"/>
          <w:sz w:val="17"/>
          <w:szCs w:val="17"/>
        </w:rPr>
        <w:t xml:space="preserve"> the purposes of the Commission requiring production of information, under Section 70C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a prescribed person is:</w:t>
      </w:r>
    </w:p>
    <w:p w:rsidR="00E70407" w:rsidRPr="00E70407" w:rsidRDefault="00E70407" w:rsidP="00E70407">
      <w:pPr>
        <w:numPr>
          <w:ilvl w:val="0"/>
          <w:numId w:val="345"/>
        </w:numPr>
        <w:rPr>
          <w:rFonts w:ascii="Times New Roman" w:eastAsia="Times New Roman" w:hAnsi="Times New Roman"/>
          <w:sz w:val="17"/>
          <w:szCs w:val="17"/>
        </w:rPr>
      </w:pPr>
      <w:r w:rsidRPr="00E70407">
        <w:rPr>
          <w:rFonts w:ascii="Times New Roman" w:eastAsia="Times New Roman" w:hAnsi="Times New Roman"/>
          <w:sz w:val="17"/>
          <w:szCs w:val="17"/>
        </w:rPr>
        <w:t xml:space="preserve">a public sector agency (within the meaning of the </w:t>
      </w:r>
      <w:r w:rsidRPr="00E70407">
        <w:rPr>
          <w:rFonts w:ascii="Times New Roman" w:eastAsia="Times New Roman" w:hAnsi="Times New Roman"/>
          <w:i/>
          <w:iCs/>
          <w:sz w:val="17"/>
          <w:szCs w:val="17"/>
        </w:rPr>
        <w:t>Public Sector Act 2009</w:t>
      </w:r>
      <w:r w:rsidRPr="00E70407">
        <w:rPr>
          <w:rFonts w:ascii="Times New Roman" w:eastAsia="Times New Roman" w:hAnsi="Times New Roman"/>
          <w:sz w:val="17"/>
          <w:szCs w:val="17"/>
        </w:rPr>
        <w:t>)</w:t>
      </w:r>
    </w:p>
    <w:p w:rsidR="00E70407" w:rsidRPr="00E70407" w:rsidRDefault="00E70407" w:rsidP="00E70407">
      <w:pPr>
        <w:numPr>
          <w:ilvl w:val="0"/>
          <w:numId w:val="345"/>
        </w:numPr>
        <w:rPr>
          <w:rFonts w:ascii="Times New Roman" w:eastAsia="Times New Roman" w:hAnsi="Times New Roman"/>
          <w:sz w:val="17"/>
          <w:szCs w:val="17"/>
        </w:rPr>
      </w:pPr>
      <w:r w:rsidRPr="00E70407">
        <w:rPr>
          <w:rFonts w:ascii="Times New Roman" w:eastAsia="Times New Roman" w:hAnsi="Times New Roman"/>
          <w:sz w:val="17"/>
          <w:szCs w:val="17"/>
        </w:rPr>
        <w:t>a registered employer, or an applicant for such registration</w:t>
      </w:r>
    </w:p>
    <w:p w:rsidR="00E70407" w:rsidRPr="00E70407" w:rsidRDefault="00E70407" w:rsidP="00E70407">
      <w:pPr>
        <w:numPr>
          <w:ilvl w:val="0"/>
          <w:numId w:val="345"/>
        </w:numPr>
        <w:rPr>
          <w:rFonts w:ascii="Times New Roman" w:eastAsia="Times New Roman" w:hAnsi="Times New Roman"/>
          <w:sz w:val="17"/>
          <w:szCs w:val="17"/>
        </w:rPr>
      </w:pPr>
      <w:r w:rsidRPr="00E70407">
        <w:rPr>
          <w:rFonts w:ascii="Times New Roman" w:eastAsia="Times New Roman" w:hAnsi="Times New Roman"/>
          <w:sz w:val="17"/>
          <w:szCs w:val="17"/>
        </w:rPr>
        <w:t>an Nominated Training Organisation (NTO)</w:t>
      </w:r>
    </w:p>
    <w:p w:rsidR="00E70407" w:rsidRPr="00E70407" w:rsidRDefault="00E70407" w:rsidP="00E70407">
      <w:pPr>
        <w:numPr>
          <w:ilvl w:val="0"/>
          <w:numId w:val="345"/>
        </w:numPr>
        <w:rPr>
          <w:rFonts w:ascii="Times New Roman" w:eastAsia="Times New Roman" w:hAnsi="Times New Roman"/>
          <w:sz w:val="17"/>
          <w:szCs w:val="17"/>
        </w:rPr>
      </w:pPr>
      <w:r w:rsidRPr="00E70407">
        <w:rPr>
          <w:rFonts w:ascii="Times New Roman" w:eastAsia="Times New Roman" w:hAnsi="Times New Roman"/>
          <w:sz w:val="17"/>
          <w:szCs w:val="17"/>
        </w:rPr>
        <w:t>a host employer with whom an apprentice or trainee is or was placed</w:t>
      </w:r>
    </w:p>
    <w:p w:rsidR="00E70407" w:rsidRPr="00E70407" w:rsidRDefault="00E70407" w:rsidP="00E70407">
      <w:pPr>
        <w:numPr>
          <w:ilvl w:val="0"/>
          <w:numId w:val="345"/>
        </w:numPr>
        <w:rPr>
          <w:rFonts w:ascii="Times New Roman" w:eastAsia="Times New Roman" w:hAnsi="Times New Roman"/>
          <w:sz w:val="17"/>
          <w:szCs w:val="17"/>
        </w:rPr>
      </w:pPr>
      <w:r w:rsidRPr="00E70407">
        <w:rPr>
          <w:rFonts w:ascii="Times New Roman" w:eastAsia="Times New Roman" w:hAnsi="Times New Roman"/>
          <w:sz w:val="17"/>
          <w:szCs w:val="17"/>
        </w:rPr>
        <w:t>a former registered employer</w:t>
      </w:r>
    </w:p>
    <w:p w:rsidR="00E70407" w:rsidRPr="00E70407" w:rsidRDefault="00E70407" w:rsidP="00E70407">
      <w:pPr>
        <w:numPr>
          <w:ilvl w:val="0"/>
          <w:numId w:val="345"/>
        </w:numPr>
        <w:rPr>
          <w:rFonts w:ascii="Times New Roman" w:eastAsia="Times New Roman" w:hAnsi="Times New Roman"/>
          <w:sz w:val="17"/>
          <w:szCs w:val="17"/>
        </w:rPr>
      </w:pPr>
      <w:r w:rsidRPr="00E70407">
        <w:rPr>
          <w:rFonts w:ascii="Times New Roman" w:eastAsia="Times New Roman" w:hAnsi="Times New Roman"/>
          <w:sz w:val="17"/>
          <w:szCs w:val="17"/>
        </w:rPr>
        <w:t>a supervisor of an apprentice or trainee under a Training Contract</w:t>
      </w:r>
    </w:p>
    <w:p w:rsidR="00E70407" w:rsidRPr="00E70407" w:rsidRDefault="00E70407" w:rsidP="00E70407">
      <w:pPr>
        <w:numPr>
          <w:ilvl w:val="0"/>
          <w:numId w:val="345"/>
        </w:numPr>
        <w:rPr>
          <w:rFonts w:ascii="Times New Roman" w:eastAsia="Times New Roman" w:hAnsi="Times New Roman"/>
          <w:sz w:val="17"/>
          <w:szCs w:val="17"/>
        </w:rPr>
      </w:pPr>
      <w:r w:rsidRPr="00E70407">
        <w:rPr>
          <w:rFonts w:ascii="Times New Roman" w:eastAsia="Times New Roman" w:hAnsi="Times New Roman"/>
          <w:sz w:val="17"/>
          <w:szCs w:val="17"/>
        </w:rPr>
        <w:t>the ANP for the apprentice or trainee</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Prohibited employer</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Is an </w:t>
      </w:r>
      <w:r w:rsidRPr="00E70407">
        <w:rPr>
          <w:rFonts w:ascii="Times New Roman" w:eastAsia="Times New Roman" w:hAnsi="Times New Roman"/>
          <w:spacing w:val="-2"/>
          <w:sz w:val="17"/>
          <w:szCs w:val="17"/>
        </w:rPr>
        <w:t>employer</w:t>
      </w:r>
      <w:r w:rsidRPr="00E70407">
        <w:rPr>
          <w:rFonts w:ascii="Times New Roman" w:eastAsia="Times New Roman" w:hAnsi="Times New Roman"/>
          <w:sz w:val="17"/>
          <w:szCs w:val="17"/>
        </w:rPr>
        <w:t xml:space="preserve"> with respect to whom a declaration is in force under Section 54B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Proposed employer</w:t>
      </w:r>
      <w:r w:rsidRPr="00E70407">
        <w:rPr>
          <w:rFonts w:ascii="Times New Roman" w:eastAsia="Times New Roman" w:hAnsi="Times New Roman"/>
          <w:sz w:val="17"/>
          <w:szCs w:val="17"/>
        </w:rPr>
        <w:t> </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In relation to the substitution of an employer under Sections 54H, 54N and 54O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the employer proposed to be substituted for the current or existing employer of the apprentice or trainee. </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Qualification</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pacing w:val="-2"/>
          <w:sz w:val="17"/>
          <w:szCs w:val="17"/>
        </w:rPr>
        <w:t>Qualification</w:t>
      </w:r>
      <w:r w:rsidRPr="00E70407">
        <w:rPr>
          <w:rFonts w:ascii="Times New Roman" w:eastAsia="Times New Roman" w:hAnsi="Times New Roman"/>
          <w:sz w:val="17"/>
          <w:szCs w:val="17"/>
        </w:rPr>
        <w:t xml:space="preserve"> means an Australian Qualifications Framework (AQF) qualification, achieved by completion of an accredited learning program, leading to formal certification that a graduate has achieved learning outcomes.</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Recognised higher education provider</w:t>
      </w:r>
      <w:r w:rsidRPr="00E70407">
        <w:rPr>
          <w:rFonts w:ascii="Times New Roman" w:eastAsia="Times New Roman" w:hAnsi="Times New Roman"/>
          <w:sz w:val="17"/>
          <w:szCs w:val="17"/>
        </w:rPr>
        <w:t xml:space="preserve"> </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Is a body established and recognised as a higher education provider by or under the law of the State, or of the Commonwealth, or another </w:t>
      </w:r>
      <w:r w:rsidRPr="00E70407">
        <w:rPr>
          <w:rFonts w:ascii="Times New Roman" w:eastAsia="Times New Roman" w:hAnsi="Times New Roman"/>
          <w:spacing w:val="-2"/>
          <w:sz w:val="17"/>
          <w:szCs w:val="17"/>
        </w:rPr>
        <w:t>state</w:t>
      </w:r>
      <w:r w:rsidRPr="00E70407">
        <w:rPr>
          <w:rFonts w:ascii="Times New Roman" w:eastAsia="Times New Roman" w:hAnsi="Times New Roman"/>
          <w:sz w:val="17"/>
          <w:szCs w:val="17"/>
        </w:rPr>
        <w:t xml:space="preserve"> or territory. </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Registered employer</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An </w:t>
      </w:r>
      <w:r w:rsidRPr="00E70407">
        <w:rPr>
          <w:rFonts w:ascii="Times New Roman" w:eastAsia="Times New Roman" w:hAnsi="Times New Roman"/>
          <w:spacing w:val="-2"/>
          <w:sz w:val="17"/>
          <w:szCs w:val="17"/>
        </w:rPr>
        <w:t>employer</w:t>
      </w:r>
      <w:r w:rsidRPr="00E70407">
        <w:rPr>
          <w:rFonts w:ascii="Times New Roman" w:eastAsia="Times New Roman" w:hAnsi="Times New Roman"/>
          <w:sz w:val="17"/>
          <w:szCs w:val="17"/>
        </w:rPr>
        <w:t xml:space="preserve"> registered by the Commission under Section 54F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 xml:space="preserve">Registered Training Organisation (RTO) </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The </w:t>
      </w:r>
      <w:r w:rsidRPr="00E70407">
        <w:rPr>
          <w:rFonts w:ascii="Times New Roman" w:eastAsia="Times New Roman" w:hAnsi="Times New Roman"/>
          <w:spacing w:val="-2"/>
          <w:sz w:val="17"/>
          <w:szCs w:val="17"/>
        </w:rPr>
        <w:t>registered</w:t>
      </w:r>
      <w:r w:rsidRPr="00E70407">
        <w:rPr>
          <w:rFonts w:ascii="Times New Roman" w:eastAsia="Times New Roman" w:hAnsi="Times New Roman"/>
          <w:sz w:val="17"/>
          <w:szCs w:val="17"/>
        </w:rPr>
        <w:t xml:space="preserve"> training organisation within the meaning of the </w:t>
      </w:r>
      <w:r w:rsidRPr="00E70407">
        <w:rPr>
          <w:rFonts w:ascii="Times New Roman" w:eastAsia="Times New Roman" w:hAnsi="Times New Roman"/>
          <w:i/>
          <w:iCs/>
          <w:sz w:val="17"/>
          <w:szCs w:val="17"/>
        </w:rPr>
        <w:t>National Vocational Education and Training Regulator Act 2011</w:t>
      </w:r>
      <w:r w:rsidRPr="00E70407">
        <w:rPr>
          <w:rFonts w:ascii="Times New Roman" w:eastAsia="Times New Roman" w:hAnsi="Times New Roman"/>
          <w:sz w:val="17"/>
          <w:szCs w:val="17"/>
        </w:rPr>
        <w:t> of the Commonwealth. </w:t>
      </w:r>
    </w:p>
    <w:p w:rsidR="00E70407" w:rsidRPr="00E70407" w:rsidRDefault="00E70407" w:rsidP="00E70407">
      <w:pPr>
        <w:rPr>
          <w:rFonts w:ascii="Times New Roman" w:eastAsia="Times New Roman" w:hAnsi="Times New Roman"/>
          <w:i/>
          <w:sz w:val="17"/>
          <w:szCs w:val="17"/>
        </w:rPr>
      </w:pPr>
      <w:r w:rsidRPr="00E70407">
        <w:rPr>
          <w:rFonts w:ascii="Times New Roman" w:eastAsia="Times New Roman" w:hAnsi="Times New Roman"/>
          <w:b/>
          <w:bCs/>
          <w:i/>
          <w:sz w:val="17"/>
          <w:szCs w:val="17"/>
        </w:rPr>
        <w:t>Regulations</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pacing w:val="-2"/>
          <w:sz w:val="17"/>
          <w:szCs w:val="17"/>
        </w:rPr>
        <w:t>The</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South Australian Skills Regulations 2021</w:t>
      </w:r>
      <w:r w:rsidRPr="00E70407">
        <w:rPr>
          <w:rFonts w:ascii="Times New Roman" w:eastAsia="Times New Roman" w:hAnsi="Times New Roman"/>
          <w:sz w:val="17"/>
          <w:szCs w:val="17"/>
        </w:rPr>
        <w:t>.</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Remote supervision</w:t>
      </w:r>
      <w:r w:rsidRPr="00E70407">
        <w:rPr>
          <w:rFonts w:ascii="Times New Roman" w:eastAsia="Times New Roman" w:hAnsi="Times New Roman"/>
          <w:sz w:val="17"/>
          <w:szCs w:val="17"/>
        </w:rPr>
        <w:t xml:space="preserve"> </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The supervisor is not on site at which the apprentice or trainee is working but must be readily available to communicate directly or by </w:t>
      </w:r>
      <w:r w:rsidRPr="00E70407">
        <w:rPr>
          <w:rFonts w:ascii="Times New Roman" w:eastAsia="Times New Roman" w:hAnsi="Times New Roman"/>
          <w:spacing w:val="-2"/>
          <w:sz w:val="17"/>
          <w:szCs w:val="17"/>
        </w:rPr>
        <w:t>electronic</w:t>
      </w:r>
      <w:r w:rsidRPr="00E70407">
        <w:rPr>
          <w:rFonts w:ascii="Times New Roman" w:eastAsia="Times New Roman" w:hAnsi="Times New Roman"/>
          <w:sz w:val="17"/>
          <w:szCs w:val="17"/>
        </w:rPr>
        <w:t xml:space="preserve"> means (i.e. telephone, radio, webcam) with the apprentice or trainee when required. The supervisor must be within such a distance as to be able to attend to the apprentice or trainee within a reasonable time if an issue arises.</w:t>
      </w:r>
    </w:p>
    <w:p w:rsidR="00E70407" w:rsidRPr="00E70407" w:rsidRDefault="00E70407" w:rsidP="00E70407">
      <w:pPr>
        <w:rPr>
          <w:rFonts w:ascii="Times New Roman" w:eastAsia="Times New Roman" w:hAnsi="Times New Roman"/>
          <w:b/>
          <w:bCs/>
          <w:i/>
          <w:iCs/>
          <w:sz w:val="17"/>
          <w:szCs w:val="17"/>
        </w:rPr>
      </w:pPr>
      <w:r w:rsidRPr="00E70407">
        <w:rPr>
          <w:rFonts w:ascii="Times New Roman" w:eastAsia="Times New Roman" w:hAnsi="Times New Roman"/>
          <w:b/>
          <w:bCs/>
          <w:i/>
          <w:iCs/>
          <w:sz w:val="17"/>
          <w:szCs w:val="17"/>
        </w:rPr>
        <w:t>SAS Act</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pacing w:val="-2"/>
          <w:sz w:val="17"/>
          <w:szCs w:val="17"/>
        </w:rPr>
        <w:t>The</w:t>
      </w:r>
      <w:r w:rsidRPr="00E70407">
        <w:rPr>
          <w:rFonts w:ascii="Times New Roman" w:eastAsia="Times New Roman" w:hAnsi="Times New Roman"/>
          <w:sz w:val="17"/>
          <w:szCs w:val="17"/>
        </w:rPr>
        <w:t xml:space="preserve"> </w:t>
      </w:r>
      <w:r w:rsidRPr="00E70407">
        <w:rPr>
          <w:rFonts w:ascii="Times New Roman" w:eastAsia="Times New Roman" w:hAnsi="Times New Roman"/>
          <w:i/>
          <w:sz w:val="17"/>
          <w:szCs w:val="17"/>
        </w:rPr>
        <w:t>South Australian Skills Act 2008</w:t>
      </w:r>
      <w:r w:rsidRPr="00E70407">
        <w:rPr>
          <w:rFonts w:ascii="Times New Roman" w:eastAsia="Times New Roman" w:hAnsi="Times New Roman"/>
          <w:sz w:val="17"/>
          <w:szCs w:val="17"/>
        </w:rPr>
        <w:t>.</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Scope of the registration</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The declared trades or vocations in relation to which the employer may enter into a Training Contract, as determined by the conditions </w:t>
      </w:r>
      <w:r w:rsidRPr="00E70407">
        <w:rPr>
          <w:rFonts w:ascii="Times New Roman" w:eastAsia="Times New Roman" w:hAnsi="Times New Roman"/>
          <w:spacing w:val="-2"/>
          <w:sz w:val="17"/>
          <w:szCs w:val="17"/>
        </w:rPr>
        <w:t>imposed</w:t>
      </w:r>
      <w:r w:rsidRPr="00E70407">
        <w:rPr>
          <w:rFonts w:ascii="Times New Roman" w:eastAsia="Times New Roman" w:hAnsi="Times New Roman"/>
          <w:sz w:val="17"/>
          <w:szCs w:val="17"/>
        </w:rPr>
        <w:t xml:space="preserve"> on the registration. </w:t>
      </w:r>
    </w:p>
    <w:p w:rsidR="00E70407" w:rsidRPr="00E70407" w:rsidRDefault="00E70407" w:rsidP="00E70407">
      <w:pPr>
        <w:rPr>
          <w:rFonts w:ascii="Times New Roman" w:eastAsia="Times New Roman" w:hAnsi="Times New Roman"/>
          <w:sz w:val="17"/>
          <w:szCs w:val="17"/>
          <w:lang w:val="en-US"/>
        </w:rPr>
      </w:pPr>
      <w:r w:rsidRPr="00E70407">
        <w:rPr>
          <w:rFonts w:ascii="Times New Roman" w:eastAsia="Times New Roman" w:hAnsi="Times New Roman"/>
          <w:b/>
          <w:bCs/>
          <w:sz w:val="17"/>
          <w:szCs w:val="17"/>
          <w:lang w:val="en-US"/>
        </w:rPr>
        <w:t>Serious and wilful misconduct</w:t>
      </w:r>
    </w:p>
    <w:p w:rsidR="00E70407" w:rsidRPr="00E70407" w:rsidRDefault="00E70407" w:rsidP="00E70407">
      <w:pPr>
        <w:ind w:left="160"/>
        <w:rPr>
          <w:rFonts w:ascii="Times New Roman" w:eastAsia="Times New Roman" w:hAnsi="Times New Roman"/>
          <w:sz w:val="17"/>
          <w:szCs w:val="17"/>
          <w:lang w:val="en-US"/>
        </w:rPr>
      </w:pPr>
      <w:r w:rsidRPr="00E70407">
        <w:rPr>
          <w:rFonts w:ascii="Times New Roman" w:eastAsia="Times New Roman" w:hAnsi="Times New Roman"/>
          <w:sz w:val="17"/>
          <w:szCs w:val="17"/>
          <w:lang w:val="en-US"/>
        </w:rPr>
        <w:t xml:space="preserve">Where an employer reasonably believes an employee is deliberately behaving in a way that is inconsistent with continuing their </w:t>
      </w:r>
      <w:r w:rsidRPr="00E70407">
        <w:rPr>
          <w:rFonts w:ascii="Times New Roman" w:eastAsia="Times New Roman" w:hAnsi="Times New Roman"/>
          <w:spacing w:val="-2"/>
          <w:sz w:val="17"/>
          <w:szCs w:val="17"/>
        </w:rPr>
        <w:t>employment</w:t>
      </w:r>
      <w:r w:rsidRPr="00E70407">
        <w:rPr>
          <w:rFonts w:ascii="Times New Roman" w:eastAsia="Times New Roman" w:hAnsi="Times New Roman"/>
          <w:sz w:val="17"/>
          <w:szCs w:val="17"/>
          <w:lang w:val="en-US"/>
        </w:rPr>
        <w:t>, including causing serious and imminent risk:</w:t>
      </w:r>
    </w:p>
    <w:p w:rsidR="00E70407" w:rsidRPr="00E70407" w:rsidRDefault="00E70407" w:rsidP="00E70407">
      <w:pPr>
        <w:numPr>
          <w:ilvl w:val="0"/>
          <w:numId w:val="304"/>
        </w:numPr>
        <w:spacing w:after="0"/>
        <w:rPr>
          <w:rFonts w:ascii="Times New Roman" w:eastAsia="Times New Roman" w:hAnsi="Times New Roman"/>
          <w:sz w:val="17"/>
          <w:szCs w:val="17"/>
          <w:lang w:val="en-US"/>
        </w:rPr>
      </w:pPr>
      <w:r w:rsidRPr="00E70407">
        <w:rPr>
          <w:rFonts w:ascii="Times New Roman" w:eastAsia="Times New Roman" w:hAnsi="Times New Roman"/>
          <w:sz w:val="17"/>
          <w:szCs w:val="17"/>
          <w:lang w:val="en-US"/>
        </w:rPr>
        <w:t>to the health and safety of another person</w:t>
      </w:r>
    </w:p>
    <w:p w:rsidR="00E70407" w:rsidRPr="00E70407" w:rsidRDefault="00E70407" w:rsidP="00E70407">
      <w:pPr>
        <w:numPr>
          <w:ilvl w:val="0"/>
          <w:numId w:val="304"/>
        </w:numPr>
        <w:spacing w:after="0"/>
        <w:rPr>
          <w:rFonts w:ascii="Times New Roman" w:eastAsia="Times New Roman" w:hAnsi="Times New Roman"/>
          <w:sz w:val="17"/>
          <w:szCs w:val="17"/>
          <w:lang w:val="en-US"/>
        </w:rPr>
      </w:pPr>
      <w:r w:rsidRPr="00E70407">
        <w:rPr>
          <w:rFonts w:ascii="Times New Roman" w:eastAsia="Times New Roman" w:hAnsi="Times New Roman"/>
          <w:sz w:val="17"/>
          <w:szCs w:val="17"/>
          <w:lang w:val="en-US"/>
        </w:rPr>
        <w:t xml:space="preserve">to the reputation or profits of their employer’s business (theft, fraud or assault) </w:t>
      </w:r>
    </w:p>
    <w:p w:rsidR="00E70407" w:rsidRPr="00E70407" w:rsidRDefault="00E70407" w:rsidP="00E70407">
      <w:pPr>
        <w:numPr>
          <w:ilvl w:val="0"/>
          <w:numId w:val="304"/>
        </w:numPr>
        <w:rPr>
          <w:rFonts w:ascii="Times New Roman" w:eastAsia="Times New Roman" w:hAnsi="Times New Roman"/>
          <w:sz w:val="17"/>
          <w:szCs w:val="17"/>
          <w:lang w:val="en-US"/>
        </w:rPr>
      </w:pPr>
      <w:r w:rsidRPr="00E70407">
        <w:rPr>
          <w:rFonts w:ascii="Times New Roman" w:eastAsia="Times New Roman" w:hAnsi="Times New Roman"/>
          <w:sz w:val="17"/>
          <w:szCs w:val="17"/>
          <w:lang w:val="en-US"/>
        </w:rPr>
        <w:t>by refusing to carry out a lawful and reasonable instruction that is part of their job.</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South Australian Government Gazette (Gazette)</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The </w:t>
      </w:r>
      <w:r w:rsidRPr="00E70407">
        <w:rPr>
          <w:rFonts w:ascii="Times New Roman" w:eastAsia="Times New Roman" w:hAnsi="Times New Roman"/>
          <w:spacing w:val="-2"/>
          <w:sz w:val="17"/>
          <w:szCs w:val="17"/>
        </w:rPr>
        <w:t>Gazette</w:t>
      </w:r>
      <w:r w:rsidRPr="00E70407">
        <w:rPr>
          <w:rFonts w:ascii="Times New Roman" w:eastAsia="Times New Roman" w:hAnsi="Times New Roman"/>
          <w:sz w:val="17"/>
          <w:szCs w:val="17"/>
        </w:rPr>
        <w:t xml:space="preserve"> is the South Australia Government’s official publication of weekly record of proceedings by the State and Local Government authorities.</w:t>
      </w:r>
    </w:p>
    <w:p w:rsidR="00E70407" w:rsidRPr="00E70407" w:rsidRDefault="00E70407" w:rsidP="00E70407">
      <w:pPr>
        <w:rPr>
          <w:rFonts w:ascii="Times New Roman" w:eastAsia="Times New Roman" w:hAnsi="Times New Roman"/>
          <w:sz w:val="17"/>
          <w:szCs w:val="17"/>
          <w:lang w:val="en-GB"/>
        </w:rPr>
      </w:pPr>
      <w:r w:rsidRPr="00E70407">
        <w:rPr>
          <w:rFonts w:ascii="Times New Roman" w:eastAsia="Times New Roman" w:hAnsi="Times New Roman"/>
          <w:b/>
          <w:bCs/>
          <w:sz w:val="17"/>
          <w:szCs w:val="17"/>
          <w:lang w:val="en-GB"/>
        </w:rPr>
        <w:t>South Australian Civil and Administrative Tribunal (SACAT)</w:t>
      </w:r>
      <w:r w:rsidRPr="00E70407">
        <w:rPr>
          <w:rFonts w:ascii="Times New Roman" w:eastAsia="Times New Roman" w:hAnsi="Times New Roman"/>
          <w:sz w:val="17"/>
          <w:szCs w:val="17"/>
          <w:lang w:val="en-GB"/>
        </w:rPr>
        <w:t xml:space="preserve"> </w:t>
      </w:r>
    </w:p>
    <w:p w:rsidR="00E70407" w:rsidRPr="00E70407" w:rsidRDefault="00E70407" w:rsidP="00E70407">
      <w:pPr>
        <w:ind w:left="160"/>
        <w:rPr>
          <w:rFonts w:ascii="Times New Roman" w:eastAsia="Times New Roman" w:hAnsi="Times New Roman"/>
          <w:b/>
          <w:bCs/>
          <w:sz w:val="17"/>
          <w:szCs w:val="17"/>
          <w:lang w:val="en-US"/>
        </w:rPr>
      </w:pPr>
      <w:r w:rsidRPr="00E70407">
        <w:rPr>
          <w:rFonts w:ascii="Times New Roman" w:eastAsia="Times New Roman" w:hAnsi="Times New Roman"/>
          <w:sz w:val="17"/>
          <w:szCs w:val="17"/>
          <w:lang w:val="en-GB"/>
        </w:rPr>
        <w:t xml:space="preserve">The SACAT is a state tribunal that helps South Australians resolve issues within specific areas of law, either through agreement at a </w:t>
      </w:r>
      <w:r w:rsidRPr="00E70407">
        <w:rPr>
          <w:rFonts w:ascii="Times New Roman" w:eastAsia="Times New Roman" w:hAnsi="Times New Roman"/>
          <w:spacing w:val="-2"/>
          <w:sz w:val="17"/>
          <w:szCs w:val="17"/>
        </w:rPr>
        <w:t>conference</w:t>
      </w:r>
      <w:r w:rsidRPr="00E70407">
        <w:rPr>
          <w:rFonts w:ascii="Times New Roman" w:eastAsia="Times New Roman" w:hAnsi="Times New Roman"/>
          <w:sz w:val="17"/>
          <w:szCs w:val="17"/>
          <w:lang w:val="en-GB"/>
        </w:rPr>
        <w:t>, conciliation or mediation, or through a decision of the Tribunal at hearing. SACAT conducts reviews of Government decisions.</w:t>
      </w:r>
    </w:p>
    <w:p w:rsidR="000B7B5F" w:rsidRDefault="000B7B5F">
      <w:pPr>
        <w:spacing w:after="0" w:line="240" w:lineRule="auto"/>
        <w:jc w:val="left"/>
        <w:rPr>
          <w:rFonts w:ascii="Times New Roman" w:eastAsia="Times New Roman" w:hAnsi="Times New Roman"/>
          <w:b/>
          <w:bCs/>
          <w:sz w:val="17"/>
          <w:szCs w:val="17"/>
          <w:lang w:val="en-US"/>
        </w:rPr>
      </w:pPr>
      <w:r>
        <w:rPr>
          <w:rFonts w:ascii="Times New Roman" w:eastAsia="Times New Roman" w:hAnsi="Times New Roman"/>
          <w:b/>
          <w:bCs/>
          <w:sz w:val="17"/>
          <w:szCs w:val="17"/>
          <w:lang w:val="en-US"/>
        </w:rPr>
        <w:br w:type="page"/>
      </w:r>
    </w:p>
    <w:p w:rsidR="00E70407" w:rsidRPr="00E70407" w:rsidRDefault="00E70407" w:rsidP="00E70407">
      <w:pPr>
        <w:rPr>
          <w:rFonts w:ascii="Times New Roman" w:eastAsia="Times New Roman" w:hAnsi="Times New Roman"/>
          <w:b/>
          <w:bCs/>
          <w:sz w:val="17"/>
          <w:szCs w:val="17"/>
          <w:lang w:val="en-US"/>
        </w:rPr>
      </w:pPr>
      <w:r w:rsidRPr="00E70407">
        <w:rPr>
          <w:rFonts w:ascii="Times New Roman" w:eastAsia="Times New Roman" w:hAnsi="Times New Roman"/>
          <w:b/>
          <w:bCs/>
          <w:sz w:val="17"/>
          <w:szCs w:val="17"/>
          <w:lang w:val="en-US"/>
        </w:rPr>
        <w:lastRenderedPageBreak/>
        <w:t>South Australian Employment Tribunal</w:t>
      </w:r>
      <w:r w:rsidRPr="00E70407">
        <w:rPr>
          <w:rFonts w:ascii="Times New Roman" w:eastAsia="Times New Roman" w:hAnsi="Times New Roman"/>
          <w:sz w:val="17"/>
          <w:szCs w:val="17"/>
          <w:lang w:val="en-US"/>
        </w:rPr>
        <w:t xml:space="preserve"> (</w:t>
      </w:r>
      <w:r w:rsidRPr="00E70407">
        <w:rPr>
          <w:rFonts w:ascii="Times New Roman" w:eastAsia="Times New Roman" w:hAnsi="Times New Roman"/>
          <w:b/>
          <w:bCs/>
          <w:sz w:val="17"/>
          <w:szCs w:val="17"/>
          <w:lang w:val="en-US"/>
        </w:rPr>
        <w:t xml:space="preserve">SAET) </w:t>
      </w:r>
    </w:p>
    <w:p w:rsidR="00E70407" w:rsidRPr="00E70407" w:rsidRDefault="00E70407" w:rsidP="00E70407">
      <w:pPr>
        <w:ind w:left="160"/>
        <w:rPr>
          <w:rFonts w:ascii="Times New Roman" w:eastAsia="Times New Roman" w:hAnsi="Times New Roman"/>
          <w:spacing w:val="-2"/>
          <w:sz w:val="17"/>
          <w:szCs w:val="17"/>
        </w:rPr>
      </w:pPr>
      <w:r w:rsidRPr="00E70407">
        <w:rPr>
          <w:rFonts w:ascii="Times New Roman" w:eastAsia="Times New Roman" w:hAnsi="Times New Roman"/>
          <w:spacing w:val="-2"/>
          <w:sz w:val="17"/>
          <w:szCs w:val="17"/>
        </w:rPr>
        <w:t>The SAET is the South Australian forum for resolving workplace-related disputes and issues. SAET is a statutory independent tribunal that:</w:t>
      </w:r>
    </w:p>
    <w:p w:rsidR="00E70407" w:rsidRPr="00E70407" w:rsidRDefault="00E70407" w:rsidP="00E70407">
      <w:pPr>
        <w:numPr>
          <w:ilvl w:val="0"/>
          <w:numId w:val="342"/>
        </w:numPr>
        <w:spacing w:after="0"/>
        <w:rPr>
          <w:rFonts w:ascii="Times New Roman" w:eastAsia="Times New Roman" w:hAnsi="Times New Roman"/>
          <w:sz w:val="17"/>
          <w:szCs w:val="17"/>
        </w:rPr>
      </w:pPr>
      <w:r w:rsidRPr="00E70407">
        <w:rPr>
          <w:rFonts w:ascii="Times New Roman" w:eastAsia="Times New Roman" w:hAnsi="Times New Roman"/>
          <w:sz w:val="17"/>
          <w:szCs w:val="17"/>
        </w:rPr>
        <w:t>hears and resolves return to work disputes</w:t>
      </w:r>
    </w:p>
    <w:p w:rsidR="00E70407" w:rsidRPr="00E70407" w:rsidRDefault="00E70407" w:rsidP="00E70407">
      <w:pPr>
        <w:numPr>
          <w:ilvl w:val="0"/>
          <w:numId w:val="342"/>
        </w:numPr>
        <w:spacing w:after="0"/>
        <w:rPr>
          <w:rFonts w:ascii="Times New Roman" w:eastAsia="Times New Roman" w:hAnsi="Times New Roman"/>
          <w:sz w:val="17"/>
          <w:szCs w:val="17"/>
        </w:rPr>
      </w:pPr>
      <w:r w:rsidRPr="00E70407">
        <w:rPr>
          <w:rFonts w:ascii="Times New Roman" w:eastAsia="Times New Roman" w:hAnsi="Times New Roman"/>
          <w:sz w:val="17"/>
          <w:szCs w:val="17"/>
        </w:rPr>
        <w:t>hears and resolves employment and industrial disputes</w:t>
      </w:r>
    </w:p>
    <w:p w:rsidR="00E70407" w:rsidRPr="00E70407" w:rsidRDefault="00E70407" w:rsidP="00E70407">
      <w:pPr>
        <w:numPr>
          <w:ilvl w:val="0"/>
          <w:numId w:val="342"/>
        </w:numPr>
        <w:spacing w:after="0"/>
        <w:rPr>
          <w:rFonts w:ascii="Times New Roman" w:eastAsia="Times New Roman" w:hAnsi="Times New Roman"/>
          <w:sz w:val="17"/>
          <w:szCs w:val="17"/>
        </w:rPr>
      </w:pPr>
      <w:r w:rsidRPr="00E70407">
        <w:rPr>
          <w:rFonts w:ascii="Times New Roman" w:eastAsia="Times New Roman" w:hAnsi="Times New Roman"/>
          <w:sz w:val="17"/>
          <w:szCs w:val="17"/>
        </w:rPr>
        <w:t>regulates South Australian industrial awards, agreements and registers</w:t>
      </w:r>
    </w:p>
    <w:p w:rsidR="00E70407" w:rsidRPr="00E70407" w:rsidRDefault="00E70407" w:rsidP="00E70407">
      <w:pPr>
        <w:numPr>
          <w:ilvl w:val="0"/>
          <w:numId w:val="342"/>
        </w:numPr>
        <w:spacing w:after="0"/>
        <w:rPr>
          <w:rFonts w:ascii="Times New Roman" w:eastAsia="Times New Roman" w:hAnsi="Times New Roman"/>
          <w:sz w:val="17"/>
          <w:szCs w:val="17"/>
        </w:rPr>
      </w:pPr>
      <w:r w:rsidRPr="00E70407">
        <w:rPr>
          <w:rFonts w:ascii="Times New Roman" w:eastAsia="Times New Roman" w:hAnsi="Times New Roman"/>
          <w:sz w:val="17"/>
          <w:szCs w:val="17"/>
        </w:rPr>
        <w:t>hears and determines work, health and safety related prosecutions</w:t>
      </w:r>
    </w:p>
    <w:p w:rsidR="00E70407" w:rsidRPr="00E70407" w:rsidRDefault="00E70407" w:rsidP="00E70407">
      <w:pPr>
        <w:numPr>
          <w:ilvl w:val="0"/>
          <w:numId w:val="342"/>
        </w:numPr>
        <w:rPr>
          <w:rFonts w:ascii="Times New Roman" w:eastAsia="Times New Roman" w:hAnsi="Times New Roman"/>
          <w:sz w:val="17"/>
          <w:szCs w:val="17"/>
        </w:rPr>
      </w:pPr>
      <w:r w:rsidRPr="00E70407">
        <w:rPr>
          <w:rFonts w:ascii="Times New Roman" w:eastAsia="Times New Roman" w:hAnsi="Times New Roman"/>
          <w:sz w:val="17"/>
          <w:szCs w:val="17"/>
        </w:rPr>
        <w:t>conducts hearings in relation to dust disease matters.</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South Australian Skills Standards (Standards)</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The </w:t>
      </w:r>
      <w:r w:rsidRPr="00E70407">
        <w:rPr>
          <w:rFonts w:ascii="Times New Roman" w:eastAsia="Times New Roman" w:hAnsi="Times New Roman"/>
          <w:spacing w:val="-2"/>
          <w:sz w:val="17"/>
          <w:szCs w:val="17"/>
        </w:rPr>
        <w:t>Standards</w:t>
      </w:r>
      <w:r w:rsidRPr="00E70407">
        <w:rPr>
          <w:rFonts w:ascii="Times New Roman" w:eastAsia="Times New Roman" w:hAnsi="Times New Roman"/>
          <w:sz w:val="17"/>
          <w:szCs w:val="17"/>
        </w:rPr>
        <w:t xml:space="preserve"> as prepared under Section 26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as in force from time to time.</w:t>
      </w:r>
    </w:p>
    <w:p w:rsidR="00E70407" w:rsidRPr="00E70407" w:rsidRDefault="00E70407" w:rsidP="00E70407">
      <w:pPr>
        <w:rPr>
          <w:rFonts w:ascii="Times New Roman" w:eastAsia="Times New Roman" w:hAnsi="Times New Roman"/>
          <w:b/>
          <w:bCs/>
          <w:sz w:val="17"/>
          <w:szCs w:val="17"/>
          <w:lang w:val="en-US"/>
        </w:rPr>
      </w:pPr>
      <w:r w:rsidRPr="00E70407">
        <w:rPr>
          <w:rFonts w:ascii="Times New Roman" w:eastAsia="Times New Roman" w:hAnsi="Times New Roman"/>
          <w:b/>
          <w:bCs/>
          <w:sz w:val="17"/>
          <w:szCs w:val="17"/>
          <w:lang w:val="en-US"/>
        </w:rPr>
        <w:t>Student</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lang w:val="en-US"/>
        </w:rPr>
        <w:t xml:space="preserve">A </w:t>
      </w:r>
      <w:r w:rsidRPr="00E70407">
        <w:rPr>
          <w:rFonts w:ascii="Times New Roman" w:eastAsia="Times New Roman" w:hAnsi="Times New Roman"/>
          <w:spacing w:val="-2"/>
          <w:sz w:val="17"/>
          <w:szCs w:val="17"/>
        </w:rPr>
        <w:t>person</w:t>
      </w:r>
      <w:r w:rsidRPr="00E70407">
        <w:rPr>
          <w:rFonts w:ascii="Times New Roman" w:eastAsia="Times New Roman" w:hAnsi="Times New Roman"/>
          <w:sz w:val="17"/>
          <w:szCs w:val="17"/>
          <w:lang w:val="en-US"/>
        </w:rPr>
        <w:t xml:space="preserve"> undertaking studies (either full-time or part-time) who is not classified as an international student or an apprentice or trainee.</w:t>
      </w:r>
      <w:r w:rsidRPr="00E70407">
        <w:rPr>
          <w:rFonts w:ascii="Times New Roman" w:eastAsia="Times New Roman" w:hAnsi="Times New Roman"/>
          <w:sz w:val="17"/>
          <w:szCs w:val="17"/>
        </w:rPr>
        <w:t> </w:t>
      </w:r>
    </w:p>
    <w:p w:rsidR="00E70407" w:rsidRPr="00E70407" w:rsidRDefault="00E70407" w:rsidP="00E70407">
      <w:pPr>
        <w:rPr>
          <w:rFonts w:ascii="Times New Roman" w:eastAsia="Times New Roman" w:hAnsi="Times New Roman"/>
          <w:b/>
          <w:bCs/>
          <w:sz w:val="17"/>
          <w:szCs w:val="17"/>
        </w:rPr>
      </w:pPr>
      <w:bookmarkStart w:id="165" w:name="_Toc72928913"/>
      <w:r w:rsidRPr="00E70407">
        <w:rPr>
          <w:rFonts w:ascii="Times New Roman" w:eastAsia="Times New Roman" w:hAnsi="Times New Roman"/>
          <w:b/>
          <w:bCs/>
          <w:sz w:val="17"/>
          <w:szCs w:val="17"/>
        </w:rPr>
        <w:t>Supervision</w:t>
      </w:r>
      <w:bookmarkEnd w:id="165"/>
    </w:p>
    <w:p w:rsidR="00E70407" w:rsidRPr="00E70407" w:rsidRDefault="00E70407" w:rsidP="00E70407">
      <w:pPr>
        <w:ind w:left="160"/>
        <w:rPr>
          <w:rFonts w:ascii="Times New Roman" w:eastAsia="Times New Roman" w:hAnsi="Times New Roman"/>
          <w:sz w:val="17"/>
          <w:szCs w:val="17"/>
        </w:rPr>
      </w:pPr>
      <w:bookmarkStart w:id="166" w:name="_Toc72928914"/>
      <w:r w:rsidRPr="00E70407">
        <w:rPr>
          <w:rFonts w:ascii="Times New Roman" w:eastAsia="Times New Roman" w:hAnsi="Times New Roman"/>
          <w:sz w:val="17"/>
          <w:szCs w:val="17"/>
        </w:rPr>
        <w:t>Supervision is the oversight and coordination of work, safety, and on and off-job training provided to an apprentice or trainee.  Employers must ensure every apprentice or trainee is supervised and receives on-job training by a skilled or qualified person in accordance with these Standards.</w:t>
      </w:r>
      <w:bookmarkEnd w:id="166"/>
    </w:p>
    <w:p w:rsidR="00E70407" w:rsidRPr="00E70407" w:rsidRDefault="00E70407" w:rsidP="00E70407">
      <w:pPr>
        <w:rPr>
          <w:rFonts w:ascii="Times New Roman" w:eastAsia="Times New Roman" w:hAnsi="Times New Roman"/>
          <w:b/>
          <w:bCs/>
          <w:sz w:val="17"/>
          <w:szCs w:val="17"/>
        </w:rPr>
      </w:pPr>
      <w:bookmarkStart w:id="167" w:name="_Toc71788130"/>
      <w:bookmarkStart w:id="168" w:name="_Toc71801886"/>
      <w:bookmarkStart w:id="169" w:name="_Toc71813732"/>
      <w:bookmarkStart w:id="170" w:name="_Toc72839204"/>
      <w:bookmarkStart w:id="171" w:name="_Toc72928915"/>
      <w:r w:rsidRPr="00E70407">
        <w:rPr>
          <w:rFonts w:ascii="Times New Roman" w:eastAsia="Times New Roman" w:hAnsi="Times New Roman"/>
          <w:b/>
          <w:bCs/>
          <w:sz w:val="17"/>
          <w:szCs w:val="17"/>
        </w:rPr>
        <w:t>Supervisor</w:t>
      </w:r>
      <w:bookmarkEnd w:id="167"/>
      <w:bookmarkEnd w:id="168"/>
      <w:bookmarkEnd w:id="169"/>
      <w:bookmarkEnd w:id="170"/>
      <w:bookmarkEnd w:id="171"/>
    </w:p>
    <w:p w:rsidR="00E70407" w:rsidRPr="00E70407" w:rsidRDefault="00E70407" w:rsidP="00E70407">
      <w:pPr>
        <w:ind w:left="160"/>
        <w:rPr>
          <w:rFonts w:ascii="Times New Roman" w:eastAsia="Times New Roman" w:hAnsi="Times New Roman"/>
          <w:sz w:val="17"/>
          <w:szCs w:val="17"/>
          <w:lang w:val="en-US"/>
        </w:rPr>
      </w:pPr>
      <w:r w:rsidRPr="00E70407">
        <w:rPr>
          <w:rFonts w:ascii="Times New Roman" w:eastAsia="Times New Roman" w:hAnsi="Times New Roman"/>
          <w:spacing w:val="-2"/>
          <w:sz w:val="17"/>
          <w:szCs w:val="17"/>
        </w:rPr>
        <w:t>Depending</w:t>
      </w:r>
      <w:r w:rsidRPr="00E70407">
        <w:rPr>
          <w:rFonts w:ascii="Times New Roman" w:eastAsia="Times New Roman" w:hAnsi="Times New Roman"/>
          <w:sz w:val="17"/>
          <w:szCs w:val="17"/>
          <w:lang w:val="en-US"/>
        </w:rPr>
        <w:t xml:space="preserve"> on the size and structure of the business or organisation, the supervisor may be:</w:t>
      </w:r>
    </w:p>
    <w:p w:rsidR="00E70407" w:rsidRPr="00E70407" w:rsidRDefault="00E70407" w:rsidP="00E70407">
      <w:pPr>
        <w:numPr>
          <w:ilvl w:val="0"/>
          <w:numId w:val="342"/>
        </w:numPr>
        <w:spacing w:after="0"/>
        <w:rPr>
          <w:rFonts w:ascii="Times New Roman" w:eastAsia="Times New Roman" w:hAnsi="Times New Roman"/>
          <w:sz w:val="17"/>
          <w:szCs w:val="17"/>
        </w:rPr>
      </w:pPr>
      <w:r w:rsidRPr="00E70407">
        <w:rPr>
          <w:rFonts w:ascii="Times New Roman" w:eastAsia="Times New Roman" w:hAnsi="Times New Roman"/>
          <w:sz w:val="17"/>
          <w:szCs w:val="17"/>
          <w:lang w:val="en-US"/>
        </w:rPr>
        <w:t xml:space="preserve">the </w:t>
      </w:r>
      <w:r w:rsidRPr="00E70407">
        <w:rPr>
          <w:rFonts w:ascii="Times New Roman" w:eastAsia="Times New Roman" w:hAnsi="Times New Roman"/>
          <w:sz w:val="17"/>
          <w:szCs w:val="17"/>
        </w:rPr>
        <w:t>employer</w:t>
      </w:r>
    </w:p>
    <w:p w:rsidR="00E70407" w:rsidRPr="00E70407" w:rsidRDefault="00E70407" w:rsidP="00E70407">
      <w:pPr>
        <w:numPr>
          <w:ilvl w:val="0"/>
          <w:numId w:val="342"/>
        </w:numPr>
        <w:spacing w:after="0"/>
        <w:rPr>
          <w:rFonts w:ascii="Times New Roman" w:eastAsia="Times New Roman" w:hAnsi="Times New Roman"/>
          <w:sz w:val="17"/>
          <w:szCs w:val="17"/>
        </w:rPr>
      </w:pPr>
      <w:r w:rsidRPr="00E70407">
        <w:rPr>
          <w:rFonts w:ascii="Times New Roman" w:eastAsia="Times New Roman" w:hAnsi="Times New Roman"/>
          <w:sz w:val="17"/>
          <w:szCs w:val="17"/>
        </w:rPr>
        <w:t>a person employed by the employer</w:t>
      </w:r>
    </w:p>
    <w:p w:rsidR="00E70407" w:rsidRPr="00E70407" w:rsidRDefault="00E70407" w:rsidP="00E70407">
      <w:pPr>
        <w:numPr>
          <w:ilvl w:val="0"/>
          <w:numId w:val="342"/>
        </w:numPr>
        <w:spacing w:after="0"/>
        <w:rPr>
          <w:rFonts w:ascii="Times New Roman" w:eastAsia="Times New Roman" w:hAnsi="Times New Roman"/>
          <w:sz w:val="17"/>
          <w:szCs w:val="17"/>
          <w:lang w:val="en-US"/>
        </w:rPr>
      </w:pPr>
      <w:r w:rsidRPr="00E70407">
        <w:rPr>
          <w:rFonts w:ascii="Times New Roman" w:eastAsia="Times New Roman" w:hAnsi="Times New Roman"/>
          <w:sz w:val="17"/>
          <w:szCs w:val="17"/>
        </w:rPr>
        <w:t>an in</w:t>
      </w:r>
      <w:r w:rsidRPr="00E70407">
        <w:rPr>
          <w:rFonts w:ascii="Times New Roman" w:eastAsia="Times New Roman" w:hAnsi="Times New Roman"/>
          <w:sz w:val="17"/>
          <w:szCs w:val="17"/>
          <w:lang w:val="en-US"/>
        </w:rPr>
        <w:t>dependent contractor engaged in work for the employer, or</w:t>
      </w:r>
    </w:p>
    <w:p w:rsidR="00E70407" w:rsidRPr="00E70407" w:rsidRDefault="00E70407" w:rsidP="00E70407">
      <w:pPr>
        <w:numPr>
          <w:ilvl w:val="0"/>
          <w:numId w:val="342"/>
        </w:numPr>
        <w:rPr>
          <w:rFonts w:ascii="Times New Roman" w:eastAsia="Times New Roman" w:hAnsi="Times New Roman"/>
          <w:sz w:val="17"/>
          <w:szCs w:val="17"/>
          <w:lang w:val="en-US"/>
        </w:rPr>
      </w:pPr>
      <w:r w:rsidRPr="00E70407">
        <w:rPr>
          <w:rFonts w:ascii="Times New Roman" w:eastAsia="Times New Roman" w:hAnsi="Times New Roman"/>
          <w:sz w:val="17"/>
          <w:szCs w:val="17"/>
        </w:rPr>
        <w:t>another</w:t>
      </w:r>
      <w:r w:rsidRPr="00E70407">
        <w:rPr>
          <w:rFonts w:ascii="Times New Roman" w:eastAsia="Times New Roman" w:hAnsi="Times New Roman"/>
          <w:sz w:val="17"/>
          <w:szCs w:val="17"/>
          <w:lang w:val="en-US"/>
        </w:rPr>
        <w:t xml:space="preserve"> employer who hosts the apprentice or trainee.</w:t>
      </w:r>
    </w:p>
    <w:p w:rsidR="00E70407" w:rsidRPr="00E70407" w:rsidRDefault="00E70407" w:rsidP="00E70407">
      <w:pPr>
        <w:ind w:left="160"/>
        <w:rPr>
          <w:rFonts w:ascii="Times New Roman" w:eastAsia="Times New Roman" w:hAnsi="Times New Roman"/>
          <w:sz w:val="17"/>
          <w:szCs w:val="17"/>
          <w:lang w:val="en-US"/>
        </w:rPr>
      </w:pPr>
      <w:r w:rsidRPr="00E70407">
        <w:rPr>
          <w:rFonts w:ascii="Times New Roman" w:eastAsia="Times New Roman" w:hAnsi="Times New Roman"/>
          <w:sz w:val="17"/>
          <w:szCs w:val="17"/>
          <w:lang w:val="en-US"/>
        </w:rPr>
        <w:t xml:space="preserve">A supervisor is a person with the required skills, knowledge, qualifications and experience to train and instruct an apprentice or trainee in their </w:t>
      </w:r>
      <w:r w:rsidRPr="00E70407">
        <w:rPr>
          <w:rFonts w:ascii="Times New Roman" w:eastAsia="Times New Roman" w:hAnsi="Times New Roman"/>
          <w:spacing w:val="-2"/>
          <w:sz w:val="17"/>
          <w:szCs w:val="17"/>
        </w:rPr>
        <w:t>chosen</w:t>
      </w:r>
      <w:r w:rsidRPr="00E70407">
        <w:rPr>
          <w:rFonts w:ascii="Times New Roman" w:eastAsia="Times New Roman" w:hAnsi="Times New Roman"/>
          <w:sz w:val="17"/>
          <w:szCs w:val="17"/>
          <w:lang w:val="en-US"/>
        </w:rPr>
        <w:t xml:space="preserve"> trade or declared vocation. </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Tertiary Education Quality and Standards Agency (TEQSA)</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The agency established under the </w:t>
      </w:r>
      <w:r w:rsidRPr="00E70407">
        <w:rPr>
          <w:rFonts w:ascii="Times New Roman" w:eastAsia="Times New Roman" w:hAnsi="Times New Roman"/>
          <w:i/>
          <w:iCs/>
          <w:sz w:val="17"/>
          <w:szCs w:val="17"/>
        </w:rPr>
        <w:t>Tertiary Education Quality and Standards Agency Act 2011</w:t>
      </w:r>
      <w:r w:rsidRPr="00E70407">
        <w:rPr>
          <w:rFonts w:ascii="Times New Roman" w:eastAsia="Times New Roman" w:hAnsi="Times New Roman"/>
          <w:sz w:val="17"/>
          <w:szCs w:val="17"/>
        </w:rPr>
        <w:t xml:space="preserve"> of the Commonwealth.</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Trade</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Certain trades (for instance, automotive mechanic, cabinetmaker, cook, hairdresser, electrician, and plumber) declared by the Minister as trades governed by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 xml:space="preserve">.  To acquire the skills required to work in such trades, people must complete an apprenticeship.  Apprenticeships generally take up to 4 years to complete. Upon successful completion of an apprenticeship in such trades, apprentices become qualified tradespersons.  </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Trade and Vocation Recognition Assessment Panels</w:t>
      </w:r>
    </w:p>
    <w:p w:rsidR="00E70407" w:rsidRPr="00E70407" w:rsidRDefault="00E70407" w:rsidP="00E70407">
      <w:pPr>
        <w:ind w:left="160"/>
        <w:rPr>
          <w:rFonts w:ascii="Times New Roman" w:eastAsia="Times New Roman" w:hAnsi="Times New Roman"/>
          <w:i/>
          <w:iCs/>
          <w:sz w:val="17"/>
          <w:szCs w:val="17"/>
        </w:rPr>
      </w:pPr>
      <w:r w:rsidRPr="00E70407">
        <w:rPr>
          <w:rFonts w:ascii="Times New Roman" w:eastAsia="Times New Roman" w:hAnsi="Times New Roman"/>
          <w:sz w:val="17"/>
          <w:szCs w:val="17"/>
        </w:rPr>
        <w:t xml:space="preserve">Panels established to assess applications for recognition and certification of a person’s qualifications and experience in relation to a particular trade or declared vocation under Section 70A of the </w:t>
      </w:r>
      <w:r w:rsidRPr="00E70407">
        <w:rPr>
          <w:rFonts w:ascii="Times New Roman" w:eastAsia="Times New Roman" w:hAnsi="Times New Roman"/>
          <w:i/>
          <w:sz w:val="17"/>
          <w:szCs w:val="17"/>
        </w:rPr>
        <w:t>SAS Act</w:t>
      </w:r>
      <w:r w:rsidRPr="00E70407">
        <w:rPr>
          <w:rFonts w:ascii="Times New Roman" w:eastAsia="Times New Roman" w:hAnsi="Times New Roman"/>
          <w:sz w:val="17"/>
          <w:szCs w:val="17"/>
        </w:rPr>
        <w:t xml:space="preserve"> and whose membership and operating procedures are endorsed by the Commission</w:t>
      </w:r>
      <w:r w:rsidRPr="00E70407">
        <w:rPr>
          <w:rFonts w:ascii="Times New Roman" w:eastAsia="Times New Roman" w:hAnsi="Times New Roman"/>
          <w:i/>
          <w:iCs/>
          <w:sz w:val="17"/>
          <w:szCs w:val="17"/>
        </w:rPr>
        <w:t>.</w:t>
      </w:r>
    </w:p>
    <w:p w:rsidR="00E70407" w:rsidRPr="00E70407" w:rsidRDefault="00E70407" w:rsidP="00E70407">
      <w:pPr>
        <w:rPr>
          <w:rFonts w:ascii="Times New Roman" w:eastAsia="Times New Roman" w:hAnsi="Times New Roman"/>
          <w:b/>
          <w:bCs/>
          <w:sz w:val="17"/>
          <w:szCs w:val="17"/>
          <w:lang w:val="en-US"/>
        </w:rPr>
      </w:pPr>
      <w:r w:rsidRPr="00E70407">
        <w:rPr>
          <w:rFonts w:ascii="Times New Roman" w:eastAsia="Times New Roman" w:hAnsi="Times New Roman"/>
          <w:b/>
          <w:bCs/>
          <w:sz w:val="17"/>
          <w:szCs w:val="17"/>
          <w:lang w:val="en-US"/>
        </w:rPr>
        <w:t>Trainee</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A person who has entered into a legally binding arrangement to work and undertake training in a declared vocation under a Training </w:t>
      </w:r>
      <w:r w:rsidRPr="00E70407">
        <w:rPr>
          <w:rFonts w:ascii="Times New Roman" w:eastAsia="Times New Roman" w:hAnsi="Times New Roman"/>
          <w:spacing w:val="-2"/>
          <w:sz w:val="17"/>
          <w:szCs w:val="17"/>
        </w:rPr>
        <w:t>Contract</w:t>
      </w:r>
      <w:r w:rsidRPr="00E70407">
        <w:rPr>
          <w:rFonts w:ascii="Times New Roman" w:eastAsia="Times New Roman" w:hAnsi="Times New Roman"/>
          <w:sz w:val="17"/>
          <w:szCs w:val="17"/>
        </w:rPr>
        <w:t xml:space="preserve"> that has been approved by the Commission.</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Traineeship</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pacing w:val="-2"/>
          <w:sz w:val="17"/>
          <w:szCs w:val="17"/>
        </w:rPr>
        <w:t>Training</w:t>
      </w:r>
      <w:r w:rsidRPr="00E70407">
        <w:rPr>
          <w:rFonts w:ascii="Times New Roman" w:eastAsia="Times New Roman" w:hAnsi="Times New Roman"/>
          <w:sz w:val="17"/>
          <w:szCs w:val="17"/>
        </w:rPr>
        <w:t xml:space="preserve"> provided under a declared vocation that meets the standard conditions for that declared vocation as specified in the declaration, and as published by notice in in the </w:t>
      </w:r>
      <w:r w:rsidRPr="00E70407">
        <w:rPr>
          <w:rFonts w:ascii="Times New Roman" w:eastAsia="Times New Roman" w:hAnsi="Times New Roman"/>
          <w:i/>
          <w:sz w:val="17"/>
          <w:szCs w:val="17"/>
        </w:rPr>
        <w:t>Gazette</w:t>
      </w:r>
      <w:r w:rsidRPr="00E70407">
        <w:rPr>
          <w:rFonts w:ascii="Times New Roman" w:eastAsia="Times New Roman" w:hAnsi="Times New Roman"/>
          <w:sz w:val="17"/>
          <w:szCs w:val="17"/>
        </w:rPr>
        <w:t>. Traineeships undertaken through a Training Contract must be underpinned by bona fide industrial arrangements.</w:t>
      </w:r>
    </w:p>
    <w:p w:rsidR="00E70407" w:rsidRPr="00E70407" w:rsidRDefault="00E70407" w:rsidP="00E70407">
      <w:pPr>
        <w:rPr>
          <w:rFonts w:ascii="Times New Roman" w:eastAsia="Times New Roman" w:hAnsi="Times New Roman"/>
          <w:b/>
          <w:bCs/>
          <w:sz w:val="17"/>
          <w:szCs w:val="17"/>
        </w:rPr>
      </w:pPr>
      <w:bookmarkStart w:id="172" w:name="_Toc72928916"/>
      <w:r w:rsidRPr="00E70407">
        <w:rPr>
          <w:rFonts w:ascii="Times New Roman" w:eastAsia="Times New Roman" w:hAnsi="Times New Roman"/>
          <w:b/>
          <w:bCs/>
          <w:sz w:val="17"/>
          <w:szCs w:val="17"/>
        </w:rPr>
        <w:t>Traineeship and Apprenticeship Pathways (TAP) Schedule</w:t>
      </w:r>
      <w:bookmarkEnd w:id="172"/>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The </w:t>
      </w:r>
      <w:r w:rsidRPr="00E70407">
        <w:rPr>
          <w:rFonts w:ascii="Times New Roman" w:eastAsia="Times New Roman" w:hAnsi="Times New Roman"/>
          <w:spacing w:val="-2"/>
          <w:sz w:val="17"/>
          <w:szCs w:val="17"/>
        </w:rPr>
        <w:t>Traineeship</w:t>
      </w:r>
      <w:r w:rsidRPr="00E70407">
        <w:rPr>
          <w:rFonts w:ascii="Times New Roman" w:eastAsia="Times New Roman" w:hAnsi="Times New Roman"/>
          <w:sz w:val="17"/>
          <w:szCs w:val="17"/>
        </w:rPr>
        <w:t xml:space="preserve"> and Apprenticeship Pathways (TAP) Schedule lists all apprenticeships and traineeships available in South Australia.</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Training Contract</w:t>
      </w:r>
      <w:r w:rsidRPr="00E70407">
        <w:rPr>
          <w:rFonts w:ascii="Times New Roman" w:eastAsia="Times New Roman" w:hAnsi="Times New Roman"/>
          <w:sz w:val="17"/>
          <w:szCs w:val="17"/>
        </w:rPr>
        <w:t xml:space="preserve"> </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Is an </w:t>
      </w:r>
      <w:r w:rsidRPr="00E70407">
        <w:rPr>
          <w:rFonts w:ascii="Times New Roman" w:eastAsia="Times New Roman" w:hAnsi="Times New Roman"/>
          <w:spacing w:val="-2"/>
          <w:sz w:val="17"/>
          <w:szCs w:val="17"/>
        </w:rPr>
        <w:t>agreement</w:t>
      </w:r>
      <w:r w:rsidRPr="00E70407">
        <w:rPr>
          <w:rFonts w:ascii="Times New Roman" w:eastAsia="Times New Roman" w:hAnsi="Times New Roman"/>
          <w:sz w:val="17"/>
          <w:szCs w:val="17"/>
        </w:rPr>
        <w:t>:</w:t>
      </w:r>
    </w:p>
    <w:p w:rsidR="00E70407" w:rsidRPr="00E70407" w:rsidRDefault="00E70407" w:rsidP="00E70407">
      <w:pPr>
        <w:numPr>
          <w:ilvl w:val="0"/>
          <w:numId w:val="342"/>
        </w:numPr>
        <w:spacing w:after="0"/>
        <w:rPr>
          <w:rFonts w:ascii="Times New Roman" w:eastAsia="Times New Roman" w:hAnsi="Times New Roman"/>
          <w:sz w:val="17"/>
          <w:szCs w:val="17"/>
        </w:rPr>
      </w:pPr>
      <w:r w:rsidRPr="00E70407">
        <w:rPr>
          <w:rFonts w:ascii="Times New Roman" w:eastAsia="Times New Roman" w:hAnsi="Times New Roman"/>
          <w:sz w:val="17"/>
          <w:szCs w:val="17"/>
        </w:rPr>
        <w:t>approved under Section 48 of the</w:t>
      </w:r>
      <w:r w:rsidRPr="00E70407">
        <w:rPr>
          <w:rFonts w:ascii="Times New Roman" w:eastAsia="Times New Roman" w:hAnsi="Times New Roman"/>
          <w:i/>
          <w:iCs/>
          <w:sz w:val="17"/>
          <w:szCs w:val="17"/>
        </w:rPr>
        <w:t xml:space="preserve"> SAS Act</w:t>
      </w:r>
      <w:r w:rsidRPr="00E70407">
        <w:rPr>
          <w:rFonts w:ascii="Times New Roman" w:eastAsia="Times New Roman" w:hAnsi="Times New Roman"/>
          <w:sz w:val="17"/>
          <w:szCs w:val="17"/>
        </w:rPr>
        <w:t> between an employer and an apprentice or trainee, through which the employer agrees to employ and train the apprentice or trainee in the qualification aligned to the trade or declared vocation; or</w:t>
      </w:r>
    </w:p>
    <w:p w:rsidR="00E70407" w:rsidRPr="00E70407" w:rsidRDefault="00E70407" w:rsidP="00E70407">
      <w:pPr>
        <w:numPr>
          <w:ilvl w:val="0"/>
          <w:numId w:val="342"/>
        </w:numPr>
        <w:rPr>
          <w:rFonts w:ascii="Times New Roman" w:eastAsia="Times New Roman" w:hAnsi="Times New Roman"/>
          <w:sz w:val="17"/>
          <w:szCs w:val="17"/>
        </w:rPr>
      </w:pPr>
      <w:r w:rsidRPr="00E70407">
        <w:rPr>
          <w:rFonts w:ascii="Times New Roman" w:eastAsia="Times New Roman" w:hAnsi="Times New Roman"/>
          <w:sz w:val="17"/>
          <w:szCs w:val="17"/>
        </w:rPr>
        <w:t xml:space="preserve">a Training Contract transferred from another jurisdiction and recognised by the Commission as a Training Contract under Section 48A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Training Plan</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Is the plan that describes the content and delivery of training to be provided to an apprentice or trainee, as prepared and endorsed under Section 54Q of the </w:t>
      </w:r>
      <w:r w:rsidRPr="00E70407">
        <w:rPr>
          <w:rFonts w:ascii="Times New Roman" w:eastAsia="Times New Roman" w:hAnsi="Times New Roman"/>
          <w:i/>
          <w:iCs/>
          <w:sz w:val="17"/>
          <w:szCs w:val="17"/>
        </w:rPr>
        <w:t>SAS Act</w:t>
      </w:r>
      <w:r w:rsidRPr="00E70407">
        <w:rPr>
          <w:rFonts w:ascii="Times New Roman" w:eastAsia="Times New Roman" w:hAnsi="Times New Roman"/>
          <w:sz w:val="17"/>
          <w:szCs w:val="17"/>
        </w:rPr>
        <w:t>.</w:t>
      </w:r>
    </w:p>
    <w:p w:rsidR="00E70407" w:rsidRPr="00E70407" w:rsidRDefault="00E70407" w:rsidP="00E70407">
      <w:pPr>
        <w:rPr>
          <w:rFonts w:ascii="Times New Roman" w:eastAsia="Times New Roman" w:hAnsi="Times New Roman"/>
          <w:sz w:val="17"/>
          <w:szCs w:val="17"/>
        </w:rPr>
      </w:pPr>
      <w:r w:rsidRPr="00E70407">
        <w:rPr>
          <w:rFonts w:ascii="Times New Roman" w:eastAsia="Times New Roman" w:hAnsi="Times New Roman"/>
          <w:b/>
          <w:bCs/>
          <w:sz w:val="17"/>
          <w:szCs w:val="17"/>
        </w:rPr>
        <w:t>Transfer fee</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pacing w:val="-2"/>
          <w:sz w:val="17"/>
          <w:szCs w:val="17"/>
        </w:rPr>
        <w:t>The</w:t>
      </w:r>
      <w:r w:rsidRPr="00E70407">
        <w:rPr>
          <w:rFonts w:ascii="Times New Roman" w:eastAsia="Times New Roman" w:hAnsi="Times New Roman"/>
          <w:sz w:val="17"/>
          <w:szCs w:val="17"/>
        </w:rPr>
        <w:t xml:space="preserve"> fee payable by a proposed employer to the existing (current) employer under Section 54O of the </w:t>
      </w:r>
      <w:r w:rsidRPr="00E70407">
        <w:rPr>
          <w:rFonts w:ascii="Times New Roman" w:eastAsia="Times New Roman" w:hAnsi="Times New Roman"/>
          <w:i/>
          <w:iCs/>
          <w:sz w:val="17"/>
          <w:szCs w:val="17"/>
        </w:rPr>
        <w:t>SAS</w:t>
      </w:r>
      <w:r w:rsidRPr="00E70407">
        <w:rPr>
          <w:rFonts w:ascii="Times New Roman" w:eastAsia="Times New Roman" w:hAnsi="Times New Roman"/>
          <w:sz w:val="17"/>
          <w:szCs w:val="17"/>
        </w:rPr>
        <w:t xml:space="preserve"> </w:t>
      </w:r>
      <w:r w:rsidRPr="00E70407">
        <w:rPr>
          <w:rFonts w:ascii="Times New Roman" w:eastAsia="Times New Roman" w:hAnsi="Times New Roman"/>
          <w:i/>
          <w:iCs/>
          <w:sz w:val="17"/>
          <w:szCs w:val="17"/>
        </w:rPr>
        <w:t>Act</w:t>
      </w:r>
      <w:r w:rsidRPr="00E70407">
        <w:rPr>
          <w:rFonts w:ascii="Times New Roman" w:eastAsia="Times New Roman" w:hAnsi="Times New Roman"/>
          <w:sz w:val="17"/>
          <w:szCs w:val="17"/>
        </w:rPr>
        <w:t>. The fee is determined according to the number of years served under the Training Contract and the business size.</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Vocational Education Training (VET)</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 xml:space="preserve">VET is education and training that focuses on providing skills for work. Designed to deliver workplace-specific skills and knowledge, VET </w:t>
      </w:r>
      <w:r w:rsidRPr="00E70407">
        <w:rPr>
          <w:rFonts w:ascii="Times New Roman" w:eastAsia="Times New Roman" w:hAnsi="Times New Roman"/>
          <w:spacing w:val="-2"/>
          <w:sz w:val="17"/>
          <w:szCs w:val="17"/>
        </w:rPr>
        <w:t>covers</w:t>
      </w:r>
      <w:r w:rsidRPr="00E70407">
        <w:rPr>
          <w:rFonts w:ascii="Times New Roman" w:eastAsia="Times New Roman" w:hAnsi="Times New Roman"/>
          <w:sz w:val="17"/>
          <w:szCs w:val="17"/>
        </w:rPr>
        <w:t xml:space="preserve"> a wide range of careers and industries, including trade and office work, retail, hospitality and technology.</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VET National Register</w:t>
      </w:r>
    </w:p>
    <w:p w:rsidR="00E70407" w:rsidRPr="00E70407" w:rsidRDefault="00E70407" w:rsidP="00E70407">
      <w:pPr>
        <w:ind w:left="160"/>
        <w:rPr>
          <w:rFonts w:ascii="Times New Roman" w:eastAsia="Times New Roman" w:hAnsi="Times New Roman"/>
          <w:sz w:val="17"/>
          <w:szCs w:val="17"/>
        </w:rPr>
      </w:pPr>
      <w:r w:rsidRPr="00E70407">
        <w:rPr>
          <w:rFonts w:ascii="Times New Roman" w:eastAsia="Times New Roman" w:hAnsi="Times New Roman"/>
          <w:sz w:val="17"/>
          <w:szCs w:val="17"/>
        </w:rPr>
        <w:t>Is the official national register of information on VET in Australia.</w:t>
      </w:r>
    </w:p>
    <w:p w:rsidR="00E70407" w:rsidRPr="00E70407" w:rsidRDefault="00E70407" w:rsidP="00E70407">
      <w:pPr>
        <w:rPr>
          <w:rFonts w:ascii="Times New Roman" w:eastAsia="Times New Roman" w:hAnsi="Times New Roman"/>
          <w:b/>
          <w:bCs/>
          <w:sz w:val="17"/>
          <w:szCs w:val="17"/>
        </w:rPr>
      </w:pPr>
      <w:bookmarkStart w:id="173" w:name="_Toc71788132"/>
      <w:bookmarkStart w:id="174" w:name="_Toc71801888"/>
      <w:bookmarkStart w:id="175" w:name="_Toc71813734"/>
      <w:bookmarkStart w:id="176" w:name="_Toc75255258"/>
      <w:r w:rsidRPr="00E70407">
        <w:rPr>
          <w:rFonts w:ascii="Times New Roman" w:eastAsia="Times New Roman" w:hAnsi="Times New Roman"/>
          <w:b/>
          <w:bCs/>
          <w:sz w:val="17"/>
          <w:szCs w:val="17"/>
        </w:rPr>
        <w:t xml:space="preserve">CORRESPONDING </w:t>
      </w:r>
      <w:bookmarkEnd w:id="173"/>
      <w:bookmarkEnd w:id="174"/>
      <w:bookmarkEnd w:id="175"/>
      <w:r w:rsidRPr="00E70407">
        <w:rPr>
          <w:rFonts w:ascii="Times New Roman" w:eastAsia="Times New Roman" w:hAnsi="Times New Roman"/>
          <w:b/>
          <w:bCs/>
          <w:sz w:val="17"/>
          <w:szCs w:val="17"/>
        </w:rPr>
        <w:t>LAWS</w:t>
      </w:r>
      <w:bookmarkEnd w:id="176"/>
    </w:p>
    <w:p w:rsidR="00E70407" w:rsidRPr="00E70407" w:rsidRDefault="00E70407" w:rsidP="00E70407">
      <w:pPr>
        <w:ind w:left="160"/>
        <w:rPr>
          <w:rFonts w:ascii="Times New Roman" w:eastAsia="Times New Roman" w:hAnsi="Times New Roman"/>
          <w:i/>
          <w:iCs/>
          <w:sz w:val="17"/>
          <w:szCs w:val="17"/>
        </w:rPr>
      </w:pPr>
      <w:r w:rsidRPr="00E70407">
        <w:rPr>
          <w:rFonts w:ascii="Times New Roman" w:eastAsia="Times New Roman" w:hAnsi="Times New Roman"/>
          <w:sz w:val="17"/>
          <w:szCs w:val="17"/>
        </w:rPr>
        <w:t>Corresponding law means a law of the Commonwealth, or of another state or territory, declared by the regulations to be a corresponding law for the purposes of Section 54G(7) of the</w:t>
      </w:r>
      <w:r w:rsidRPr="00E70407">
        <w:rPr>
          <w:rFonts w:ascii="Times New Roman" w:eastAsia="Times New Roman" w:hAnsi="Times New Roman"/>
          <w:i/>
          <w:iCs/>
          <w:sz w:val="17"/>
          <w:szCs w:val="17"/>
        </w:rPr>
        <w:t xml:space="preserve"> SAS Act.</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lastRenderedPageBreak/>
        <w:t>Commonwealth Government</w:t>
      </w:r>
    </w:p>
    <w:p w:rsidR="00E70407" w:rsidRPr="00E70407" w:rsidRDefault="00BE58B6" w:rsidP="00E70407">
      <w:pPr>
        <w:ind w:left="160"/>
        <w:rPr>
          <w:rFonts w:ascii="Times New Roman" w:eastAsia="Times New Roman" w:hAnsi="Times New Roman"/>
          <w:sz w:val="17"/>
          <w:szCs w:val="17"/>
          <w:lang w:val="en-GB"/>
        </w:rPr>
      </w:pPr>
      <w:hyperlink r:id="rId115" w:history="1">
        <w:r w:rsidR="00E70407" w:rsidRPr="00E70407">
          <w:rPr>
            <w:rFonts w:ascii="Times New Roman" w:eastAsia="Times New Roman" w:hAnsi="Times New Roman"/>
            <w:color w:val="0000FF"/>
            <w:sz w:val="17"/>
            <w:szCs w:val="17"/>
            <w:u w:val="single"/>
            <w:lang w:val="en-GB"/>
          </w:rPr>
          <w:t>National Vocational Education and Training Regulator Act 2011</w:t>
        </w:r>
      </w:hyperlink>
      <w:r w:rsidR="00E70407" w:rsidRPr="00E70407">
        <w:rPr>
          <w:rFonts w:ascii="Times New Roman" w:eastAsia="Times New Roman" w:hAnsi="Times New Roman"/>
          <w:sz w:val="17"/>
          <w:szCs w:val="17"/>
          <w:lang w:val="en-GB"/>
        </w:rPr>
        <w:t xml:space="preserve"> </w:t>
      </w:r>
    </w:p>
    <w:p w:rsidR="00E70407" w:rsidRPr="00E70407" w:rsidRDefault="00E70407" w:rsidP="00E70407">
      <w:pPr>
        <w:rPr>
          <w:rFonts w:ascii="Times New Roman" w:eastAsia="Times New Roman" w:hAnsi="Times New Roman"/>
          <w:b/>
          <w:bCs/>
          <w:sz w:val="17"/>
          <w:szCs w:val="17"/>
        </w:rPr>
      </w:pPr>
      <w:r w:rsidRPr="00E70407">
        <w:rPr>
          <w:rFonts w:ascii="Times New Roman" w:eastAsia="Times New Roman" w:hAnsi="Times New Roman"/>
          <w:b/>
          <w:bCs/>
          <w:sz w:val="17"/>
          <w:szCs w:val="17"/>
        </w:rPr>
        <w:t>State and Territories</w:t>
      </w:r>
    </w:p>
    <w:p w:rsidR="00E70407" w:rsidRPr="00E70407" w:rsidRDefault="00BE58B6" w:rsidP="00E70407">
      <w:pPr>
        <w:ind w:left="160"/>
        <w:rPr>
          <w:rFonts w:ascii="Times New Roman" w:eastAsia="Times New Roman" w:hAnsi="Times New Roman"/>
          <w:sz w:val="17"/>
          <w:szCs w:val="17"/>
        </w:rPr>
      </w:pPr>
      <w:hyperlink r:id="rId116" w:history="1">
        <w:r w:rsidR="00E70407" w:rsidRPr="00E70407">
          <w:rPr>
            <w:rFonts w:ascii="Times New Roman" w:eastAsia="Times New Roman" w:hAnsi="Times New Roman"/>
            <w:color w:val="0000FF"/>
            <w:sz w:val="17"/>
            <w:szCs w:val="17"/>
            <w:u w:val="single"/>
          </w:rPr>
          <w:t>Apprenticeship and Traineeship Act 2001 No 80 (NSW)</w:t>
        </w:r>
      </w:hyperlink>
    </w:p>
    <w:p w:rsidR="00E70407" w:rsidRPr="00E70407" w:rsidRDefault="00BE58B6" w:rsidP="00E70407">
      <w:pPr>
        <w:ind w:left="160"/>
        <w:rPr>
          <w:rFonts w:ascii="Times New Roman" w:eastAsia="Times New Roman" w:hAnsi="Times New Roman"/>
          <w:sz w:val="17"/>
          <w:szCs w:val="17"/>
          <w:lang w:val="en-GB"/>
        </w:rPr>
      </w:pPr>
      <w:hyperlink r:id="rId117" w:history="1">
        <w:r w:rsidR="00E70407" w:rsidRPr="00E70407">
          <w:rPr>
            <w:rFonts w:ascii="Times New Roman" w:eastAsia="Times New Roman" w:hAnsi="Times New Roman"/>
            <w:color w:val="0000FF"/>
            <w:sz w:val="17"/>
            <w:szCs w:val="17"/>
            <w:u w:val="single"/>
            <w:lang w:val="en-GB"/>
          </w:rPr>
          <w:t>Education and Training Reform Act 2006 (VIC)</w:t>
        </w:r>
      </w:hyperlink>
    </w:p>
    <w:p w:rsidR="00E70407" w:rsidRPr="00E70407" w:rsidRDefault="00BE58B6" w:rsidP="00E70407">
      <w:pPr>
        <w:ind w:left="160"/>
        <w:rPr>
          <w:rFonts w:ascii="Times New Roman" w:eastAsia="Times New Roman" w:hAnsi="Times New Roman"/>
          <w:sz w:val="17"/>
          <w:szCs w:val="17"/>
          <w:lang w:val="en-GB"/>
        </w:rPr>
      </w:pPr>
      <w:hyperlink r:id="rId118" w:history="1">
        <w:r w:rsidR="00E70407" w:rsidRPr="00E70407">
          <w:rPr>
            <w:rFonts w:ascii="Times New Roman" w:eastAsia="Times New Roman" w:hAnsi="Times New Roman"/>
            <w:color w:val="0000FF"/>
            <w:sz w:val="17"/>
            <w:szCs w:val="17"/>
            <w:u w:val="single"/>
            <w:lang w:val="en-GB"/>
          </w:rPr>
          <w:t>Further Education and Training Act 2014 (QLD)</w:t>
        </w:r>
      </w:hyperlink>
    </w:p>
    <w:p w:rsidR="00E70407" w:rsidRPr="00E70407" w:rsidRDefault="00BE58B6" w:rsidP="00E70407">
      <w:pPr>
        <w:ind w:left="160"/>
        <w:rPr>
          <w:rFonts w:ascii="Times New Roman" w:eastAsia="Times New Roman" w:hAnsi="Times New Roman"/>
          <w:sz w:val="17"/>
          <w:szCs w:val="17"/>
          <w:lang w:val="en-GB"/>
        </w:rPr>
      </w:pPr>
      <w:hyperlink r:id="rId119" w:history="1">
        <w:r w:rsidR="00E70407" w:rsidRPr="00E70407">
          <w:rPr>
            <w:rFonts w:ascii="Times New Roman" w:eastAsia="Times New Roman" w:hAnsi="Times New Roman"/>
            <w:color w:val="0000FF"/>
            <w:sz w:val="17"/>
            <w:szCs w:val="17"/>
            <w:u w:val="single"/>
            <w:lang w:val="en-GB"/>
          </w:rPr>
          <w:t>Training and Skills Development Act 2016 (NT)</w:t>
        </w:r>
      </w:hyperlink>
    </w:p>
    <w:p w:rsidR="00E70407" w:rsidRPr="00E70407" w:rsidRDefault="00BE58B6" w:rsidP="00E70407">
      <w:pPr>
        <w:ind w:left="160"/>
        <w:rPr>
          <w:rFonts w:ascii="Times New Roman" w:eastAsia="Times New Roman" w:hAnsi="Times New Roman"/>
          <w:sz w:val="17"/>
          <w:szCs w:val="17"/>
          <w:lang w:val="en-GB"/>
        </w:rPr>
      </w:pPr>
      <w:hyperlink r:id="rId120" w:history="1">
        <w:r w:rsidR="00E70407" w:rsidRPr="00E70407">
          <w:rPr>
            <w:rFonts w:ascii="Times New Roman" w:eastAsia="Times New Roman" w:hAnsi="Times New Roman"/>
            <w:color w:val="0000FF"/>
            <w:sz w:val="17"/>
            <w:szCs w:val="17"/>
            <w:u w:val="single"/>
            <w:lang w:val="en-GB"/>
          </w:rPr>
          <w:t>Training and Tertiary Education Act 2003 (ACT)</w:t>
        </w:r>
      </w:hyperlink>
    </w:p>
    <w:p w:rsidR="00E70407" w:rsidRPr="00E70407" w:rsidRDefault="00BE58B6" w:rsidP="00E70407">
      <w:pPr>
        <w:ind w:left="160"/>
        <w:rPr>
          <w:rFonts w:ascii="Times New Roman" w:eastAsia="Times New Roman" w:hAnsi="Times New Roman"/>
          <w:sz w:val="17"/>
          <w:szCs w:val="17"/>
        </w:rPr>
      </w:pPr>
      <w:hyperlink r:id="rId121" w:history="1">
        <w:r w:rsidR="00E70407" w:rsidRPr="00E70407">
          <w:rPr>
            <w:rFonts w:ascii="Times New Roman" w:eastAsia="Times New Roman" w:hAnsi="Times New Roman"/>
            <w:color w:val="0000FF"/>
            <w:sz w:val="17"/>
            <w:szCs w:val="17"/>
            <w:u w:val="single"/>
          </w:rPr>
          <w:t>Training and Workforce Development Act 2013 (TAS)</w:t>
        </w:r>
      </w:hyperlink>
    </w:p>
    <w:p w:rsidR="00842E8F" w:rsidRDefault="00BE58B6" w:rsidP="00E97FE2">
      <w:pPr>
        <w:ind w:left="160"/>
        <w:rPr>
          <w:rFonts w:ascii="Times New Roman" w:eastAsia="Times New Roman" w:hAnsi="Times New Roman"/>
          <w:sz w:val="17"/>
          <w:szCs w:val="17"/>
        </w:rPr>
      </w:pPr>
      <w:hyperlink r:id="rId122" w:history="1">
        <w:r w:rsidR="00E70407" w:rsidRPr="00E70407">
          <w:rPr>
            <w:rFonts w:ascii="Times New Roman" w:eastAsia="Times New Roman" w:hAnsi="Times New Roman"/>
            <w:color w:val="0000FF"/>
            <w:sz w:val="17"/>
            <w:szCs w:val="17"/>
            <w:u w:val="single"/>
          </w:rPr>
          <w:t>Vocational Education and Training Act 1996 (WA)</w:t>
        </w:r>
      </w:hyperlink>
    </w:p>
    <w:p w:rsidR="00E97FE2" w:rsidRDefault="00E97FE2" w:rsidP="00E97FE2">
      <w:pPr>
        <w:pBdr>
          <w:bottom w:val="single" w:sz="4" w:space="1" w:color="auto"/>
        </w:pBdr>
        <w:spacing w:after="0" w:line="52" w:lineRule="exact"/>
        <w:jc w:val="center"/>
        <w:rPr>
          <w:rFonts w:ascii="Times New Roman" w:eastAsia="Times New Roman" w:hAnsi="Times New Roman"/>
          <w:sz w:val="17"/>
          <w:szCs w:val="20"/>
        </w:rPr>
      </w:pPr>
    </w:p>
    <w:p w:rsidR="00E97FE2" w:rsidRDefault="00E97FE2" w:rsidP="00E97FE2">
      <w:pPr>
        <w:pBdr>
          <w:top w:val="single" w:sz="4" w:space="1" w:color="auto"/>
        </w:pBdr>
        <w:spacing w:before="34" w:after="0" w:line="14" w:lineRule="exact"/>
        <w:jc w:val="center"/>
        <w:rPr>
          <w:rFonts w:ascii="Times New Roman" w:eastAsia="Times New Roman" w:hAnsi="Times New Roman"/>
          <w:sz w:val="17"/>
          <w:szCs w:val="20"/>
        </w:rPr>
      </w:pPr>
    </w:p>
    <w:p w:rsidR="00E97FE2" w:rsidRDefault="00E97FE2" w:rsidP="00E97FE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Times New Roman" w:eastAsia="Times New Roman" w:hAnsi="Times New Roman"/>
          <w:sz w:val="17"/>
          <w:szCs w:val="20"/>
        </w:rPr>
      </w:pPr>
    </w:p>
    <w:p w:rsidR="00164C3B" w:rsidRPr="003471CD" w:rsidRDefault="00164C3B" w:rsidP="00CD68F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Times New Roman" w:eastAsia="Times New Roman" w:hAnsi="Times New Roman"/>
          <w:sz w:val="17"/>
          <w:szCs w:val="20"/>
        </w:rPr>
      </w:pPr>
      <w:r w:rsidRPr="003471CD">
        <w:rPr>
          <w:rFonts w:ascii="Times New Roman" w:eastAsia="Times New Roman" w:hAnsi="Times New Roman"/>
          <w:sz w:val="17"/>
          <w:szCs w:val="20"/>
        </w:rPr>
        <w:br w:type="page"/>
      </w:r>
    </w:p>
    <w:p w:rsidR="00164C3B" w:rsidRPr="003471CD" w:rsidRDefault="00164C3B" w:rsidP="009C23A5">
      <w:pPr>
        <w:pStyle w:val="Heading1"/>
      </w:pPr>
      <w:bookmarkStart w:id="177" w:name="_Toc91161275"/>
      <w:r w:rsidRPr="003471CD">
        <w:lastRenderedPageBreak/>
        <w:t>Local Government Instruments</w:t>
      </w:r>
      <w:bookmarkEnd w:id="177"/>
    </w:p>
    <w:p w:rsidR="00114EE2" w:rsidRPr="00114EE2" w:rsidRDefault="00114EE2" w:rsidP="00B069DE">
      <w:pPr>
        <w:pStyle w:val="Heading2"/>
      </w:pPr>
      <w:bookmarkStart w:id="178" w:name="_Toc91161276"/>
      <w:r w:rsidRPr="00114EE2">
        <w:t>City of Adelaide</w:t>
      </w:r>
      <w:bookmarkEnd w:id="178"/>
    </w:p>
    <w:p w:rsidR="00114EE2" w:rsidRPr="00114EE2" w:rsidRDefault="00114EE2" w:rsidP="00114EE2">
      <w:pPr>
        <w:jc w:val="center"/>
        <w:rPr>
          <w:rFonts w:ascii="Times New Roman" w:hAnsi="Times New Roman"/>
          <w:smallCaps/>
          <w:sz w:val="17"/>
          <w:szCs w:val="17"/>
        </w:rPr>
      </w:pPr>
      <w:r w:rsidRPr="00114EE2">
        <w:rPr>
          <w:rFonts w:ascii="Times New Roman" w:hAnsi="Times New Roman"/>
          <w:smallCaps/>
          <w:sz w:val="17"/>
          <w:szCs w:val="17"/>
        </w:rPr>
        <w:t xml:space="preserve">Local Government Act 1999 </w:t>
      </w:r>
    </w:p>
    <w:p w:rsidR="00114EE2" w:rsidRPr="00114EE2" w:rsidRDefault="00114EE2" w:rsidP="00114EE2">
      <w:pPr>
        <w:jc w:val="center"/>
        <w:rPr>
          <w:rFonts w:ascii="Times New Roman" w:hAnsi="Times New Roman"/>
          <w:i/>
          <w:sz w:val="17"/>
          <w:szCs w:val="17"/>
        </w:rPr>
      </w:pPr>
      <w:r w:rsidRPr="00114EE2">
        <w:rPr>
          <w:rFonts w:ascii="Times New Roman" w:hAnsi="Times New Roman"/>
          <w:i/>
          <w:sz w:val="17"/>
          <w:szCs w:val="17"/>
        </w:rPr>
        <w:t>Representation Review</w:t>
      </w:r>
    </w:p>
    <w:p w:rsidR="00114EE2" w:rsidRPr="00114EE2" w:rsidRDefault="00114EE2" w:rsidP="00114EE2">
      <w:pPr>
        <w:rPr>
          <w:rFonts w:ascii="Times New Roman" w:eastAsia="Times New Roman" w:hAnsi="Times New Roman"/>
          <w:sz w:val="17"/>
          <w:szCs w:val="17"/>
        </w:rPr>
      </w:pPr>
      <w:r w:rsidRPr="00114EE2">
        <w:rPr>
          <w:rFonts w:ascii="Times New Roman" w:eastAsia="Times New Roman" w:hAnsi="Times New Roman"/>
          <w:sz w:val="17"/>
          <w:szCs w:val="17"/>
        </w:rPr>
        <w:t xml:space="preserve">Notice is hereby given that the Corporation of the City of Adelaide has not completed a representation review in accordance with the requirements of section 12 of the </w:t>
      </w:r>
      <w:r w:rsidRPr="00114EE2">
        <w:rPr>
          <w:rFonts w:ascii="Times New Roman" w:eastAsia="Times New Roman" w:hAnsi="Times New Roman"/>
          <w:i/>
          <w:iCs/>
          <w:sz w:val="17"/>
          <w:szCs w:val="17"/>
        </w:rPr>
        <w:t xml:space="preserve">Local Government Act 1999 </w:t>
      </w:r>
      <w:r w:rsidRPr="00114EE2">
        <w:rPr>
          <w:rFonts w:ascii="Times New Roman" w:eastAsia="Times New Roman" w:hAnsi="Times New Roman"/>
          <w:sz w:val="17"/>
          <w:szCs w:val="17"/>
        </w:rPr>
        <w:t xml:space="preserve">(the Act). </w:t>
      </w:r>
    </w:p>
    <w:p w:rsidR="00114EE2" w:rsidRPr="00114EE2" w:rsidRDefault="00114EE2" w:rsidP="00114EE2">
      <w:pPr>
        <w:rPr>
          <w:rFonts w:ascii="Times New Roman" w:eastAsia="Times New Roman" w:hAnsi="Times New Roman"/>
          <w:sz w:val="17"/>
          <w:szCs w:val="17"/>
        </w:rPr>
      </w:pPr>
      <w:r w:rsidRPr="00114EE2">
        <w:rPr>
          <w:rFonts w:ascii="Times New Roman" w:eastAsia="Times New Roman" w:hAnsi="Times New Roman"/>
          <w:sz w:val="17"/>
          <w:szCs w:val="17"/>
        </w:rPr>
        <w:t xml:space="preserve">Pursuant to section 12(19) of the Act, the Chief Executive Officer has referred the matter to the Electoral Commissioner. Under section 12(20), following referral of the matter, the Electoral Commissioner may give effect to a proposal that could be carried into effect by the Council under section 12. </w:t>
      </w:r>
    </w:p>
    <w:p w:rsidR="00114EE2" w:rsidRPr="00114EE2" w:rsidRDefault="00114EE2" w:rsidP="00114EE2">
      <w:pPr>
        <w:rPr>
          <w:rFonts w:ascii="Times New Roman" w:eastAsia="Times New Roman" w:hAnsi="Times New Roman"/>
          <w:sz w:val="17"/>
          <w:szCs w:val="17"/>
        </w:rPr>
      </w:pPr>
      <w:r w:rsidRPr="00114EE2">
        <w:rPr>
          <w:rFonts w:ascii="Times New Roman" w:eastAsia="Times New Roman" w:hAnsi="Times New Roman"/>
          <w:sz w:val="17"/>
          <w:szCs w:val="17"/>
        </w:rPr>
        <w:t>Accordingly, a determination has been made to give effect to the following revised representation arrangements, which will take effect from polling day of the first periodic election held after the publication of this notice:</w:t>
      </w:r>
    </w:p>
    <w:p w:rsidR="00114EE2" w:rsidRPr="00114EE2" w:rsidRDefault="00114EE2" w:rsidP="00646E85">
      <w:pPr>
        <w:numPr>
          <w:ilvl w:val="0"/>
          <w:numId w:val="68"/>
        </w:numPr>
        <w:spacing w:after="0"/>
        <w:rPr>
          <w:rFonts w:ascii="Times New Roman" w:eastAsia="Times New Roman" w:hAnsi="Times New Roman"/>
          <w:sz w:val="17"/>
          <w:szCs w:val="17"/>
        </w:rPr>
      </w:pPr>
      <w:r w:rsidRPr="00114EE2">
        <w:rPr>
          <w:rFonts w:ascii="Times New Roman" w:eastAsia="Times New Roman" w:hAnsi="Times New Roman"/>
          <w:sz w:val="17"/>
          <w:szCs w:val="17"/>
        </w:rPr>
        <w:t xml:space="preserve">The elected Council will comprise of an elected Lord Mayor, two area councillors, and nine ward councillors.  </w:t>
      </w:r>
    </w:p>
    <w:p w:rsidR="00114EE2" w:rsidRPr="00114EE2" w:rsidRDefault="00114EE2" w:rsidP="00646E85">
      <w:pPr>
        <w:numPr>
          <w:ilvl w:val="0"/>
          <w:numId w:val="68"/>
        </w:numPr>
        <w:spacing w:after="0"/>
        <w:rPr>
          <w:rFonts w:ascii="Times New Roman" w:eastAsia="Times New Roman" w:hAnsi="Times New Roman"/>
          <w:sz w:val="17"/>
          <w:szCs w:val="17"/>
        </w:rPr>
      </w:pPr>
      <w:r w:rsidRPr="00114EE2">
        <w:rPr>
          <w:rFonts w:ascii="Times New Roman" w:eastAsia="Times New Roman" w:hAnsi="Times New Roman"/>
          <w:sz w:val="17"/>
          <w:szCs w:val="17"/>
        </w:rPr>
        <w:t xml:space="preserve">The Council area will continue to be divided into three wards, retain the current ward boundaries, and the names of North, Central, and South. </w:t>
      </w:r>
    </w:p>
    <w:p w:rsidR="00114EE2" w:rsidRPr="00114EE2" w:rsidRDefault="00114EE2" w:rsidP="00646E85">
      <w:pPr>
        <w:numPr>
          <w:ilvl w:val="0"/>
          <w:numId w:val="68"/>
        </w:numPr>
        <w:spacing w:after="0"/>
        <w:rPr>
          <w:rFonts w:ascii="Times New Roman" w:eastAsia="Times New Roman" w:hAnsi="Times New Roman"/>
          <w:sz w:val="17"/>
          <w:szCs w:val="17"/>
        </w:rPr>
      </w:pPr>
      <w:r w:rsidRPr="00114EE2">
        <w:rPr>
          <w:rFonts w:ascii="Times New Roman" w:eastAsia="Times New Roman" w:hAnsi="Times New Roman"/>
          <w:sz w:val="17"/>
          <w:szCs w:val="17"/>
        </w:rPr>
        <w:t xml:space="preserve">North ward will be represented by two councillors. </w:t>
      </w:r>
    </w:p>
    <w:p w:rsidR="00114EE2" w:rsidRPr="00114EE2" w:rsidRDefault="00114EE2" w:rsidP="00646E85">
      <w:pPr>
        <w:numPr>
          <w:ilvl w:val="0"/>
          <w:numId w:val="68"/>
        </w:numPr>
        <w:spacing w:after="0"/>
        <w:rPr>
          <w:rFonts w:ascii="Times New Roman" w:eastAsia="Times New Roman" w:hAnsi="Times New Roman"/>
          <w:sz w:val="17"/>
          <w:szCs w:val="17"/>
        </w:rPr>
      </w:pPr>
      <w:r w:rsidRPr="00114EE2">
        <w:rPr>
          <w:rFonts w:ascii="Times New Roman" w:eastAsia="Times New Roman" w:hAnsi="Times New Roman"/>
          <w:sz w:val="17"/>
          <w:szCs w:val="17"/>
        </w:rPr>
        <w:t xml:space="preserve">Central ward will be represented by four councillors. </w:t>
      </w:r>
    </w:p>
    <w:p w:rsidR="00114EE2" w:rsidRPr="00114EE2" w:rsidRDefault="00114EE2" w:rsidP="00646E85">
      <w:pPr>
        <w:numPr>
          <w:ilvl w:val="0"/>
          <w:numId w:val="68"/>
        </w:numPr>
        <w:rPr>
          <w:rFonts w:ascii="Times New Roman" w:eastAsia="Times New Roman" w:hAnsi="Times New Roman"/>
          <w:sz w:val="17"/>
          <w:szCs w:val="17"/>
        </w:rPr>
      </w:pPr>
      <w:r w:rsidRPr="00114EE2">
        <w:rPr>
          <w:rFonts w:ascii="Times New Roman" w:eastAsia="Times New Roman" w:hAnsi="Times New Roman"/>
          <w:sz w:val="17"/>
          <w:szCs w:val="17"/>
        </w:rPr>
        <w:t xml:space="preserve">South ward will be represented by three councillors. </w:t>
      </w:r>
    </w:p>
    <w:p w:rsidR="00114EE2" w:rsidRPr="00114EE2" w:rsidRDefault="00114EE2" w:rsidP="00114EE2">
      <w:pPr>
        <w:spacing w:after="0"/>
        <w:rPr>
          <w:rFonts w:ascii="Times New Roman" w:eastAsia="Times New Roman" w:hAnsi="Times New Roman"/>
          <w:sz w:val="17"/>
          <w:szCs w:val="17"/>
        </w:rPr>
      </w:pPr>
      <w:r w:rsidRPr="00114EE2">
        <w:rPr>
          <w:rFonts w:ascii="Times New Roman" w:eastAsia="Times New Roman" w:hAnsi="Times New Roman"/>
          <w:sz w:val="17"/>
          <w:szCs w:val="17"/>
        </w:rPr>
        <w:t>Dated: 23 December 2021</w:t>
      </w:r>
    </w:p>
    <w:p w:rsidR="00114EE2" w:rsidRPr="00114EE2" w:rsidRDefault="00114EE2" w:rsidP="00114EE2">
      <w:pPr>
        <w:spacing w:after="0"/>
        <w:jc w:val="right"/>
        <w:rPr>
          <w:rFonts w:ascii="Times New Roman" w:eastAsia="Times New Roman" w:hAnsi="Times New Roman"/>
          <w:smallCaps/>
          <w:sz w:val="17"/>
          <w:szCs w:val="20"/>
        </w:rPr>
      </w:pPr>
      <w:r w:rsidRPr="00114EE2">
        <w:rPr>
          <w:rFonts w:ascii="Times New Roman" w:eastAsia="Times New Roman" w:hAnsi="Times New Roman"/>
          <w:smallCaps/>
          <w:sz w:val="17"/>
          <w:szCs w:val="20"/>
        </w:rPr>
        <w:t>Mick Sherry</w:t>
      </w:r>
    </w:p>
    <w:p w:rsidR="00D56992" w:rsidRDefault="00114EE2" w:rsidP="00D56992">
      <w:pPr>
        <w:pStyle w:val="GG-Signature"/>
      </w:pPr>
      <w:r w:rsidRPr="00114EE2">
        <w:t>Electoral Commissioner</w:t>
      </w:r>
    </w:p>
    <w:p w:rsidR="00D56992" w:rsidRDefault="00D56992" w:rsidP="00D56992">
      <w:pPr>
        <w:pBdr>
          <w:bottom w:val="single" w:sz="4" w:space="1" w:color="auto"/>
        </w:pBdr>
        <w:spacing w:after="0" w:line="52" w:lineRule="exact"/>
        <w:jc w:val="center"/>
        <w:rPr>
          <w:rFonts w:ascii="Times New Roman" w:hAnsi="Times New Roman"/>
          <w:caps/>
          <w:sz w:val="17"/>
          <w:szCs w:val="17"/>
        </w:rPr>
      </w:pPr>
    </w:p>
    <w:p w:rsidR="00D56992" w:rsidRDefault="00D56992" w:rsidP="00D56992">
      <w:pPr>
        <w:pBdr>
          <w:top w:val="single" w:sz="4" w:space="1" w:color="auto"/>
        </w:pBdr>
        <w:spacing w:before="34" w:after="0" w:line="14" w:lineRule="exact"/>
        <w:jc w:val="center"/>
        <w:rPr>
          <w:rFonts w:ascii="Times New Roman" w:hAnsi="Times New Roman"/>
          <w:caps/>
          <w:sz w:val="17"/>
          <w:szCs w:val="17"/>
        </w:rPr>
      </w:pPr>
    </w:p>
    <w:p w:rsidR="00D56992" w:rsidRDefault="00D56992" w:rsidP="00D56992">
      <w:pPr>
        <w:pStyle w:val="GG-body"/>
        <w:spacing w:after="0"/>
      </w:pPr>
    </w:p>
    <w:p w:rsidR="00114EE2" w:rsidRPr="00114EE2" w:rsidRDefault="00114EE2" w:rsidP="00B069DE">
      <w:pPr>
        <w:pStyle w:val="Heading2"/>
        <w:rPr>
          <w:rFonts w:eastAsia="Times New Roman"/>
        </w:rPr>
      </w:pPr>
      <w:bookmarkStart w:id="179" w:name="_Toc91161277"/>
      <w:r w:rsidRPr="00114EE2">
        <w:t>City of Tea Tree Gully</w:t>
      </w:r>
      <w:bookmarkEnd w:id="179"/>
    </w:p>
    <w:p w:rsidR="00114EE2" w:rsidRPr="00114EE2" w:rsidRDefault="00114EE2" w:rsidP="00114EE2">
      <w:pPr>
        <w:jc w:val="center"/>
        <w:rPr>
          <w:rFonts w:ascii="Times New Roman" w:eastAsia="Times New Roman" w:hAnsi="Times New Roman"/>
          <w:smallCaps/>
          <w:sz w:val="17"/>
          <w:szCs w:val="17"/>
        </w:rPr>
      </w:pPr>
      <w:r w:rsidRPr="00114EE2">
        <w:rPr>
          <w:rFonts w:ascii="Times New Roman" w:hAnsi="Times New Roman"/>
          <w:smallCaps/>
          <w:sz w:val="17"/>
          <w:szCs w:val="17"/>
        </w:rPr>
        <w:t>Local Government Act 1999</w:t>
      </w:r>
    </w:p>
    <w:p w:rsidR="00114EE2" w:rsidRPr="00114EE2" w:rsidRDefault="00114EE2" w:rsidP="00114EE2">
      <w:pPr>
        <w:jc w:val="center"/>
        <w:rPr>
          <w:rFonts w:ascii="Times New Roman" w:hAnsi="Times New Roman"/>
          <w:i/>
          <w:sz w:val="17"/>
          <w:szCs w:val="17"/>
        </w:rPr>
      </w:pPr>
      <w:r w:rsidRPr="00114EE2">
        <w:rPr>
          <w:rFonts w:ascii="Times New Roman" w:hAnsi="Times New Roman"/>
          <w:i/>
          <w:sz w:val="17"/>
          <w:szCs w:val="17"/>
        </w:rPr>
        <w:t>Amended Community Land Management Plans – Various Locations</w:t>
      </w:r>
    </w:p>
    <w:p w:rsidR="00114EE2" w:rsidRPr="00114EE2" w:rsidRDefault="00114EE2" w:rsidP="00114EE2">
      <w:pPr>
        <w:rPr>
          <w:rFonts w:ascii="Times New Roman" w:eastAsia="Times New Roman" w:hAnsi="Times New Roman"/>
          <w:sz w:val="17"/>
          <w:szCs w:val="17"/>
        </w:rPr>
      </w:pPr>
      <w:r w:rsidRPr="00114EE2">
        <w:rPr>
          <w:rFonts w:ascii="Times New Roman" w:eastAsia="Times New Roman" w:hAnsi="Times New Roman"/>
          <w:sz w:val="17"/>
          <w:szCs w:val="17"/>
        </w:rPr>
        <w:t xml:space="preserve">Notice is hereby given pursuant to Section 197(3) and 198(4) of the </w:t>
      </w:r>
      <w:r w:rsidRPr="00114EE2">
        <w:rPr>
          <w:rFonts w:ascii="Times New Roman" w:eastAsia="Times New Roman" w:hAnsi="Times New Roman"/>
          <w:i/>
          <w:sz w:val="17"/>
          <w:szCs w:val="17"/>
        </w:rPr>
        <w:t>Local Government Act 1999</w:t>
      </w:r>
      <w:r w:rsidRPr="00114EE2">
        <w:rPr>
          <w:rFonts w:ascii="Times New Roman" w:eastAsia="Times New Roman" w:hAnsi="Times New Roman"/>
          <w:sz w:val="17"/>
          <w:szCs w:val="17"/>
        </w:rPr>
        <w:t xml:space="preserve"> that the Council of the City of Tea Tree Gully did, at its meetings of:</w:t>
      </w:r>
    </w:p>
    <w:p w:rsidR="00114EE2" w:rsidRPr="00114EE2" w:rsidRDefault="00114EE2" w:rsidP="00646E85">
      <w:pPr>
        <w:numPr>
          <w:ilvl w:val="0"/>
          <w:numId w:val="69"/>
        </w:numPr>
        <w:spacing w:after="0"/>
        <w:rPr>
          <w:rFonts w:ascii="Times New Roman" w:eastAsia="Times New Roman" w:hAnsi="Times New Roman"/>
          <w:sz w:val="17"/>
          <w:szCs w:val="17"/>
        </w:rPr>
      </w:pPr>
      <w:r w:rsidRPr="00114EE2">
        <w:rPr>
          <w:rFonts w:ascii="Times New Roman" w:eastAsia="Times New Roman" w:hAnsi="Times New Roman"/>
          <w:sz w:val="17"/>
          <w:szCs w:val="17"/>
        </w:rPr>
        <w:t>14 December 2021</w:t>
      </w:r>
    </w:p>
    <w:p w:rsidR="00114EE2" w:rsidRPr="00114EE2" w:rsidRDefault="00114EE2" w:rsidP="00646E85">
      <w:pPr>
        <w:numPr>
          <w:ilvl w:val="0"/>
          <w:numId w:val="69"/>
        </w:numPr>
        <w:spacing w:after="0"/>
        <w:rPr>
          <w:rFonts w:ascii="Times New Roman" w:eastAsia="Times New Roman" w:hAnsi="Times New Roman"/>
          <w:sz w:val="17"/>
          <w:szCs w:val="17"/>
        </w:rPr>
      </w:pPr>
      <w:r w:rsidRPr="00114EE2">
        <w:rPr>
          <w:rFonts w:ascii="Times New Roman" w:eastAsia="Times New Roman" w:hAnsi="Times New Roman"/>
          <w:sz w:val="17"/>
          <w:szCs w:val="17"/>
        </w:rPr>
        <w:t>23 November 2021</w:t>
      </w:r>
    </w:p>
    <w:p w:rsidR="00114EE2" w:rsidRPr="00114EE2" w:rsidRDefault="00114EE2" w:rsidP="00646E85">
      <w:pPr>
        <w:numPr>
          <w:ilvl w:val="0"/>
          <w:numId w:val="69"/>
        </w:numPr>
        <w:spacing w:after="0"/>
        <w:rPr>
          <w:rFonts w:ascii="Times New Roman" w:eastAsia="Times New Roman" w:hAnsi="Times New Roman"/>
          <w:sz w:val="17"/>
          <w:szCs w:val="17"/>
        </w:rPr>
      </w:pPr>
      <w:r w:rsidRPr="00114EE2">
        <w:rPr>
          <w:rFonts w:ascii="Times New Roman" w:eastAsia="Times New Roman" w:hAnsi="Times New Roman"/>
          <w:sz w:val="17"/>
          <w:szCs w:val="17"/>
        </w:rPr>
        <w:t>14 September 2021</w:t>
      </w:r>
    </w:p>
    <w:p w:rsidR="00114EE2" w:rsidRPr="00114EE2" w:rsidRDefault="00114EE2" w:rsidP="00646E85">
      <w:pPr>
        <w:numPr>
          <w:ilvl w:val="0"/>
          <w:numId w:val="69"/>
        </w:numPr>
        <w:spacing w:after="0"/>
        <w:rPr>
          <w:rFonts w:ascii="Times New Roman" w:eastAsia="Times New Roman" w:hAnsi="Times New Roman"/>
          <w:sz w:val="17"/>
          <w:szCs w:val="17"/>
        </w:rPr>
      </w:pPr>
      <w:r w:rsidRPr="00114EE2">
        <w:rPr>
          <w:rFonts w:ascii="Times New Roman" w:eastAsia="Times New Roman" w:hAnsi="Times New Roman"/>
          <w:sz w:val="17"/>
          <w:szCs w:val="17"/>
        </w:rPr>
        <w:t>1 September 2021</w:t>
      </w:r>
    </w:p>
    <w:p w:rsidR="00114EE2" w:rsidRPr="00114EE2" w:rsidRDefault="00114EE2" w:rsidP="00646E85">
      <w:pPr>
        <w:numPr>
          <w:ilvl w:val="0"/>
          <w:numId w:val="69"/>
        </w:numPr>
        <w:spacing w:after="0"/>
        <w:rPr>
          <w:rFonts w:ascii="Times New Roman" w:eastAsia="Times New Roman" w:hAnsi="Times New Roman"/>
          <w:sz w:val="17"/>
          <w:szCs w:val="17"/>
        </w:rPr>
      </w:pPr>
      <w:r w:rsidRPr="00114EE2">
        <w:rPr>
          <w:rFonts w:ascii="Times New Roman" w:eastAsia="Times New Roman" w:hAnsi="Times New Roman"/>
          <w:sz w:val="17"/>
          <w:szCs w:val="17"/>
        </w:rPr>
        <w:t>9 April 2019</w:t>
      </w:r>
    </w:p>
    <w:p w:rsidR="00114EE2" w:rsidRPr="00114EE2" w:rsidRDefault="00114EE2" w:rsidP="00646E85">
      <w:pPr>
        <w:numPr>
          <w:ilvl w:val="0"/>
          <w:numId w:val="69"/>
        </w:numPr>
        <w:spacing w:after="0"/>
        <w:rPr>
          <w:rFonts w:ascii="Times New Roman" w:eastAsia="Times New Roman" w:hAnsi="Times New Roman"/>
          <w:sz w:val="17"/>
          <w:szCs w:val="17"/>
        </w:rPr>
      </w:pPr>
      <w:r w:rsidRPr="00114EE2">
        <w:rPr>
          <w:rFonts w:ascii="Times New Roman" w:eastAsia="Times New Roman" w:hAnsi="Times New Roman"/>
          <w:sz w:val="17"/>
          <w:szCs w:val="17"/>
        </w:rPr>
        <w:t>13 July 2021</w:t>
      </w:r>
    </w:p>
    <w:p w:rsidR="00114EE2" w:rsidRPr="00114EE2" w:rsidRDefault="00114EE2" w:rsidP="00646E85">
      <w:pPr>
        <w:numPr>
          <w:ilvl w:val="0"/>
          <w:numId w:val="69"/>
        </w:numPr>
        <w:spacing w:after="0"/>
        <w:rPr>
          <w:rFonts w:ascii="Times New Roman" w:eastAsia="Times New Roman" w:hAnsi="Times New Roman"/>
          <w:sz w:val="17"/>
          <w:szCs w:val="17"/>
        </w:rPr>
      </w:pPr>
      <w:r w:rsidRPr="00114EE2">
        <w:rPr>
          <w:rFonts w:ascii="Times New Roman" w:eastAsia="Times New Roman" w:hAnsi="Times New Roman"/>
          <w:sz w:val="17"/>
          <w:szCs w:val="17"/>
        </w:rPr>
        <w:t>19 January 2021</w:t>
      </w:r>
    </w:p>
    <w:p w:rsidR="00114EE2" w:rsidRPr="00114EE2" w:rsidRDefault="00114EE2" w:rsidP="00646E85">
      <w:pPr>
        <w:numPr>
          <w:ilvl w:val="0"/>
          <w:numId w:val="69"/>
        </w:numPr>
        <w:spacing w:after="0"/>
        <w:rPr>
          <w:rFonts w:ascii="Times New Roman" w:eastAsia="Times New Roman" w:hAnsi="Times New Roman"/>
          <w:sz w:val="17"/>
          <w:szCs w:val="17"/>
        </w:rPr>
      </w:pPr>
      <w:r w:rsidRPr="00114EE2">
        <w:rPr>
          <w:rFonts w:ascii="Times New Roman" w:eastAsia="Times New Roman" w:hAnsi="Times New Roman"/>
          <w:sz w:val="17"/>
          <w:szCs w:val="17"/>
        </w:rPr>
        <w:t>8 December 2020</w:t>
      </w:r>
    </w:p>
    <w:p w:rsidR="00114EE2" w:rsidRPr="00114EE2" w:rsidRDefault="00114EE2" w:rsidP="00646E85">
      <w:pPr>
        <w:numPr>
          <w:ilvl w:val="0"/>
          <w:numId w:val="69"/>
        </w:numPr>
        <w:spacing w:after="0"/>
        <w:rPr>
          <w:rFonts w:ascii="Times New Roman" w:eastAsia="Times New Roman" w:hAnsi="Times New Roman"/>
          <w:sz w:val="17"/>
          <w:szCs w:val="17"/>
        </w:rPr>
      </w:pPr>
      <w:r w:rsidRPr="00114EE2">
        <w:rPr>
          <w:rFonts w:ascii="Times New Roman" w:eastAsia="Times New Roman" w:hAnsi="Times New Roman"/>
          <w:sz w:val="17"/>
          <w:szCs w:val="17"/>
        </w:rPr>
        <w:t>24 November 2020</w:t>
      </w:r>
    </w:p>
    <w:p w:rsidR="00114EE2" w:rsidRPr="00114EE2" w:rsidRDefault="00114EE2" w:rsidP="00646E85">
      <w:pPr>
        <w:numPr>
          <w:ilvl w:val="0"/>
          <w:numId w:val="69"/>
        </w:numPr>
        <w:spacing w:after="0"/>
        <w:rPr>
          <w:rFonts w:ascii="Times New Roman" w:eastAsia="Times New Roman" w:hAnsi="Times New Roman"/>
          <w:sz w:val="17"/>
          <w:szCs w:val="17"/>
        </w:rPr>
      </w:pPr>
      <w:r w:rsidRPr="00114EE2">
        <w:rPr>
          <w:rFonts w:ascii="Times New Roman" w:eastAsia="Times New Roman" w:hAnsi="Times New Roman"/>
          <w:sz w:val="17"/>
          <w:szCs w:val="17"/>
        </w:rPr>
        <w:t>25 August 2020</w:t>
      </w:r>
    </w:p>
    <w:p w:rsidR="00114EE2" w:rsidRPr="00114EE2" w:rsidRDefault="00114EE2" w:rsidP="00646E85">
      <w:pPr>
        <w:numPr>
          <w:ilvl w:val="0"/>
          <w:numId w:val="69"/>
        </w:numPr>
        <w:spacing w:after="0"/>
        <w:rPr>
          <w:rFonts w:ascii="Times New Roman" w:eastAsia="Times New Roman" w:hAnsi="Times New Roman"/>
          <w:sz w:val="17"/>
          <w:szCs w:val="17"/>
        </w:rPr>
      </w:pPr>
      <w:r w:rsidRPr="00114EE2">
        <w:rPr>
          <w:rFonts w:ascii="Times New Roman" w:eastAsia="Times New Roman" w:hAnsi="Times New Roman"/>
          <w:sz w:val="17"/>
          <w:szCs w:val="17"/>
        </w:rPr>
        <w:t>25 June 2019</w:t>
      </w:r>
    </w:p>
    <w:p w:rsidR="00114EE2" w:rsidRPr="00114EE2" w:rsidRDefault="00114EE2" w:rsidP="00646E85">
      <w:pPr>
        <w:numPr>
          <w:ilvl w:val="0"/>
          <w:numId w:val="69"/>
        </w:numPr>
        <w:spacing w:after="0"/>
        <w:rPr>
          <w:rFonts w:ascii="Times New Roman" w:eastAsia="Times New Roman" w:hAnsi="Times New Roman"/>
          <w:sz w:val="17"/>
          <w:szCs w:val="17"/>
        </w:rPr>
      </w:pPr>
      <w:r w:rsidRPr="00114EE2">
        <w:rPr>
          <w:rFonts w:ascii="Times New Roman" w:eastAsia="Times New Roman" w:hAnsi="Times New Roman"/>
          <w:sz w:val="17"/>
          <w:szCs w:val="17"/>
        </w:rPr>
        <w:t>23 May 2017</w:t>
      </w:r>
    </w:p>
    <w:p w:rsidR="00114EE2" w:rsidRPr="00114EE2" w:rsidRDefault="00114EE2" w:rsidP="00646E85">
      <w:pPr>
        <w:numPr>
          <w:ilvl w:val="0"/>
          <w:numId w:val="69"/>
        </w:numPr>
        <w:spacing w:after="0"/>
        <w:rPr>
          <w:rFonts w:ascii="Times New Roman" w:eastAsia="Times New Roman" w:hAnsi="Times New Roman"/>
          <w:sz w:val="17"/>
          <w:szCs w:val="17"/>
        </w:rPr>
      </w:pPr>
      <w:r w:rsidRPr="00114EE2">
        <w:rPr>
          <w:rFonts w:ascii="Times New Roman" w:eastAsia="Times New Roman" w:hAnsi="Times New Roman"/>
          <w:sz w:val="17"/>
          <w:szCs w:val="17"/>
        </w:rPr>
        <w:t>27 June 2017</w:t>
      </w:r>
    </w:p>
    <w:p w:rsidR="00114EE2" w:rsidRPr="00114EE2" w:rsidRDefault="00114EE2" w:rsidP="00646E85">
      <w:pPr>
        <w:numPr>
          <w:ilvl w:val="0"/>
          <w:numId w:val="69"/>
        </w:numPr>
        <w:rPr>
          <w:rFonts w:ascii="Times New Roman" w:eastAsia="Times New Roman" w:hAnsi="Times New Roman"/>
          <w:sz w:val="17"/>
          <w:szCs w:val="17"/>
        </w:rPr>
      </w:pPr>
      <w:r w:rsidRPr="00114EE2">
        <w:rPr>
          <w:rFonts w:ascii="Times New Roman" w:eastAsia="Times New Roman" w:hAnsi="Times New Roman"/>
          <w:sz w:val="17"/>
          <w:szCs w:val="17"/>
        </w:rPr>
        <w:t>1 October 2016</w:t>
      </w:r>
    </w:p>
    <w:p w:rsidR="00114EE2" w:rsidRPr="00114EE2" w:rsidRDefault="00114EE2" w:rsidP="00114EE2">
      <w:pPr>
        <w:rPr>
          <w:rFonts w:ascii="Times New Roman" w:eastAsia="Times New Roman" w:hAnsi="Times New Roman"/>
          <w:sz w:val="17"/>
          <w:szCs w:val="17"/>
        </w:rPr>
      </w:pPr>
      <w:r w:rsidRPr="00114EE2">
        <w:rPr>
          <w:rFonts w:ascii="Times New Roman" w:eastAsia="Times New Roman" w:hAnsi="Times New Roman"/>
          <w:sz w:val="17"/>
          <w:szCs w:val="17"/>
        </w:rPr>
        <w:t>resolve to adopt amended Community Land Management Plans for various locations within the City of Tea Tree Gully.</w:t>
      </w:r>
    </w:p>
    <w:p w:rsidR="00114EE2" w:rsidRPr="00114EE2" w:rsidRDefault="00114EE2" w:rsidP="00114EE2">
      <w:pPr>
        <w:rPr>
          <w:rFonts w:ascii="Times New Roman" w:eastAsia="Times New Roman" w:hAnsi="Times New Roman"/>
          <w:sz w:val="17"/>
          <w:szCs w:val="17"/>
        </w:rPr>
      </w:pPr>
      <w:r w:rsidRPr="00114EE2">
        <w:rPr>
          <w:rFonts w:ascii="Times New Roman" w:eastAsia="Times New Roman" w:hAnsi="Times New Roman"/>
          <w:sz w:val="17"/>
          <w:szCs w:val="17"/>
        </w:rPr>
        <w:t xml:space="preserve">A copy of the Amendment Register may be viewed by visiting Council’s </w:t>
      </w:r>
      <w:hyperlink r:id="rId123" w:history="1">
        <w:r w:rsidRPr="00114EE2">
          <w:rPr>
            <w:rFonts w:ascii="Times New Roman" w:eastAsia="Times New Roman" w:hAnsi="Times New Roman"/>
            <w:color w:val="0000FF"/>
            <w:sz w:val="17"/>
            <w:szCs w:val="17"/>
            <w:u w:val="single"/>
          </w:rPr>
          <w:t>website</w:t>
        </w:r>
      </w:hyperlink>
      <w:r w:rsidRPr="00114EE2">
        <w:rPr>
          <w:rFonts w:ascii="Times New Roman" w:eastAsia="Times New Roman" w:hAnsi="Times New Roman"/>
          <w:sz w:val="17"/>
          <w:szCs w:val="17"/>
        </w:rPr>
        <w:t xml:space="preserve"> and the amended Community Land Management Plans may be viewed at the following link: </w:t>
      </w:r>
      <w:hyperlink r:id="rId124" w:history="1">
        <w:r w:rsidRPr="00114EE2">
          <w:rPr>
            <w:rFonts w:ascii="Times New Roman" w:eastAsia="Times New Roman" w:hAnsi="Times New Roman"/>
            <w:color w:val="0000FF"/>
            <w:sz w:val="17"/>
            <w:szCs w:val="17"/>
            <w:u w:val="single"/>
          </w:rPr>
          <w:t>Council documents | City of Tea Tree Gully</w:t>
        </w:r>
      </w:hyperlink>
      <w:r w:rsidRPr="00114EE2">
        <w:rPr>
          <w:rFonts w:ascii="Times New Roman" w:eastAsia="Times New Roman" w:hAnsi="Times New Roman"/>
          <w:sz w:val="17"/>
          <w:szCs w:val="17"/>
        </w:rPr>
        <w:t>.</w:t>
      </w:r>
    </w:p>
    <w:p w:rsidR="00114EE2" w:rsidRPr="00114EE2" w:rsidRDefault="00114EE2" w:rsidP="00114EE2">
      <w:pPr>
        <w:spacing w:after="0"/>
        <w:rPr>
          <w:rFonts w:ascii="Times New Roman" w:eastAsia="Times New Roman" w:hAnsi="Times New Roman"/>
          <w:sz w:val="17"/>
          <w:szCs w:val="17"/>
        </w:rPr>
      </w:pPr>
      <w:r w:rsidRPr="00114EE2">
        <w:rPr>
          <w:rFonts w:ascii="Times New Roman" w:eastAsia="Times New Roman" w:hAnsi="Times New Roman"/>
          <w:sz w:val="17"/>
          <w:szCs w:val="17"/>
        </w:rPr>
        <w:t>Dated: 23 December 2021</w:t>
      </w:r>
    </w:p>
    <w:p w:rsidR="00114EE2" w:rsidRPr="00114EE2" w:rsidRDefault="00114EE2" w:rsidP="00114EE2">
      <w:pPr>
        <w:spacing w:after="0"/>
        <w:jc w:val="right"/>
        <w:rPr>
          <w:rFonts w:ascii="Times New Roman" w:eastAsia="Times New Roman" w:hAnsi="Times New Roman"/>
          <w:smallCaps/>
          <w:sz w:val="17"/>
          <w:szCs w:val="20"/>
        </w:rPr>
      </w:pPr>
      <w:r w:rsidRPr="00114EE2">
        <w:rPr>
          <w:rFonts w:ascii="Times New Roman" w:eastAsia="Times New Roman" w:hAnsi="Times New Roman"/>
          <w:smallCaps/>
          <w:sz w:val="17"/>
          <w:szCs w:val="20"/>
        </w:rPr>
        <w:t>John Moyle</w:t>
      </w:r>
    </w:p>
    <w:p w:rsidR="00D56992" w:rsidRDefault="00114EE2" w:rsidP="006C10DB">
      <w:pPr>
        <w:pStyle w:val="GG-Signature"/>
      </w:pPr>
      <w:r w:rsidRPr="00114EE2">
        <w:t>Chief Executive Officer</w:t>
      </w:r>
    </w:p>
    <w:p w:rsidR="00D56992" w:rsidRDefault="00D56992" w:rsidP="00D56992">
      <w:pPr>
        <w:pBdr>
          <w:bottom w:val="single" w:sz="4" w:space="1" w:color="auto"/>
        </w:pBdr>
        <w:spacing w:after="0" w:line="52" w:lineRule="exact"/>
        <w:jc w:val="center"/>
        <w:rPr>
          <w:rFonts w:ascii="Times New Roman" w:eastAsia="Times New Roman" w:hAnsi="Times New Roman"/>
          <w:sz w:val="17"/>
          <w:szCs w:val="20"/>
        </w:rPr>
      </w:pPr>
    </w:p>
    <w:p w:rsidR="00D56992" w:rsidRDefault="00D56992" w:rsidP="00D56992">
      <w:pPr>
        <w:pBdr>
          <w:top w:val="single" w:sz="4" w:space="1" w:color="auto"/>
        </w:pBdr>
        <w:spacing w:before="34" w:after="0" w:line="14" w:lineRule="exact"/>
        <w:jc w:val="center"/>
        <w:rPr>
          <w:rFonts w:ascii="Times New Roman" w:eastAsia="Times New Roman" w:hAnsi="Times New Roman"/>
          <w:sz w:val="17"/>
          <w:szCs w:val="20"/>
        </w:rPr>
      </w:pPr>
    </w:p>
    <w:p w:rsidR="00D56992" w:rsidRDefault="00D56992" w:rsidP="00D569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Times New Roman" w:eastAsia="Times New Roman" w:hAnsi="Times New Roman"/>
          <w:sz w:val="17"/>
          <w:szCs w:val="20"/>
        </w:rPr>
      </w:pPr>
    </w:p>
    <w:p w:rsidR="00CA3C3A" w:rsidRPr="003471CD" w:rsidRDefault="00CA3C3A" w:rsidP="00D569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Times New Roman" w:eastAsia="Times New Roman" w:hAnsi="Times New Roman"/>
          <w:sz w:val="17"/>
          <w:szCs w:val="20"/>
        </w:rPr>
      </w:pPr>
      <w:r w:rsidRPr="003471CD">
        <w:rPr>
          <w:rFonts w:ascii="Times New Roman" w:eastAsia="Times New Roman" w:hAnsi="Times New Roman"/>
          <w:sz w:val="17"/>
          <w:szCs w:val="20"/>
        </w:rPr>
        <w:br w:type="page"/>
      </w:r>
    </w:p>
    <w:p w:rsidR="00CA3C3A" w:rsidRPr="003471CD" w:rsidRDefault="00CA3C3A" w:rsidP="009C23A5">
      <w:pPr>
        <w:pStyle w:val="Heading1"/>
      </w:pPr>
      <w:bookmarkStart w:id="180" w:name="_Toc91161278"/>
      <w:r w:rsidRPr="003471CD">
        <w:lastRenderedPageBreak/>
        <w:t>Public Notices</w:t>
      </w:r>
      <w:bookmarkEnd w:id="180"/>
    </w:p>
    <w:p w:rsidR="006F062C" w:rsidRPr="00D87757" w:rsidRDefault="006F062C" w:rsidP="00B069DE">
      <w:pPr>
        <w:pStyle w:val="Heading2"/>
      </w:pPr>
      <w:bookmarkStart w:id="181" w:name="_Toc91161279"/>
      <w:bookmarkStart w:id="182" w:name="OLE_LINK3"/>
      <w:bookmarkStart w:id="183" w:name="OLE_LINK4"/>
      <w:r w:rsidRPr="00D87757">
        <w:t>National Electricity Law</w:t>
      </w:r>
      <w:bookmarkEnd w:id="181"/>
    </w:p>
    <w:bookmarkEnd w:id="182"/>
    <w:bookmarkEnd w:id="183"/>
    <w:p w:rsidR="006F062C" w:rsidRPr="0065737E" w:rsidRDefault="006F062C" w:rsidP="006F062C">
      <w:pPr>
        <w:pStyle w:val="GG-Title3"/>
        <w:spacing w:after="0"/>
        <w:rPr>
          <w:lang w:val="en-US"/>
        </w:rPr>
      </w:pPr>
      <w:r w:rsidRPr="0065737E">
        <w:rPr>
          <w:lang w:val="en-US"/>
        </w:rPr>
        <w:t>Final Determination and Final Rule</w:t>
      </w:r>
    </w:p>
    <w:p w:rsidR="006F062C" w:rsidRPr="00D87757" w:rsidRDefault="006F062C" w:rsidP="00570001">
      <w:pPr>
        <w:pStyle w:val="GG-Title3"/>
        <w:spacing w:after="60"/>
        <w:rPr>
          <w:lang w:val="en-US"/>
        </w:rPr>
      </w:pPr>
      <w:r w:rsidRPr="0065737E">
        <w:rPr>
          <w:lang w:val="en-US"/>
        </w:rPr>
        <w:t>Making a Draft Determination</w:t>
      </w:r>
    </w:p>
    <w:p w:rsidR="006F062C" w:rsidRPr="00D87757" w:rsidRDefault="006F062C" w:rsidP="00570001">
      <w:pPr>
        <w:pStyle w:val="GG-body"/>
        <w:spacing w:after="60"/>
        <w:rPr>
          <w:lang w:val="en-US"/>
        </w:rPr>
      </w:pPr>
      <w:r w:rsidRPr="00D87757">
        <w:rPr>
          <w:lang w:val="en-US"/>
        </w:rPr>
        <w:t>The Australian Energy Market Commission (AEMC) gives notice under the National Electricity Law as follows:</w:t>
      </w:r>
    </w:p>
    <w:p w:rsidR="006F062C" w:rsidRPr="00710E1B" w:rsidRDefault="006F062C" w:rsidP="00570001">
      <w:pPr>
        <w:pStyle w:val="GG-body"/>
        <w:spacing w:after="60"/>
        <w:ind w:left="160"/>
        <w:rPr>
          <w:spacing w:val="-3"/>
          <w:lang w:val="en-US"/>
        </w:rPr>
      </w:pPr>
      <w:r w:rsidRPr="00710E1B">
        <w:rPr>
          <w:spacing w:val="-3"/>
          <w:lang w:val="en-US"/>
        </w:rPr>
        <w:t xml:space="preserve">Under ss 102 and 103, the making of the </w:t>
      </w:r>
      <w:r w:rsidRPr="00710E1B">
        <w:rPr>
          <w:i/>
          <w:iCs/>
          <w:spacing w:val="-3"/>
          <w:lang w:val="en-US"/>
        </w:rPr>
        <w:t>National Electricity Amendment (Removal of unaccounted for energy from liable load in the Retailer Reliability Obligation) Rule 2021 No. 16</w:t>
      </w:r>
      <w:r w:rsidRPr="00710E1B">
        <w:rPr>
          <w:spacing w:val="-3"/>
          <w:lang w:val="en-US"/>
        </w:rPr>
        <w:t xml:space="preserve"> (Ref. ERC0333) and related final determination. All provisions commence on </w:t>
      </w:r>
      <w:r w:rsidRPr="00710E1B">
        <w:rPr>
          <w:b/>
          <w:bCs/>
          <w:spacing w:val="-3"/>
          <w:lang w:val="en-US"/>
        </w:rPr>
        <w:t>1 May 2022</w:t>
      </w:r>
      <w:r w:rsidR="009E4FC9">
        <w:rPr>
          <w:spacing w:val="-3"/>
          <w:lang w:val="en-US"/>
        </w:rPr>
        <w:t>.</w:t>
      </w:r>
    </w:p>
    <w:p w:rsidR="006F062C" w:rsidRPr="00724A6D" w:rsidRDefault="006F062C" w:rsidP="00570001">
      <w:pPr>
        <w:pStyle w:val="GG-body"/>
        <w:spacing w:after="60"/>
        <w:ind w:left="160"/>
        <w:rPr>
          <w:b/>
          <w:lang w:val="en-US"/>
        </w:rPr>
      </w:pPr>
      <w:r w:rsidRPr="0065737E">
        <w:rPr>
          <w:lang w:val="en-US"/>
        </w:rPr>
        <w:t xml:space="preserve">Under s 99, the making of a draft determination and related draft rule on the </w:t>
      </w:r>
      <w:r w:rsidRPr="0065737E">
        <w:rPr>
          <w:i/>
          <w:iCs/>
          <w:lang w:val="en-US"/>
        </w:rPr>
        <w:t xml:space="preserve">Extension of time and reduction in scope of the 2022 reliability standard and settings review </w:t>
      </w:r>
      <w:r w:rsidRPr="0065737E">
        <w:rPr>
          <w:lang w:val="en-US"/>
        </w:rPr>
        <w:t xml:space="preserve">proposal (Ref. ERC0336). Written requests for a pre-determination hearing must be received by </w:t>
      </w:r>
      <w:r w:rsidRPr="0065737E">
        <w:rPr>
          <w:b/>
          <w:bCs/>
          <w:lang w:val="en-US"/>
        </w:rPr>
        <w:t>6 January 2022</w:t>
      </w:r>
      <w:r w:rsidRPr="0065737E">
        <w:rPr>
          <w:lang w:val="en-US"/>
        </w:rPr>
        <w:t xml:space="preserve">. Submissions must be received by </w:t>
      </w:r>
      <w:r w:rsidRPr="0065737E">
        <w:rPr>
          <w:b/>
          <w:bCs/>
          <w:lang w:val="en-US"/>
        </w:rPr>
        <w:t>3 February 2022</w:t>
      </w:r>
      <w:r w:rsidR="009E4FC9">
        <w:rPr>
          <w:lang w:val="en-US"/>
        </w:rPr>
        <w:t>.</w:t>
      </w:r>
    </w:p>
    <w:p w:rsidR="006F062C" w:rsidRPr="009E4FC9" w:rsidRDefault="006F062C" w:rsidP="00570001">
      <w:pPr>
        <w:autoSpaceDE w:val="0"/>
        <w:autoSpaceDN w:val="0"/>
        <w:adjustRightInd w:val="0"/>
        <w:spacing w:after="60"/>
        <w:rPr>
          <w:rStyle w:val="GG-bodyChar"/>
          <w:rFonts w:eastAsia="Calibri"/>
        </w:rPr>
      </w:pPr>
      <w:r>
        <w:rPr>
          <w:rFonts w:ascii="Times New Roman" w:hAnsi="Times New Roman"/>
          <w:sz w:val="17"/>
          <w:szCs w:val="17"/>
        </w:rPr>
        <w:t xml:space="preserve">Written requests should be sent to </w:t>
      </w:r>
      <w:hyperlink r:id="rId125" w:history="1">
        <w:r w:rsidRPr="00F46E98">
          <w:rPr>
            <w:rStyle w:val="Hyperlink"/>
            <w:rFonts w:ascii="Times New Roman" w:hAnsi="Times New Roman"/>
            <w:sz w:val="17"/>
            <w:szCs w:val="17"/>
          </w:rPr>
          <w:t>submissions@aemc.gov.au</w:t>
        </w:r>
      </w:hyperlink>
      <w:r>
        <w:rPr>
          <w:rFonts w:ascii="Times New Roman" w:hAnsi="Times New Roman"/>
          <w:sz w:val="17"/>
          <w:szCs w:val="17"/>
        </w:rPr>
        <w:t xml:space="preserve"> and cite the reference in the title. Before sending a request, please review the AEMC’s privacy statement on its website.</w:t>
      </w:r>
    </w:p>
    <w:p w:rsidR="006F062C" w:rsidRPr="00724A6D" w:rsidRDefault="006F062C" w:rsidP="00570001">
      <w:pPr>
        <w:pStyle w:val="GG-body"/>
        <w:spacing w:after="60"/>
        <w:rPr>
          <w:lang w:val="en-US"/>
        </w:rPr>
      </w:pPr>
      <w:r w:rsidRPr="00B74BA8">
        <w:rPr>
          <w:spacing w:val="-2"/>
          <w:lang w:val="en-US"/>
        </w:rPr>
        <w:t xml:space="preserve">Submissions can be made via the AEMC’s website. Before making a submission, please review the AEMC’s privacy statement on its website. </w:t>
      </w:r>
      <w:r w:rsidRPr="008D60AF">
        <w:rPr>
          <w:lang w:val="en-US"/>
        </w:rPr>
        <w:t>Submissions should be made in accordance with the AEMC’s</w:t>
      </w:r>
      <w:r w:rsidRPr="008D60AF">
        <w:rPr>
          <w:i/>
          <w:lang w:val="en-US"/>
        </w:rPr>
        <w:t xml:space="preserve"> Guidelines for making written submissions on Rule change proposals</w:t>
      </w:r>
      <w:r w:rsidRPr="008D60AF">
        <w:rPr>
          <w:lang w:val="en-US"/>
        </w:rPr>
        <w:t>.</w:t>
      </w:r>
      <w:r w:rsidR="00B74BA8">
        <w:rPr>
          <w:lang w:val="en-US"/>
        </w:rPr>
        <w:t xml:space="preserve"> The </w:t>
      </w:r>
      <w:r w:rsidRPr="00724A6D">
        <w:rPr>
          <w:lang w:val="en-US"/>
        </w:rPr>
        <w:t>AEMC publishes all submissions on its website, subject to confidentiality.</w:t>
      </w:r>
    </w:p>
    <w:p w:rsidR="006F062C" w:rsidRDefault="006F062C" w:rsidP="00570001">
      <w:pPr>
        <w:pStyle w:val="GG-body"/>
        <w:spacing w:after="60"/>
        <w:rPr>
          <w:lang w:val="en-US"/>
        </w:rPr>
      </w:pPr>
      <w:r w:rsidRPr="00724A6D">
        <w:rPr>
          <w:lang w:val="en-US"/>
        </w:rPr>
        <w:t>Documents referred to above are available on the AEMC’s website and are available for inspection at the AEMC’s office.</w:t>
      </w:r>
    </w:p>
    <w:p w:rsidR="006F062C" w:rsidRDefault="006F062C" w:rsidP="006F062C">
      <w:pPr>
        <w:pStyle w:val="GG-body"/>
        <w:spacing w:after="0"/>
        <w:ind w:left="160"/>
      </w:pPr>
      <w:r>
        <w:t>Australian Energy Market Commission</w:t>
      </w:r>
    </w:p>
    <w:p w:rsidR="006F062C" w:rsidRDefault="006F062C" w:rsidP="006F062C">
      <w:pPr>
        <w:pStyle w:val="GG-body"/>
        <w:spacing w:after="0"/>
        <w:ind w:left="160"/>
      </w:pPr>
      <w:r>
        <w:t>Level 15, 60 Castlereagh St</w:t>
      </w:r>
    </w:p>
    <w:p w:rsidR="006F062C" w:rsidRDefault="00197528" w:rsidP="006F062C">
      <w:pPr>
        <w:pStyle w:val="GG-body"/>
        <w:spacing w:after="0"/>
        <w:ind w:left="160"/>
      </w:pPr>
      <w:r>
        <w:t>Sydney NSW 2000</w:t>
      </w:r>
    </w:p>
    <w:p w:rsidR="006F062C" w:rsidRDefault="006F062C" w:rsidP="006F062C">
      <w:pPr>
        <w:pStyle w:val="GG-body"/>
        <w:spacing w:after="0"/>
        <w:ind w:left="160"/>
      </w:pPr>
      <w:r>
        <w:t>Telephone: (02) 8296 7800</w:t>
      </w:r>
    </w:p>
    <w:p w:rsidR="006F062C" w:rsidRPr="004245A2" w:rsidRDefault="00BE58B6" w:rsidP="006F062C">
      <w:pPr>
        <w:pStyle w:val="GG-body"/>
        <w:ind w:left="160"/>
      </w:pPr>
      <w:hyperlink r:id="rId126" w:history="1">
        <w:r w:rsidR="006F062C" w:rsidRPr="00D30F34">
          <w:rPr>
            <w:rStyle w:val="Hyperlink"/>
          </w:rPr>
          <w:t>www.aemc.gov.au</w:t>
        </w:r>
      </w:hyperlink>
      <w:r w:rsidR="006F062C">
        <w:t xml:space="preserve"> </w:t>
      </w:r>
    </w:p>
    <w:p w:rsidR="00CA3C3A" w:rsidRDefault="006F062C" w:rsidP="006F062C">
      <w:pPr>
        <w:pStyle w:val="GG-SDated"/>
      </w:pPr>
      <w:r>
        <w:t>Dated: 23 December 2021</w:t>
      </w:r>
    </w:p>
    <w:p w:rsidR="006F062C" w:rsidRDefault="006F062C" w:rsidP="006F062C">
      <w:pPr>
        <w:pBdr>
          <w:bottom w:val="single" w:sz="4" w:space="1" w:color="auto"/>
        </w:pBdr>
        <w:spacing w:after="0" w:line="52" w:lineRule="exact"/>
        <w:jc w:val="center"/>
      </w:pPr>
    </w:p>
    <w:p w:rsidR="006F062C" w:rsidRDefault="006F062C" w:rsidP="006F062C">
      <w:pPr>
        <w:pBdr>
          <w:top w:val="single" w:sz="4" w:space="1" w:color="auto"/>
        </w:pBdr>
        <w:spacing w:before="34" w:after="0" w:line="14" w:lineRule="exact"/>
        <w:jc w:val="center"/>
      </w:pPr>
    </w:p>
    <w:p w:rsidR="006F062C" w:rsidRDefault="006F062C" w:rsidP="006F062C">
      <w:pPr>
        <w:pStyle w:val="GG-body"/>
        <w:spacing w:after="0"/>
      </w:pPr>
    </w:p>
    <w:p w:rsidR="00313AC1" w:rsidRPr="001163B8" w:rsidRDefault="00313AC1" w:rsidP="00B069DE">
      <w:pPr>
        <w:pStyle w:val="Heading2"/>
        <w:rPr>
          <w:rFonts w:eastAsia="Times New Roman"/>
        </w:rPr>
      </w:pPr>
      <w:bookmarkStart w:id="184" w:name="_Toc91161280"/>
      <w:r w:rsidRPr="001163B8">
        <w:t>Water Industry Act 2012</w:t>
      </w:r>
      <w:bookmarkEnd w:id="184"/>
    </w:p>
    <w:p w:rsidR="00313AC1" w:rsidRPr="001163B8" w:rsidRDefault="00313AC1" w:rsidP="00313AC1">
      <w:pPr>
        <w:pStyle w:val="GG-Title2"/>
        <w:rPr>
          <w:rFonts w:eastAsia="Times New Roman"/>
        </w:rPr>
      </w:pPr>
      <w:r w:rsidRPr="001163B8">
        <w:t>Schedule of Standard Contract</w:t>
      </w:r>
    </w:p>
    <w:p w:rsidR="00313AC1" w:rsidRPr="001163B8" w:rsidRDefault="00313AC1" w:rsidP="007C3513">
      <w:pPr>
        <w:pStyle w:val="GG-Title3"/>
        <w:spacing w:after="60"/>
      </w:pPr>
      <w:r w:rsidRPr="001163B8">
        <w:t>CPE Tonsley Pty Limited</w:t>
      </w:r>
    </w:p>
    <w:p w:rsidR="00313AC1" w:rsidRPr="001163B8" w:rsidRDefault="00313AC1" w:rsidP="007C3513">
      <w:pPr>
        <w:pStyle w:val="GG-body"/>
        <w:spacing w:after="60"/>
      </w:pPr>
      <w:r w:rsidRPr="001163B8">
        <w:t>Applicable to Tonsley Embedded Network from 1 July 2019</w:t>
      </w:r>
    </w:p>
    <w:p w:rsidR="00313AC1" w:rsidRPr="001163B8" w:rsidRDefault="00313AC1" w:rsidP="007C3513">
      <w:pPr>
        <w:pStyle w:val="GG-body"/>
        <w:spacing w:after="60"/>
        <w:rPr>
          <w:b/>
          <w:bCs/>
        </w:rPr>
      </w:pPr>
      <w:r w:rsidRPr="001163B8">
        <w:rPr>
          <w:b/>
          <w:bCs/>
        </w:rPr>
        <w:t>WATER RETAIL CODE</w:t>
      </w:r>
      <w:r w:rsidR="00347D54">
        <w:rPr>
          <w:b/>
          <w:bCs/>
        </w:rPr>
        <w:t>—</w:t>
      </w:r>
      <w:r w:rsidRPr="001163B8">
        <w:rPr>
          <w:b/>
          <w:bCs/>
        </w:rPr>
        <w:t>STANDARD CONTRACT</w:t>
      </w:r>
    </w:p>
    <w:p w:rsidR="00313AC1" w:rsidRPr="001163B8" w:rsidRDefault="00313AC1" w:rsidP="007C3513">
      <w:pPr>
        <w:pStyle w:val="GG-body"/>
        <w:spacing w:after="60"/>
      </w:pPr>
      <w:r w:rsidRPr="001163B8">
        <w:t xml:space="preserve">Pursuant to Section 36 of the </w:t>
      </w:r>
      <w:r w:rsidRPr="00671783">
        <w:rPr>
          <w:i/>
        </w:rPr>
        <w:t>Water Industry Act 2012</w:t>
      </w:r>
      <w:r w:rsidRPr="001163B8">
        <w:t>, I, Adrian Mitchell, General Manager, Legal &amp; Commercial of CleanPeak Energy and Company Secretary of CPE Tonsley Pty Limited, publish the following standard terms and conditions.</w:t>
      </w:r>
    </w:p>
    <w:p w:rsidR="00313AC1" w:rsidRPr="001163B8" w:rsidRDefault="00313AC1" w:rsidP="007C3513">
      <w:pPr>
        <w:pStyle w:val="GG-body"/>
        <w:spacing w:after="60"/>
      </w:pPr>
      <w:r w:rsidRPr="001163B8">
        <w:t xml:space="preserve">These standard terms and conditions may be inspected or obtained at the CPE Tonsley website </w:t>
      </w:r>
      <w:hyperlink r:id="rId127" w:history="1">
        <w:r w:rsidRPr="001163B8">
          <w:rPr>
            <w:rStyle w:val="Hyperlink"/>
          </w:rPr>
          <w:t>https://cleanpeaktonsley.com.au/</w:t>
        </w:r>
      </w:hyperlink>
    </w:p>
    <w:p w:rsidR="00313AC1" w:rsidRPr="001163B8" w:rsidRDefault="00313AC1" w:rsidP="00313AC1">
      <w:pPr>
        <w:pStyle w:val="GG-SDated"/>
      </w:pPr>
      <w:r w:rsidRPr="001163B8">
        <w:t>Dated: 16 December 2021</w:t>
      </w:r>
    </w:p>
    <w:p w:rsidR="00313AC1" w:rsidRPr="001163B8" w:rsidRDefault="00313AC1" w:rsidP="00313AC1">
      <w:pPr>
        <w:pStyle w:val="GG-SName"/>
        <w:rPr>
          <w:szCs w:val="17"/>
        </w:rPr>
      </w:pPr>
      <w:r w:rsidRPr="001163B8">
        <w:rPr>
          <w:szCs w:val="17"/>
        </w:rPr>
        <w:t>Mr Adrian Mitchell</w:t>
      </w:r>
    </w:p>
    <w:p w:rsidR="00313AC1" w:rsidRPr="00976085" w:rsidRDefault="00313AC1" w:rsidP="00976085">
      <w:pPr>
        <w:pStyle w:val="GG-Signature"/>
      </w:pPr>
      <w:r w:rsidRPr="00976085">
        <w:t>Gene</w:t>
      </w:r>
      <w:r w:rsidR="005C78B1" w:rsidRPr="00976085">
        <w:t>ral Manager, Legal &amp; Commercial</w:t>
      </w:r>
    </w:p>
    <w:p w:rsidR="00313AC1" w:rsidRDefault="00313AC1" w:rsidP="00976085">
      <w:pPr>
        <w:pStyle w:val="GG-Signature"/>
      </w:pPr>
      <w:r w:rsidRPr="00976085">
        <w:t>CleanPeak Energy</w:t>
      </w:r>
    </w:p>
    <w:p w:rsidR="00976085" w:rsidRDefault="00976085" w:rsidP="00976085">
      <w:pPr>
        <w:pStyle w:val="GG-Signature"/>
        <w:pBdr>
          <w:top w:val="single" w:sz="4" w:space="1" w:color="auto"/>
        </w:pBdr>
        <w:spacing w:before="100" w:after="80" w:line="14" w:lineRule="exact"/>
        <w:ind w:left="1080" w:right="1080"/>
        <w:jc w:val="center"/>
      </w:pPr>
    </w:p>
    <w:p w:rsidR="00313AC1" w:rsidRPr="001163B8" w:rsidRDefault="00313AC1" w:rsidP="00313AC1">
      <w:pPr>
        <w:pStyle w:val="GG-Title2"/>
      </w:pPr>
      <w:r w:rsidRPr="001163B8">
        <w:t>Standard Customer Sale Contract</w:t>
      </w:r>
    </w:p>
    <w:p w:rsidR="00313AC1" w:rsidRPr="001163B8" w:rsidRDefault="00E005FF" w:rsidP="00313AC1">
      <w:pPr>
        <w:pStyle w:val="GG-Title3"/>
      </w:pPr>
      <w:r>
        <w:t>Water Retail Service—</w:t>
      </w:r>
      <w:r w:rsidR="00313AC1" w:rsidRPr="001163B8">
        <w:t>Tonsley</w:t>
      </w:r>
    </w:p>
    <w:p w:rsidR="00313AC1" w:rsidRPr="001163B8" w:rsidRDefault="00313AC1" w:rsidP="00313AC1">
      <w:pPr>
        <w:pStyle w:val="GG-body"/>
      </w:pPr>
      <w:r w:rsidRPr="001163B8">
        <w:t xml:space="preserve">This contract sets out the terms on which we supply retail services to you as a customer at your current supply address in accordance with the </w:t>
      </w:r>
      <w:r w:rsidRPr="00BD6CA4">
        <w:rPr>
          <w:i/>
        </w:rPr>
        <w:t>Wate</w:t>
      </w:r>
      <w:r w:rsidR="00F710B6" w:rsidRPr="00BD6CA4">
        <w:rPr>
          <w:i/>
        </w:rPr>
        <w:t>r Industry Act 2012</w:t>
      </w:r>
      <w:r w:rsidR="00F710B6">
        <w:t xml:space="preserve"> (the Act).</w:t>
      </w:r>
    </w:p>
    <w:p w:rsidR="00313AC1" w:rsidRPr="001163B8" w:rsidRDefault="00313AC1" w:rsidP="00313AC1">
      <w:pPr>
        <w:pStyle w:val="GG-body"/>
      </w:pPr>
      <w:r w:rsidRPr="001163B8">
        <w:t>These standard terms and conditions are published in accordance with section 36 of the Act. These standard terms and conditions will come into force on 1 January 2022 and, when in force, the terms will, by law, be binding on us and you. The document does not have to be signed to be binding.</w:t>
      </w:r>
    </w:p>
    <w:p w:rsidR="00313AC1" w:rsidRPr="00B11BB9" w:rsidRDefault="00313AC1" w:rsidP="00646E85">
      <w:pPr>
        <w:pStyle w:val="GG-body"/>
        <w:numPr>
          <w:ilvl w:val="0"/>
          <w:numId w:val="26"/>
        </w:numPr>
      </w:pPr>
      <w:bookmarkStart w:id="185" w:name="_Toc12293598"/>
      <w:r w:rsidRPr="00B11BB9">
        <w:rPr>
          <w:b/>
        </w:rPr>
        <w:t>THE PARTIES</w:t>
      </w:r>
      <w:bookmarkEnd w:id="185"/>
    </w:p>
    <w:p w:rsidR="00313AC1" w:rsidRPr="00B11BB9" w:rsidRDefault="00313AC1" w:rsidP="00646E85">
      <w:pPr>
        <w:pStyle w:val="GG-body"/>
        <w:numPr>
          <w:ilvl w:val="1"/>
          <w:numId w:val="26"/>
        </w:numPr>
      </w:pPr>
      <w:r w:rsidRPr="00B11BB9">
        <w:t xml:space="preserve">This </w:t>
      </w:r>
      <w:r w:rsidRPr="00B11BB9">
        <w:rPr>
          <w:b/>
        </w:rPr>
        <w:t>contract</w:t>
      </w:r>
      <w:r w:rsidRPr="00B11BB9">
        <w:t xml:space="preserve"> is between:</w:t>
      </w:r>
    </w:p>
    <w:p w:rsidR="00313AC1" w:rsidRPr="00B11BB9" w:rsidRDefault="00313AC1" w:rsidP="00313AC1">
      <w:pPr>
        <w:pStyle w:val="GG-body"/>
        <w:ind w:left="1120"/>
      </w:pPr>
      <w:r w:rsidRPr="00B11BB9">
        <w:t xml:space="preserve">CPE Tonsley Pty Ltd (ACN 623 288 175) of PO Box 786, North Sydney NSW 2060 (referred to in this </w:t>
      </w:r>
      <w:r w:rsidRPr="00B11BB9">
        <w:rPr>
          <w:b/>
        </w:rPr>
        <w:t>contract</w:t>
      </w:r>
      <w:r w:rsidRPr="00B11BB9">
        <w:t xml:space="preserve"> as </w:t>
      </w:r>
      <w:r w:rsidR="00F710B6">
        <w:t>“</w:t>
      </w:r>
      <w:r w:rsidRPr="00B11BB9">
        <w:t>we</w:t>
      </w:r>
      <w:r w:rsidR="00F710B6">
        <w:t>”</w:t>
      </w:r>
      <w:r w:rsidRPr="00B11BB9">
        <w:t xml:space="preserve">, </w:t>
      </w:r>
      <w:r w:rsidR="00F710B6">
        <w:t>“</w:t>
      </w:r>
      <w:r w:rsidRPr="00B11BB9">
        <w:t>our</w:t>
      </w:r>
      <w:r w:rsidR="00F710B6">
        <w:t>”</w:t>
      </w:r>
      <w:r w:rsidRPr="00B11BB9">
        <w:t xml:space="preserve">, or </w:t>
      </w:r>
      <w:r w:rsidR="00F710B6">
        <w:t>“</w:t>
      </w:r>
      <w:r w:rsidRPr="00B11BB9">
        <w:t>us</w:t>
      </w:r>
      <w:r w:rsidR="00F710B6">
        <w:t>”</w:t>
      </w:r>
      <w:r w:rsidRPr="00B11BB9">
        <w:t>); and</w:t>
      </w:r>
    </w:p>
    <w:p w:rsidR="00313AC1" w:rsidRPr="00A53914" w:rsidRDefault="00313AC1" w:rsidP="00313AC1">
      <w:pPr>
        <w:pStyle w:val="GG-body"/>
        <w:ind w:left="1120"/>
        <w:rPr>
          <w:spacing w:val="-2"/>
        </w:rPr>
      </w:pPr>
      <w:r w:rsidRPr="00A53914">
        <w:rPr>
          <w:spacing w:val="-2"/>
        </w:rPr>
        <w:t xml:space="preserve">You, the </w:t>
      </w:r>
      <w:r w:rsidRPr="00A53914">
        <w:rPr>
          <w:b/>
          <w:spacing w:val="-2"/>
        </w:rPr>
        <w:t>customer</w:t>
      </w:r>
      <w:r w:rsidRPr="00A53914">
        <w:rPr>
          <w:spacing w:val="-2"/>
        </w:rPr>
        <w:t xml:space="preserve"> as defined in the </w:t>
      </w:r>
      <w:r w:rsidRPr="00A53914">
        <w:rPr>
          <w:b/>
          <w:spacing w:val="-2"/>
        </w:rPr>
        <w:t>Act</w:t>
      </w:r>
      <w:r w:rsidRPr="00A53914">
        <w:rPr>
          <w:spacing w:val="-2"/>
        </w:rPr>
        <w:t xml:space="preserve"> and to whom this </w:t>
      </w:r>
      <w:r w:rsidRPr="00A53914">
        <w:rPr>
          <w:b/>
          <w:spacing w:val="-2"/>
        </w:rPr>
        <w:t>contract</w:t>
      </w:r>
      <w:r w:rsidRPr="00A53914">
        <w:rPr>
          <w:spacing w:val="-2"/>
        </w:rPr>
        <w:t xml:space="preserve"> applies (referred to in this </w:t>
      </w:r>
      <w:r w:rsidRPr="00A53914">
        <w:rPr>
          <w:b/>
          <w:spacing w:val="-2"/>
        </w:rPr>
        <w:t>contract</w:t>
      </w:r>
      <w:r w:rsidRPr="00A53914">
        <w:rPr>
          <w:spacing w:val="-2"/>
        </w:rPr>
        <w:t xml:space="preserve"> as </w:t>
      </w:r>
      <w:r w:rsidR="00F710B6">
        <w:rPr>
          <w:spacing w:val="-2"/>
        </w:rPr>
        <w:t>“</w:t>
      </w:r>
      <w:r w:rsidRPr="00A53914">
        <w:rPr>
          <w:spacing w:val="-2"/>
        </w:rPr>
        <w:t>you</w:t>
      </w:r>
      <w:r w:rsidR="00F710B6">
        <w:rPr>
          <w:spacing w:val="-2"/>
        </w:rPr>
        <w:t>”</w:t>
      </w:r>
      <w:r w:rsidRPr="00A53914">
        <w:rPr>
          <w:spacing w:val="-2"/>
        </w:rPr>
        <w:t xml:space="preserve"> or </w:t>
      </w:r>
      <w:r w:rsidR="00F710B6">
        <w:rPr>
          <w:spacing w:val="-2"/>
        </w:rPr>
        <w:t>“</w:t>
      </w:r>
      <w:r w:rsidRPr="00A53914">
        <w:rPr>
          <w:spacing w:val="-2"/>
        </w:rPr>
        <w:t>your</w:t>
      </w:r>
      <w:r w:rsidR="00F710B6">
        <w:rPr>
          <w:spacing w:val="-2"/>
        </w:rPr>
        <w:t>”</w:t>
      </w:r>
      <w:r w:rsidRPr="00A53914">
        <w:rPr>
          <w:spacing w:val="-2"/>
        </w:rPr>
        <w:t>).</w:t>
      </w:r>
    </w:p>
    <w:p w:rsidR="00313AC1" w:rsidRPr="00B11BB9" w:rsidRDefault="00313AC1" w:rsidP="00646E85">
      <w:pPr>
        <w:pStyle w:val="GG-body"/>
        <w:numPr>
          <w:ilvl w:val="0"/>
          <w:numId w:val="26"/>
        </w:numPr>
        <w:rPr>
          <w:b/>
        </w:rPr>
      </w:pPr>
      <w:bookmarkStart w:id="186" w:name="_Toc12293599"/>
      <w:r w:rsidRPr="00B11BB9">
        <w:rPr>
          <w:b/>
        </w:rPr>
        <w:t>DEFINITIONS</w:t>
      </w:r>
      <w:bookmarkEnd w:id="186"/>
    </w:p>
    <w:p w:rsidR="00313AC1" w:rsidRPr="00B11BB9" w:rsidRDefault="00313AC1" w:rsidP="00646E85">
      <w:pPr>
        <w:pStyle w:val="GG-body"/>
        <w:numPr>
          <w:ilvl w:val="1"/>
          <w:numId w:val="26"/>
        </w:numPr>
      </w:pPr>
      <w:r w:rsidRPr="00B11BB9">
        <w:t xml:space="preserve">Words appearing in </w:t>
      </w:r>
      <w:r w:rsidRPr="00B11BB9">
        <w:rPr>
          <w:b/>
        </w:rPr>
        <w:t>bold</w:t>
      </w:r>
      <w:r w:rsidRPr="00B11BB9">
        <w:t xml:space="preserve"> type like this are defined in Schedule 1 to this </w:t>
      </w:r>
      <w:r w:rsidRPr="00B11BB9">
        <w:rPr>
          <w:b/>
        </w:rPr>
        <w:t>contract</w:t>
      </w:r>
      <w:r w:rsidRPr="00B11BB9">
        <w:t>.</w:t>
      </w:r>
    </w:p>
    <w:p w:rsidR="00313AC1" w:rsidRPr="00B11BB9" w:rsidRDefault="00313AC1" w:rsidP="00646E85">
      <w:pPr>
        <w:pStyle w:val="GG-body"/>
        <w:numPr>
          <w:ilvl w:val="0"/>
          <w:numId w:val="26"/>
        </w:numPr>
        <w:rPr>
          <w:b/>
        </w:rPr>
      </w:pPr>
      <w:bookmarkStart w:id="187" w:name="_Toc12293600"/>
      <w:r w:rsidRPr="00B11BB9">
        <w:rPr>
          <w:b/>
        </w:rPr>
        <w:t>SERVICES PROVIDED UNDER THIS CONTRACT</w:t>
      </w:r>
      <w:bookmarkEnd w:id="187"/>
    </w:p>
    <w:p w:rsidR="00313AC1" w:rsidRPr="00B11BB9" w:rsidRDefault="00313AC1" w:rsidP="00646E85">
      <w:pPr>
        <w:pStyle w:val="GG-body"/>
        <w:numPr>
          <w:ilvl w:val="1"/>
          <w:numId w:val="26"/>
        </w:numPr>
      </w:pPr>
      <w:bookmarkStart w:id="188" w:name="_Ref381183530"/>
      <w:r w:rsidRPr="00B11BB9">
        <w:t xml:space="preserve">This </w:t>
      </w:r>
      <w:r w:rsidRPr="00B11BB9">
        <w:rPr>
          <w:b/>
        </w:rPr>
        <w:t>contract</w:t>
      </w:r>
      <w:r w:rsidRPr="00B11BB9">
        <w:t xml:space="preserve"> covers the sale and supply by us of a </w:t>
      </w:r>
      <w:r w:rsidRPr="00B11BB9">
        <w:rPr>
          <w:b/>
        </w:rPr>
        <w:t>retail service</w:t>
      </w:r>
      <w:r w:rsidRPr="00B11BB9">
        <w:t xml:space="preserve"> to your</w:t>
      </w:r>
      <w:r w:rsidRPr="00B11BB9">
        <w:rPr>
          <w:b/>
        </w:rPr>
        <w:t xml:space="preserve"> supply address</w:t>
      </w:r>
      <w:r w:rsidR="00A53914">
        <w:t>.</w:t>
      </w:r>
    </w:p>
    <w:p w:rsidR="00313AC1" w:rsidRPr="00B11BB9" w:rsidRDefault="00313AC1" w:rsidP="00646E85">
      <w:pPr>
        <w:pStyle w:val="GG-body"/>
        <w:numPr>
          <w:ilvl w:val="1"/>
          <w:numId w:val="26"/>
        </w:numPr>
      </w:pPr>
      <w:r w:rsidRPr="00B11BB9">
        <w:t xml:space="preserve">The </w:t>
      </w:r>
      <w:r w:rsidRPr="00B11BB9">
        <w:rPr>
          <w:b/>
        </w:rPr>
        <w:t>retail service</w:t>
      </w:r>
      <w:r w:rsidRPr="00B11BB9">
        <w:t xml:space="preserve"> comprises </w:t>
      </w:r>
      <w:bookmarkEnd w:id="188"/>
      <w:r w:rsidRPr="00B11BB9">
        <w:t>of non-drinking water retail service.</w:t>
      </w:r>
    </w:p>
    <w:p w:rsidR="00313AC1" w:rsidRPr="00B11BB9" w:rsidRDefault="00313AC1" w:rsidP="00646E85">
      <w:pPr>
        <w:pStyle w:val="GG-body"/>
        <w:numPr>
          <w:ilvl w:val="1"/>
          <w:numId w:val="26"/>
        </w:numPr>
      </w:pPr>
      <w:r w:rsidRPr="00B11BB9">
        <w:t xml:space="preserve">We will provide your </w:t>
      </w:r>
      <w:r w:rsidRPr="00B11BB9">
        <w:rPr>
          <w:b/>
        </w:rPr>
        <w:t>retail service</w:t>
      </w:r>
      <w:r w:rsidRPr="00B11BB9">
        <w:t xml:space="preserve"> in accordance with all </w:t>
      </w:r>
      <w:r w:rsidRPr="00B11BB9">
        <w:rPr>
          <w:b/>
        </w:rPr>
        <w:t>applicable regulatory instruments</w:t>
      </w:r>
      <w:r w:rsidRPr="00B11BB9">
        <w:t>.</w:t>
      </w:r>
    </w:p>
    <w:p w:rsidR="00313AC1" w:rsidRPr="00B11BB9" w:rsidRDefault="00313AC1" w:rsidP="00646E85">
      <w:pPr>
        <w:pStyle w:val="GG-body"/>
        <w:numPr>
          <w:ilvl w:val="0"/>
          <w:numId w:val="26"/>
        </w:numPr>
        <w:rPr>
          <w:b/>
        </w:rPr>
      </w:pPr>
      <w:bookmarkStart w:id="189" w:name="_Toc12293601"/>
      <w:r w:rsidRPr="00B11BB9">
        <w:rPr>
          <w:b/>
        </w:rPr>
        <w:t>DOES THIS DOCUMENT APPLY TO YOU?</w:t>
      </w:r>
      <w:bookmarkEnd w:id="189"/>
    </w:p>
    <w:p w:rsidR="00313AC1" w:rsidRPr="00B11BB9" w:rsidRDefault="00313AC1" w:rsidP="00646E85">
      <w:pPr>
        <w:pStyle w:val="GG-body"/>
        <w:numPr>
          <w:ilvl w:val="1"/>
          <w:numId w:val="26"/>
        </w:numPr>
      </w:pPr>
      <w:r w:rsidRPr="00B11BB9">
        <w:t>This document applies to you if:</w:t>
      </w:r>
    </w:p>
    <w:p w:rsidR="00313AC1" w:rsidRPr="00B11BB9" w:rsidRDefault="00313AC1" w:rsidP="00646E85">
      <w:pPr>
        <w:pStyle w:val="GG-body"/>
        <w:numPr>
          <w:ilvl w:val="2"/>
          <w:numId w:val="27"/>
        </w:numPr>
      </w:pPr>
      <w:r w:rsidRPr="00B11BB9">
        <w:t xml:space="preserve">your </w:t>
      </w:r>
      <w:r w:rsidRPr="00B11BB9">
        <w:rPr>
          <w:b/>
          <w:bCs/>
          <w:iCs/>
        </w:rPr>
        <w:t>supply address</w:t>
      </w:r>
      <w:r w:rsidRPr="00B11BB9">
        <w:t xml:space="preserve"> receives, or will receive upon succes</w:t>
      </w:r>
      <w:r w:rsidR="00363E3C">
        <w:t>s</w:t>
      </w:r>
      <w:r w:rsidRPr="00B11BB9">
        <w:t xml:space="preserve">ful connection, our </w:t>
      </w:r>
      <w:r w:rsidRPr="00B11BB9">
        <w:rPr>
          <w:b/>
        </w:rPr>
        <w:t>retail service</w:t>
      </w:r>
      <w:r w:rsidRPr="00B11BB9">
        <w:t xml:space="preserve"> and you have not agreed to differen</w:t>
      </w:r>
      <w:r w:rsidR="00AE2F37">
        <w:t>t terms and conditions with us;</w:t>
      </w:r>
    </w:p>
    <w:p w:rsidR="00313AC1" w:rsidRPr="00B11BB9" w:rsidRDefault="00313AC1" w:rsidP="00646E85">
      <w:pPr>
        <w:pStyle w:val="GG-body"/>
        <w:numPr>
          <w:ilvl w:val="2"/>
          <w:numId w:val="27"/>
        </w:numPr>
      </w:pPr>
      <w:r w:rsidRPr="00B11BB9">
        <w:t xml:space="preserve">you currently receive, or will receive upon successful connection, our </w:t>
      </w:r>
      <w:r w:rsidRPr="00B11BB9">
        <w:rPr>
          <w:b/>
        </w:rPr>
        <w:t>retail service</w:t>
      </w:r>
      <w:r w:rsidRPr="00B11BB9">
        <w:t xml:space="preserve"> with </w:t>
      </w:r>
      <w:r w:rsidRPr="00B11BB9">
        <w:rPr>
          <w:b/>
        </w:rPr>
        <w:t>special characteristics</w:t>
      </w:r>
      <w:r w:rsidRPr="00B11BB9">
        <w:t xml:space="preserve"> relevant to the provision of that </w:t>
      </w:r>
      <w:r w:rsidRPr="00B11BB9">
        <w:rPr>
          <w:b/>
        </w:rPr>
        <w:t>retail service</w:t>
      </w:r>
      <w:r w:rsidRPr="00B11BB9">
        <w:t>; or</w:t>
      </w:r>
    </w:p>
    <w:p w:rsidR="00F252A5" w:rsidRPr="00F252A5" w:rsidRDefault="00313AC1" w:rsidP="00646E85">
      <w:pPr>
        <w:pStyle w:val="GG-body"/>
        <w:numPr>
          <w:ilvl w:val="2"/>
          <w:numId w:val="27"/>
        </w:numPr>
      </w:pPr>
      <w:r w:rsidRPr="00B11BB9">
        <w:t xml:space="preserve">you are required to pay us an </w:t>
      </w:r>
      <w:r w:rsidRPr="00B11BB9">
        <w:rPr>
          <w:b/>
        </w:rPr>
        <w:t>availability charge</w:t>
      </w:r>
      <w:r w:rsidRPr="00B11BB9">
        <w:t xml:space="preserve"> under the </w:t>
      </w:r>
      <w:r w:rsidRPr="00B11BB9">
        <w:rPr>
          <w:b/>
        </w:rPr>
        <w:t>Regulations</w:t>
      </w:r>
      <w:r w:rsidRPr="00B11BB9">
        <w:t xml:space="preserve"> but only for the purposes of clauses 7, 10, 11, 12, 13, 14, 14.2(c), 16, 17, 18, 19, 20, 28, 31 and 32 of this </w:t>
      </w:r>
      <w:r w:rsidRPr="00B11BB9">
        <w:rPr>
          <w:b/>
        </w:rPr>
        <w:t>contract</w:t>
      </w:r>
      <w:r w:rsidRPr="00B11BB9">
        <w:t>.</w:t>
      </w:r>
      <w:r w:rsidR="00F252A5">
        <w:br w:type="page"/>
      </w:r>
    </w:p>
    <w:p w:rsidR="00313AC1" w:rsidRPr="00B11BB9" w:rsidRDefault="00313AC1" w:rsidP="00646E85">
      <w:pPr>
        <w:pStyle w:val="GG-body"/>
        <w:numPr>
          <w:ilvl w:val="1"/>
          <w:numId w:val="26"/>
        </w:numPr>
      </w:pPr>
      <w:r w:rsidRPr="00B11BB9">
        <w:lastRenderedPageBreak/>
        <w:t>Unless otherwise agreed by the parties, this document does not apply where:</w:t>
      </w:r>
    </w:p>
    <w:p w:rsidR="00313AC1" w:rsidRPr="00B11BB9" w:rsidRDefault="00313AC1" w:rsidP="00646E85">
      <w:pPr>
        <w:pStyle w:val="GG-body"/>
        <w:numPr>
          <w:ilvl w:val="2"/>
          <w:numId w:val="28"/>
        </w:numPr>
      </w:pPr>
      <w:r w:rsidRPr="00B11BB9">
        <w:t xml:space="preserve">we provide you with a </w:t>
      </w:r>
      <w:r w:rsidRPr="00B11BB9">
        <w:rPr>
          <w:b/>
        </w:rPr>
        <w:t>non-standard retail service</w:t>
      </w:r>
      <w:r w:rsidRPr="00B11BB9">
        <w:t>; or</w:t>
      </w:r>
    </w:p>
    <w:p w:rsidR="00313AC1" w:rsidRPr="00B11BB9" w:rsidRDefault="00313AC1" w:rsidP="00646E85">
      <w:pPr>
        <w:pStyle w:val="GG-body"/>
        <w:numPr>
          <w:ilvl w:val="2"/>
          <w:numId w:val="28"/>
        </w:numPr>
      </w:pPr>
      <w:r w:rsidRPr="00B11BB9">
        <w:t xml:space="preserve">prior to the commencement of this </w:t>
      </w:r>
      <w:r w:rsidRPr="00B11BB9">
        <w:rPr>
          <w:b/>
        </w:rPr>
        <w:t>contract</w:t>
      </w:r>
      <w:r w:rsidRPr="00B11BB9">
        <w:t xml:space="preserve">, you were a </w:t>
      </w:r>
      <w:r w:rsidRPr="00B11BB9">
        <w:rPr>
          <w:b/>
        </w:rPr>
        <w:t>customer</w:t>
      </w:r>
      <w:r w:rsidRPr="00B11BB9">
        <w:t xml:space="preserve"> receiving a </w:t>
      </w:r>
      <w:r w:rsidRPr="00B11BB9">
        <w:rPr>
          <w:b/>
        </w:rPr>
        <w:t>retail service</w:t>
      </w:r>
      <w:r w:rsidRPr="00B11BB9">
        <w:t xml:space="preserve"> from us pursuant to an existing written agreement and you have agreed to the continuation of that agreement until its term ends, at which point this </w:t>
      </w:r>
      <w:r w:rsidRPr="00B11BB9">
        <w:rPr>
          <w:b/>
        </w:rPr>
        <w:t>contract</w:t>
      </w:r>
      <w:r w:rsidRPr="00B11BB9">
        <w:t xml:space="preserve"> takes effect.</w:t>
      </w:r>
    </w:p>
    <w:p w:rsidR="00313AC1" w:rsidRPr="00B11BB9" w:rsidRDefault="00313AC1" w:rsidP="00646E85">
      <w:pPr>
        <w:pStyle w:val="GG-body"/>
        <w:numPr>
          <w:ilvl w:val="0"/>
          <w:numId w:val="26"/>
        </w:numPr>
        <w:rPr>
          <w:b/>
        </w:rPr>
      </w:pPr>
      <w:bookmarkStart w:id="190" w:name="_Toc9241200"/>
      <w:bookmarkStart w:id="191" w:name="_Toc9244946"/>
      <w:bookmarkStart w:id="192" w:name="_Toc12293602"/>
      <w:bookmarkEnd w:id="190"/>
      <w:bookmarkEnd w:id="191"/>
      <w:r w:rsidRPr="00B11BB9">
        <w:rPr>
          <w:b/>
        </w:rPr>
        <w:t>CLASSIFICATION OF CUSTOMER CLASS</w:t>
      </w:r>
      <w:bookmarkEnd w:id="192"/>
    </w:p>
    <w:p w:rsidR="00313AC1" w:rsidRPr="00B11BB9" w:rsidRDefault="00313AC1" w:rsidP="00646E85">
      <w:pPr>
        <w:pStyle w:val="GG-body"/>
        <w:numPr>
          <w:ilvl w:val="1"/>
          <w:numId w:val="26"/>
        </w:numPr>
      </w:pPr>
      <w:r w:rsidRPr="00B11BB9">
        <w:t xml:space="preserve">We may classify you as a </w:t>
      </w:r>
      <w:r w:rsidRPr="00B11BB9">
        <w:rPr>
          <w:b/>
        </w:rPr>
        <w:t>residential customer</w:t>
      </w:r>
      <w:r w:rsidRPr="00B11BB9">
        <w:t xml:space="preserve"> or a </w:t>
      </w:r>
      <w:r w:rsidRPr="00B11BB9">
        <w:rPr>
          <w:b/>
        </w:rPr>
        <w:t>non-residential customer</w:t>
      </w:r>
      <w:r w:rsidRPr="00B11BB9">
        <w:t xml:space="preserve"> in relation to </w:t>
      </w:r>
      <w:r w:rsidRPr="00B11BB9">
        <w:rPr>
          <w:b/>
        </w:rPr>
        <w:t>your</w:t>
      </w:r>
      <w:r w:rsidRPr="00B11BB9">
        <w:t xml:space="preserve"> </w:t>
      </w:r>
      <w:r w:rsidRPr="00B11BB9">
        <w:rPr>
          <w:b/>
        </w:rPr>
        <w:t>supply address</w:t>
      </w:r>
      <w:r w:rsidRPr="00B11BB9">
        <w:t xml:space="preserve"> after the commencement of this </w:t>
      </w:r>
      <w:r w:rsidRPr="00B11BB9">
        <w:rPr>
          <w:b/>
        </w:rPr>
        <w:t>contract</w:t>
      </w:r>
      <w:r w:rsidRPr="00B11BB9">
        <w:t xml:space="preserve"> in accordance with </w:t>
      </w:r>
      <w:r w:rsidRPr="00B11BB9">
        <w:rPr>
          <w:b/>
        </w:rPr>
        <w:t>applicable regulatory instruments</w:t>
      </w:r>
      <w:r w:rsidRPr="00B11BB9">
        <w:t>.</w:t>
      </w:r>
    </w:p>
    <w:p w:rsidR="00DC0AF4" w:rsidRDefault="00313AC1" w:rsidP="00646E85">
      <w:pPr>
        <w:pStyle w:val="GG-body"/>
        <w:numPr>
          <w:ilvl w:val="0"/>
          <w:numId w:val="26"/>
        </w:numPr>
        <w:rPr>
          <w:b/>
        </w:rPr>
      </w:pPr>
      <w:bookmarkStart w:id="193" w:name="_Toc12293603"/>
      <w:r w:rsidRPr="00B11BB9">
        <w:rPr>
          <w:b/>
        </w:rPr>
        <w:t>COMMENCEMENT</w:t>
      </w:r>
      <w:bookmarkEnd w:id="193"/>
    </w:p>
    <w:p w:rsidR="00313AC1" w:rsidRPr="00B11BB9" w:rsidRDefault="00313AC1" w:rsidP="00646E85">
      <w:pPr>
        <w:pStyle w:val="GG-body"/>
        <w:numPr>
          <w:ilvl w:val="1"/>
          <w:numId w:val="26"/>
        </w:numPr>
      </w:pPr>
      <w:r w:rsidRPr="00B11BB9">
        <w:t xml:space="preserve">If you are an existing </w:t>
      </w:r>
      <w:r w:rsidRPr="00B11BB9">
        <w:rPr>
          <w:b/>
        </w:rPr>
        <w:t>customer</w:t>
      </w:r>
      <w:r w:rsidRPr="00B11BB9">
        <w:t xml:space="preserve">, this </w:t>
      </w:r>
      <w:r w:rsidRPr="00B11BB9">
        <w:rPr>
          <w:b/>
        </w:rPr>
        <w:t>contract</w:t>
      </w:r>
      <w:r w:rsidRPr="00B11BB9">
        <w:t xml:space="preserve"> will start on the day this document comes into force by publication u</w:t>
      </w:r>
      <w:r w:rsidR="00DC0AF4">
        <w:t>nder the provisions of the Act.</w:t>
      </w:r>
    </w:p>
    <w:p w:rsidR="00313AC1" w:rsidRPr="00B11BB9" w:rsidRDefault="00313AC1" w:rsidP="00646E85">
      <w:pPr>
        <w:pStyle w:val="GG-body"/>
        <w:numPr>
          <w:ilvl w:val="1"/>
          <w:numId w:val="26"/>
        </w:numPr>
      </w:pPr>
      <w:r w:rsidRPr="00B11BB9">
        <w:t xml:space="preserve">If you are an existing </w:t>
      </w:r>
      <w:r w:rsidRPr="00B11BB9">
        <w:rPr>
          <w:b/>
        </w:rPr>
        <w:t>customer</w:t>
      </w:r>
      <w:r w:rsidRPr="00B11BB9">
        <w:t xml:space="preserve"> that will continue to receive a </w:t>
      </w:r>
      <w:r w:rsidRPr="00B11BB9">
        <w:rPr>
          <w:b/>
        </w:rPr>
        <w:t>retail service</w:t>
      </w:r>
      <w:r w:rsidRPr="00B11BB9">
        <w:t xml:space="preserve"> from us under an existing written agreement, this </w:t>
      </w:r>
      <w:r w:rsidRPr="00B11BB9">
        <w:rPr>
          <w:b/>
        </w:rPr>
        <w:t>contract</w:t>
      </w:r>
      <w:r w:rsidRPr="00B11BB9">
        <w:t xml:space="preserve"> will start on the day following the termination of that existing written agreement.</w:t>
      </w:r>
    </w:p>
    <w:p w:rsidR="00313AC1" w:rsidRPr="00B11BB9" w:rsidRDefault="00313AC1" w:rsidP="00646E85">
      <w:pPr>
        <w:pStyle w:val="GG-body"/>
        <w:numPr>
          <w:ilvl w:val="1"/>
          <w:numId w:val="26"/>
        </w:numPr>
      </w:pPr>
      <w:r w:rsidRPr="00B11BB9">
        <w:t xml:space="preserve">If you are a new </w:t>
      </w:r>
      <w:r w:rsidRPr="00B11BB9">
        <w:rPr>
          <w:b/>
        </w:rPr>
        <w:t>customer</w:t>
      </w:r>
      <w:r w:rsidRPr="00B11BB9">
        <w:t xml:space="preserve">, this </w:t>
      </w:r>
      <w:r w:rsidRPr="00B11BB9">
        <w:rPr>
          <w:b/>
        </w:rPr>
        <w:t>contract</w:t>
      </w:r>
      <w:r w:rsidRPr="00B11BB9">
        <w:t xml:space="preserve"> starts on the date you apply for a connection in writing, satisfying all relevant pre-conditions and providing all required information.</w:t>
      </w:r>
    </w:p>
    <w:p w:rsidR="00313AC1" w:rsidRPr="00B11BB9" w:rsidRDefault="00313AC1" w:rsidP="00646E85">
      <w:pPr>
        <w:pStyle w:val="GG-body"/>
        <w:numPr>
          <w:ilvl w:val="1"/>
          <w:numId w:val="26"/>
        </w:numPr>
      </w:pPr>
      <w:r w:rsidRPr="00B11BB9">
        <w:t xml:space="preserve">If you are a person who becomes the registered proprietor of a </w:t>
      </w:r>
      <w:r w:rsidRPr="00B11BB9">
        <w:rPr>
          <w:b/>
        </w:rPr>
        <w:t>supply address</w:t>
      </w:r>
      <w:r w:rsidRPr="00B11BB9">
        <w:t xml:space="preserve"> and clause 6.2 does not apply to you, this </w:t>
      </w:r>
      <w:r w:rsidRPr="00B11BB9">
        <w:rPr>
          <w:b/>
        </w:rPr>
        <w:t>contract</w:t>
      </w:r>
      <w:r w:rsidRPr="00B11BB9">
        <w:t xml:space="preserve"> starts upon transfer of ownership of that </w:t>
      </w:r>
      <w:r w:rsidRPr="00B11BB9">
        <w:rPr>
          <w:b/>
        </w:rPr>
        <w:t>supply address</w:t>
      </w:r>
      <w:r w:rsidRPr="00B11BB9">
        <w:t xml:space="preserve"> to you.</w:t>
      </w:r>
    </w:p>
    <w:p w:rsidR="00313AC1" w:rsidRPr="00B11BB9" w:rsidRDefault="00313AC1" w:rsidP="00646E85">
      <w:pPr>
        <w:pStyle w:val="GG-body"/>
        <w:numPr>
          <w:ilvl w:val="0"/>
          <w:numId w:val="26"/>
        </w:numPr>
        <w:rPr>
          <w:b/>
        </w:rPr>
      </w:pPr>
      <w:bookmarkStart w:id="194" w:name="_Ref382310456"/>
      <w:bookmarkStart w:id="195" w:name="_Toc12293604"/>
      <w:bookmarkStart w:id="196" w:name="_Ref158731560"/>
      <w:bookmarkStart w:id="197" w:name="_Toc12293605"/>
      <w:r w:rsidRPr="00B11BB9">
        <w:rPr>
          <w:b/>
        </w:rPr>
        <w:t>TERMINATION</w:t>
      </w:r>
      <w:bookmarkEnd w:id="194"/>
      <w:bookmarkEnd w:id="195"/>
    </w:p>
    <w:p w:rsidR="00313AC1" w:rsidRPr="00B11BB9" w:rsidRDefault="00313AC1" w:rsidP="00646E85">
      <w:pPr>
        <w:pStyle w:val="GG-body"/>
        <w:numPr>
          <w:ilvl w:val="1"/>
          <w:numId w:val="26"/>
        </w:numPr>
        <w:rPr>
          <w:b/>
        </w:rPr>
      </w:pPr>
      <w:r w:rsidRPr="00B11BB9">
        <w:t xml:space="preserve">We may terminate this </w:t>
      </w:r>
      <w:r w:rsidRPr="00B11BB9">
        <w:rPr>
          <w:b/>
        </w:rPr>
        <w:t>contract</w:t>
      </w:r>
      <w:r w:rsidRPr="00B11BB9">
        <w:t xml:space="preserve"> with you in accordance with </w:t>
      </w:r>
      <w:r w:rsidRPr="00B11BB9">
        <w:rPr>
          <w:b/>
        </w:rPr>
        <w:t>applicable regulatory instruments</w:t>
      </w:r>
      <w:r w:rsidRPr="00B11BB9">
        <w:t xml:space="preserve"> if:</w:t>
      </w:r>
    </w:p>
    <w:p w:rsidR="00313AC1" w:rsidRPr="00B11BB9" w:rsidRDefault="00313AC1" w:rsidP="00646E85">
      <w:pPr>
        <w:pStyle w:val="GG-body"/>
        <w:numPr>
          <w:ilvl w:val="2"/>
          <w:numId w:val="29"/>
        </w:numPr>
        <w:rPr>
          <w:b/>
        </w:rPr>
      </w:pPr>
      <w:r w:rsidRPr="00B11BB9">
        <w:t xml:space="preserve">the supply of the </w:t>
      </w:r>
      <w:r w:rsidRPr="00B11BB9">
        <w:rPr>
          <w:b/>
        </w:rPr>
        <w:t>retail service</w:t>
      </w:r>
      <w:r w:rsidRPr="00B11BB9">
        <w:t xml:space="preserve"> to your </w:t>
      </w:r>
      <w:r w:rsidRPr="00B11BB9">
        <w:rPr>
          <w:b/>
        </w:rPr>
        <w:t>supply address</w:t>
      </w:r>
      <w:r w:rsidRPr="00B11BB9">
        <w:t xml:space="preserve"> has been disconnected in accordance with other provisions of this </w:t>
      </w:r>
      <w:r w:rsidRPr="00B11BB9">
        <w:rPr>
          <w:b/>
        </w:rPr>
        <w:t>contract</w:t>
      </w:r>
      <w:r w:rsidRPr="00B11BB9">
        <w:t xml:space="preserve"> and you no longer have a right to be reconnected in accordance with clause 27;</w:t>
      </w:r>
    </w:p>
    <w:p w:rsidR="00313AC1" w:rsidRPr="00D94098" w:rsidRDefault="00313AC1" w:rsidP="00646E85">
      <w:pPr>
        <w:pStyle w:val="GG-body"/>
        <w:numPr>
          <w:ilvl w:val="2"/>
          <w:numId w:val="29"/>
        </w:numPr>
        <w:rPr>
          <w:b/>
          <w:spacing w:val="-2"/>
        </w:rPr>
      </w:pPr>
      <w:r w:rsidRPr="00D94098">
        <w:rPr>
          <w:spacing w:val="-2"/>
        </w:rPr>
        <w:t xml:space="preserve">you are no longer the owner of the </w:t>
      </w:r>
      <w:r w:rsidRPr="00D94098">
        <w:rPr>
          <w:b/>
          <w:spacing w:val="-2"/>
        </w:rPr>
        <w:t>supply address</w:t>
      </w:r>
      <w:r w:rsidRPr="00D94098">
        <w:rPr>
          <w:spacing w:val="-2"/>
        </w:rPr>
        <w:t xml:space="preserve"> and we have entered into a new </w:t>
      </w:r>
      <w:r w:rsidRPr="00D94098">
        <w:rPr>
          <w:b/>
          <w:spacing w:val="-2"/>
        </w:rPr>
        <w:t>contract</w:t>
      </w:r>
      <w:r w:rsidRPr="00D94098">
        <w:rPr>
          <w:spacing w:val="-2"/>
        </w:rPr>
        <w:t xml:space="preserve"> with the new owner; or</w:t>
      </w:r>
    </w:p>
    <w:p w:rsidR="00313AC1" w:rsidRPr="00B11BB9" w:rsidRDefault="00313AC1" w:rsidP="00646E85">
      <w:pPr>
        <w:pStyle w:val="GG-body"/>
        <w:numPr>
          <w:ilvl w:val="2"/>
          <w:numId w:val="29"/>
        </w:numPr>
      </w:pPr>
      <w:r w:rsidRPr="00B11BB9">
        <w:t xml:space="preserve">circumstances beyond our reasonable control mean that the non-drinking water reticulation network necessary to provide the </w:t>
      </w:r>
      <w:r w:rsidRPr="00B11BB9">
        <w:rPr>
          <w:b/>
        </w:rPr>
        <w:t>retail service</w:t>
      </w:r>
      <w:r w:rsidRPr="00B11BB9">
        <w:t xml:space="preserve"> to your </w:t>
      </w:r>
      <w:r w:rsidRPr="00B11BB9">
        <w:rPr>
          <w:b/>
        </w:rPr>
        <w:t>supply address</w:t>
      </w:r>
      <w:r w:rsidRPr="00B11BB9">
        <w:t xml:space="preserve"> are no longer available.</w:t>
      </w:r>
    </w:p>
    <w:p w:rsidR="00313AC1" w:rsidRPr="00363E3C" w:rsidRDefault="00313AC1" w:rsidP="00646E85">
      <w:pPr>
        <w:pStyle w:val="GG-body"/>
        <w:numPr>
          <w:ilvl w:val="1"/>
          <w:numId w:val="26"/>
        </w:numPr>
        <w:rPr>
          <w:b/>
          <w:spacing w:val="-2"/>
        </w:rPr>
      </w:pPr>
      <w:r w:rsidRPr="00363E3C">
        <w:rPr>
          <w:spacing w:val="-2"/>
        </w:rPr>
        <w:t xml:space="preserve">You may terminate this </w:t>
      </w:r>
      <w:r w:rsidRPr="00363E3C">
        <w:rPr>
          <w:b/>
          <w:spacing w:val="-2"/>
        </w:rPr>
        <w:t>contract</w:t>
      </w:r>
      <w:r w:rsidRPr="00363E3C">
        <w:rPr>
          <w:spacing w:val="-2"/>
        </w:rPr>
        <w:t xml:space="preserve"> with us at any point by providing us with 3 </w:t>
      </w:r>
      <w:r w:rsidRPr="00363E3C">
        <w:rPr>
          <w:b/>
          <w:spacing w:val="-2"/>
        </w:rPr>
        <w:t>business days</w:t>
      </w:r>
      <w:r w:rsidR="00F710B6">
        <w:rPr>
          <w:b/>
          <w:spacing w:val="-2"/>
        </w:rPr>
        <w:t>’</w:t>
      </w:r>
      <w:r w:rsidRPr="00363E3C">
        <w:rPr>
          <w:b/>
          <w:spacing w:val="-2"/>
        </w:rPr>
        <w:t xml:space="preserve"> </w:t>
      </w:r>
      <w:r w:rsidRPr="00363E3C">
        <w:rPr>
          <w:spacing w:val="-2"/>
        </w:rPr>
        <w:t>notice, which may be given by:</w:t>
      </w:r>
    </w:p>
    <w:p w:rsidR="00313AC1" w:rsidRPr="00B11BB9" w:rsidRDefault="00313AC1" w:rsidP="00646E85">
      <w:pPr>
        <w:pStyle w:val="GG-body"/>
        <w:numPr>
          <w:ilvl w:val="2"/>
          <w:numId w:val="30"/>
        </w:numPr>
      </w:pPr>
      <w:r w:rsidRPr="00B11BB9">
        <w:t>personal contact;</w:t>
      </w:r>
    </w:p>
    <w:p w:rsidR="00313AC1" w:rsidRPr="00B11BB9" w:rsidRDefault="00313AC1" w:rsidP="00646E85">
      <w:pPr>
        <w:pStyle w:val="GG-body"/>
        <w:numPr>
          <w:ilvl w:val="2"/>
          <w:numId w:val="30"/>
        </w:numPr>
      </w:pPr>
      <w:r w:rsidRPr="00B11BB9">
        <w:t>telephone;</w:t>
      </w:r>
    </w:p>
    <w:p w:rsidR="00313AC1" w:rsidRPr="00B11BB9" w:rsidRDefault="00313AC1" w:rsidP="00646E85">
      <w:pPr>
        <w:pStyle w:val="GG-body"/>
        <w:numPr>
          <w:ilvl w:val="2"/>
          <w:numId w:val="30"/>
        </w:numPr>
      </w:pPr>
      <w:r w:rsidRPr="00B11BB9">
        <w:t>electronic mail; or</w:t>
      </w:r>
    </w:p>
    <w:p w:rsidR="00313AC1" w:rsidRPr="00B11BB9" w:rsidRDefault="00313AC1" w:rsidP="00646E85">
      <w:pPr>
        <w:pStyle w:val="GG-body"/>
        <w:numPr>
          <w:ilvl w:val="2"/>
          <w:numId w:val="30"/>
        </w:numPr>
      </w:pPr>
      <w:r w:rsidRPr="00B11BB9">
        <w:t>writing to us.</w:t>
      </w:r>
    </w:p>
    <w:p w:rsidR="00313AC1" w:rsidRPr="00B11BB9" w:rsidRDefault="00313AC1" w:rsidP="00646E85">
      <w:pPr>
        <w:pStyle w:val="GG-body"/>
        <w:numPr>
          <w:ilvl w:val="1"/>
          <w:numId w:val="26"/>
        </w:numPr>
      </w:pPr>
      <w:r w:rsidRPr="00B11BB9">
        <w:t>All rights and obligations accrued before the end of this contract continue despite the end of this contract, including your obligation to pay any amounts due to us.</w:t>
      </w:r>
    </w:p>
    <w:p w:rsidR="00313AC1" w:rsidRPr="00B11BB9" w:rsidRDefault="00313AC1" w:rsidP="00646E85">
      <w:pPr>
        <w:pStyle w:val="GG-body"/>
        <w:numPr>
          <w:ilvl w:val="1"/>
          <w:numId w:val="26"/>
        </w:numPr>
      </w:pPr>
      <w:r w:rsidRPr="00B11BB9">
        <w:t>Your right to dispute a bill under clause 17 and recover amounts we have overcharged you in accordance with clause 19 continues despite the end of this contract.</w:t>
      </w:r>
    </w:p>
    <w:p w:rsidR="00313AC1" w:rsidRPr="00B11BB9" w:rsidRDefault="00313AC1" w:rsidP="00646E85">
      <w:pPr>
        <w:pStyle w:val="GG-body"/>
        <w:numPr>
          <w:ilvl w:val="0"/>
          <w:numId w:val="26"/>
        </w:numPr>
      </w:pPr>
      <w:r w:rsidRPr="00B11BB9">
        <w:rPr>
          <w:b/>
          <w:bCs/>
        </w:rPr>
        <w:t>WHAT YOU HAVE TO DO TO RECEIVE CONNECTION</w:t>
      </w:r>
      <w:bookmarkEnd w:id="196"/>
      <w:r w:rsidRPr="00B11BB9">
        <w:rPr>
          <w:b/>
          <w:bCs/>
        </w:rPr>
        <w:t>?</w:t>
      </w:r>
      <w:bookmarkEnd w:id="197"/>
    </w:p>
    <w:p w:rsidR="00313AC1" w:rsidRPr="00B11BB9" w:rsidRDefault="00313AC1" w:rsidP="00646E85">
      <w:pPr>
        <w:pStyle w:val="GG-body"/>
        <w:numPr>
          <w:ilvl w:val="1"/>
          <w:numId w:val="26"/>
        </w:numPr>
      </w:pPr>
      <w:r w:rsidRPr="00B11BB9">
        <w:t xml:space="preserve">When you apply for a </w:t>
      </w:r>
      <w:r w:rsidRPr="00B11BB9">
        <w:rPr>
          <w:b/>
        </w:rPr>
        <w:t>retail service</w:t>
      </w:r>
      <w:r w:rsidRPr="00B11BB9">
        <w:t xml:space="preserve"> at your </w:t>
      </w:r>
      <w:r w:rsidRPr="00B11BB9">
        <w:rPr>
          <w:b/>
        </w:rPr>
        <w:t>supply address</w:t>
      </w:r>
      <w:r w:rsidRPr="00B11BB9">
        <w:t xml:space="preserve"> we may require you to satisfy some pre-conditions, which will be advised to you in writing. We will also explain any pre-conditions that may apply to you at the time you apply to us for a </w:t>
      </w:r>
      <w:r w:rsidRPr="00B11BB9">
        <w:rPr>
          <w:b/>
        </w:rPr>
        <w:t>retail service</w:t>
      </w:r>
      <w:r w:rsidRPr="00B11BB9">
        <w:t>.</w:t>
      </w:r>
    </w:p>
    <w:p w:rsidR="00313AC1" w:rsidRPr="00363E3C" w:rsidRDefault="00313AC1" w:rsidP="00646E85">
      <w:pPr>
        <w:pStyle w:val="GG-body"/>
        <w:numPr>
          <w:ilvl w:val="1"/>
          <w:numId w:val="26"/>
        </w:numPr>
        <w:rPr>
          <w:spacing w:val="-4"/>
        </w:rPr>
      </w:pPr>
      <w:r w:rsidRPr="00363E3C">
        <w:rPr>
          <w:spacing w:val="-4"/>
        </w:rPr>
        <w:t xml:space="preserve">Our obligation to sell or supply you with a </w:t>
      </w:r>
      <w:r w:rsidRPr="00363E3C">
        <w:rPr>
          <w:b/>
          <w:spacing w:val="-4"/>
        </w:rPr>
        <w:t>retail service</w:t>
      </w:r>
      <w:r w:rsidRPr="00363E3C">
        <w:rPr>
          <w:spacing w:val="-4"/>
        </w:rPr>
        <w:t xml:space="preserve"> at your </w:t>
      </w:r>
      <w:r w:rsidRPr="00363E3C">
        <w:rPr>
          <w:b/>
          <w:spacing w:val="-4"/>
        </w:rPr>
        <w:t>supply address</w:t>
      </w:r>
      <w:r w:rsidRPr="00363E3C">
        <w:rPr>
          <w:spacing w:val="-4"/>
        </w:rPr>
        <w:t xml:space="preserve"> does not start until you satisfy our pre-conditions.</w:t>
      </w:r>
    </w:p>
    <w:p w:rsidR="00313AC1" w:rsidRPr="00B11BB9" w:rsidRDefault="00313AC1" w:rsidP="00646E85">
      <w:pPr>
        <w:pStyle w:val="GG-body"/>
        <w:numPr>
          <w:ilvl w:val="0"/>
          <w:numId w:val="26"/>
        </w:numPr>
      </w:pPr>
      <w:bookmarkStart w:id="198" w:name="_Toc12293606"/>
      <w:r w:rsidRPr="00B11BB9">
        <w:rPr>
          <w:b/>
          <w:bCs/>
        </w:rPr>
        <w:t>YOUR GENERAL OBLIGATIONS</w:t>
      </w:r>
      <w:bookmarkEnd w:id="198"/>
    </w:p>
    <w:p w:rsidR="00313AC1" w:rsidRPr="00B11BB9" w:rsidRDefault="00313AC1" w:rsidP="00646E85">
      <w:pPr>
        <w:pStyle w:val="GG-body"/>
        <w:numPr>
          <w:ilvl w:val="1"/>
          <w:numId w:val="26"/>
        </w:numPr>
      </w:pPr>
      <w:r w:rsidRPr="00B11BB9">
        <w:t>Infrastructure:</w:t>
      </w:r>
    </w:p>
    <w:p w:rsidR="00313AC1" w:rsidRPr="00B11BB9" w:rsidRDefault="00313AC1" w:rsidP="00646E85">
      <w:pPr>
        <w:pStyle w:val="GG-body"/>
        <w:numPr>
          <w:ilvl w:val="2"/>
          <w:numId w:val="31"/>
        </w:numPr>
      </w:pPr>
      <w:r w:rsidRPr="00B11BB9">
        <w:t xml:space="preserve">You must arrange for all infrastructure on your side of the </w:t>
      </w:r>
      <w:r w:rsidRPr="00B11BB9">
        <w:rPr>
          <w:b/>
        </w:rPr>
        <w:t xml:space="preserve">connection point </w:t>
      </w:r>
      <w:r w:rsidRPr="00B11BB9">
        <w:t>to be properly maintained (which includes ensuring any work to be undertaken is done so by an appropriately licensed plumber).</w:t>
      </w:r>
    </w:p>
    <w:p w:rsidR="00313AC1" w:rsidRPr="00B11BB9" w:rsidRDefault="00313AC1" w:rsidP="00646E85">
      <w:pPr>
        <w:pStyle w:val="GG-body"/>
        <w:numPr>
          <w:ilvl w:val="2"/>
          <w:numId w:val="31"/>
        </w:numPr>
        <w:rPr>
          <w:b/>
        </w:rPr>
      </w:pPr>
      <w:r w:rsidRPr="00B11BB9">
        <w:t xml:space="preserve">If installation of internal infrastructure at your </w:t>
      </w:r>
      <w:r w:rsidRPr="00B11BB9">
        <w:rPr>
          <w:b/>
        </w:rPr>
        <w:t>supply address</w:t>
      </w:r>
      <w:r w:rsidRPr="00B11BB9">
        <w:t xml:space="preserve"> is reasonably required in order for us to provide you a </w:t>
      </w:r>
      <w:r w:rsidRPr="00B11BB9">
        <w:rPr>
          <w:b/>
        </w:rPr>
        <w:t>retail service</w:t>
      </w:r>
      <w:r w:rsidRPr="00B11BB9">
        <w:t xml:space="preserve"> then you must arrange for that infrastructure to be installed in compliance with any </w:t>
      </w:r>
      <w:r w:rsidRPr="00B11BB9">
        <w:rPr>
          <w:b/>
        </w:rPr>
        <w:t>applicable regulatory instruments</w:t>
      </w:r>
      <w:r w:rsidRPr="00B11BB9">
        <w:t xml:space="preserve"> and by an appropriately licensed plumber.</w:t>
      </w:r>
    </w:p>
    <w:p w:rsidR="00313AC1" w:rsidRPr="00B11BB9" w:rsidRDefault="00313AC1" w:rsidP="00646E85">
      <w:pPr>
        <w:pStyle w:val="GG-body"/>
        <w:numPr>
          <w:ilvl w:val="1"/>
          <w:numId w:val="26"/>
        </w:numPr>
      </w:pPr>
      <w:bookmarkStart w:id="199" w:name="_Ref382310743"/>
      <w:r w:rsidRPr="00B11BB9">
        <w:t>Illegal use of retail services:</w:t>
      </w:r>
      <w:bookmarkEnd w:id="199"/>
    </w:p>
    <w:p w:rsidR="00313AC1" w:rsidRPr="00B11BB9" w:rsidRDefault="00313AC1" w:rsidP="00646E85">
      <w:pPr>
        <w:pStyle w:val="GG-body"/>
        <w:numPr>
          <w:ilvl w:val="2"/>
          <w:numId w:val="32"/>
        </w:numPr>
        <w:rPr>
          <w:b/>
        </w:rPr>
      </w:pPr>
      <w:r w:rsidRPr="00B11BB9">
        <w:t>You must only use the</w:t>
      </w:r>
      <w:r w:rsidRPr="00B11BB9">
        <w:rPr>
          <w:b/>
        </w:rPr>
        <w:t xml:space="preserve"> retail service</w:t>
      </w:r>
      <w:r w:rsidRPr="00B11BB9">
        <w:t xml:space="preserve"> provided by us for lawful purposes and, if you are found to be illegally using our </w:t>
      </w:r>
      <w:r w:rsidRPr="00B11BB9">
        <w:rPr>
          <w:b/>
        </w:rPr>
        <w:t>retail service</w:t>
      </w:r>
      <w:r w:rsidRPr="00B11BB9">
        <w:t xml:space="preserve">, or otherwise consuming our </w:t>
      </w:r>
      <w:r w:rsidRPr="00B11BB9">
        <w:rPr>
          <w:b/>
        </w:rPr>
        <w:t>retail service</w:t>
      </w:r>
      <w:r w:rsidRPr="00B11BB9">
        <w:t xml:space="preserve"> not in accordance with this </w:t>
      </w:r>
      <w:r w:rsidRPr="00B11BB9">
        <w:rPr>
          <w:b/>
        </w:rPr>
        <w:t>contract</w:t>
      </w:r>
      <w:r w:rsidRPr="00B11BB9">
        <w:t xml:space="preserve"> or </w:t>
      </w:r>
      <w:r w:rsidRPr="00B11BB9">
        <w:rPr>
          <w:b/>
        </w:rPr>
        <w:t>applicable regulatory instruments</w:t>
      </w:r>
      <w:r w:rsidRPr="00B11BB9">
        <w:t>, we may:</w:t>
      </w:r>
    </w:p>
    <w:p w:rsidR="00313AC1" w:rsidRPr="00B11BB9" w:rsidRDefault="00313AC1" w:rsidP="00646E85">
      <w:pPr>
        <w:pStyle w:val="GG-body"/>
        <w:numPr>
          <w:ilvl w:val="3"/>
          <w:numId w:val="33"/>
        </w:numPr>
        <w:ind w:hanging="283"/>
        <w:rPr>
          <w:b/>
        </w:rPr>
      </w:pPr>
      <w:bookmarkStart w:id="200" w:name="_Toc379898735"/>
      <w:r w:rsidRPr="00B11BB9">
        <w:t xml:space="preserve">estimate the consumption for which </w:t>
      </w:r>
      <w:r w:rsidRPr="00B11BB9">
        <w:rPr>
          <w:b/>
        </w:rPr>
        <w:t>you</w:t>
      </w:r>
      <w:r w:rsidRPr="00B11BB9">
        <w:t xml:space="preserve"> have not paid using an approved estimation method and bill </w:t>
      </w:r>
      <w:r w:rsidRPr="00B11BB9">
        <w:rPr>
          <w:b/>
        </w:rPr>
        <w:t>you</w:t>
      </w:r>
      <w:r w:rsidR="00347D54">
        <w:t xml:space="preserve"> for that amount;</w:t>
      </w:r>
    </w:p>
    <w:p w:rsidR="00DC0AF4" w:rsidRDefault="00313AC1" w:rsidP="00646E85">
      <w:pPr>
        <w:pStyle w:val="GG-body"/>
        <w:numPr>
          <w:ilvl w:val="3"/>
          <w:numId w:val="33"/>
        </w:numPr>
        <w:ind w:hanging="283"/>
      </w:pPr>
      <w:r w:rsidRPr="00B11BB9">
        <w:t xml:space="preserve">recover that amount from </w:t>
      </w:r>
      <w:r w:rsidRPr="00B11BB9">
        <w:rPr>
          <w:b/>
        </w:rPr>
        <w:t>you</w:t>
      </w:r>
      <w:r w:rsidRPr="00B11BB9">
        <w:t>, as well any costs associated with estimating the consumption; and</w:t>
      </w:r>
    </w:p>
    <w:p w:rsidR="00313AC1" w:rsidRPr="00B11BB9" w:rsidRDefault="00313AC1" w:rsidP="00646E85">
      <w:pPr>
        <w:pStyle w:val="GG-body"/>
        <w:numPr>
          <w:ilvl w:val="3"/>
          <w:numId w:val="33"/>
        </w:numPr>
        <w:ind w:hanging="283"/>
      </w:pPr>
      <w:r w:rsidRPr="00B11BB9">
        <w:t xml:space="preserve">disconnect </w:t>
      </w:r>
      <w:r w:rsidRPr="00B11BB9">
        <w:rPr>
          <w:b/>
        </w:rPr>
        <w:t>your</w:t>
      </w:r>
      <w:r w:rsidRPr="00B11BB9">
        <w:t xml:space="preserve"> </w:t>
      </w:r>
      <w:r w:rsidRPr="00B11BB9">
        <w:rPr>
          <w:b/>
          <w:bCs/>
          <w:iCs/>
        </w:rPr>
        <w:t>supply address</w:t>
      </w:r>
      <w:r w:rsidRPr="00B11BB9">
        <w:t xml:space="preserve"> immediately.</w:t>
      </w:r>
    </w:p>
    <w:p w:rsidR="00313AC1" w:rsidRPr="00B11BB9" w:rsidRDefault="00313AC1" w:rsidP="00646E85">
      <w:pPr>
        <w:pStyle w:val="GG-body"/>
        <w:numPr>
          <w:ilvl w:val="2"/>
          <w:numId w:val="32"/>
        </w:numPr>
      </w:pPr>
      <w:r w:rsidRPr="00B11BB9">
        <w:t xml:space="preserve">By illegally using our </w:t>
      </w:r>
      <w:r w:rsidRPr="00B11BB9">
        <w:rPr>
          <w:b/>
        </w:rPr>
        <w:t>retail service</w:t>
      </w:r>
      <w:r w:rsidRPr="00B11BB9">
        <w:t>, clauses 14 and 16 will not apply to you.</w:t>
      </w:r>
    </w:p>
    <w:p w:rsidR="00313AC1" w:rsidRPr="00B11BB9" w:rsidRDefault="00313AC1" w:rsidP="00646E85">
      <w:pPr>
        <w:pStyle w:val="GG-body"/>
        <w:numPr>
          <w:ilvl w:val="0"/>
          <w:numId w:val="26"/>
        </w:numPr>
        <w:rPr>
          <w:b/>
        </w:rPr>
      </w:pPr>
      <w:bookmarkStart w:id="201" w:name="_Ref382310202"/>
      <w:bookmarkStart w:id="202" w:name="_Toc12293607"/>
      <w:r w:rsidRPr="00B11BB9">
        <w:rPr>
          <w:b/>
        </w:rPr>
        <w:t>FEES AND CHARGES</w:t>
      </w:r>
      <w:bookmarkEnd w:id="201"/>
      <w:bookmarkEnd w:id="202"/>
    </w:p>
    <w:p w:rsidR="00DC0AF4" w:rsidRDefault="00313AC1" w:rsidP="00646E85">
      <w:pPr>
        <w:pStyle w:val="GG-body"/>
        <w:numPr>
          <w:ilvl w:val="1"/>
          <w:numId w:val="26"/>
        </w:numPr>
      </w:pPr>
      <w:r w:rsidRPr="00B11BB9">
        <w:t xml:space="preserve">Any </w:t>
      </w:r>
      <w:r w:rsidRPr="00B11BB9">
        <w:rPr>
          <w:b/>
        </w:rPr>
        <w:t>fees and charges</w:t>
      </w:r>
      <w:r w:rsidRPr="00B11BB9">
        <w:t xml:space="preserve"> associated with the sale and supply of </w:t>
      </w:r>
      <w:r w:rsidRPr="00B11BB9">
        <w:rPr>
          <w:b/>
        </w:rPr>
        <w:t>retail services</w:t>
      </w:r>
      <w:r w:rsidRPr="00B11BB9">
        <w:t xml:space="preserve"> to you are set out in the </w:t>
      </w:r>
      <w:r w:rsidRPr="00B11BB9">
        <w:rPr>
          <w:b/>
          <w:bCs/>
          <w:iCs/>
        </w:rPr>
        <w:t>Price List</w:t>
      </w:r>
      <w:r w:rsidRPr="00B11BB9">
        <w:t xml:space="preserve"> published from time to time and available on our website www.cleanpeakonsley.com.au</w:t>
      </w:r>
    </w:p>
    <w:p w:rsidR="00313AC1" w:rsidRPr="00B11BB9" w:rsidRDefault="00313AC1" w:rsidP="00646E85">
      <w:pPr>
        <w:pStyle w:val="GG-body"/>
        <w:numPr>
          <w:ilvl w:val="1"/>
          <w:numId w:val="26"/>
        </w:numPr>
      </w:pPr>
      <w:r w:rsidRPr="00B11BB9">
        <w:t xml:space="preserve">Changes in </w:t>
      </w:r>
      <w:r w:rsidRPr="00B11BB9">
        <w:rPr>
          <w:b/>
        </w:rPr>
        <w:t>fees and charges</w:t>
      </w:r>
    </w:p>
    <w:p w:rsidR="00313AC1" w:rsidRPr="00B11BB9" w:rsidRDefault="00313AC1" w:rsidP="00646E85">
      <w:pPr>
        <w:pStyle w:val="GG-body"/>
        <w:numPr>
          <w:ilvl w:val="2"/>
          <w:numId w:val="34"/>
        </w:numPr>
      </w:pPr>
      <w:r w:rsidRPr="00B11BB9">
        <w:t xml:space="preserve">We have the right to change our </w:t>
      </w:r>
      <w:r w:rsidRPr="00B11BB9">
        <w:rPr>
          <w:b/>
        </w:rPr>
        <w:t>fees and charges</w:t>
      </w:r>
      <w:r w:rsidRPr="00B11BB9">
        <w:t xml:space="preserve"> from time to time.</w:t>
      </w:r>
    </w:p>
    <w:p w:rsidR="004E4088" w:rsidRPr="004E4088" w:rsidRDefault="00313AC1" w:rsidP="00646E85">
      <w:pPr>
        <w:pStyle w:val="GG-body"/>
        <w:numPr>
          <w:ilvl w:val="2"/>
          <w:numId w:val="34"/>
        </w:numPr>
      </w:pPr>
      <w:r w:rsidRPr="00EF2EDA">
        <w:rPr>
          <w:spacing w:val="-2"/>
        </w:rPr>
        <w:t xml:space="preserve">Any changes to </w:t>
      </w:r>
      <w:r w:rsidRPr="00EF2EDA">
        <w:rPr>
          <w:b/>
          <w:spacing w:val="-2"/>
        </w:rPr>
        <w:t>fees and charges</w:t>
      </w:r>
      <w:r w:rsidRPr="00EF2EDA">
        <w:rPr>
          <w:spacing w:val="-2"/>
        </w:rPr>
        <w:t xml:space="preserve"> applicable to </w:t>
      </w:r>
      <w:r w:rsidRPr="00EF2EDA">
        <w:rPr>
          <w:b/>
          <w:bCs/>
          <w:spacing w:val="-2"/>
        </w:rPr>
        <w:t>you</w:t>
      </w:r>
      <w:r w:rsidRPr="00EF2EDA">
        <w:rPr>
          <w:spacing w:val="-2"/>
        </w:rPr>
        <w:t xml:space="preserve"> will be re-published in the Gaz</w:t>
      </w:r>
      <w:r w:rsidR="00EF2EDA" w:rsidRPr="00EF2EDA">
        <w:rPr>
          <w:spacing w:val="-2"/>
        </w:rPr>
        <w:t>ette in accordance with section </w:t>
      </w:r>
      <w:r w:rsidRPr="00EF2EDA">
        <w:rPr>
          <w:spacing w:val="-2"/>
        </w:rPr>
        <w:t>36</w:t>
      </w:r>
      <w:r w:rsidRPr="00B11BB9">
        <w:t xml:space="preserve"> of the Act and will be set out in the </w:t>
      </w:r>
      <w:r w:rsidRPr="00B11BB9">
        <w:rPr>
          <w:b/>
          <w:bCs/>
        </w:rPr>
        <w:t>Price List</w:t>
      </w:r>
      <w:r w:rsidRPr="00B11BB9">
        <w:t xml:space="preserve"> published on our website.</w:t>
      </w:r>
      <w:bookmarkStart w:id="203" w:name="_Ref382310608"/>
      <w:r w:rsidR="004E4088">
        <w:br w:type="page"/>
      </w:r>
    </w:p>
    <w:p w:rsidR="00313AC1" w:rsidRPr="00B11BB9" w:rsidRDefault="00313AC1" w:rsidP="00646E85">
      <w:pPr>
        <w:pStyle w:val="GG-body"/>
        <w:numPr>
          <w:ilvl w:val="1"/>
          <w:numId w:val="26"/>
        </w:numPr>
      </w:pPr>
      <w:r w:rsidRPr="00B11BB9">
        <w:lastRenderedPageBreak/>
        <w:t>GST</w:t>
      </w:r>
      <w:bookmarkEnd w:id="203"/>
    </w:p>
    <w:p w:rsidR="00313AC1" w:rsidRPr="00B11BB9" w:rsidRDefault="00313AC1" w:rsidP="00646E85">
      <w:pPr>
        <w:pStyle w:val="GG-body"/>
        <w:numPr>
          <w:ilvl w:val="2"/>
          <w:numId w:val="35"/>
        </w:numPr>
      </w:pPr>
      <w:r w:rsidRPr="00B11BB9">
        <w:t xml:space="preserve">Amounts specified in our </w:t>
      </w:r>
      <w:r w:rsidRPr="00B11BB9">
        <w:rPr>
          <w:b/>
        </w:rPr>
        <w:t>Price List</w:t>
      </w:r>
      <w:r w:rsidRPr="00B11BB9">
        <w:t xml:space="preserve">, subject to amendment from time to time, and other amounts payable under this </w:t>
      </w:r>
      <w:r w:rsidRPr="00B11BB9">
        <w:rPr>
          <w:b/>
        </w:rPr>
        <w:t>contract</w:t>
      </w:r>
      <w:r w:rsidRPr="00B11BB9">
        <w:t xml:space="preserve"> must be stated to be exclusive or inclusive of GST. Clause 10.3(b) applies unless an amount is stated to include GST.</w:t>
      </w:r>
    </w:p>
    <w:p w:rsidR="00313AC1" w:rsidRPr="00B11BB9" w:rsidRDefault="00313AC1" w:rsidP="00646E85">
      <w:pPr>
        <w:pStyle w:val="GG-body"/>
        <w:numPr>
          <w:ilvl w:val="2"/>
          <w:numId w:val="35"/>
        </w:numPr>
      </w:pPr>
      <w:bookmarkStart w:id="204" w:name="_Ref382310611"/>
      <w:r w:rsidRPr="00B11BB9">
        <w:t xml:space="preserve">Where an amount paid by you under this </w:t>
      </w:r>
      <w:r w:rsidRPr="00B11BB9">
        <w:rPr>
          <w:b/>
        </w:rPr>
        <w:t>contract</w:t>
      </w:r>
      <w:r w:rsidRPr="00B11BB9">
        <w:t xml:space="preserve"> is payment for a </w:t>
      </w:r>
      <w:r w:rsidR="00F710B6">
        <w:t>“</w:t>
      </w:r>
      <w:r w:rsidRPr="00B11BB9">
        <w:t>taxable supply</w:t>
      </w:r>
      <w:r w:rsidR="00F710B6">
        <w:t>”</w:t>
      </w:r>
      <w:r w:rsidRPr="00B11BB9">
        <w:t xml:space="preserve"> as defined for GST purposes, to the extent permitted by law, that payment will be increased so that the cost of the GST payable on the taxable supply is passed on to the recipient of that taxable supply.</w:t>
      </w:r>
      <w:bookmarkEnd w:id="204"/>
    </w:p>
    <w:p w:rsidR="00313AC1" w:rsidRPr="00B11BB9" w:rsidRDefault="00313AC1" w:rsidP="00646E85">
      <w:pPr>
        <w:pStyle w:val="GG-body"/>
        <w:numPr>
          <w:ilvl w:val="0"/>
          <w:numId w:val="26"/>
        </w:numPr>
        <w:rPr>
          <w:b/>
        </w:rPr>
      </w:pPr>
      <w:bookmarkStart w:id="205" w:name="_Ref382310231"/>
      <w:bookmarkStart w:id="206" w:name="_Toc12293608"/>
      <w:r w:rsidRPr="00B11BB9">
        <w:rPr>
          <w:b/>
        </w:rPr>
        <w:t>TARIFF CHANGES</w:t>
      </w:r>
      <w:bookmarkEnd w:id="205"/>
      <w:bookmarkEnd w:id="206"/>
    </w:p>
    <w:p w:rsidR="00313AC1" w:rsidRPr="00B11BB9" w:rsidRDefault="00313AC1" w:rsidP="00646E85">
      <w:pPr>
        <w:pStyle w:val="GG-body"/>
        <w:numPr>
          <w:ilvl w:val="1"/>
          <w:numId w:val="26"/>
        </w:numPr>
      </w:pPr>
      <w:r w:rsidRPr="00B11BB9">
        <w:t xml:space="preserve">If we vary the type of tariff rate you are charged for your </w:t>
      </w:r>
      <w:r w:rsidRPr="00B11BB9">
        <w:rPr>
          <w:b/>
        </w:rPr>
        <w:t>retail service</w:t>
      </w:r>
      <w:r w:rsidRPr="00B11BB9">
        <w:t>, we will notify you of the new tariff rate on your next bill.</w:t>
      </w:r>
    </w:p>
    <w:p w:rsidR="00313AC1" w:rsidRPr="00B11BB9" w:rsidRDefault="00313AC1" w:rsidP="00646E85">
      <w:pPr>
        <w:pStyle w:val="GG-body"/>
        <w:numPr>
          <w:ilvl w:val="1"/>
          <w:numId w:val="26"/>
        </w:numPr>
      </w:pPr>
      <w:r w:rsidRPr="00B11BB9">
        <w:t>Where this occurs within a billing cycle, we will calculate on a pro-rata basis using:</w:t>
      </w:r>
    </w:p>
    <w:p w:rsidR="00313AC1" w:rsidRPr="00B11BB9" w:rsidRDefault="00313AC1" w:rsidP="00646E85">
      <w:pPr>
        <w:pStyle w:val="GG-body"/>
        <w:numPr>
          <w:ilvl w:val="2"/>
          <w:numId w:val="36"/>
        </w:numPr>
      </w:pPr>
      <w:r w:rsidRPr="00B11BB9">
        <w:t>the old tariff rate up to and including the effective date for the change; or</w:t>
      </w:r>
    </w:p>
    <w:p w:rsidR="00313AC1" w:rsidRPr="00B11BB9" w:rsidRDefault="00313AC1" w:rsidP="00646E85">
      <w:pPr>
        <w:pStyle w:val="GG-body"/>
        <w:numPr>
          <w:ilvl w:val="2"/>
          <w:numId w:val="36"/>
        </w:numPr>
      </w:pPr>
      <w:r w:rsidRPr="00B11BB9">
        <w:t>the new tariff rate from the effective date to the end of the billing cycle.</w:t>
      </w:r>
    </w:p>
    <w:p w:rsidR="00313AC1" w:rsidRPr="00B11BB9" w:rsidRDefault="00313AC1" w:rsidP="00646E85">
      <w:pPr>
        <w:pStyle w:val="GG-body"/>
        <w:numPr>
          <w:ilvl w:val="0"/>
          <w:numId w:val="26"/>
        </w:numPr>
        <w:rPr>
          <w:b/>
        </w:rPr>
      </w:pPr>
      <w:bookmarkStart w:id="207" w:name="_Ref382310245"/>
      <w:bookmarkStart w:id="208" w:name="_Toc12293609"/>
      <w:r w:rsidRPr="00B11BB9">
        <w:rPr>
          <w:b/>
        </w:rPr>
        <w:t>BILLING</w:t>
      </w:r>
      <w:bookmarkEnd w:id="207"/>
      <w:bookmarkEnd w:id="208"/>
    </w:p>
    <w:p w:rsidR="00313AC1" w:rsidRPr="00B11BB9" w:rsidRDefault="00313AC1" w:rsidP="00646E85">
      <w:pPr>
        <w:pStyle w:val="GG-body"/>
        <w:numPr>
          <w:ilvl w:val="1"/>
          <w:numId w:val="26"/>
        </w:numPr>
        <w:rPr>
          <w:b/>
        </w:rPr>
      </w:pPr>
      <w:bookmarkStart w:id="209" w:name="_Ref382310643"/>
      <w:r w:rsidRPr="00B11BB9">
        <w:t xml:space="preserve">We will use our </w:t>
      </w:r>
      <w:r w:rsidRPr="00B11BB9">
        <w:rPr>
          <w:b/>
        </w:rPr>
        <w:t>best endeavours</w:t>
      </w:r>
      <w:r w:rsidRPr="00B11BB9">
        <w:t xml:space="preserve"> to issue you a bill at least quarterly.</w:t>
      </w:r>
      <w:bookmarkEnd w:id="209"/>
    </w:p>
    <w:p w:rsidR="00313AC1" w:rsidRPr="00A31268" w:rsidRDefault="00313AC1" w:rsidP="00646E85">
      <w:pPr>
        <w:pStyle w:val="GG-body"/>
        <w:numPr>
          <w:ilvl w:val="1"/>
          <w:numId w:val="26"/>
        </w:numPr>
        <w:rPr>
          <w:b/>
          <w:spacing w:val="-2"/>
        </w:rPr>
      </w:pPr>
      <w:r w:rsidRPr="00A31268">
        <w:rPr>
          <w:spacing w:val="-2"/>
        </w:rPr>
        <w:t>We may enter into an agreement with you to a different billing cycle with a regular recurrent period that differs to clause 12.1.</w:t>
      </w:r>
    </w:p>
    <w:p w:rsidR="00313AC1" w:rsidRPr="00B11BB9" w:rsidRDefault="00313AC1" w:rsidP="00646E85">
      <w:pPr>
        <w:pStyle w:val="GG-body"/>
        <w:numPr>
          <w:ilvl w:val="1"/>
          <w:numId w:val="26"/>
        </w:numPr>
      </w:pPr>
      <w:bookmarkStart w:id="210" w:name="_Ref382310667"/>
      <w:r w:rsidRPr="00B11BB9">
        <w:t xml:space="preserve">We will prepare a bill so that you can easily verify that the bill conforms to this </w:t>
      </w:r>
      <w:r w:rsidRPr="00B11BB9">
        <w:rPr>
          <w:b/>
        </w:rPr>
        <w:t>contract</w:t>
      </w:r>
      <w:r w:rsidRPr="00B11BB9">
        <w:t xml:space="preserve"> and it will include at least the particulars required by the </w:t>
      </w:r>
      <w:r w:rsidRPr="00B11BB9">
        <w:rPr>
          <w:b/>
        </w:rPr>
        <w:t>Code</w:t>
      </w:r>
      <w:r w:rsidRPr="00B11BB9">
        <w:t xml:space="preserve">, except in circumstances permitted by </w:t>
      </w:r>
      <w:r w:rsidRPr="00B11BB9">
        <w:rPr>
          <w:b/>
        </w:rPr>
        <w:t>ESCOSA</w:t>
      </w:r>
      <w:r w:rsidRPr="00B11BB9">
        <w:t>.</w:t>
      </w:r>
      <w:bookmarkEnd w:id="210"/>
    </w:p>
    <w:p w:rsidR="00313AC1" w:rsidRPr="00B11BB9" w:rsidRDefault="00313AC1" w:rsidP="00646E85">
      <w:pPr>
        <w:pStyle w:val="GG-body"/>
        <w:numPr>
          <w:ilvl w:val="1"/>
          <w:numId w:val="26"/>
        </w:numPr>
      </w:pPr>
      <w:r w:rsidRPr="00B11BB9">
        <w:t xml:space="preserve">Unless otherwise agreed with you, you must pay the amount shown on each bill by the date for payment (the pay-by date). The pay-by date will be no earlier than 12 </w:t>
      </w:r>
      <w:r w:rsidRPr="00B11BB9">
        <w:rPr>
          <w:b/>
        </w:rPr>
        <w:t>business days</w:t>
      </w:r>
      <w:r w:rsidRPr="00B11BB9">
        <w:t xml:space="preserve"> from the date we send the bill.</w:t>
      </w:r>
    </w:p>
    <w:p w:rsidR="00313AC1" w:rsidRPr="00B11BB9" w:rsidRDefault="00313AC1" w:rsidP="00646E85">
      <w:pPr>
        <w:pStyle w:val="GG-body"/>
        <w:numPr>
          <w:ilvl w:val="1"/>
          <w:numId w:val="26"/>
        </w:numPr>
      </w:pPr>
      <w:r w:rsidRPr="00B11BB9">
        <w:t>If you have not paid a bill by the pay-by date, we will send you a reminder notice. This will give you a further pay-by date which will not be less than 6 </w:t>
      </w:r>
      <w:r w:rsidRPr="00B11BB9">
        <w:rPr>
          <w:b/>
        </w:rPr>
        <w:t>business days</w:t>
      </w:r>
      <w:r w:rsidRPr="00B11BB9">
        <w:t xml:space="preserve"> after we issue the notice.</w:t>
      </w:r>
    </w:p>
    <w:p w:rsidR="00313AC1" w:rsidRPr="00B11BB9" w:rsidRDefault="00313AC1" w:rsidP="00646E85">
      <w:pPr>
        <w:pStyle w:val="GG-body"/>
        <w:numPr>
          <w:ilvl w:val="0"/>
          <w:numId w:val="26"/>
        </w:numPr>
        <w:rPr>
          <w:b/>
        </w:rPr>
      </w:pPr>
      <w:bookmarkStart w:id="211" w:name="_Ref382310263"/>
      <w:bookmarkStart w:id="212" w:name="_Toc12293610"/>
      <w:r w:rsidRPr="00B11BB9">
        <w:rPr>
          <w:b/>
        </w:rPr>
        <w:t>PAYMENT METHODS</w:t>
      </w:r>
      <w:bookmarkEnd w:id="211"/>
      <w:bookmarkEnd w:id="212"/>
    </w:p>
    <w:p w:rsidR="00313AC1" w:rsidRPr="00B11BB9" w:rsidRDefault="00313AC1" w:rsidP="00646E85">
      <w:pPr>
        <w:pStyle w:val="GG-body"/>
        <w:numPr>
          <w:ilvl w:val="1"/>
          <w:numId w:val="26"/>
        </w:numPr>
        <w:rPr>
          <w:b/>
        </w:rPr>
      </w:pPr>
      <w:r w:rsidRPr="00B11BB9">
        <w:t>The payment methods we offer will be listed on your bill and are subject to change from time to time. At a minimum we will offer you the ability to pay your bills:</w:t>
      </w:r>
    </w:p>
    <w:p w:rsidR="00313AC1" w:rsidRPr="00B11BB9" w:rsidRDefault="00313AC1" w:rsidP="00646E85">
      <w:pPr>
        <w:pStyle w:val="GG-body"/>
        <w:numPr>
          <w:ilvl w:val="2"/>
          <w:numId w:val="37"/>
        </w:numPr>
        <w:rPr>
          <w:b/>
        </w:rPr>
      </w:pPr>
      <w:r w:rsidRPr="00B11BB9">
        <w:t>in person,</w:t>
      </w:r>
    </w:p>
    <w:p w:rsidR="00DC0AF4" w:rsidRDefault="00313AC1" w:rsidP="00646E85">
      <w:pPr>
        <w:pStyle w:val="GG-body"/>
        <w:numPr>
          <w:ilvl w:val="2"/>
          <w:numId w:val="37"/>
        </w:numPr>
      </w:pPr>
      <w:r w:rsidRPr="00B11BB9">
        <w:t>by mail,</w:t>
      </w:r>
    </w:p>
    <w:p w:rsidR="00DC0AF4" w:rsidRDefault="00313AC1" w:rsidP="00646E85">
      <w:pPr>
        <w:pStyle w:val="GG-body"/>
        <w:numPr>
          <w:ilvl w:val="2"/>
          <w:numId w:val="37"/>
        </w:numPr>
      </w:pPr>
      <w:r w:rsidRPr="00B11BB9">
        <w:t>by direct debit; or</w:t>
      </w:r>
    </w:p>
    <w:p w:rsidR="00313AC1" w:rsidRPr="00B11BB9" w:rsidRDefault="00313AC1" w:rsidP="00646E85">
      <w:pPr>
        <w:pStyle w:val="GG-body"/>
        <w:numPr>
          <w:ilvl w:val="2"/>
          <w:numId w:val="37"/>
        </w:numPr>
        <w:rPr>
          <w:b/>
        </w:rPr>
      </w:pPr>
      <w:r w:rsidRPr="00B11BB9">
        <w:t xml:space="preserve">by </w:t>
      </w:r>
      <w:r w:rsidRPr="00B11BB9">
        <w:rPr>
          <w:b/>
        </w:rPr>
        <w:t>Centrepay</w:t>
      </w:r>
      <w:r w:rsidRPr="00B11BB9">
        <w:t xml:space="preserve"> (for </w:t>
      </w:r>
      <w:r w:rsidRPr="00B11BB9">
        <w:rPr>
          <w:b/>
        </w:rPr>
        <w:t>residential customers</w:t>
      </w:r>
      <w:r w:rsidRPr="00B11BB9">
        <w:t>).</w:t>
      </w:r>
    </w:p>
    <w:p w:rsidR="00313AC1" w:rsidRPr="00B11BB9" w:rsidRDefault="00313AC1" w:rsidP="00646E85">
      <w:pPr>
        <w:pStyle w:val="GG-body"/>
        <w:numPr>
          <w:ilvl w:val="1"/>
          <w:numId w:val="26"/>
        </w:numPr>
      </w:pPr>
      <w:r w:rsidRPr="00B11BB9">
        <w:t xml:space="preserve">If you pay us by cheque, direct debit from an account with an </w:t>
      </w:r>
      <w:r w:rsidRPr="00B11BB9">
        <w:rPr>
          <w:b/>
        </w:rPr>
        <w:t>ADI</w:t>
      </w:r>
      <w:r w:rsidRPr="00B11BB9">
        <w:t xml:space="preserve"> or by credit card and the payment is dishonoured or reversed, which results in us incurring a fee, we may recover the amount of that fee from you.</w:t>
      </w:r>
    </w:p>
    <w:p w:rsidR="00313AC1" w:rsidRPr="00B11BB9" w:rsidRDefault="00313AC1" w:rsidP="00646E85">
      <w:pPr>
        <w:pStyle w:val="GG-body"/>
        <w:numPr>
          <w:ilvl w:val="0"/>
          <w:numId w:val="26"/>
        </w:numPr>
        <w:rPr>
          <w:b/>
        </w:rPr>
      </w:pPr>
      <w:bookmarkStart w:id="213" w:name="_Ref381001437"/>
      <w:bookmarkStart w:id="214" w:name="_Toc12293611"/>
      <w:bookmarkEnd w:id="200"/>
      <w:r w:rsidRPr="00B11BB9">
        <w:rPr>
          <w:b/>
        </w:rPr>
        <w:t>FLEXIBLE PAYMENT ARRANGEMENTS</w:t>
      </w:r>
      <w:bookmarkEnd w:id="213"/>
      <w:bookmarkEnd w:id="214"/>
    </w:p>
    <w:p w:rsidR="00313AC1" w:rsidRPr="00B11BB9" w:rsidRDefault="00313AC1" w:rsidP="00646E85">
      <w:pPr>
        <w:pStyle w:val="GG-body"/>
        <w:numPr>
          <w:ilvl w:val="1"/>
          <w:numId w:val="26"/>
        </w:numPr>
        <w:rPr>
          <w:b/>
        </w:rPr>
      </w:pPr>
      <w:r w:rsidRPr="00B11BB9">
        <w:t xml:space="preserve">We offer flexible payment plans in accordance with this clause if you are a </w:t>
      </w:r>
      <w:r w:rsidRPr="00B11BB9">
        <w:rPr>
          <w:b/>
        </w:rPr>
        <w:t>residential customer</w:t>
      </w:r>
      <w:r w:rsidRPr="00B11BB9">
        <w:t xml:space="preserve"> experiencing payment difficulties and you inform us in writing or by telephone that you are experiencing payment difficulties.</w:t>
      </w:r>
    </w:p>
    <w:p w:rsidR="00313AC1" w:rsidRPr="00B11BB9" w:rsidRDefault="00313AC1" w:rsidP="00646E85">
      <w:pPr>
        <w:pStyle w:val="GG-body"/>
        <w:numPr>
          <w:ilvl w:val="1"/>
          <w:numId w:val="26"/>
        </w:numPr>
        <w:rPr>
          <w:b/>
        </w:rPr>
      </w:pPr>
      <w:r w:rsidRPr="00B11BB9">
        <w:rPr>
          <w:b/>
        </w:rPr>
        <w:t>Residential customers</w:t>
      </w:r>
      <w:r w:rsidRPr="00B11BB9">
        <w:t xml:space="preserve"> experiencing payment difficulties are offered the following flexible payment options:</w:t>
      </w:r>
    </w:p>
    <w:p w:rsidR="00DC0AF4" w:rsidRPr="00A31268" w:rsidRDefault="00313AC1" w:rsidP="00646E85">
      <w:pPr>
        <w:pStyle w:val="GG-body"/>
        <w:numPr>
          <w:ilvl w:val="2"/>
          <w:numId w:val="38"/>
        </w:numPr>
        <w:rPr>
          <w:spacing w:val="-2"/>
        </w:rPr>
      </w:pPr>
      <w:r w:rsidRPr="00A31268">
        <w:rPr>
          <w:spacing w:val="-2"/>
        </w:rPr>
        <w:t xml:space="preserve">a system or arrangement under which a </w:t>
      </w:r>
      <w:r w:rsidRPr="00A31268">
        <w:rPr>
          <w:b/>
          <w:spacing w:val="-2"/>
        </w:rPr>
        <w:t>residential customer</w:t>
      </w:r>
      <w:r w:rsidRPr="00A31268">
        <w:rPr>
          <w:spacing w:val="-2"/>
        </w:rPr>
        <w:t xml:space="preserve"> may make payments in advance towards future bills;</w:t>
      </w:r>
    </w:p>
    <w:p w:rsidR="00313AC1" w:rsidRPr="00B11BB9" w:rsidRDefault="00313AC1" w:rsidP="00646E85">
      <w:pPr>
        <w:pStyle w:val="GG-body"/>
        <w:numPr>
          <w:ilvl w:val="2"/>
          <w:numId w:val="38"/>
        </w:numPr>
        <w:rPr>
          <w:b/>
        </w:rPr>
      </w:pPr>
      <w:r w:rsidRPr="00B11BB9">
        <w:t xml:space="preserve">an interest and fee free payment plan or other arrangement under which the </w:t>
      </w:r>
      <w:r w:rsidRPr="00B11BB9">
        <w:rPr>
          <w:b/>
        </w:rPr>
        <w:t>residential customer</w:t>
      </w:r>
      <w:r w:rsidRPr="00B11BB9">
        <w:t xml:space="preserve"> is given more time to pay a bill or to pay arrears (including any restriction, disconnection or restoration charges); and</w:t>
      </w:r>
    </w:p>
    <w:p w:rsidR="00313AC1" w:rsidRPr="00B11BB9" w:rsidRDefault="00313AC1" w:rsidP="00646E85">
      <w:pPr>
        <w:pStyle w:val="GG-body"/>
        <w:numPr>
          <w:ilvl w:val="2"/>
          <w:numId w:val="38"/>
        </w:numPr>
        <w:rPr>
          <w:b/>
        </w:rPr>
      </w:pPr>
      <w:r w:rsidRPr="00B11BB9">
        <w:t>redirection of your bill as requested by you.</w:t>
      </w:r>
      <w:bookmarkStart w:id="215" w:name="_Ref381175107"/>
    </w:p>
    <w:p w:rsidR="00313AC1" w:rsidRPr="00B11BB9" w:rsidRDefault="00313AC1" w:rsidP="00646E85">
      <w:pPr>
        <w:pStyle w:val="GG-body"/>
        <w:numPr>
          <w:ilvl w:val="0"/>
          <w:numId w:val="26"/>
        </w:numPr>
        <w:rPr>
          <w:b/>
        </w:rPr>
      </w:pPr>
      <w:bookmarkStart w:id="216" w:name="_Toc12293612"/>
      <w:r w:rsidRPr="00B11BB9">
        <w:rPr>
          <w:b/>
        </w:rPr>
        <w:t>PAYMENT DIFFICULTIES</w:t>
      </w:r>
      <w:bookmarkEnd w:id="215"/>
      <w:bookmarkEnd w:id="216"/>
    </w:p>
    <w:p w:rsidR="00313AC1" w:rsidRPr="00B11BB9" w:rsidRDefault="00313AC1" w:rsidP="00646E85">
      <w:pPr>
        <w:pStyle w:val="GG-body"/>
        <w:numPr>
          <w:ilvl w:val="1"/>
          <w:numId w:val="26"/>
        </w:numPr>
      </w:pPr>
      <w:r w:rsidRPr="00B11BB9">
        <w:t>If you are experiencing payment difficulty, we will provide you with information about:</w:t>
      </w:r>
    </w:p>
    <w:p w:rsidR="00313AC1" w:rsidRPr="00B11BB9" w:rsidRDefault="00313AC1" w:rsidP="00646E85">
      <w:pPr>
        <w:pStyle w:val="GG-body"/>
        <w:numPr>
          <w:ilvl w:val="2"/>
          <w:numId w:val="39"/>
        </w:numPr>
      </w:pPr>
      <w:r w:rsidRPr="00B11BB9">
        <w:t>Our flexible payment arrangements;</w:t>
      </w:r>
    </w:p>
    <w:p w:rsidR="00313AC1" w:rsidRPr="00B11BB9" w:rsidRDefault="00313AC1" w:rsidP="00646E85">
      <w:pPr>
        <w:pStyle w:val="GG-body"/>
        <w:numPr>
          <w:ilvl w:val="2"/>
          <w:numId w:val="39"/>
        </w:numPr>
      </w:pPr>
      <w:r w:rsidRPr="00B11BB9">
        <w:t xml:space="preserve">Our </w:t>
      </w:r>
      <w:r w:rsidRPr="00B11BB9">
        <w:rPr>
          <w:b/>
        </w:rPr>
        <w:t>residential customer</w:t>
      </w:r>
      <w:r w:rsidRPr="00B11BB9">
        <w:t xml:space="preserve"> </w:t>
      </w:r>
      <w:r w:rsidRPr="00B11BB9">
        <w:rPr>
          <w:b/>
        </w:rPr>
        <w:t>Hardship Policy</w:t>
      </w:r>
      <w:r w:rsidRPr="00B11BB9">
        <w:t>;</w:t>
      </w:r>
    </w:p>
    <w:p w:rsidR="00313AC1" w:rsidRPr="00B11BB9" w:rsidRDefault="00313AC1" w:rsidP="00646E85">
      <w:pPr>
        <w:pStyle w:val="GG-body"/>
        <w:numPr>
          <w:ilvl w:val="2"/>
          <w:numId w:val="39"/>
        </w:numPr>
      </w:pPr>
      <w:r w:rsidRPr="00B11BB9">
        <w:t>Independent financial and other relevant counselling services.</w:t>
      </w:r>
      <w:bookmarkStart w:id="217" w:name="_Ref381001783"/>
      <w:bookmarkStart w:id="218" w:name="_Toc12293613"/>
    </w:p>
    <w:p w:rsidR="00313AC1" w:rsidRPr="00B11BB9" w:rsidRDefault="00313AC1" w:rsidP="00646E85">
      <w:pPr>
        <w:pStyle w:val="GG-body"/>
        <w:numPr>
          <w:ilvl w:val="0"/>
          <w:numId w:val="26"/>
        </w:numPr>
        <w:rPr>
          <w:b/>
        </w:rPr>
      </w:pPr>
      <w:r w:rsidRPr="00B11BB9">
        <w:rPr>
          <w:b/>
        </w:rPr>
        <w:t>HARDSHIP POLICY</w:t>
      </w:r>
      <w:bookmarkEnd w:id="217"/>
      <w:bookmarkEnd w:id="218"/>
    </w:p>
    <w:p w:rsidR="00313AC1" w:rsidRPr="00B11BB9" w:rsidRDefault="00313AC1" w:rsidP="00646E85">
      <w:pPr>
        <w:pStyle w:val="GG-body"/>
        <w:numPr>
          <w:ilvl w:val="1"/>
          <w:numId w:val="26"/>
        </w:numPr>
      </w:pPr>
      <w:r w:rsidRPr="00B11BB9">
        <w:t xml:space="preserve">We offer a </w:t>
      </w:r>
      <w:r w:rsidRPr="00B11BB9">
        <w:rPr>
          <w:b/>
        </w:rPr>
        <w:t>Hardship Policy</w:t>
      </w:r>
      <w:r w:rsidRPr="00B11BB9">
        <w:t xml:space="preserve"> to all our </w:t>
      </w:r>
      <w:r w:rsidRPr="00B11BB9">
        <w:rPr>
          <w:b/>
        </w:rPr>
        <w:t>residential</w:t>
      </w:r>
      <w:r w:rsidRPr="00B11BB9">
        <w:t xml:space="preserve"> </w:t>
      </w:r>
      <w:r w:rsidRPr="00B11BB9">
        <w:rPr>
          <w:b/>
        </w:rPr>
        <w:t>customers</w:t>
      </w:r>
      <w:r w:rsidRPr="00B11BB9">
        <w:t>.</w:t>
      </w:r>
    </w:p>
    <w:p w:rsidR="00313AC1" w:rsidRPr="00B11BB9" w:rsidRDefault="00313AC1" w:rsidP="00646E85">
      <w:pPr>
        <w:pStyle w:val="GG-body"/>
        <w:numPr>
          <w:ilvl w:val="1"/>
          <w:numId w:val="26"/>
        </w:numPr>
      </w:pPr>
      <w:r w:rsidRPr="00B11BB9">
        <w:t xml:space="preserve">Pursuant to the </w:t>
      </w:r>
      <w:r w:rsidRPr="00B11BB9">
        <w:rPr>
          <w:b/>
        </w:rPr>
        <w:t>Hardship Policy</w:t>
      </w:r>
      <w:r w:rsidRPr="00B11BB9">
        <w:t xml:space="preserve"> we will:</w:t>
      </w:r>
    </w:p>
    <w:p w:rsidR="00313AC1" w:rsidRPr="00B11BB9" w:rsidRDefault="00313AC1" w:rsidP="00646E85">
      <w:pPr>
        <w:pStyle w:val="GG-body"/>
        <w:numPr>
          <w:ilvl w:val="2"/>
          <w:numId w:val="40"/>
        </w:numPr>
      </w:pPr>
      <w:r w:rsidRPr="00B11BB9">
        <w:t xml:space="preserve">have a process to identify if you are experiencing payment difficulties due to </w:t>
      </w:r>
      <w:r w:rsidRPr="00B11BB9">
        <w:rPr>
          <w:b/>
        </w:rPr>
        <w:t>financial hardship</w:t>
      </w:r>
      <w:r w:rsidRPr="00B11BB9">
        <w:t>;</w:t>
      </w:r>
    </w:p>
    <w:p w:rsidR="00313AC1" w:rsidRPr="00B11BB9" w:rsidRDefault="00313AC1" w:rsidP="00646E85">
      <w:pPr>
        <w:pStyle w:val="GG-body"/>
        <w:numPr>
          <w:ilvl w:val="2"/>
          <w:numId w:val="40"/>
        </w:numPr>
      </w:pPr>
      <w:r w:rsidRPr="00B11BB9">
        <w:t xml:space="preserve">have a process for early response to </w:t>
      </w:r>
      <w:r w:rsidRPr="00B11BB9">
        <w:rPr>
          <w:b/>
        </w:rPr>
        <w:t>customers</w:t>
      </w:r>
      <w:r w:rsidRPr="00B11BB9">
        <w:t xml:space="preserve"> identified as experiencing payment difficulties due to hardship;</w:t>
      </w:r>
    </w:p>
    <w:p w:rsidR="00313AC1" w:rsidRPr="00B11BB9" w:rsidRDefault="00313AC1" w:rsidP="00646E85">
      <w:pPr>
        <w:pStyle w:val="GG-body"/>
        <w:numPr>
          <w:ilvl w:val="2"/>
          <w:numId w:val="40"/>
        </w:numPr>
      </w:pPr>
      <w:r w:rsidRPr="00B11BB9">
        <w:t>have processes in place to adequately train hardship staff;</w:t>
      </w:r>
    </w:p>
    <w:p w:rsidR="00313AC1" w:rsidRPr="00B11BB9" w:rsidRDefault="00313AC1" w:rsidP="00646E85">
      <w:pPr>
        <w:pStyle w:val="GG-body"/>
        <w:numPr>
          <w:ilvl w:val="2"/>
          <w:numId w:val="40"/>
        </w:numPr>
      </w:pPr>
      <w:r w:rsidRPr="00B11BB9">
        <w:t>offer alternative payment options including instalment plans;</w:t>
      </w:r>
    </w:p>
    <w:p w:rsidR="00313AC1" w:rsidRPr="00B11BB9" w:rsidRDefault="00313AC1" w:rsidP="00646E85">
      <w:pPr>
        <w:pStyle w:val="GG-body"/>
        <w:numPr>
          <w:ilvl w:val="2"/>
          <w:numId w:val="40"/>
        </w:numPr>
      </w:pPr>
      <w:r w:rsidRPr="00B11BB9">
        <w:t xml:space="preserve">offer </w:t>
      </w:r>
      <w:r w:rsidRPr="00B11BB9">
        <w:rPr>
          <w:b/>
        </w:rPr>
        <w:t>Centrepay</w:t>
      </w:r>
      <w:r w:rsidRPr="00B11BB9">
        <w:t xml:space="preserve"> to </w:t>
      </w:r>
      <w:r w:rsidRPr="00B11BB9">
        <w:rPr>
          <w:b/>
        </w:rPr>
        <w:t>residential customers</w:t>
      </w:r>
      <w:r w:rsidRPr="00B11BB9">
        <w:t>;</w:t>
      </w:r>
    </w:p>
    <w:p w:rsidR="00313AC1" w:rsidRPr="00B11BB9" w:rsidRDefault="00313AC1" w:rsidP="00646E85">
      <w:pPr>
        <w:pStyle w:val="GG-body"/>
        <w:numPr>
          <w:ilvl w:val="2"/>
          <w:numId w:val="40"/>
        </w:numPr>
      </w:pPr>
      <w:r w:rsidRPr="00B11BB9">
        <w:t xml:space="preserve">have processes in place to identify appropriate programs and financial counselling services where appropriate and advise </w:t>
      </w:r>
      <w:r w:rsidRPr="00B11BB9">
        <w:rPr>
          <w:b/>
        </w:rPr>
        <w:t>residential customers</w:t>
      </w:r>
      <w:r w:rsidRPr="00B11BB9">
        <w:t>;</w:t>
      </w:r>
    </w:p>
    <w:p w:rsidR="00313AC1" w:rsidRPr="00B11BB9" w:rsidRDefault="00313AC1" w:rsidP="00646E85">
      <w:pPr>
        <w:pStyle w:val="GG-body"/>
        <w:numPr>
          <w:ilvl w:val="2"/>
          <w:numId w:val="40"/>
        </w:numPr>
      </w:pPr>
      <w:r w:rsidRPr="00B11BB9">
        <w:t xml:space="preserve">provide information on the processes or programs available to </w:t>
      </w:r>
      <w:r w:rsidRPr="00B11BB9">
        <w:rPr>
          <w:b/>
        </w:rPr>
        <w:t>customers</w:t>
      </w:r>
      <w:r w:rsidRPr="00B11BB9">
        <w:t xml:space="preserve"> to improve their </w:t>
      </w:r>
      <w:r w:rsidRPr="00B11BB9">
        <w:rPr>
          <w:b/>
        </w:rPr>
        <w:t>water</w:t>
      </w:r>
      <w:r w:rsidRPr="00B11BB9">
        <w:t xml:space="preserve"> efficiency; and</w:t>
      </w:r>
    </w:p>
    <w:p w:rsidR="00313AC1" w:rsidRPr="00173DBA" w:rsidRDefault="00313AC1" w:rsidP="00646E85">
      <w:pPr>
        <w:pStyle w:val="GG-body"/>
        <w:numPr>
          <w:ilvl w:val="2"/>
          <w:numId w:val="40"/>
        </w:numPr>
        <w:rPr>
          <w:spacing w:val="-2"/>
        </w:rPr>
      </w:pPr>
      <w:r w:rsidRPr="00173DBA">
        <w:rPr>
          <w:spacing w:val="-2"/>
        </w:rPr>
        <w:t xml:space="preserve">provide information on the circumstances in which the </w:t>
      </w:r>
      <w:r w:rsidRPr="00173DBA">
        <w:rPr>
          <w:b/>
          <w:spacing w:val="-2"/>
        </w:rPr>
        <w:t>customer</w:t>
      </w:r>
      <w:r w:rsidRPr="00173DBA">
        <w:rPr>
          <w:spacing w:val="-2"/>
        </w:rPr>
        <w:t xml:space="preserve"> will cease being eligible for the hardship program.</w:t>
      </w:r>
    </w:p>
    <w:p w:rsidR="00313AC1" w:rsidRPr="00B11BB9" w:rsidRDefault="00313AC1" w:rsidP="00646E85">
      <w:pPr>
        <w:pStyle w:val="GG-body"/>
        <w:numPr>
          <w:ilvl w:val="1"/>
          <w:numId w:val="26"/>
        </w:numPr>
      </w:pPr>
      <w:r w:rsidRPr="00B11BB9">
        <w:t xml:space="preserve">The </w:t>
      </w:r>
      <w:r w:rsidRPr="00B11BB9">
        <w:rPr>
          <w:b/>
        </w:rPr>
        <w:t>Hardship Policy</w:t>
      </w:r>
      <w:r w:rsidRPr="00B11BB9">
        <w:t xml:space="preserve"> (as amended from time to time) and further details are available on our website.</w:t>
      </w:r>
    </w:p>
    <w:p w:rsidR="004E4088" w:rsidRDefault="004E4088">
      <w:pPr>
        <w:spacing w:after="0" w:line="240" w:lineRule="auto"/>
        <w:jc w:val="left"/>
        <w:rPr>
          <w:rFonts w:ascii="Times New Roman" w:eastAsia="Times New Roman" w:hAnsi="Times New Roman"/>
          <w:b/>
          <w:sz w:val="17"/>
          <w:szCs w:val="17"/>
        </w:rPr>
      </w:pPr>
      <w:bookmarkStart w:id="219" w:name="_Ref380995939"/>
      <w:bookmarkStart w:id="220" w:name="_Toc12293614"/>
      <w:r>
        <w:rPr>
          <w:b/>
        </w:rPr>
        <w:br w:type="page"/>
      </w:r>
    </w:p>
    <w:p w:rsidR="00313AC1" w:rsidRPr="00B11BB9" w:rsidRDefault="00313AC1" w:rsidP="00646E85">
      <w:pPr>
        <w:pStyle w:val="GG-body"/>
        <w:numPr>
          <w:ilvl w:val="0"/>
          <w:numId w:val="26"/>
        </w:numPr>
        <w:rPr>
          <w:b/>
        </w:rPr>
      </w:pPr>
      <w:r w:rsidRPr="00B11BB9">
        <w:rPr>
          <w:b/>
        </w:rPr>
        <w:lastRenderedPageBreak/>
        <w:t>BILLING DISPUTES</w:t>
      </w:r>
      <w:bookmarkEnd w:id="219"/>
      <w:bookmarkEnd w:id="220"/>
    </w:p>
    <w:p w:rsidR="00313AC1" w:rsidRPr="00B11BB9" w:rsidRDefault="00313AC1" w:rsidP="00646E85">
      <w:pPr>
        <w:pStyle w:val="GG-body"/>
        <w:numPr>
          <w:ilvl w:val="1"/>
          <w:numId w:val="26"/>
        </w:numPr>
        <w:rPr>
          <w:b/>
        </w:rPr>
      </w:pPr>
      <w:r w:rsidRPr="00B11BB9">
        <w:t xml:space="preserve">If you disagree with the amount you have been charged, you can ask us to review your bill in accordance with our </w:t>
      </w:r>
      <w:r w:rsidRPr="00B11BB9">
        <w:rPr>
          <w:b/>
        </w:rPr>
        <w:t>Enquiries, Complaints and Dispute Resolution Process</w:t>
      </w:r>
      <w:r w:rsidRPr="00B11BB9">
        <w:t xml:space="preserve"> under clause 28.</w:t>
      </w:r>
    </w:p>
    <w:p w:rsidR="00313AC1" w:rsidRPr="00B11BB9" w:rsidRDefault="00313AC1" w:rsidP="00646E85">
      <w:pPr>
        <w:pStyle w:val="GG-body"/>
        <w:numPr>
          <w:ilvl w:val="1"/>
          <w:numId w:val="26"/>
        </w:numPr>
      </w:pPr>
      <w:r w:rsidRPr="00B11BB9">
        <w:t xml:space="preserve">We will review your bill and inform you of the outcome of that review as soon as reasonably possible and, in any event, within 30 </w:t>
      </w:r>
      <w:r w:rsidRPr="00B11BB9">
        <w:rPr>
          <w:b/>
        </w:rPr>
        <w:t>business days</w:t>
      </w:r>
      <w:r w:rsidRPr="00B11BB9">
        <w:t>.</w:t>
      </w:r>
    </w:p>
    <w:p w:rsidR="00313AC1" w:rsidRPr="00B11BB9" w:rsidRDefault="00313AC1" w:rsidP="00646E85">
      <w:pPr>
        <w:pStyle w:val="GG-body"/>
        <w:numPr>
          <w:ilvl w:val="1"/>
          <w:numId w:val="26"/>
        </w:numPr>
      </w:pPr>
      <w:r w:rsidRPr="00B11BB9">
        <w:t>Where we are reviewing a bill, we may require you to pay:</w:t>
      </w:r>
    </w:p>
    <w:p w:rsidR="00DC0AF4" w:rsidRDefault="00313AC1" w:rsidP="00646E85">
      <w:pPr>
        <w:pStyle w:val="GG-body"/>
        <w:numPr>
          <w:ilvl w:val="2"/>
          <w:numId w:val="41"/>
        </w:numPr>
      </w:pPr>
      <w:r w:rsidRPr="00B11BB9">
        <w:t>the greater of:</w:t>
      </w:r>
    </w:p>
    <w:p w:rsidR="00313AC1" w:rsidRPr="00B11BB9" w:rsidRDefault="00313AC1" w:rsidP="00646E85">
      <w:pPr>
        <w:pStyle w:val="GG-body"/>
        <w:numPr>
          <w:ilvl w:val="3"/>
          <w:numId w:val="42"/>
        </w:numPr>
        <w:ind w:hanging="283"/>
      </w:pPr>
      <w:r w:rsidRPr="00B11BB9">
        <w:t>that portion of the bill under review that we agree is not in dispute; or</w:t>
      </w:r>
    </w:p>
    <w:p w:rsidR="00313AC1" w:rsidRPr="00B11BB9" w:rsidRDefault="00313AC1" w:rsidP="00646E85">
      <w:pPr>
        <w:pStyle w:val="GG-body"/>
        <w:numPr>
          <w:ilvl w:val="3"/>
          <w:numId w:val="42"/>
        </w:numPr>
        <w:ind w:hanging="283"/>
      </w:pPr>
      <w:r w:rsidRPr="00B11BB9">
        <w:t>an amount equal to the average amount of your bills in the previous 12 months (excluding the bill in dispute); and</w:t>
      </w:r>
    </w:p>
    <w:p w:rsidR="00DC0AF4" w:rsidRDefault="00313AC1" w:rsidP="00646E85">
      <w:pPr>
        <w:pStyle w:val="GG-body"/>
        <w:numPr>
          <w:ilvl w:val="2"/>
          <w:numId w:val="41"/>
        </w:numPr>
      </w:pPr>
      <w:r w:rsidRPr="00B11BB9">
        <w:t>any future bills that are properly due.</w:t>
      </w:r>
    </w:p>
    <w:p w:rsidR="00313AC1" w:rsidRPr="00B11BB9" w:rsidRDefault="00313AC1" w:rsidP="00646E85">
      <w:pPr>
        <w:pStyle w:val="GG-body"/>
        <w:numPr>
          <w:ilvl w:val="1"/>
          <w:numId w:val="26"/>
        </w:numPr>
      </w:pPr>
      <w:bookmarkStart w:id="221" w:name="_Ref381002986"/>
      <w:r w:rsidRPr="00B11BB9">
        <w:t>Where, after conducting a review of the bill, we are satisfied that it is:</w:t>
      </w:r>
      <w:bookmarkEnd w:id="221"/>
    </w:p>
    <w:p w:rsidR="00313AC1" w:rsidRPr="00B11BB9" w:rsidRDefault="00313AC1" w:rsidP="00646E85">
      <w:pPr>
        <w:pStyle w:val="GG-body"/>
        <w:numPr>
          <w:ilvl w:val="2"/>
          <w:numId w:val="43"/>
        </w:numPr>
      </w:pPr>
      <w:r w:rsidRPr="00B11BB9">
        <w:t>correct, we may require you pay the amount of that bill which is still outstanding; or</w:t>
      </w:r>
    </w:p>
    <w:p w:rsidR="00313AC1" w:rsidRPr="00B11BB9" w:rsidRDefault="00313AC1" w:rsidP="00646E85">
      <w:pPr>
        <w:pStyle w:val="GG-body"/>
        <w:numPr>
          <w:ilvl w:val="2"/>
          <w:numId w:val="43"/>
        </w:numPr>
      </w:pPr>
      <w:bookmarkStart w:id="222" w:name="_Ref381002972"/>
      <w:r w:rsidRPr="00B11BB9">
        <w:t>incorrect, we:</w:t>
      </w:r>
      <w:bookmarkEnd w:id="222"/>
    </w:p>
    <w:p w:rsidR="00313AC1" w:rsidRPr="00B11BB9" w:rsidRDefault="00313AC1" w:rsidP="00646E85">
      <w:pPr>
        <w:pStyle w:val="GG-body"/>
        <w:numPr>
          <w:ilvl w:val="3"/>
          <w:numId w:val="44"/>
        </w:numPr>
        <w:ind w:hanging="283"/>
      </w:pPr>
      <w:r w:rsidRPr="00B11BB9">
        <w:t>will correct your bill;</w:t>
      </w:r>
    </w:p>
    <w:p w:rsidR="00313AC1" w:rsidRPr="00B11BB9" w:rsidRDefault="00313AC1" w:rsidP="00646E85">
      <w:pPr>
        <w:pStyle w:val="GG-body"/>
        <w:numPr>
          <w:ilvl w:val="3"/>
          <w:numId w:val="44"/>
        </w:numPr>
        <w:tabs>
          <w:tab w:val="left" w:pos="2410"/>
        </w:tabs>
        <w:ind w:hanging="283"/>
      </w:pPr>
      <w:r w:rsidRPr="00B11BB9">
        <w:t>will refund (or set off against the amount in clause 17.4(b)(iii)) any fee paid in advance;</w:t>
      </w:r>
    </w:p>
    <w:p w:rsidR="00313AC1" w:rsidRPr="00B11BB9" w:rsidRDefault="00313AC1" w:rsidP="00646E85">
      <w:pPr>
        <w:pStyle w:val="GG-body"/>
        <w:numPr>
          <w:ilvl w:val="3"/>
          <w:numId w:val="44"/>
        </w:numPr>
        <w:tabs>
          <w:tab w:val="left" w:pos="2410"/>
        </w:tabs>
        <w:ind w:hanging="283"/>
      </w:pPr>
      <w:bookmarkStart w:id="223" w:name="_Ref381002961"/>
      <w:r w:rsidRPr="00B11BB9">
        <w:t>may require you pay the amount of that bill which is still outstanding; and</w:t>
      </w:r>
      <w:bookmarkEnd w:id="223"/>
    </w:p>
    <w:p w:rsidR="00DC0AF4" w:rsidRDefault="00313AC1" w:rsidP="00646E85">
      <w:pPr>
        <w:pStyle w:val="GG-body"/>
        <w:numPr>
          <w:ilvl w:val="3"/>
          <w:numId w:val="44"/>
        </w:numPr>
        <w:tabs>
          <w:tab w:val="left" w:pos="2410"/>
        </w:tabs>
        <w:ind w:hanging="283"/>
      </w:pPr>
      <w:r w:rsidRPr="00B11BB9">
        <w:t xml:space="preserve">will advise you of the existence of our </w:t>
      </w:r>
      <w:r w:rsidRPr="00B11BB9">
        <w:rPr>
          <w:b/>
        </w:rPr>
        <w:t>Enquiries, Complaints and Dispute Resolution Process</w:t>
      </w:r>
      <w:r w:rsidRPr="00B11BB9">
        <w:t xml:space="preserve"> under clause 28.</w:t>
      </w:r>
    </w:p>
    <w:p w:rsidR="00313AC1" w:rsidRPr="00B11BB9" w:rsidRDefault="00313AC1" w:rsidP="00646E85">
      <w:pPr>
        <w:pStyle w:val="GG-body"/>
        <w:numPr>
          <w:ilvl w:val="1"/>
          <w:numId w:val="26"/>
        </w:numPr>
      </w:pPr>
      <w:r w:rsidRPr="00B11BB9">
        <w:t>If you advise us that you are not satisfied with our decision, we will inform you that you may lodge a dispute with:</w:t>
      </w:r>
    </w:p>
    <w:p w:rsidR="00313AC1" w:rsidRPr="00B11BB9" w:rsidRDefault="00313AC1" w:rsidP="00646E85">
      <w:pPr>
        <w:pStyle w:val="GG-body"/>
        <w:numPr>
          <w:ilvl w:val="2"/>
          <w:numId w:val="45"/>
        </w:numPr>
      </w:pPr>
      <w:r w:rsidRPr="00B11BB9">
        <w:t>Energy &amp; Water Ombudsman South Australia.</w:t>
      </w:r>
    </w:p>
    <w:p w:rsidR="00313AC1" w:rsidRPr="00B11BB9" w:rsidRDefault="00313AC1" w:rsidP="00646E85">
      <w:pPr>
        <w:pStyle w:val="GG-body"/>
        <w:numPr>
          <w:ilvl w:val="0"/>
          <w:numId w:val="26"/>
        </w:numPr>
        <w:rPr>
          <w:b/>
        </w:rPr>
      </w:pPr>
      <w:bookmarkStart w:id="224" w:name="_Ref381175125"/>
      <w:bookmarkStart w:id="225" w:name="_Toc12293615"/>
      <w:r w:rsidRPr="00B11BB9">
        <w:rPr>
          <w:b/>
        </w:rPr>
        <w:t>UNDERCHARGING</w:t>
      </w:r>
      <w:bookmarkEnd w:id="224"/>
      <w:bookmarkEnd w:id="225"/>
    </w:p>
    <w:p w:rsidR="00313AC1" w:rsidRPr="009C6259" w:rsidRDefault="00313AC1" w:rsidP="00646E85">
      <w:pPr>
        <w:pStyle w:val="GG-body"/>
        <w:numPr>
          <w:ilvl w:val="1"/>
          <w:numId w:val="26"/>
        </w:numPr>
        <w:rPr>
          <w:b/>
          <w:spacing w:val="-4"/>
        </w:rPr>
      </w:pPr>
      <w:r w:rsidRPr="009C6259">
        <w:rPr>
          <w:spacing w:val="-4"/>
        </w:rPr>
        <w:t>Where you have been undercharged we will inform you and we may recover from you any amount you have been undercharged.</w:t>
      </w:r>
    </w:p>
    <w:p w:rsidR="00313AC1" w:rsidRPr="00B11BB9" w:rsidRDefault="00313AC1" w:rsidP="00646E85">
      <w:pPr>
        <w:pStyle w:val="GG-body"/>
        <w:numPr>
          <w:ilvl w:val="1"/>
          <w:numId w:val="26"/>
        </w:numPr>
        <w:rPr>
          <w:b/>
        </w:rPr>
      </w:pPr>
      <w:r w:rsidRPr="00B11BB9">
        <w:t>Where any amount undercharged is as a result of an act or omission on our part we will recover only the amounts owed to us in the 12 months prior to us advising you in writing that there has been an error.</w:t>
      </w:r>
    </w:p>
    <w:p w:rsidR="00313AC1" w:rsidRPr="00B11BB9" w:rsidRDefault="00313AC1" w:rsidP="00646E85">
      <w:pPr>
        <w:pStyle w:val="GG-body"/>
        <w:numPr>
          <w:ilvl w:val="1"/>
          <w:numId w:val="26"/>
        </w:numPr>
      </w:pPr>
      <w:r w:rsidRPr="00B11BB9">
        <w:t>We will list the amount to be recovered as a separate item in a special bill or on the next bill, together with an explanation of that amount.</w:t>
      </w:r>
    </w:p>
    <w:p w:rsidR="00313AC1" w:rsidRPr="00B11BB9" w:rsidRDefault="00313AC1" w:rsidP="00646E85">
      <w:pPr>
        <w:pStyle w:val="GG-body"/>
        <w:numPr>
          <w:ilvl w:val="1"/>
          <w:numId w:val="26"/>
        </w:numPr>
      </w:pPr>
      <w:r w:rsidRPr="00B11BB9">
        <w:t>We will not charge you interest on amounts recovered due to an error on our part and we will offer you a period of time to repay the amounts undercharged at least equal to the period of undercharging if less than 12 months or 12 months in any other case.</w:t>
      </w:r>
    </w:p>
    <w:p w:rsidR="00313AC1" w:rsidRPr="00B11BB9" w:rsidRDefault="00313AC1" w:rsidP="00646E85">
      <w:pPr>
        <w:pStyle w:val="GG-body"/>
        <w:numPr>
          <w:ilvl w:val="0"/>
          <w:numId w:val="26"/>
        </w:numPr>
        <w:rPr>
          <w:b/>
        </w:rPr>
      </w:pPr>
      <w:bookmarkStart w:id="226" w:name="_Ref380995959"/>
      <w:bookmarkStart w:id="227" w:name="_Toc12293616"/>
      <w:r w:rsidRPr="00B11BB9">
        <w:rPr>
          <w:b/>
        </w:rPr>
        <w:t>OVERCHARGING</w:t>
      </w:r>
      <w:bookmarkEnd w:id="226"/>
      <w:bookmarkEnd w:id="227"/>
    </w:p>
    <w:p w:rsidR="00313AC1" w:rsidRPr="00B11BB9" w:rsidRDefault="00313AC1" w:rsidP="00646E85">
      <w:pPr>
        <w:pStyle w:val="GG-body"/>
        <w:numPr>
          <w:ilvl w:val="1"/>
          <w:numId w:val="26"/>
        </w:numPr>
        <w:rPr>
          <w:b/>
        </w:rPr>
      </w:pPr>
      <w:r w:rsidRPr="00B11BB9">
        <w:t xml:space="preserve">If we overcharge you due to an act or omission on our part, we will use our </w:t>
      </w:r>
      <w:r w:rsidRPr="00B11BB9">
        <w:rPr>
          <w:b/>
        </w:rPr>
        <w:t>best endeavours</w:t>
      </w:r>
      <w:r w:rsidRPr="00B11BB9">
        <w:t xml:space="preserve"> to advise you within 10 </w:t>
      </w:r>
      <w:r w:rsidRPr="00B11BB9">
        <w:rPr>
          <w:b/>
        </w:rPr>
        <w:t xml:space="preserve">business days </w:t>
      </w:r>
      <w:r w:rsidRPr="00B11BB9">
        <w:t>of us becoming aware of the error.</w:t>
      </w:r>
    </w:p>
    <w:p w:rsidR="00313AC1" w:rsidRPr="00B11BB9" w:rsidRDefault="00313AC1" w:rsidP="00646E85">
      <w:pPr>
        <w:pStyle w:val="GG-body"/>
        <w:numPr>
          <w:ilvl w:val="1"/>
          <w:numId w:val="26"/>
        </w:numPr>
        <w:rPr>
          <w:b/>
        </w:rPr>
      </w:pPr>
      <w:r w:rsidRPr="00B11BB9">
        <w:t>If we have overcharged you and you have already paid your bill, we will:</w:t>
      </w:r>
    </w:p>
    <w:p w:rsidR="00313AC1" w:rsidRPr="00B11BB9" w:rsidRDefault="00313AC1" w:rsidP="00646E85">
      <w:pPr>
        <w:pStyle w:val="GG-body"/>
        <w:numPr>
          <w:ilvl w:val="2"/>
          <w:numId w:val="46"/>
        </w:numPr>
        <w:rPr>
          <w:b/>
        </w:rPr>
      </w:pPr>
      <w:r w:rsidRPr="00B11BB9">
        <w:t>credit the amount to your account and it will be deducted from your next bill; or</w:t>
      </w:r>
    </w:p>
    <w:p w:rsidR="00313AC1" w:rsidRPr="00B11BB9" w:rsidRDefault="00313AC1" w:rsidP="00646E85">
      <w:pPr>
        <w:pStyle w:val="GG-body"/>
        <w:numPr>
          <w:ilvl w:val="2"/>
          <w:numId w:val="46"/>
        </w:numPr>
        <w:rPr>
          <w:b/>
        </w:rPr>
      </w:pPr>
      <w:r w:rsidRPr="00B11BB9">
        <w:t xml:space="preserve">if you have ceased to purchase a </w:t>
      </w:r>
      <w:r w:rsidRPr="00B11BB9">
        <w:rPr>
          <w:b/>
        </w:rPr>
        <w:t>retail service</w:t>
      </w:r>
      <w:r w:rsidRPr="00B11BB9">
        <w:t xml:space="preserve"> from us, repay that amount to you within 10 </w:t>
      </w:r>
      <w:r w:rsidRPr="00B11BB9">
        <w:rPr>
          <w:b/>
        </w:rPr>
        <w:t>business days</w:t>
      </w:r>
      <w:r w:rsidRPr="00B11BB9">
        <w:t>.</w:t>
      </w:r>
    </w:p>
    <w:p w:rsidR="00313AC1" w:rsidRPr="00B11BB9" w:rsidRDefault="00313AC1" w:rsidP="00646E85">
      <w:pPr>
        <w:pStyle w:val="GG-body"/>
        <w:numPr>
          <w:ilvl w:val="0"/>
          <w:numId w:val="26"/>
        </w:numPr>
        <w:rPr>
          <w:b/>
        </w:rPr>
      </w:pPr>
      <w:bookmarkStart w:id="228" w:name="_Ref381175133"/>
      <w:bookmarkStart w:id="229" w:name="_Toc12293617"/>
      <w:r w:rsidRPr="00B11BB9">
        <w:rPr>
          <w:b/>
        </w:rPr>
        <w:t>DEBT RECOVER</w:t>
      </w:r>
      <w:bookmarkEnd w:id="228"/>
      <w:r w:rsidRPr="00B11BB9">
        <w:rPr>
          <w:b/>
        </w:rPr>
        <w:t>Y</w:t>
      </w:r>
      <w:bookmarkEnd w:id="229"/>
    </w:p>
    <w:p w:rsidR="00313AC1" w:rsidRPr="00B11BB9" w:rsidRDefault="00313AC1" w:rsidP="00646E85">
      <w:pPr>
        <w:pStyle w:val="GG-body"/>
        <w:numPr>
          <w:ilvl w:val="1"/>
          <w:numId w:val="26"/>
        </w:numPr>
      </w:pPr>
      <w:r w:rsidRPr="00B11BB9">
        <w:t xml:space="preserve">We will not commence proceedings for the recovery of a debt relating to the sale and supply of a </w:t>
      </w:r>
      <w:r w:rsidRPr="00B11BB9">
        <w:rPr>
          <w:b/>
        </w:rPr>
        <w:t>retail service</w:t>
      </w:r>
      <w:r w:rsidRPr="00B11BB9">
        <w:t xml:space="preserve"> by us if:</w:t>
      </w:r>
    </w:p>
    <w:p w:rsidR="00313AC1" w:rsidRPr="00B11BB9" w:rsidRDefault="00313AC1" w:rsidP="00646E85">
      <w:pPr>
        <w:pStyle w:val="GG-body"/>
        <w:numPr>
          <w:ilvl w:val="2"/>
          <w:numId w:val="47"/>
        </w:numPr>
      </w:pPr>
      <w:r w:rsidRPr="00B11BB9">
        <w:t>you continue to adhere to the terms of a flexible payment plan or other agreed payment arrangement; or</w:t>
      </w:r>
    </w:p>
    <w:p w:rsidR="00313AC1" w:rsidRPr="00B11BB9" w:rsidRDefault="00313AC1" w:rsidP="00646E85">
      <w:pPr>
        <w:pStyle w:val="GG-body"/>
        <w:numPr>
          <w:ilvl w:val="2"/>
          <w:numId w:val="47"/>
        </w:numPr>
      </w:pPr>
      <w:r w:rsidRPr="00B11BB9">
        <w:t>we have failed to comply with the requirements of:</w:t>
      </w:r>
    </w:p>
    <w:p w:rsidR="00313AC1" w:rsidRPr="00B11BB9" w:rsidRDefault="00313AC1" w:rsidP="00646E85">
      <w:pPr>
        <w:pStyle w:val="GG-body"/>
        <w:numPr>
          <w:ilvl w:val="3"/>
          <w:numId w:val="48"/>
        </w:numPr>
        <w:tabs>
          <w:tab w:val="left" w:pos="2552"/>
        </w:tabs>
        <w:ind w:left="2552"/>
      </w:pPr>
      <w:r w:rsidRPr="00B11BB9">
        <w:t xml:space="preserve">our </w:t>
      </w:r>
      <w:r w:rsidRPr="00B11BB9">
        <w:rPr>
          <w:b/>
        </w:rPr>
        <w:t>Hardship Policy</w:t>
      </w:r>
      <w:r w:rsidRPr="00B11BB9">
        <w:t xml:space="preserve"> in relation to you; or</w:t>
      </w:r>
    </w:p>
    <w:p w:rsidR="00313AC1" w:rsidRPr="00B11BB9" w:rsidRDefault="00313AC1" w:rsidP="00646E85">
      <w:pPr>
        <w:pStyle w:val="GG-body"/>
        <w:numPr>
          <w:ilvl w:val="3"/>
          <w:numId w:val="48"/>
        </w:numPr>
        <w:tabs>
          <w:tab w:val="left" w:pos="2552"/>
        </w:tabs>
        <w:ind w:left="2552"/>
      </w:pPr>
      <w:r w:rsidRPr="00B11BB9">
        <w:t xml:space="preserve">this contract relating to non-payment of bills, payment plans and providing assistance to </w:t>
      </w:r>
      <w:r w:rsidRPr="00B11BB9">
        <w:rPr>
          <w:b/>
        </w:rPr>
        <w:t>residential customers</w:t>
      </w:r>
      <w:r w:rsidRPr="00B11BB9">
        <w:t xml:space="preserve"> experiencing payment difficulties; or</w:t>
      </w:r>
    </w:p>
    <w:p w:rsidR="00313AC1" w:rsidRPr="009F3252" w:rsidRDefault="00313AC1" w:rsidP="00646E85">
      <w:pPr>
        <w:pStyle w:val="GG-body"/>
        <w:numPr>
          <w:ilvl w:val="2"/>
          <w:numId w:val="47"/>
        </w:numPr>
        <w:rPr>
          <w:spacing w:val="-2"/>
        </w:rPr>
      </w:pPr>
      <w:r w:rsidRPr="009F3252">
        <w:rPr>
          <w:spacing w:val="-2"/>
        </w:rPr>
        <w:t xml:space="preserve">you currently have a flow restriction device installed at the relevant </w:t>
      </w:r>
      <w:r w:rsidRPr="009F3252">
        <w:rPr>
          <w:b/>
          <w:spacing w:val="-2"/>
        </w:rPr>
        <w:t>supply address</w:t>
      </w:r>
      <w:r w:rsidRPr="009F3252">
        <w:rPr>
          <w:spacing w:val="-2"/>
        </w:rPr>
        <w:t xml:space="preserve"> in accordance with clause 23.</w:t>
      </w:r>
    </w:p>
    <w:p w:rsidR="00313AC1" w:rsidRPr="00B11BB9" w:rsidRDefault="00313AC1" w:rsidP="00646E85">
      <w:pPr>
        <w:pStyle w:val="GG-body"/>
        <w:numPr>
          <w:ilvl w:val="0"/>
          <w:numId w:val="26"/>
        </w:numPr>
        <w:rPr>
          <w:b/>
        </w:rPr>
      </w:pPr>
      <w:bookmarkStart w:id="230" w:name="_Toc12293618"/>
      <w:r w:rsidRPr="00B11BB9">
        <w:rPr>
          <w:b/>
          <w:bCs/>
        </w:rPr>
        <w:t>INTERRUPTIONS</w:t>
      </w:r>
      <w:bookmarkEnd w:id="230"/>
    </w:p>
    <w:p w:rsidR="00313AC1" w:rsidRPr="00B11BB9" w:rsidRDefault="00313AC1" w:rsidP="00646E85">
      <w:pPr>
        <w:pStyle w:val="GG-body"/>
        <w:numPr>
          <w:ilvl w:val="1"/>
          <w:numId w:val="26"/>
        </w:numPr>
      </w:pPr>
      <w:r w:rsidRPr="00B11BB9">
        <w:t xml:space="preserve">We will use our </w:t>
      </w:r>
      <w:r w:rsidRPr="00B11BB9">
        <w:rPr>
          <w:b/>
        </w:rPr>
        <w:t>best endeavours</w:t>
      </w:r>
      <w:r w:rsidRPr="00B11BB9">
        <w:t xml:space="preserve"> to minimise the frequency and duration of interruptions or limitations to supply of your </w:t>
      </w:r>
      <w:r w:rsidRPr="00B11BB9">
        <w:rPr>
          <w:b/>
        </w:rPr>
        <w:t>retail service</w:t>
      </w:r>
      <w:r w:rsidRPr="00B11BB9">
        <w:t>.</w:t>
      </w:r>
    </w:p>
    <w:p w:rsidR="00313AC1" w:rsidRPr="00B11BB9" w:rsidRDefault="00313AC1" w:rsidP="00646E85">
      <w:pPr>
        <w:pStyle w:val="GG-body"/>
        <w:numPr>
          <w:ilvl w:val="1"/>
          <w:numId w:val="26"/>
        </w:numPr>
      </w:pPr>
      <w:r w:rsidRPr="00B11BB9">
        <w:t xml:space="preserve">We may interrupt the supply of your </w:t>
      </w:r>
      <w:r w:rsidRPr="00B11BB9">
        <w:rPr>
          <w:b/>
        </w:rPr>
        <w:t>retail service</w:t>
      </w:r>
      <w:r w:rsidRPr="00B11BB9">
        <w:t xml:space="preserve"> in the following instances:</w:t>
      </w:r>
    </w:p>
    <w:p w:rsidR="00313AC1" w:rsidRPr="00B11BB9" w:rsidRDefault="00313AC1" w:rsidP="00646E85">
      <w:pPr>
        <w:pStyle w:val="GG-body"/>
        <w:numPr>
          <w:ilvl w:val="2"/>
          <w:numId w:val="49"/>
        </w:numPr>
        <w:rPr>
          <w:b/>
        </w:rPr>
      </w:pPr>
      <w:r w:rsidRPr="00B11BB9">
        <w:t>for maintenance;</w:t>
      </w:r>
    </w:p>
    <w:p w:rsidR="00313AC1" w:rsidRPr="00B11BB9" w:rsidRDefault="00313AC1" w:rsidP="00646E85">
      <w:pPr>
        <w:pStyle w:val="GG-body"/>
        <w:numPr>
          <w:ilvl w:val="2"/>
          <w:numId w:val="49"/>
        </w:numPr>
        <w:rPr>
          <w:b/>
        </w:rPr>
      </w:pPr>
      <w:r w:rsidRPr="00B11BB9">
        <w:t>for repair;</w:t>
      </w:r>
    </w:p>
    <w:p w:rsidR="00313AC1" w:rsidRPr="00B11BB9" w:rsidRDefault="00313AC1" w:rsidP="00646E85">
      <w:pPr>
        <w:pStyle w:val="GG-body"/>
        <w:numPr>
          <w:ilvl w:val="2"/>
          <w:numId w:val="49"/>
        </w:numPr>
      </w:pPr>
      <w:r w:rsidRPr="00B11BB9">
        <w:t xml:space="preserve">for augmentations to the </w:t>
      </w:r>
      <w:r w:rsidRPr="00B11BB9">
        <w:rPr>
          <w:b/>
        </w:rPr>
        <w:t>network</w:t>
      </w:r>
      <w:r w:rsidRPr="00B11BB9">
        <w:t>;</w:t>
      </w:r>
    </w:p>
    <w:p w:rsidR="00313AC1" w:rsidRPr="00B11BB9" w:rsidRDefault="00313AC1" w:rsidP="00646E85">
      <w:pPr>
        <w:pStyle w:val="GG-body"/>
        <w:numPr>
          <w:ilvl w:val="2"/>
          <w:numId w:val="49"/>
        </w:numPr>
        <w:rPr>
          <w:b/>
        </w:rPr>
      </w:pPr>
      <w:r w:rsidRPr="00B11BB9">
        <w:t>in the event of emergencies; or</w:t>
      </w:r>
    </w:p>
    <w:p w:rsidR="00313AC1" w:rsidRPr="00B11BB9" w:rsidRDefault="00313AC1" w:rsidP="00646E85">
      <w:pPr>
        <w:pStyle w:val="GG-body"/>
        <w:numPr>
          <w:ilvl w:val="2"/>
          <w:numId w:val="49"/>
        </w:numPr>
        <w:rPr>
          <w:b/>
        </w:rPr>
      </w:pPr>
      <w:r w:rsidRPr="00B11BB9">
        <w:t>for health and safety reasons.</w:t>
      </w:r>
    </w:p>
    <w:p w:rsidR="00DC0AF4" w:rsidRDefault="00313AC1" w:rsidP="00646E85">
      <w:pPr>
        <w:pStyle w:val="GG-body"/>
        <w:numPr>
          <w:ilvl w:val="1"/>
          <w:numId w:val="26"/>
        </w:numPr>
      </w:pPr>
      <w:r w:rsidRPr="00B11BB9">
        <w:t xml:space="preserve">In the event of an unplanned interruption, we will use our </w:t>
      </w:r>
      <w:r w:rsidRPr="00B11BB9">
        <w:rPr>
          <w:b/>
        </w:rPr>
        <w:t>best endeavours</w:t>
      </w:r>
      <w:r w:rsidRPr="00B11BB9">
        <w:t xml:space="preserve"> to restore your </w:t>
      </w:r>
      <w:r w:rsidRPr="00B11BB9">
        <w:rPr>
          <w:b/>
        </w:rPr>
        <w:t>retail service</w:t>
      </w:r>
      <w:r w:rsidRPr="00B11BB9">
        <w:t xml:space="preserve"> as soon as practically possible and within the timeframes specified in any </w:t>
      </w:r>
      <w:r w:rsidRPr="00B11BB9">
        <w:rPr>
          <w:b/>
        </w:rPr>
        <w:t>regulatory service standards</w:t>
      </w:r>
      <w:r w:rsidRPr="00B11BB9">
        <w:t>.</w:t>
      </w:r>
    </w:p>
    <w:p w:rsidR="00313AC1" w:rsidRPr="00B11BB9" w:rsidRDefault="00313AC1" w:rsidP="00646E85">
      <w:pPr>
        <w:pStyle w:val="GG-body"/>
        <w:numPr>
          <w:ilvl w:val="1"/>
          <w:numId w:val="26"/>
        </w:numPr>
        <w:rPr>
          <w:b/>
        </w:rPr>
      </w:pPr>
      <w:r w:rsidRPr="00B11BB9">
        <w:t xml:space="preserve">Where a planned interruption is required, we will use our </w:t>
      </w:r>
      <w:r w:rsidRPr="00B11BB9">
        <w:rPr>
          <w:b/>
        </w:rPr>
        <w:t>best endeavours</w:t>
      </w:r>
      <w:r w:rsidRPr="00B11BB9">
        <w:t xml:space="preserve"> to provide you with at least 4 </w:t>
      </w:r>
      <w:r w:rsidRPr="00B11BB9">
        <w:rPr>
          <w:b/>
        </w:rPr>
        <w:t>business days</w:t>
      </w:r>
      <w:r w:rsidR="00F710B6">
        <w:rPr>
          <w:b/>
        </w:rPr>
        <w:t>’</w:t>
      </w:r>
      <w:r w:rsidRPr="00B11BB9">
        <w:t xml:space="preserve"> notice prior to planned works that will cause an interruption to your </w:t>
      </w:r>
      <w:r w:rsidRPr="00B11BB9">
        <w:rPr>
          <w:b/>
        </w:rPr>
        <w:t>retail service</w:t>
      </w:r>
      <w:r w:rsidRPr="00B11BB9">
        <w:t>. This notice will be in writing where practicable but may be by radio or newspaper.</w:t>
      </w:r>
    </w:p>
    <w:p w:rsidR="004E4088" w:rsidRDefault="004E4088">
      <w:pPr>
        <w:spacing w:after="0" w:line="240" w:lineRule="auto"/>
        <w:jc w:val="left"/>
        <w:rPr>
          <w:rFonts w:ascii="Times New Roman" w:eastAsia="Times New Roman" w:hAnsi="Times New Roman"/>
          <w:b/>
          <w:sz w:val="17"/>
          <w:szCs w:val="17"/>
        </w:rPr>
      </w:pPr>
      <w:bookmarkStart w:id="231" w:name="_Toc12293619"/>
      <w:r>
        <w:rPr>
          <w:b/>
        </w:rPr>
        <w:br w:type="page"/>
      </w:r>
    </w:p>
    <w:p w:rsidR="00313AC1" w:rsidRPr="00B11BB9" w:rsidRDefault="00313AC1" w:rsidP="00646E85">
      <w:pPr>
        <w:pStyle w:val="GG-body"/>
        <w:numPr>
          <w:ilvl w:val="0"/>
          <w:numId w:val="26"/>
        </w:numPr>
        <w:rPr>
          <w:b/>
        </w:rPr>
      </w:pPr>
      <w:r w:rsidRPr="00B11BB9">
        <w:rPr>
          <w:b/>
        </w:rPr>
        <w:lastRenderedPageBreak/>
        <w:t>QUALITY, SAFETY AND RELIABILITY OF SUPPLY</w:t>
      </w:r>
      <w:bookmarkEnd w:id="231"/>
    </w:p>
    <w:p w:rsidR="00313AC1" w:rsidRPr="00B11BB9" w:rsidRDefault="004E4088" w:rsidP="00646E85">
      <w:pPr>
        <w:pStyle w:val="GG-body"/>
        <w:numPr>
          <w:ilvl w:val="1"/>
          <w:numId w:val="26"/>
        </w:numPr>
      </w:pPr>
      <w:bookmarkStart w:id="232" w:name="_Ref381170431"/>
      <w:r>
        <w:t>Water retail service—</w:t>
      </w:r>
      <w:r w:rsidR="00313AC1" w:rsidRPr="00B11BB9">
        <w:t>Quality</w:t>
      </w:r>
      <w:bookmarkEnd w:id="232"/>
    </w:p>
    <w:p w:rsidR="00313AC1" w:rsidRPr="00B11BB9" w:rsidRDefault="00313AC1" w:rsidP="00646E85">
      <w:pPr>
        <w:pStyle w:val="GG-body"/>
        <w:numPr>
          <w:ilvl w:val="2"/>
          <w:numId w:val="50"/>
        </w:numPr>
      </w:pPr>
      <w:r w:rsidRPr="00B11BB9">
        <w:t xml:space="preserve">Your </w:t>
      </w:r>
      <w:r w:rsidRPr="00B11BB9">
        <w:rPr>
          <w:b/>
        </w:rPr>
        <w:t>retail service</w:t>
      </w:r>
      <w:r w:rsidRPr="00B11BB9">
        <w:t xml:space="preserve"> comprises non-drinking water (including </w:t>
      </w:r>
      <w:r w:rsidRPr="00B11BB9">
        <w:rPr>
          <w:b/>
        </w:rPr>
        <w:t>recycled water</w:t>
      </w:r>
      <w:r w:rsidRPr="00B11BB9">
        <w:t xml:space="preserve">) we will provide such a </w:t>
      </w:r>
      <w:r w:rsidRPr="00B11BB9">
        <w:rPr>
          <w:b/>
        </w:rPr>
        <w:t>retail service</w:t>
      </w:r>
      <w:r w:rsidRPr="00B11BB9">
        <w:t xml:space="preserve"> on the basis that such </w:t>
      </w:r>
      <w:r w:rsidRPr="00B11BB9">
        <w:rPr>
          <w:b/>
        </w:rPr>
        <w:t>water</w:t>
      </w:r>
      <w:r w:rsidRPr="00B11BB9">
        <w:t xml:space="preserve"> is not intended for human consumption and otherwise may only be used for purposes as advised by us. If such a </w:t>
      </w:r>
      <w:r w:rsidRPr="00B11BB9">
        <w:rPr>
          <w:b/>
        </w:rPr>
        <w:t>retail service</w:t>
      </w:r>
      <w:r w:rsidRPr="00B11BB9">
        <w:t xml:space="preserve"> is provided by us, it will be supplied in accordance with all relevant health, environmental and other </w:t>
      </w:r>
      <w:r w:rsidRPr="00B11BB9">
        <w:rPr>
          <w:b/>
        </w:rPr>
        <w:t>applicable regulatory instruments</w:t>
      </w:r>
      <w:r w:rsidRPr="00B11BB9">
        <w:t>.</w:t>
      </w:r>
    </w:p>
    <w:p w:rsidR="00313AC1" w:rsidRPr="00B11BB9" w:rsidRDefault="00313AC1" w:rsidP="00646E85">
      <w:pPr>
        <w:pStyle w:val="GG-body"/>
        <w:numPr>
          <w:ilvl w:val="1"/>
          <w:numId w:val="26"/>
        </w:numPr>
      </w:pPr>
      <w:r w:rsidRPr="00B11BB9">
        <w:t>Retail service</w:t>
      </w:r>
      <w:r w:rsidR="004E4088">
        <w:t>—</w:t>
      </w:r>
      <w:r w:rsidRPr="00B11BB9">
        <w:t>Reliability</w:t>
      </w:r>
    </w:p>
    <w:p w:rsidR="00DC0AF4" w:rsidRDefault="00313AC1" w:rsidP="00646E85">
      <w:pPr>
        <w:pStyle w:val="GG-body"/>
        <w:numPr>
          <w:ilvl w:val="2"/>
          <w:numId w:val="51"/>
        </w:numPr>
      </w:pPr>
      <w:r w:rsidRPr="00B11BB9">
        <w:t xml:space="preserve">We will use our </w:t>
      </w:r>
      <w:r w:rsidRPr="00B11BB9">
        <w:rPr>
          <w:b/>
        </w:rPr>
        <w:t>best endeavours</w:t>
      </w:r>
      <w:r w:rsidRPr="00B11BB9">
        <w:t xml:space="preserve"> to provide you with a </w:t>
      </w:r>
      <w:r w:rsidRPr="00B11BB9">
        <w:rPr>
          <w:b/>
        </w:rPr>
        <w:t>water</w:t>
      </w:r>
      <w:r w:rsidRPr="00B11BB9">
        <w:t xml:space="preserve"> flow rate to meet your reasonable needs. Please note that, for some </w:t>
      </w:r>
      <w:r w:rsidRPr="00B11BB9">
        <w:rPr>
          <w:b/>
        </w:rPr>
        <w:t>customers</w:t>
      </w:r>
      <w:r w:rsidRPr="00B11BB9">
        <w:t xml:space="preserve">, the flow rate may not be sufficient for all purposes without the provision of additional on-site </w:t>
      </w:r>
      <w:r w:rsidRPr="00B11BB9">
        <w:rPr>
          <w:b/>
        </w:rPr>
        <w:t>water</w:t>
      </w:r>
      <w:r w:rsidRPr="00B11BB9">
        <w:t xml:space="preserve"> infrastructure. You are responsible for arranging and covering the costs of such additional onsite </w:t>
      </w:r>
      <w:r w:rsidRPr="00B11BB9">
        <w:rPr>
          <w:b/>
        </w:rPr>
        <w:t>water</w:t>
      </w:r>
      <w:r w:rsidRPr="00B11BB9">
        <w:t xml:space="preserve"> infrastructure, which must be installed by an appropriately licensed plumber.</w:t>
      </w:r>
    </w:p>
    <w:p w:rsidR="00DC0AF4" w:rsidRDefault="00313AC1" w:rsidP="00646E85">
      <w:pPr>
        <w:pStyle w:val="GG-body"/>
        <w:numPr>
          <w:ilvl w:val="2"/>
          <w:numId w:val="51"/>
        </w:numPr>
      </w:pPr>
      <w:r w:rsidRPr="00B11BB9">
        <w:t xml:space="preserve">We will notify you under clause 22.3 if, due to the </w:t>
      </w:r>
      <w:r w:rsidRPr="00B11BB9">
        <w:rPr>
          <w:b/>
        </w:rPr>
        <w:t>special characteristics</w:t>
      </w:r>
      <w:r w:rsidRPr="00B11BB9">
        <w:t xml:space="preserve"> of your </w:t>
      </w:r>
      <w:r w:rsidRPr="00B11BB9">
        <w:rPr>
          <w:b/>
        </w:rPr>
        <w:t>water retail service</w:t>
      </w:r>
      <w:r w:rsidRPr="00B11BB9">
        <w:t>, we are unable to provide you with such a flow rate.</w:t>
      </w:r>
    </w:p>
    <w:p w:rsidR="00313AC1" w:rsidRPr="00B11BB9" w:rsidRDefault="00313AC1" w:rsidP="00646E85">
      <w:pPr>
        <w:pStyle w:val="GG-body"/>
        <w:numPr>
          <w:ilvl w:val="1"/>
          <w:numId w:val="26"/>
        </w:numPr>
      </w:pPr>
      <w:bookmarkStart w:id="233" w:name="_Ref381170368"/>
      <w:r w:rsidRPr="00B11BB9">
        <w:rPr>
          <w:b/>
        </w:rPr>
        <w:t>Retail service</w:t>
      </w:r>
      <w:r w:rsidRPr="00B11BB9">
        <w:t xml:space="preserve"> with </w:t>
      </w:r>
      <w:r w:rsidRPr="00B11BB9">
        <w:rPr>
          <w:b/>
        </w:rPr>
        <w:t>special characteristics</w:t>
      </w:r>
      <w:bookmarkEnd w:id="233"/>
    </w:p>
    <w:p w:rsidR="00313AC1" w:rsidRPr="00B11BB9" w:rsidRDefault="00313AC1" w:rsidP="00646E85">
      <w:pPr>
        <w:pStyle w:val="GG-body"/>
        <w:numPr>
          <w:ilvl w:val="2"/>
          <w:numId w:val="52"/>
        </w:numPr>
      </w:pPr>
      <w:bookmarkStart w:id="234" w:name="_Ref381170373"/>
      <w:r w:rsidRPr="00B11BB9">
        <w:t xml:space="preserve">If, prior to the commencement of this </w:t>
      </w:r>
      <w:r w:rsidRPr="00B11BB9">
        <w:rPr>
          <w:b/>
        </w:rPr>
        <w:t>contract</w:t>
      </w:r>
      <w:r w:rsidRPr="00B11BB9">
        <w:t xml:space="preserve">, you were a </w:t>
      </w:r>
      <w:r w:rsidRPr="00B11BB9">
        <w:rPr>
          <w:b/>
        </w:rPr>
        <w:t>customer</w:t>
      </w:r>
      <w:r w:rsidRPr="00B11BB9">
        <w:t xml:space="preserve"> that we supplied a </w:t>
      </w:r>
      <w:r w:rsidRPr="00B11BB9">
        <w:rPr>
          <w:b/>
        </w:rPr>
        <w:t>retail service</w:t>
      </w:r>
      <w:r w:rsidRPr="00B11BB9">
        <w:t xml:space="preserve"> to with conditions as set out under a separate agreement, or without a formal agreement in place, this </w:t>
      </w:r>
      <w:r w:rsidRPr="00B11BB9">
        <w:rPr>
          <w:b/>
        </w:rPr>
        <w:t>contract</w:t>
      </w:r>
      <w:r w:rsidRPr="00B11BB9">
        <w:t xml:space="preserve"> will now apply to the provision of that </w:t>
      </w:r>
      <w:r w:rsidRPr="00B11BB9">
        <w:rPr>
          <w:b/>
        </w:rPr>
        <w:t>retail service</w:t>
      </w:r>
      <w:r w:rsidRPr="00B11BB9">
        <w:t xml:space="preserve"> and the </w:t>
      </w:r>
      <w:r w:rsidRPr="00B11BB9">
        <w:rPr>
          <w:b/>
        </w:rPr>
        <w:t>special characteristics</w:t>
      </w:r>
      <w:r w:rsidRPr="00B11BB9">
        <w:t xml:space="preserve"> applicable to that </w:t>
      </w:r>
      <w:r w:rsidRPr="00B11BB9">
        <w:rPr>
          <w:b/>
        </w:rPr>
        <w:t>retail service</w:t>
      </w:r>
      <w:r w:rsidRPr="00B11BB9">
        <w:t xml:space="preserve"> will apply.</w:t>
      </w:r>
      <w:bookmarkEnd w:id="234"/>
    </w:p>
    <w:p w:rsidR="00DC0AF4" w:rsidRDefault="00313AC1" w:rsidP="00646E85">
      <w:pPr>
        <w:pStyle w:val="GG-body"/>
        <w:numPr>
          <w:ilvl w:val="2"/>
          <w:numId w:val="52"/>
        </w:numPr>
      </w:pPr>
      <w:r w:rsidRPr="00B11BB9">
        <w:t xml:space="preserve">We will advise you of the </w:t>
      </w:r>
      <w:r w:rsidRPr="00B11BB9">
        <w:rPr>
          <w:b/>
        </w:rPr>
        <w:t>special characteristics</w:t>
      </w:r>
      <w:r w:rsidRPr="00B11BB9">
        <w:t xml:space="preserve"> of the </w:t>
      </w:r>
      <w:r w:rsidRPr="00B11BB9">
        <w:rPr>
          <w:b/>
        </w:rPr>
        <w:t>retail service</w:t>
      </w:r>
      <w:r w:rsidRPr="00B11BB9">
        <w:t xml:space="preserve"> applicable to you under this </w:t>
      </w:r>
      <w:r w:rsidRPr="00B11BB9">
        <w:rPr>
          <w:b/>
        </w:rPr>
        <w:t>contract</w:t>
      </w:r>
      <w:r w:rsidRPr="00B11BB9">
        <w:t xml:space="preserve">. For existing </w:t>
      </w:r>
      <w:r w:rsidRPr="00B11BB9">
        <w:rPr>
          <w:b/>
        </w:rPr>
        <w:t>customers</w:t>
      </w:r>
      <w:r w:rsidRPr="00B11BB9">
        <w:t xml:space="preserve">, we will advise you on commencement of this </w:t>
      </w:r>
      <w:r w:rsidRPr="00B11BB9">
        <w:rPr>
          <w:b/>
        </w:rPr>
        <w:t>contract</w:t>
      </w:r>
      <w:r w:rsidRPr="00B11BB9">
        <w:t xml:space="preserve">. For new </w:t>
      </w:r>
      <w:r w:rsidRPr="00B11BB9">
        <w:rPr>
          <w:b/>
        </w:rPr>
        <w:t>customers</w:t>
      </w:r>
      <w:r w:rsidRPr="00B11BB9">
        <w:t xml:space="preserve"> we will advise you upon assessment of an application by you for a </w:t>
      </w:r>
      <w:r w:rsidRPr="00B11BB9">
        <w:rPr>
          <w:b/>
        </w:rPr>
        <w:t>retail service</w:t>
      </w:r>
      <w:r w:rsidRPr="00B11BB9">
        <w:t xml:space="preserve"> under this </w:t>
      </w:r>
      <w:r w:rsidRPr="00B11BB9">
        <w:rPr>
          <w:b/>
        </w:rPr>
        <w:t>contract</w:t>
      </w:r>
      <w:r w:rsidRPr="00B11BB9">
        <w:t>.</w:t>
      </w:r>
    </w:p>
    <w:p w:rsidR="00313AC1" w:rsidRPr="00B11BB9" w:rsidRDefault="00313AC1" w:rsidP="00646E85">
      <w:pPr>
        <w:pStyle w:val="GG-body"/>
        <w:numPr>
          <w:ilvl w:val="0"/>
          <w:numId w:val="26"/>
        </w:numPr>
        <w:rPr>
          <w:b/>
        </w:rPr>
      </w:pPr>
      <w:bookmarkStart w:id="235" w:name="_Ref382312127"/>
      <w:bookmarkStart w:id="236" w:name="_Toc12293620"/>
      <w:r w:rsidRPr="00B11BB9">
        <w:rPr>
          <w:b/>
        </w:rPr>
        <w:t>LIFE SUPPORT EQUIPMENT</w:t>
      </w:r>
      <w:bookmarkEnd w:id="235"/>
      <w:bookmarkEnd w:id="236"/>
    </w:p>
    <w:p w:rsidR="00313AC1" w:rsidRPr="00B11BB9" w:rsidRDefault="00313AC1" w:rsidP="00646E85">
      <w:pPr>
        <w:pStyle w:val="GG-body"/>
        <w:numPr>
          <w:ilvl w:val="1"/>
          <w:numId w:val="26"/>
        </w:numPr>
        <w:rPr>
          <w:b/>
        </w:rPr>
      </w:pPr>
      <w:bookmarkStart w:id="237" w:name="_Ref380999070"/>
      <w:r w:rsidRPr="00B11BB9">
        <w:t xml:space="preserve">If you, or someone you reside with has a medical condition where the continuation of a </w:t>
      </w:r>
      <w:r w:rsidRPr="00B11BB9">
        <w:rPr>
          <w:b/>
        </w:rPr>
        <w:t>retail service</w:t>
      </w:r>
      <w:r w:rsidRPr="00B11BB9">
        <w:t xml:space="preserve"> is critical for the operation of a life support equipment (as defined in the </w:t>
      </w:r>
      <w:r w:rsidRPr="00B11BB9">
        <w:rPr>
          <w:b/>
        </w:rPr>
        <w:t>Code</w:t>
      </w:r>
      <w:r w:rsidRPr="00B11BB9">
        <w:t>) you must:</w:t>
      </w:r>
      <w:bookmarkEnd w:id="237"/>
    </w:p>
    <w:p w:rsidR="00313AC1" w:rsidRPr="00B11BB9" w:rsidRDefault="00313AC1" w:rsidP="00646E85">
      <w:pPr>
        <w:pStyle w:val="GG-body"/>
        <w:numPr>
          <w:ilvl w:val="2"/>
          <w:numId w:val="53"/>
        </w:numPr>
        <w:rPr>
          <w:b/>
        </w:rPr>
      </w:pPr>
      <w:r w:rsidRPr="00B11BB9">
        <w:t xml:space="preserve">notify us, with confirmation from a registered medical practitioner, that a person residing at the </w:t>
      </w:r>
      <w:r w:rsidRPr="00B11BB9">
        <w:rPr>
          <w:b/>
        </w:rPr>
        <w:t>residential customer</w:t>
      </w:r>
      <w:r w:rsidR="00F710B6">
        <w:rPr>
          <w:b/>
        </w:rPr>
        <w:t>’</w:t>
      </w:r>
      <w:r w:rsidRPr="00B11BB9">
        <w:rPr>
          <w:b/>
        </w:rPr>
        <w:t>s</w:t>
      </w:r>
      <w:r w:rsidRPr="00B11BB9">
        <w:t xml:space="preserve"> </w:t>
      </w:r>
      <w:r w:rsidRPr="00B11BB9">
        <w:rPr>
          <w:b/>
        </w:rPr>
        <w:t>supply address</w:t>
      </w:r>
      <w:r w:rsidRPr="00B11BB9">
        <w:t xml:space="preserve"> requires that continued use of life support equipment; and</w:t>
      </w:r>
    </w:p>
    <w:p w:rsidR="00313AC1" w:rsidRPr="00B11BB9" w:rsidRDefault="00313AC1" w:rsidP="00646E85">
      <w:pPr>
        <w:pStyle w:val="GG-body"/>
        <w:numPr>
          <w:ilvl w:val="2"/>
          <w:numId w:val="53"/>
        </w:numPr>
        <w:rPr>
          <w:b/>
        </w:rPr>
      </w:pPr>
      <w:bookmarkStart w:id="238" w:name="_Ref380999074"/>
      <w:r w:rsidRPr="00B11BB9">
        <w:t xml:space="preserve">inform us if the person for whom the life support requirement is required vacates the </w:t>
      </w:r>
      <w:r w:rsidRPr="00B11BB9">
        <w:rPr>
          <w:b/>
        </w:rPr>
        <w:t>supply address</w:t>
      </w:r>
      <w:r w:rsidRPr="00B11BB9">
        <w:t xml:space="preserve"> or no longer requires the life support equipment.</w:t>
      </w:r>
      <w:bookmarkEnd w:id="238"/>
    </w:p>
    <w:p w:rsidR="00313AC1" w:rsidRPr="00B11BB9" w:rsidRDefault="00313AC1" w:rsidP="00646E85">
      <w:pPr>
        <w:pStyle w:val="GG-body"/>
        <w:numPr>
          <w:ilvl w:val="1"/>
          <w:numId w:val="26"/>
        </w:numPr>
        <w:rPr>
          <w:b/>
        </w:rPr>
      </w:pPr>
      <w:r w:rsidRPr="00B11BB9">
        <w:t xml:space="preserve">We may rely on advice from a medical practitioner or hospital that life support equipment is no longer required at the </w:t>
      </w:r>
      <w:r w:rsidRPr="00B11BB9">
        <w:rPr>
          <w:b/>
        </w:rPr>
        <w:t>supply address</w:t>
      </w:r>
      <w:r w:rsidRPr="00B11BB9">
        <w:t>.</w:t>
      </w:r>
    </w:p>
    <w:p w:rsidR="00313AC1" w:rsidRPr="00B11BB9" w:rsidRDefault="00313AC1" w:rsidP="00646E85">
      <w:pPr>
        <w:pStyle w:val="GG-body"/>
        <w:numPr>
          <w:ilvl w:val="1"/>
          <w:numId w:val="26"/>
        </w:numPr>
        <w:rPr>
          <w:b/>
        </w:rPr>
      </w:pPr>
      <w:r w:rsidRPr="00B11BB9">
        <w:t>Once we are notified under this clause, but subject to clause 23.1(b), we will:</w:t>
      </w:r>
    </w:p>
    <w:p w:rsidR="00313AC1" w:rsidRPr="00B11BB9" w:rsidRDefault="00313AC1" w:rsidP="00646E85">
      <w:pPr>
        <w:pStyle w:val="GG-body"/>
        <w:numPr>
          <w:ilvl w:val="2"/>
          <w:numId w:val="54"/>
        </w:numPr>
        <w:rPr>
          <w:b/>
        </w:rPr>
      </w:pPr>
      <w:r w:rsidRPr="00B11BB9">
        <w:t xml:space="preserve">register the </w:t>
      </w:r>
      <w:r w:rsidRPr="00B11BB9">
        <w:rPr>
          <w:b/>
        </w:rPr>
        <w:t>supply address</w:t>
      </w:r>
      <w:r w:rsidRPr="00B11BB9">
        <w:t xml:space="preserve"> as a life support equipment address;</w:t>
      </w:r>
    </w:p>
    <w:p w:rsidR="00313AC1" w:rsidRPr="00B11BB9" w:rsidRDefault="00313AC1" w:rsidP="00646E85">
      <w:pPr>
        <w:pStyle w:val="GG-body"/>
        <w:numPr>
          <w:ilvl w:val="2"/>
          <w:numId w:val="54"/>
        </w:numPr>
      </w:pPr>
      <w:r w:rsidRPr="00B11BB9">
        <w:t xml:space="preserve">not arrange for the disconnection or restriction of the supply to that </w:t>
      </w:r>
      <w:r w:rsidRPr="00B11BB9">
        <w:rPr>
          <w:b/>
        </w:rPr>
        <w:t>supply address</w:t>
      </w:r>
      <w:r w:rsidRPr="00B11BB9">
        <w:t xml:space="preserve"> while the person continues to reside at that address and required the use of a life support equipment; and</w:t>
      </w:r>
    </w:p>
    <w:p w:rsidR="00313AC1" w:rsidRPr="00B11BB9" w:rsidRDefault="00313AC1" w:rsidP="00646E85">
      <w:pPr>
        <w:pStyle w:val="GG-body"/>
        <w:numPr>
          <w:ilvl w:val="2"/>
          <w:numId w:val="54"/>
        </w:numPr>
        <w:rPr>
          <w:b/>
        </w:rPr>
      </w:pPr>
      <w:r w:rsidRPr="00B11BB9">
        <w:t>provide you with:</w:t>
      </w:r>
    </w:p>
    <w:p w:rsidR="00313AC1" w:rsidRPr="00B11BB9" w:rsidRDefault="00313AC1" w:rsidP="00646E85">
      <w:pPr>
        <w:pStyle w:val="GG-body"/>
        <w:numPr>
          <w:ilvl w:val="3"/>
          <w:numId w:val="55"/>
        </w:numPr>
        <w:tabs>
          <w:tab w:val="left" w:pos="2552"/>
          <w:tab w:val="left" w:pos="2835"/>
        </w:tabs>
        <w:ind w:left="2552" w:hanging="425"/>
        <w:rPr>
          <w:b/>
        </w:rPr>
      </w:pPr>
      <w:r w:rsidRPr="00B11BB9">
        <w:t xml:space="preserve">at least 4 </w:t>
      </w:r>
      <w:r w:rsidRPr="00B11BB9">
        <w:rPr>
          <w:b/>
        </w:rPr>
        <w:t>business days</w:t>
      </w:r>
      <w:r w:rsidR="00F710B6">
        <w:rPr>
          <w:b/>
        </w:rPr>
        <w:t>’</w:t>
      </w:r>
      <w:r w:rsidRPr="00B11BB9">
        <w:t xml:space="preserve"> written notice of any planned interruptions to supply at the </w:t>
      </w:r>
      <w:r w:rsidRPr="00B11BB9">
        <w:rPr>
          <w:b/>
        </w:rPr>
        <w:t>supply address</w:t>
      </w:r>
      <w:r w:rsidRPr="00B11BB9">
        <w:t>;</w:t>
      </w:r>
    </w:p>
    <w:p w:rsidR="00DC0AF4" w:rsidRDefault="00313AC1" w:rsidP="00646E85">
      <w:pPr>
        <w:pStyle w:val="GG-body"/>
        <w:numPr>
          <w:ilvl w:val="3"/>
          <w:numId w:val="55"/>
        </w:numPr>
        <w:tabs>
          <w:tab w:val="left" w:pos="2552"/>
          <w:tab w:val="left" w:pos="2835"/>
        </w:tabs>
        <w:ind w:left="2552" w:hanging="425"/>
      </w:pPr>
      <w:r w:rsidRPr="00B11BB9">
        <w:t xml:space="preserve">advice there is likely to be a planned interruption to the supply at the </w:t>
      </w:r>
      <w:r w:rsidRPr="00B11BB9">
        <w:rPr>
          <w:b/>
        </w:rPr>
        <w:t>supply address</w:t>
      </w:r>
      <w:r w:rsidRPr="00B11BB9">
        <w:t>; and</w:t>
      </w:r>
    </w:p>
    <w:p w:rsidR="00313AC1" w:rsidRPr="00B11BB9" w:rsidRDefault="00313AC1" w:rsidP="00646E85">
      <w:pPr>
        <w:pStyle w:val="GG-body"/>
        <w:numPr>
          <w:ilvl w:val="3"/>
          <w:numId w:val="55"/>
        </w:numPr>
        <w:tabs>
          <w:tab w:val="left" w:pos="2552"/>
          <w:tab w:val="left" w:pos="2835"/>
        </w:tabs>
        <w:ind w:left="2552" w:hanging="425"/>
        <w:rPr>
          <w:b/>
        </w:rPr>
      </w:pPr>
      <w:r w:rsidRPr="00B11BB9">
        <w:t>an emergency telephone contact number (which is printed on your bill or available on our website).</w:t>
      </w:r>
    </w:p>
    <w:p w:rsidR="00313AC1" w:rsidRPr="00B11BB9" w:rsidRDefault="00313AC1" w:rsidP="00646E85">
      <w:pPr>
        <w:pStyle w:val="GG-body"/>
        <w:numPr>
          <w:ilvl w:val="0"/>
          <w:numId w:val="26"/>
        </w:numPr>
        <w:rPr>
          <w:b/>
        </w:rPr>
      </w:pPr>
      <w:bookmarkStart w:id="239" w:name="_Ref382313221"/>
      <w:bookmarkStart w:id="240" w:name="_Toc12293621"/>
      <w:bookmarkStart w:id="241" w:name="_Ref381005115"/>
      <w:r w:rsidRPr="00B11BB9">
        <w:rPr>
          <w:b/>
        </w:rPr>
        <w:t>RESTRICTIONS</w:t>
      </w:r>
      <w:bookmarkEnd w:id="239"/>
      <w:bookmarkEnd w:id="240"/>
    </w:p>
    <w:p w:rsidR="00313AC1" w:rsidRPr="00B11BB9" w:rsidRDefault="00313AC1" w:rsidP="00646E85">
      <w:pPr>
        <w:pStyle w:val="GG-body"/>
        <w:numPr>
          <w:ilvl w:val="1"/>
          <w:numId w:val="26"/>
        </w:numPr>
      </w:pPr>
      <w:bookmarkStart w:id="242" w:name="_Ref382818284"/>
      <w:r w:rsidRPr="00B11BB9">
        <w:t>Restrictions of a water supply</w:t>
      </w:r>
      <w:r w:rsidR="004E4088">
        <w:t>—</w:t>
      </w:r>
      <w:r w:rsidRPr="00B11BB9">
        <w:t>Residential Customers</w:t>
      </w:r>
      <w:bookmarkEnd w:id="242"/>
    </w:p>
    <w:p w:rsidR="00313AC1" w:rsidRPr="00B11BB9" w:rsidRDefault="00313AC1" w:rsidP="00646E85">
      <w:pPr>
        <w:pStyle w:val="GG-body"/>
        <w:numPr>
          <w:ilvl w:val="2"/>
          <w:numId w:val="56"/>
        </w:numPr>
      </w:pPr>
      <w:r w:rsidRPr="00B11BB9">
        <w:t xml:space="preserve">If you are a </w:t>
      </w:r>
      <w:r w:rsidRPr="00B11BB9">
        <w:rPr>
          <w:b/>
        </w:rPr>
        <w:t>residential customer</w:t>
      </w:r>
      <w:r w:rsidRPr="00B11BB9">
        <w:t xml:space="preserve">, we may, subject to compliance with the </w:t>
      </w:r>
      <w:r w:rsidRPr="00B11BB9">
        <w:rPr>
          <w:b/>
        </w:rPr>
        <w:t>Code</w:t>
      </w:r>
      <w:r w:rsidRPr="00B11BB9">
        <w:t xml:space="preserve">, arrange for the restriction of the supply of your </w:t>
      </w:r>
      <w:r w:rsidRPr="00B11BB9">
        <w:rPr>
          <w:b/>
        </w:rPr>
        <w:t>retail service</w:t>
      </w:r>
      <w:r w:rsidRPr="00B11BB9">
        <w:t xml:space="preserve"> to you where:</w:t>
      </w:r>
      <w:bookmarkEnd w:id="241"/>
    </w:p>
    <w:p w:rsidR="00313AC1" w:rsidRPr="00B11BB9" w:rsidRDefault="00313AC1" w:rsidP="00646E85">
      <w:pPr>
        <w:pStyle w:val="GG-body"/>
        <w:numPr>
          <w:ilvl w:val="3"/>
          <w:numId w:val="57"/>
        </w:numPr>
        <w:tabs>
          <w:tab w:val="left" w:pos="1985"/>
        </w:tabs>
        <w:ind w:left="2552" w:hanging="425"/>
      </w:pPr>
      <w:r w:rsidRPr="00B11BB9">
        <w:t>you have not paid a bill or bills within the required timeframes;</w:t>
      </w:r>
    </w:p>
    <w:p w:rsidR="00313AC1" w:rsidRPr="00B11BB9" w:rsidRDefault="00313AC1" w:rsidP="00646E85">
      <w:pPr>
        <w:pStyle w:val="GG-body"/>
        <w:numPr>
          <w:ilvl w:val="3"/>
          <w:numId w:val="57"/>
        </w:numPr>
        <w:tabs>
          <w:tab w:val="left" w:pos="1985"/>
        </w:tabs>
        <w:ind w:left="2552" w:hanging="425"/>
      </w:pPr>
      <w:r w:rsidRPr="00B11BB9">
        <w:t>you have not agreed to an offer of a flexible payment plan under clause 14 or another payment option to pay a bill;</w:t>
      </w:r>
    </w:p>
    <w:p w:rsidR="00313AC1" w:rsidRPr="00B11BB9" w:rsidRDefault="00313AC1" w:rsidP="00646E85">
      <w:pPr>
        <w:pStyle w:val="GG-body"/>
        <w:numPr>
          <w:ilvl w:val="3"/>
          <w:numId w:val="57"/>
        </w:numPr>
        <w:tabs>
          <w:tab w:val="left" w:pos="1985"/>
        </w:tabs>
        <w:ind w:left="2552" w:hanging="425"/>
      </w:pPr>
      <w:r w:rsidRPr="00B11BB9">
        <w:t>you have not adhered to your obligations to make payments in accordance with the flexible payment plan or another payment option relating to the payment of bills;</w:t>
      </w:r>
    </w:p>
    <w:p w:rsidR="00313AC1" w:rsidRPr="00B11BB9" w:rsidRDefault="00313AC1" w:rsidP="00646E85">
      <w:pPr>
        <w:pStyle w:val="GG-body"/>
        <w:numPr>
          <w:ilvl w:val="3"/>
          <w:numId w:val="57"/>
        </w:numPr>
        <w:tabs>
          <w:tab w:val="left" w:pos="1985"/>
        </w:tabs>
        <w:ind w:left="2552" w:hanging="425"/>
      </w:pPr>
      <w:r w:rsidRPr="00B11BB9">
        <w:t xml:space="preserve">you have not complied with the terms of our </w:t>
      </w:r>
      <w:r w:rsidRPr="00B11BB9">
        <w:rPr>
          <w:b/>
        </w:rPr>
        <w:t>Hardship Policy</w:t>
      </w:r>
      <w:r w:rsidRPr="00B11BB9">
        <w:t xml:space="preserve"> referred to in clause 16 resulting in you being removed from that hardship program;</w:t>
      </w:r>
    </w:p>
    <w:p w:rsidR="00313AC1" w:rsidRPr="00B11BB9" w:rsidRDefault="00313AC1" w:rsidP="00646E85">
      <w:pPr>
        <w:pStyle w:val="GG-body"/>
        <w:numPr>
          <w:ilvl w:val="3"/>
          <w:numId w:val="57"/>
        </w:numPr>
        <w:tabs>
          <w:tab w:val="left" w:pos="1985"/>
        </w:tabs>
        <w:ind w:left="2552" w:hanging="425"/>
      </w:pPr>
      <w:r w:rsidRPr="00B11BB9">
        <w:t xml:space="preserve">you have not allowed entry to a water industry officer appointed under the </w:t>
      </w:r>
      <w:r w:rsidRPr="00B11BB9">
        <w:rPr>
          <w:b/>
        </w:rPr>
        <w:t>Act</w:t>
      </w:r>
      <w:r w:rsidRPr="00B11BB9">
        <w:t xml:space="preserve"> for the purposes consistent with carrying out duties in accordance with </w:t>
      </w:r>
      <w:r w:rsidRPr="00B11BB9">
        <w:rPr>
          <w:b/>
        </w:rPr>
        <w:t>applicable regulatory instruments</w:t>
      </w:r>
      <w:r w:rsidRPr="00B11BB9">
        <w:t>; or</w:t>
      </w:r>
    </w:p>
    <w:p w:rsidR="00313AC1" w:rsidRPr="00B11BB9" w:rsidRDefault="00313AC1" w:rsidP="00646E85">
      <w:pPr>
        <w:pStyle w:val="GG-body"/>
        <w:numPr>
          <w:ilvl w:val="3"/>
          <w:numId w:val="57"/>
        </w:numPr>
        <w:tabs>
          <w:tab w:val="left" w:pos="1985"/>
        </w:tabs>
        <w:ind w:left="2552" w:hanging="425"/>
      </w:pPr>
      <w:r w:rsidRPr="00B11BB9">
        <w:t>you have used the</w:t>
      </w:r>
      <w:r w:rsidRPr="00B11BB9">
        <w:rPr>
          <w:b/>
        </w:rPr>
        <w:t xml:space="preserve"> retail service</w:t>
      </w:r>
      <w:r w:rsidRPr="00B11BB9">
        <w:t xml:space="preserve"> illegally.</w:t>
      </w:r>
    </w:p>
    <w:p w:rsidR="00313AC1" w:rsidRPr="00B11BB9" w:rsidRDefault="00313AC1" w:rsidP="00646E85">
      <w:pPr>
        <w:pStyle w:val="GG-body"/>
        <w:numPr>
          <w:ilvl w:val="2"/>
          <w:numId w:val="56"/>
        </w:numPr>
      </w:pPr>
      <w:r w:rsidRPr="00B11BB9">
        <w:t xml:space="preserve">Before undertaking any arrangements for the restriction of supply of </w:t>
      </w:r>
      <w:r w:rsidRPr="00B11BB9">
        <w:rPr>
          <w:b/>
        </w:rPr>
        <w:t>water</w:t>
      </w:r>
      <w:r w:rsidRPr="00B11BB9">
        <w:t xml:space="preserve"> </w:t>
      </w:r>
      <w:r w:rsidRPr="00B11BB9">
        <w:rPr>
          <w:b/>
        </w:rPr>
        <w:t>retail services</w:t>
      </w:r>
      <w:r w:rsidRPr="00B11BB9">
        <w:t xml:space="preserve"> to your supply address for failure to pay a bill, we will:</w:t>
      </w:r>
    </w:p>
    <w:p w:rsidR="00313AC1" w:rsidRPr="00B11BB9" w:rsidRDefault="00313AC1" w:rsidP="00646E85">
      <w:pPr>
        <w:pStyle w:val="GG-body"/>
        <w:numPr>
          <w:ilvl w:val="3"/>
          <w:numId w:val="58"/>
        </w:numPr>
        <w:tabs>
          <w:tab w:val="left" w:pos="1985"/>
        </w:tabs>
        <w:ind w:left="2552" w:hanging="425"/>
      </w:pPr>
      <w:r w:rsidRPr="00B11BB9">
        <w:t xml:space="preserve">use our </w:t>
      </w:r>
      <w:r w:rsidRPr="00B11BB9">
        <w:rPr>
          <w:b/>
        </w:rPr>
        <w:t>best endeavours</w:t>
      </w:r>
      <w:r w:rsidRPr="00B11BB9">
        <w:t xml:space="preserve"> to contact you personally by the methods outline in the </w:t>
      </w:r>
      <w:r w:rsidRPr="00B11BB9">
        <w:rPr>
          <w:b/>
        </w:rPr>
        <w:t>Code</w:t>
      </w:r>
      <w:r w:rsidRPr="00B11BB9">
        <w:t>;</w:t>
      </w:r>
    </w:p>
    <w:p w:rsidR="00313AC1" w:rsidRPr="00B11BB9" w:rsidRDefault="00313AC1" w:rsidP="00646E85">
      <w:pPr>
        <w:pStyle w:val="GG-body"/>
        <w:numPr>
          <w:ilvl w:val="3"/>
          <w:numId w:val="58"/>
        </w:numPr>
        <w:tabs>
          <w:tab w:val="left" w:pos="1985"/>
        </w:tabs>
        <w:ind w:left="2552" w:hanging="425"/>
      </w:pPr>
      <w:r w:rsidRPr="00B11BB9">
        <w:t xml:space="preserve">give you information about the terms of our </w:t>
      </w:r>
      <w:r w:rsidRPr="00B11BB9">
        <w:rPr>
          <w:b/>
        </w:rPr>
        <w:t>Hardship Policy</w:t>
      </w:r>
      <w:r w:rsidRPr="00B11BB9">
        <w:t xml:space="preserve"> and assess your eligibility for participation in our </w:t>
      </w:r>
      <w:r w:rsidRPr="00B11BB9">
        <w:rPr>
          <w:b/>
        </w:rPr>
        <w:t>Hardship Policy</w:t>
      </w:r>
      <w:r w:rsidRPr="00B11BB9">
        <w:t>;</w:t>
      </w:r>
    </w:p>
    <w:p w:rsidR="00313AC1" w:rsidRPr="00B11BB9" w:rsidRDefault="00313AC1" w:rsidP="00646E85">
      <w:pPr>
        <w:pStyle w:val="GG-body"/>
        <w:numPr>
          <w:ilvl w:val="3"/>
          <w:numId w:val="58"/>
        </w:numPr>
        <w:tabs>
          <w:tab w:val="left" w:pos="1985"/>
        </w:tabs>
        <w:ind w:left="2552" w:hanging="425"/>
      </w:pPr>
      <w:r w:rsidRPr="00B11BB9">
        <w:t>give you information on government funded concessions, if applicable, and refer you to the organisation responsible for that concession;</w:t>
      </w:r>
    </w:p>
    <w:p w:rsidR="00313AC1" w:rsidRPr="00B11BB9" w:rsidRDefault="00313AC1" w:rsidP="00646E85">
      <w:pPr>
        <w:pStyle w:val="GG-body"/>
        <w:numPr>
          <w:ilvl w:val="3"/>
          <w:numId w:val="58"/>
        </w:numPr>
        <w:tabs>
          <w:tab w:val="left" w:pos="1985"/>
        </w:tabs>
        <w:ind w:left="2552" w:hanging="425"/>
      </w:pPr>
      <w:r w:rsidRPr="00B11BB9">
        <w:t>give you a reminder notice;</w:t>
      </w:r>
    </w:p>
    <w:p w:rsidR="00313AC1" w:rsidRPr="00B11BB9" w:rsidRDefault="00313AC1" w:rsidP="00646E85">
      <w:pPr>
        <w:pStyle w:val="GG-body"/>
        <w:numPr>
          <w:ilvl w:val="3"/>
          <w:numId w:val="58"/>
        </w:numPr>
        <w:tabs>
          <w:tab w:val="left" w:pos="1985"/>
        </w:tabs>
        <w:ind w:left="2552" w:hanging="425"/>
      </w:pPr>
      <w:r w:rsidRPr="00B11BB9">
        <w:t>after the expiry of the period referred to in the reminder notice, give you a written restriction warning notice in accordance with clause 25; and</w:t>
      </w:r>
    </w:p>
    <w:p w:rsidR="0002537B" w:rsidRPr="0002537B" w:rsidRDefault="00313AC1" w:rsidP="00646E85">
      <w:pPr>
        <w:pStyle w:val="GG-body"/>
        <w:numPr>
          <w:ilvl w:val="3"/>
          <w:numId w:val="58"/>
        </w:numPr>
        <w:tabs>
          <w:tab w:val="left" w:pos="1985"/>
        </w:tabs>
        <w:ind w:left="2552" w:hanging="425"/>
      </w:pPr>
      <w:r w:rsidRPr="00B11BB9">
        <w:t>advise you of the existence and operation of our external dispute resolution body or the industry ombudsman scheme (if we are a participant in that scheme).</w:t>
      </w:r>
      <w:bookmarkStart w:id="243" w:name="_Ref381005130"/>
      <w:r w:rsidR="0002537B">
        <w:br w:type="page"/>
      </w:r>
    </w:p>
    <w:p w:rsidR="00313AC1" w:rsidRPr="00B11BB9" w:rsidRDefault="00313AC1" w:rsidP="00646E85">
      <w:pPr>
        <w:pStyle w:val="GG-body"/>
        <w:numPr>
          <w:ilvl w:val="1"/>
          <w:numId w:val="26"/>
        </w:numPr>
      </w:pPr>
      <w:r w:rsidRPr="00B11BB9">
        <w:lastRenderedPageBreak/>
        <w:t>Restrictions of a water supply</w:t>
      </w:r>
      <w:r w:rsidR="004E4088">
        <w:t>—</w:t>
      </w:r>
      <w:r w:rsidRPr="00B11BB9">
        <w:t>Non-residential Customers</w:t>
      </w:r>
    </w:p>
    <w:p w:rsidR="00313AC1" w:rsidRPr="00B11BB9" w:rsidRDefault="00313AC1" w:rsidP="00646E85">
      <w:pPr>
        <w:pStyle w:val="GG-body"/>
        <w:numPr>
          <w:ilvl w:val="2"/>
          <w:numId w:val="59"/>
        </w:numPr>
      </w:pPr>
      <w:r w:rsidRPr="00B11BB9">
        <w:t xml:space="preserve">If you are a </w:t>
      </w:r>
      <w:r w:rsidRPr="00B11BB9">
        <w:rPr>
          <w:b/>
        </w:rPr>
        <w:t>non-residential</w:t>
      </w:r>
      <w:r w:rsidRPr="00B11BB9">
        <w:t xml:space="preserve"> </w:t>
      </w:r>
      <w:r w:rsidRPr="00B11BB9">
        <w:rPr>
          <w:b/>
        </w:rPr>
        <w:t>customer</w:t>
      </w:r>
      <w:r w:rsidRPr="00B11BB9">
        <w:t xml:space="preserve">, we may, subject to compliance with the </w:t>
      </w:r>
      <w:r w:rsidRPr="00B11BB9">
        <w:rPr>
          <w:b/>
        </w:rPr>
        <w:t>Code</w:t>
      </w:r>
      <w:r w:rsidRPr="00B11BB9">
        <w:t xml:space="preserve">, arrange for the restriction of the supply of your </w:t>
      </w:r>
      <w:r w:rsidRPr="00B11BB9">
        <w:rPr>
          <w:b/>
        </w:rPr>
        <w:t>water retail service</w:t>
      </w:r>
      <w:r w:rsidRPr="00B11BB9">
        <w:t xml:space="preserve"> at any of your </w:t>
      </w:r>
      <w:r w:rsidRPr="00B11BB9">
        <w:rPr>
          <w:b/>
        </w:rPr>
        <w:t>supply addresses</w:t>
      </w:r>
      <w:r w:rsidRPr="00B11BB9">
        <w:t xml:space="preserve"> at which a </w:t>
      </w:r>
      <w:r w:rsidRPr="00B11BB9">
        <w:rPr>
          <w:b/>
        </w:rPr>
        <w:t>water retail service</w:t>
      </w:r>
      <w:r w:rsidRPr="00B11BB9">
        <w:t xml:space="preserve"> is provided where:</w:t>
      </w:r>
      <w:bookmarkEnd w:id="243"/>
    </w:p>
    <w:p w:rsidR="00313AC1" w:rsidRPr="00B11BB9" w:rsidRDefault="00313AC1" w:rsidP="00646E85">
      <w:pPr>
        <w:pStyle w:val="GG-body"/>
        <w:numPr>
          <w:ilvl w:val="3"/>
          <w:numId w:val="60"/>
        </w:numPr>
        <w:tabs>
          <w:tab w:val="left" w:pos="1985"/>
        </w:tabs>
        <w:ind w:left="2552" w:hanging="425"/>
      </w:pPr>
      <w:r w:rsidRPr="00B11BB9">
        <w:t>you have not paid a bill or bills within the required timeframes;</w:t>
      </w:r>
    </w:p>
    <w:p w:rsidR="00313AC1" w:rsidRPr="00B11BB9" w:rsidRDefault="00313AC1" w:rsidP="00646E85">
      <w:pPr>
        <w:pStyle w:val="GG-body"/>
        <w:numPr>
          <w:ilvl w:val="3"/>
          <w:numId w:val="60"/>
        </w:numPr>
        <w:tabs>
          <w:tab w:val="left" w:pos="1985"/>
        </w:tabs>
        <w:ind w:left="2552" w:hanging="425"/>
      </w:pPr>
      <w:r w:rsidRPr="00B11BB9">
        <w:t xml:space="preserve">you have not allowed entry to a water industry officer appointed under the </w:t>
      </w:r>
      <w:r w:rsidRPr="00B11BB9">
        <w:rPr>
          <w:b/>
        </w:rPr>
        <w:t>Act</w:t>
      </w:r>
      <w:r w:rsidRPr="00B11BB9">
        <w:t xml:space="preserve"> for the purposes consistent with carrying out duties in accordance with </w:t>
      </w:r>
      <w:r w:rsidRPr="00B11BB9">
        <w:rPr>
          <w:b/>
        </w:rPr>
        <w:t>applicable regulatory instruments</w:t>
      </w:r>
      <w:r w:rsidRPr="00B11BB9">
        <w:t>; or</w:t>
      </w:r>
    </w:p>
    <w:p w:rsidR="00313AC1" w:rsidRPr="00B11BB9" w:rsidRDefault="00313AC1" w:rsidP="00646E85">
      <w:pPr>
        <w:pStyle w:val="GG-body"/>
        <w:numPr>
          <w:ilvl w:val="3"/>
          <w:numId w:val="60"/>
        </w:numPr>
        <w:tabs>
          <w:tab w:val="left" w:pos="1985"/>
        </w:tabs>
        <w:ind w:left="2552" w:hanging="425"/>
      </w:pPr>
      <w:r w:rsidRPr="00B11BB9">
        <w:t xml:space="preserve">you have used the </w:t>
      </w:r>
      <w:r w:rsidRPr="00B11BB9">
        <w:rPr>
          <w:b/>
        </w:rPr>
        <w:t>retail service</w:t>
      </w:r>
      <w:r w:rsidRPr="00B11BB9">
        <w:t xml:space="preserve"> illegally.</w:t>
      </w:r>
    </w:p>
    <w:p w:rsidR="00313AC1" w:rsidRPr="00B11BB9" w:rsidRDefault="00313AC1" w:rsidP="00646E85">
      <w:pPr>
        <w:pStyle w:val="GG-body"/>
        <w:numPr>
          <w:ilvl w:val="2"/>
          <w:numId w:val="59"/>
        </w:numPr>
      </w:pPr>
      <w:r w:rsidRPr="00B11BB9">
        <w:t xml:space="preserve">Before undertaking any arrangements for the restriction of supply of </w:t>
      </w:r>
      <w:r w:rsidRPr="00B11BB9">
        <w:rPr>
          <w:b/>
        </w:rPr>
        <w:t>retail services</w:t>
      </w:r>
      <w:r w:rsidRPr="00B11BB9">
        <w:t xml:space="preserve"> to your supply address for failure to pay a bill, we will:</w:t>
      </w:r>
    </w:p>
    <w:p w:rsidR="00313AC1" w:rsidRPr="00B11BB9" w:rsidRDefault="00313AC1" w:rsidP="00646E85">
      <w:pPr>
        <w:pStyle w:val="GG-body"/>
        <w:numPr>
          <w:ilvl w:val="3"/>
          <w:numId w:val="61"/>
        </w:numPr>
        <w:tabs>
          <w:tab w:val="left" w:pos="1985"/>
        </w:tabs>
        <w:ind w:left="2552" w:hanging="425"/>
      </w:pPr>
      <w:r w:rsidRPr="00B11BB9">
        <w:t xml:space="preserve">use our </w:t>
      </w:r>
      <w:r w:rsidRPr="00B11BB9">
        <w:rPr>
          <w:b/>
        </w:rPr>
        <w:t>best endeavours</w:t>
      </w:r>
      <w:r w:rsidRPr="00B11BB9">
        <w:t xml:space="preserve"> to contact you personally by the methods outline in the </w:t>
      </w:r>
      <w:r w:rsidRPr="00B11BB9">
        <w:rPr>
          <w:b/>
        </w:rPr>
        <w:t>Code</w:t>
      </w:r>
      <w:r w:rsidRPr="00B11BB9">
        <w:t>;</w:t>
      </w:r>
    </w:p>
    <w:p w:rsidR="00313AC1" w:rsidRPr="00B11BB9" w:rsidRDefault="00313AC1" w:rsidP="00646E85">
      <w:pPr>
        <w:pStyle w:val="GG-body"/>
        <w:numPr>
          <w:ilvl w:val="3"/>
          <w:numId w:val="61"/>
        </w:numPr>
        <w:tabs>
          <w:tab w:val="left" w:pos="1985"/>
        </w:tabs>
        <w:ind w:left="2552" w:hanging="425"/>
      </w:pPr>
      <w:r w:rsidRPr="00B11BB9">
        <w:t xml:space="preserve">offer you an extension of time to pay on terms and conditions (which may include the payment of interest approved by </w:t>
      </w:r>
      <w:r w:rsidRPr="00B11BB9">
        <w:rPr>
          <w:b/>
        </w:rPr>
        <w:t>ESCOSA</w:t>
      </w:r>
      <w:r w:rsidRPr="00B11BB9">
        <w:t xml:space="preserve"> from time to time);</w:t>
      </w:r>
    </w:p>
    <w:p w:rsidR="00313AC1" w:rsidRPr="00B11BB9" w:rsidRDefault="00313AC1" w:rsidP="00646E85">
      <w:pPr>
        <w:pStyle w:val="GG-body"/>
        <w:numPr>
          <w:ilvl w:val="3"/>
          <w:numId w:val="61"/>
        </w:numPr>
        <w:tabs>
          <w:tab w:val="left" w:pos="1985"/>
        </w:tabs>
        <w:ind w:left="2552" w:hanging="425"/>
      </w:pPr>
      <w:r w:rsidRPr="00B11BB9">
        <w:t>give you a reminder notice;</w:t>
      </w:r>
    </w:p>
    <w:p w:rsidR="00313AC1" w:rsidRPr="00B11BB9" w:rsidRDefault="00313AC1" w:rsidP="00646E85">
      <w:pPr>
        <w:pStyle w:val="GG-body"/>
        <w:numPr>
          <w:ilvl w:val="3"/>
          <w:numId w:val="61"/>
        </w:numPr>
        <w:tabs>
          <w:tab w:val="left" w:pos="1985"/>
        </w:tabs>
        <w:ind w:left="2552" w:hanging="425"/>
      </w:pPr>
      <w:r w:rsidRPr="00B11BB9">
        <w:t>after the expiry of the period referred to in the reminder notice, give you a written restriction warning notice in accordance with clause 25; and</w:t>
      </w:r>
    </w:p>
    <w:p w:rsidR="00313AC1" w:rsidRPr="00B11BB9" w:rsidRDefault="00313AC1" w:rsidP="00646E85">
      <w:pPr>
        <w:pStyle w:val="GG-body"/>
        <w:numPr>
          <w:ilvl w:val="3"/>
          <w:numId w:val="61"/>
        </w:numPr>
        <w:tabs>
          <w:tab w:val="left" w:pos="1985"/>
        </w:tabs>
        <w:ind w:left="2552" w:hanging="425"/>
      </w:pPr>
      <w:r w:rsidRPr="00B11BB9">
        <w:t>advise you of the existence and operation of our external dispute resolution body or the industry ombudsman scheme (if we are a participant in that scheme).</w:t>
      </w:r>
    </w:p>
    <w:p w:rsidR="00313AC1" w:rsidRPr="007D2859" w:rsidRDefault="00313AC1" w:rsidP="00646E85">
      <w:pPr>
        <w:pStyle w:val="GG-body"/>
        <w:numPr>
          <w:ilvl w:val="1"/>
          <w:numId w:val="26"/>
        </w:numPr>
        <w:rPr>
          <w:spacing w:val="-2"/>
        </w:rPr>
      </w:pPr>
      <w:r w:rsidRPr="007D2859">
        <w:rPr>
          <w:spacing w:val="-2"/>
        </w:rPr>
        <w:t xml:space="preserve">Subject to compliance with the </w:t>
      </w:r>
      <w:r w:rsidRPr="007D2859">
        <w:rPr>
          <w:b/>
          <w:spacing w:val="-2"/>
        </w:rPr>
        <w:t>Code</w:t>
      </w:r>
      <w:r w:rsidRPr="007D2859">
        <w:rPr>
          <w:spacing w:val="-2"/>
        </w:rPr>
        <w:t>, we may restrict the supply of a</w:t>
      </w:r>
      <w:r w:rsidRPr="007D2859">
        <w:rPr>
          <w:b/>
          <w:spacing w:val="-2"/>
        </w:rPr>
        <w:t xml:space="preserve"> retail service</w:t>
      </w:r>
      <w:r w:rsidRPr="007D2859">
        <w:rPr>
          <w:spacing w:val="-2"/>
        </w:rPr>
        <w:t xml:space="preserve"> to a </w:t>
      </w:r>
      <w:r w:rsidRPr="007D2859">
        <w:rPr>
          <w:b/>
          <w:spacing w:val="-2"/>
        </w:rPr>
        <w:t>supply address</w:t>
      </w:r>
      <w:r w:rsidRPr="007D2859">
        <w:rPr>
          <w:spacing w:val="-2"/>
        </w:rPr>
        <w:t xml:space="preserve"> immediately if you:</w:t>
      </w:r>
    </w:p>
    <w:p w:rsidR="00313AC1" w:rsidRPr="00B11BB9" w:rsidRDefault="00313AC1" w:rsidP="00646E85">
      <w:pPr>
        <w:pStyle w:val="GG-body"/>
        <w:numPr>
          <w:ilvl w:val="2"/>
          <w:numId w:val="62"/>
        </w:numPr>
      </w:pPr>
      <w:r w:rsidRPr="00B11BB9">
        <w:t xml:space="preserve">have refused or failed to accept the offer of a flexible payment plan in accordance with clause 14 before the expiry of the 5 </w:t>
      </w:r>
      <w:r w:rsidRPr="00B11BB9">
        <w:rPr>
          <w:b/>
        </w:rPr>
        <w:t>business days</w:t>
      </w:r>
      <w:r w:rsidRPr="00B11BB9">
        <w:t xml:space="preserve"> period in the restriction warning; or</w:t>
      </w:r>
    </w:p>
    <w:p w:rsidR="00313AC1" w:rsidRPr="00B11BB9" w:rsidRDefault="00313AC1" w:rsidP="00646E85">
      <w:pPr>
        <w:pStyle w:val="GG-body"/>
        <w:numPr>
          <w:ilvl w:val="2"/>
          <w:numId w:val="62"/>
        </w:numPr>
      </w:pPr>
      <w:r w:rsidRPr="00B11BB9">
        <w:t xml:space="preserve">have accepted the offer of a flexible payment plan in accordance with clause 14, but have refused or failed to take reasonable actions towards settling the debt before the expiry of the 5 </w:t>
      </w:r>
      <w:r w:rsidRPr="00B11BB9">
        <w:rPr>
          <w:b/>
        </w:rPr>
        <w:t>business days</w:t>
      </w:r>
      <w:r w:rsidRPr="00B11BB9">
        <w:t xml:space="preserve"> period in the restriction warning.</w:t>
      </w:r>
    </w:p>
    <w:p w:rsidR="00313AC1" w:rsidRPr="00B11BB9" w:rsidRDefault="00313AC1" w:rsidP="00646E85">
      <w:pPr>
        <w:pStyle w:val="GG-body"/>
        <w:numPr>
          <w:ilvl w:val="1"/>
          <w:numId w:val="26"/>
        </w:numPr>
      </w:pPr>
      <w:r w:rsidRPr="00B11BB9">
        <w:t xml:space="preserve">The restriction of supply of </w:t>
      </w:r>
      <w:r w:rsidRPr="00B11BB9">
        <w:rPr>
          <w:b/>
        </w:rPr>
        <w:t>retail services</w:t>
      </w:r>
      <w:r w:rsidRPr="00B11BB9">
        <w:t xml:space="preserve"> under clause 24.1 or 24.2 will be no less than the minimum flow rate prescribed by </w:t>
      </w:r>
      <w:r w:rsidRPr="00B11BB9">
        <w:rPr>
          <w:b/>
        </w:rPr>
        <w:t>ESCOSA</w:t>
      </w:r>
      <w:r w:rsidRPr="00B11BB9">
        <w:t xml:space="preserve"> by notice in writing from time to time.</w:t>
      </w:r>
    </w:p>
    <w:p w:rsidR="00313AC1" w:rsidRPr="00B11BB9" w:rsidRDefault="00313AC1" w:rsidP="00646E85">
      <w:pPr>
        <w:pStyle w:val="GG-body"/>
        <w:numPr>
          <w:ilvl w:val="1"/>
          <w:numId w:val="26"/>
        </w:numPr>
      </w:pPr>
      <w:r w:rsidRPr="00B11BB9">
        <w:t xml:space="preserve">We will not restrict your </w:t>
      </w:r>
      <w:r w:rsidRPr="00B11BB9">
        <w:rPr>
          <w:b/>
        </w:rPr>
        <w:t>service</w:t>
      </w:r>
      <w:r w:rsidRPr="00B11BB9">
        <w:t xml:space="preserve"> for non-payment of a bill or bills.</w:t>
      </w:r>
    </w:p>
    <w:p w:rsidR="00313AC1" w:rsidRPr="00B11BB9" w:rsidRDefault="00313AC1" w:rsidP="00646E85">
      <w:pPr>
        <w:pStyle w:val="GG-body"/>
        <w:numPr>
          <w:ilvl w:val="0"/>
          <w:numId w:val="26"/>
        </w:numPr>
        <w:rPr>
          <w:b/>
        </w:rPr>
      </w:pPr>
      <w:bookmarkStart w:id="244" w:name="_Ref381090630"/>
      <w:bookmarkStart w:id="245" w:name="_Toc12293622"/>
      <w:r w:rsidRPr="00B11BB9">
        <w:rPr>
          <w:b/>
        </w:rPr>
        <w:t>RESTRICTION WARNING NOTICE</w:t>
      </w:r>
      <w:bookmarkEnd w:id="244"/>
      <w:bookmarkEnd w:id="245"/>
    </w:p>
    <w:p w:rsidR="00313AC1" w:rsidRPr="00B11BB9" w:rsidRDefault="00313AC1" w:rsidP="00646E85">
      <w:pPr>
        <w:pStyle w:val="GG-body"/>
        <w:numPr>
          <w:ilvl w:val="1"/>
          <w:numId w:val="26"/>
        </w:numPr>
      </w:pPr>
      <w:r w:rsidRPr="00B11BB9">
        <w:t xml:space="preserve">Prior to commencing action to restrict the supply of a </w:t>
      </w:r>
      <w:r w:rsidRPr="00B11BB9">
        <w:rPr>
          <w:b/>
        </w:rPr>
        <w:t>retail service</w:t>
      </w:r>
      <w:r w:rsidRPr="00B11BB9">
        <w:t xml:space="preserve"> to you, we will issue a restriction warning notice to you that:</w:t>
      </w:r>
    </w:p>
    <w:p w:rsidR="00313AC1" w:rsidRPr="00B11BB9" w:rsidRDefault="00313AC1" w:rsidP="00646E85">
      <w:pPr>
        <w:pStyle w:val="GG-body"/>
        <w:numPr>
          <w:ilvl w:val="2"/>
          <w:numId w:val="63"/>
        </w:numPr>
      </w:pPr>
      <w:r w:rsidRPr="00B11BB9">
        <w:t>states the date of its issue;</w:t>
      </w:r>
    </w:p>
    <w:p w:rsidR="00313AC1" w:rsidRPr="00B11BB9" w:rsidRDefault="00313AC1" w:rsidP="00646E85">
      <w:pPr>
        <w:pStyle w:val="GG-body"/>
        <w:numPr>
          <w:ilvl w:val="2"/>
          <w:numId w:val="63"/>
        </w:numPr>
      </w:pPr>
      <w:r w:rsidRPr="00B11BB9">
        <w:t xml:space="preserve">states the matter giving rise to the potential restriction of your </w:t>
      </w:r>
      <w:r w:rsidRPr="00B11BB9">
        <w:rPr>
          <w:b/>
        </w:rPr>
        <w:t>supply address</w:t>
      </w:r>
      <w:r w:rsidRPr="00B11BB9">
        <w:t>;</w:t>
      </w:r>
    </w:p>
    <w:p w:rsidR="00313AC1" w:rsidRPr="00B11BB9" w:rsidRDefault="00313AC1" w:rsidP="00646E85">
      <w:pPr>
        <w:pStyle w:val="GG-body"/>
        <w:numPr>
          <w:ilvl w:val="2"/>
          <w:numId w:val="63"/>
        </w:numPr>
      </w:pPr>
      <w:r w:rsidRPr="00B11BB9">
        <w:t>where the notice has been issued for not paying a bill:</w:t>
      </w:r>
    </w:p>
    <w:p w:rsidR="00313AC1" w:rsidRPr="00B11BB9" w:rsidRDefault="00313AC1" w:rsidP="00646E85">
      <w:pPr>
        <w:pStyle w:val="GG-body"/>
        <w:numPr>
          <w:ilvl w:val="3"/>
          <w:numId w:val="64"/>
        </w:numPr>
        <w:tabs>
          <w:tab w:val="left" w:pos="1985"/>
        </w:tabs>
        <w:ind w:left="2552" w:hanging="425"/>
      </w:pPr>
      <w:r w:rsidRPr="00B11BB9">
        <w:t>state the date on which the restriction warning notice ends; and</w:t>
      </w:r>
    </w:p>
    <w:p w:rsidR="00DC0AF4" w:rsidRDefault="00313AC1" w:rsidP="00646E85">
      <w:pPr>
        <w:pStyle w:val="GG-body"/>
        <w:numPr>
          <w:ilvl w:val="3"/>
          <w:numId w:val="64"/>
        </w:numPr>
        <w:tabs>
          <w:tab w:val="left" w:pos="1985"/>
        </w:tabs>
        <w:ind w:left="2552" w:hanging="425"/>
      </w:pPr>
      <w:r w:rsidRPr="00B11BB9">
        <w:t>state that payment of the bill must be made during the restriction warning notice period;</w:t>
      </w:r>
    </w:p>
    <w:p w:rsidR="00313AC1" w:rsidRPr="00B11BB9" w:rsidRDefault="00313AC1" w:rsidP="00646E85">
      <w:pPr>
        <w:pStyle w:val="GG-body"/>
        <w:numPr>
          <w:ilvl w:val="2"/>
          <w:numId w:val="63"/>
        </w:numPr>
      </w:pPr>
      <w:r w:rsidRPr="00B11BB9">
        <w:t xml:space="preserve">for matters other than not paying a bill, allow a period of not fewer than 5 </w:t>
      </w:r>
      <w:r w:rsidRPr="00B11BB9">
        <w:rPr>
          <w:b/>
        </w:rPr>
        <w:t>business days</w:t>
      </w:r>
      <w:r w:rsidRPr="00B11BB9">
        <w:t xml:space="preserve"> after the date of issue for you to rectify the matter before restriction occurs;</w:t>
      </w:r>
    </w:p>
    <w:p w:rsidR="00313AC1" w:rsidRPr="00B11BB9" w:rsidRDefault="00313AC1" w:rsidP="00646E85">
      <w:pPr>
        <w:pStyle w:val="GG-body"/>
        <w:numPr>
          <w:ilvl w:val="2"/>
          <w:numId w:val="63"/>
        </w:numPr>
      </w:pPr>
      <w:r w:rsidRPr="00B11BB9">
        <w:t>inform you of applicable restoration procedures and any charges for restoration (if applicable);</w:t>
      </w:r>
    </w:p>
    <w:p w:rsidR="00313AC1" w:rsidRPr="00B11BB9" w:rsidRDefault="00313AC1" w:rsidP="00646E85">
      <w:pPr>
        <w:pStyle w:val="GG-body"/>
        <w:numPr>
          <w:ilvl w:val="2"/>
          <w:numId w:val="63"/>
        </w:numPr>
      </w:pPr>
      <w:r w:rsidRPr="00B11BB9">
        <w:t>include details of our telephone number for complaints and disputes; and</w:t>
      </w:r>
    </w:p>
    <w:p w:rsidR="00313AC1" w:rsidRPr="00B11BB9" w:rsidRDefault="00313AC1" w:rsidP="00646E85">
      <w:pPr>
        <w:pStyle w:val="GG-body"/>
        <w:numPr>
          <w:ilvl w:val="2"/>
          <w:numId w:val="63"/>
        </w:numPr>
      </w:pPr>
      <w:r w:rsidRPr="00B11BB9">
        <w:t>include details of the existence and operation of our external dispute resolution body or the industry ombudsman scheme (if we are a participant in that scheme).</w:t>
      </w:r>
    </w:p>
    <w:p w:rsidR="00313AC1" w:rsidRPr="00B11BB9" w:rsidRDefault="00313AC1" w:rsidP="00646E85">
      <w:pPr>
        <w:pStyle w:val="GG-body"/>
        <w:numPr>
          <w:ilvl w:val="0"/>
          <w:numId w:val="26"/>
        </w:numPr>
        <w:rPr>
          <w:b/>
        </w:rPr>
      </w:pPr>
      <w:bookmarkStart w:id="246" w:name="_Toc12293623"/>
      <w:r w:rsidRPr="00B11BB9">
        <w:rPr>
          <w:b/>
        </w:rPr>
        <w:t>DISCONNECTIONS</w:t>
      </w:r>
      <w:bookmarkEnd w:id="246"/>
    </w:p>
    <w:p w:rsidR="00313AC1" w:rsidRPr="00B11BB9" w:rsidRDefault="00313AC1" w:rsidP="00646E85">
      <w:pPr>
        <w:pStyle w:val="GG-body"/>
        <w:numPr>
          <w:ilvl w:val="1"/>
          <w:numId w:val="26"/>
        </w:numPr>
      </w:pPr>
      <w:r w:rsidRPr="00B11BB9">
        <w:t xml:space="preserve">We will not disconnect your </w:t>
      </w:r>
      <w:r w:rsidRPr="00B11BB9">
        <w:rPr>
          <w:b/>
        </w:rPr>
        <w:t>retail service</w:t>
      </w:r>
      <w:r w:rsidRPr="00B11BB9">
        <w:t xml:space="preserve"> for non-payment of a bill or bills. However, we may restrict your </w:t>
      </w:r>
      <w:r w:rsidRPr="00B11BB9">
        <w:rPr>
          <w:b/>
        </w:rPr>
        <w:t>retail service</w:t>
      </w:r>
      <w:r w:rsidRPr="00B11BB9">
        <w:t xml:space="preserve"> in accordance with clause 24.</w:t>
      </w:r>
    </w:p>
    <w:p w:rsidR="00313AC1" w:rsidRPr="00B11BB9" w:rsidRDefault="00313AC1" w:rsidP="00646E85">
      <w:pPr>
        <w:pStyle w:val="GG-body"/>
        <w:numPr>
          <w:ilvl w:val="1"/>
          <w:numId w:val="26"/>
        </w:numPr>
        <w:rPr>
          <w:b/>
        </w:rPr>
      </w:pPr>
      <w:r w:rsidRPr="00B11BB9">
        <w:t xml:space="preserve">Subject to any </w:t>
      </w:r>
      <w:r w:rsidRPr="00B11BB9">
        <w:rPr>
          <w:b/>
        </w:rPr>
        <w:t xml:space="preserve">applicable regulatory instruments </w:t>
      </w:r>
      <w:r w:rsidRPr="00B11BB9">
        <w:t xml:space="preserve">that prohibit disconnection, we may only arrange for the disconnection of your </w:t>
      </w:r>
      <w:r w:rsidRPr="00B11BB9">
        <w:rPr>
          <w:b/>
        </w:rPr>
        <w:t>retail service</w:t>
      </w:r>
      <w:r w:rsidRPr="00B11BB9">
        <w:t xml:space="preserve"> if you have:</w:t>
      </w:r>
    </w:p>
    <w:p w:rsidR="00313AC1" w:rsidRPr="00B11BB9" w:rsidRDefault="00313AC1" w:rsidP="00646E85">
      <w:pPr>
        <w:pStyle w:val="GG-body"/>
        <w:numPr>
          <w:ilvl w:val="2"/>
          <w:numId w:val="65"/>
        </w:numPr>
      </w:pPr>
      <w:r w:rsidRPr="00B11BB9">
        <w:t>requested the disconnection;</w:t>
      </w:r>
    </w:p>
    <w:p w:rsidR="00313AC1" w:rsidRPr="00B11BB9" w:rsidRDefault="00313AC1" w:rsidP="00646E85">
      <w:pPr>
        <w:pStyle w:val="GG-body"/>
        <w:numPr>
          <w:ilvl w:val="2"/>
          <w:numId w:val="65"/>
        </w:numPr>
      </w:pPr>
      <w:r w:rsidRPr="00B11BB9">
        <w:t xml:space="preserve">used the </w:t>
      </w:r>
      <w:r w:rsidRPr="00B11BB9">
        <w:rPr>
          <w:b/>
        </w:rPr>
        <w:t>retail service</w:t>
      </w:r>
      <w:r w:rsidRPr="00B11BB9">
        <w:t xml:space="preserve"> illegally; or</w:t>
      </w:r>
    </w:p>
    <w:p w:rsidR="00313AC1" w:rsidRPr="00B11BB9" w:rsidRDefault="00313AC1" w:rsidP="00646E85">
      <w:pPr>
        <w:pStyle w:val="GG-body"/>
        <w:numPr>
          <w:ilvl w:val="2"/>
          <w:numId w:val="65"/>
        </w:numPr>
        <w:rPr>
          <w:b/>
        </w:rPr>
      </w:pPr>
      <w:r w:rsidRPr="00B11BB9">
        <w:t xml:space="preserve">refused entry to a water industry officer appointed under the </w:t>
      </w:r>
      <w:r w:rsidRPr="00B11BB9">
        <w:rPr>
          <w:b/>
        </w:rPr>
        <w:t>Act</w:t>
      </w:r>
      <w:r w:rsidRPr="00B11BB9">
        <w:t xml:space="preserve"> for a purpose consistent with carrying out duties in accordance with </w:t>
      </w:r>
      <w:r w:rsidRPr="00B11BB9">
        <w:rPr>
          <w:b/>
        </w:rPr>
        <w:t>applicable regulatory instruments</w:t>
      </w:r>
      <w:r w:rsidRPr="00B11BB9">
        <w:t>.</w:t>
      </w:r>
    </w:p>
    <w:p w:rsidR="005C78B1" w:rsidRPr="00B32FD4" w:rsidRDefault="00313AC1" w:rsidP="00646E85">
      <w:pPr>
        <w:pStyle w:val="GG-body"/>
        <w:numPr>
          <w:ilvl w:val="1"/>
          <w:numId w:val="26"/>
        </w:numPr>
        <w:rPr>
          <w:b/>
          <w:spacing w:val="-2"/>
        </w:rPr>
      </w:pPr>
      <w:r w:rsidRPr="00B32FD4">
        <w:rPr>
          <w:spacing w:val="-2"/>
        </w:rPr>
        <w:t xml:space="preserve">If you request us to arrange for the preparation and issue of a final bill, or the disconnection of, your </w:t>
      </w:r>
      <w:r w:rsidRPr="00B32FD4">
        <w:rPr>
          <w:b/>
          <w:spacing w:val="-2"/>
        </w:rPr>
        <w:t>supply address</w:t>
      </w:r>
      <w:r w:rsidRPr="00B32FD4">
        <w:rPr>
          <w:spacing w:val="-2"/>
        </w:rPr>
        <w:t xml:space="preserve">, we will use our </w:t>
      </w:r>
      <w:r w:rsidRPr="00B32FD4">
        <w:rPr>
          <w:b/>
          <w:spacing w:val="-2"/>
        </w:rPr>
        <w:t>best endeavours</w:t>
      </w:r>
      <w:r w:rsidRPr="00B32FD4">
        <w:rPr>
          <w:spacing w:val="-2"/>
        </w:rPr>
        <w:t xml:space="preserve"> to arrange for that final bill (in circumstances where final bills can be issued) or, subject to any </w:t>
      </w:r>
      <w:r w:rsidRPr="00B32FD4">
        <w:rPr>
          <w:b/>
          <w:spacing w:val="-2"/>
        </w:rPr>
        <w:t>applicable regulatory instruments</w:t>
      </w:r>
      <w:r w:rsidRPr="00B32FD4">
        <w:rPr>
          <w:spacing w:val="-2"/>
        </w:rPr>
        <w:t xml:space="preserve"> that prohibit disconnection, arrange the disconnection in accordance with your request.</w:t>
      </w:r>
      <w:bookmarkStart w:id="247" w:name="_Toc9241223"/>
      <w:bookmarkStart w:id="248" w:name="_Toc9244969"/>
      <w:bookmarkStart w:id="249" w:name="_Toc12293624"/>
      <w:bookmarkStart w:id="250" w:name="_Ref381004098"/>
      <w:bookmarkEnd w:id="247"/>
      <w:bookmarkEnd w:id="248"/>
    </w:p>
    <w:p w:rsidR="00313AC1" w:rsidRPr="00B11BB9" w:rsidRDefault="00313AC1" w:rsidP="00646E85">
      <w:pPr>
        <w:pStyle w:val="GG-body"/>
        <w:numPr>
          <w:ilvl w:val="0"/>
          <w:numId w:val="26"/>
        </w:numPr>
        <w:rPr>
          <w:b/>
        </w:rPr>
      </w:pPr>
      <w:r w:rsidRPr="00B11BB9">
        <w:rPr>
          <w:b/>
        </w:rPr>
        <w:t>RESTORATION OF WATER RETAIL SERVICE</w:t>
      </w:r>
      <w:bookmarkEnd w:id="249"/>
      <w:bookmarkEnd w:id="250"/>
    </w:p>
    <w:p w:rsidR="00313AC1" w:rsidRPr="00B11BB9" w:rsidRDefault="00313AC1" w:rsidP="00646E85">
      <w:pPr>
        <w:pStyle w:val="GG-body"/>
        <w:numPr>
          <w:ilvl w:val="1"/>
          <w:numId w:val="26"/>
        </w:numPr>
        <w:rPr>
          <w:b/>
        </w:rPr>
      </w:pPr>
      <w:r w:rsidRPr="00B11BB9">
        <w:t xml:space="preserve">If we have disconnected or restricted the supply of your </w:t>
      </w:r>
      <w:r w:rsidRPr="00B11BB9">
        <w:rPr>
          <w:b/>
        </w:rPr>
        <w:t>retail service</w:t>
      </w:r>
      <w:r w:rsidRPr="00B11BB9">
        <w:t xml:space="preserve"> to you, we will use our </w:t>
      </w:r>
      <w:r w:rsidRPr="00B11BB9">
        <w:rPr>
          <w:b/>
        </w:rPr>
        <w:t>best endeavours</w:t>
      </w:r>
      <w:r w:rsidRPr="00B11BB9">
        <w:t xml:space="preserve"> to arrange for the reconnection or removal of flow restrictions within a time agreed with you, subject to:</w:t>
      </w:r>
    </w:p>
    <w:p w:rsidR="00313AC1" w:rsidRPr="00B11BB9" w:rsidRDefault="00313AC1" w:rsidP="00646E85">
      <w:pPr>
        <w:pStyle w:val="GG-body"/>
        <w:numPr>
          <w:ilvl w:val="2"/>
          <w:numId w:val="66"/>
        </w:numPr>
        <w:rPr>
          <w:b/>
        </w:rPr>
      </w:pPr>
      <w:r w:rsidRPr="00B11BB9">
        <w:t>clause 9.2;</w:t>
      </w:r>
    </w:p>
    <w:p w:rsidR="00313AC1" w:rsidRPr="00B11BB9" w:rsidRDefault="00313AC1" w:rsidP="00646E85">
      <w:pPr>
        <w:pStyle w:val="GG-body"/>
        <w:numPr>
          <w:ilvl w:val="2"/>
          <w:numId w:val="66"/>
        </w:numPr>
        <w:rPr>
          <w:b/>
        </w:rPr>
      </w:pPr>
      <w:r w:rsidRPr="00B11BB9">
        <w:t>the reasons for the disconnection or restriction being rectified by you; and</w:t>
      </w:r>
    </w:p>
    <w:p w:rsidR="00313AC1" w:rsidRPr="00B11BB9" w:rsidRDefault="00313AC1" w:rsidP="00646E85">
      <w:pPr>
        <w:pStyle w:val="GG-body"/>
        <w:numPr>
          <w:ilvl w:val="2"/>
          <w:numId w:val="66"/>
        </w:numPr>
        <w:rPr>
          <w:b/>
        </w:rPr>
      </w:pPr>
      <w:r w:rsidRPr="00B11BB9">
        <w:t xml:space="preserve">you have paid the appropriate charge for reconnection or removal of </w:t>
      </w:r>
      <w:r w:rsidRPr="00B11BB9">
        <w:rPr>
          <w:b/>
        </w:rPr>
        <w:t>water</w:t>
      </w:r>
      <w:r w:rsidRPr="00B11BB9">
        <w:t xml:space="preserve"> flow restriction (if applicable).</w:t>
      </w:r>
    </w:p>
    <w:p w:rsidR="00313AC1" w:rsidRPr="00B11BB9" w:rsidRDefault="00313AC1" w:rsidP="00646E85">
      <w:pPr>
        <w:pStyle w:val="GG-body"/>
        <w:numPr>
          <w:ilvl w:val="1"/>
          <w:numId w:val="26"/>
        </w:numPr>
      </w:pPr>
      <w:r w:rsidRPr="00B11BB9">
        <w:t xml:space="preserve">If you are a </w:t>
      </w:r>
      <w:r w:rsidRPr="00B11BB9">
        <w:rPr>
          <w:b/>
        </w:rPr>
        <w:t>residential customer</w:t>
      </w:r>
      <w:r w:rsidRPr="00B11BB9">
        <w:t xml:space="preserve">, we will not charge a restoration fee where you are experiencing </w:t>
      </w:r>
      <w:r w:rsidRPr="00B11BB9">
        <w:rPr>
          <w:b/>
        </w:rPr>
        <w:t>financial hardship</w:t>
      </w:r>
      <w:r w:rsidRPr="00B11BB9">
        <w:t xml:space="preserve"> and should have been identified as eligible for our </w:t>
      </w:r>
      <w:r w:rsidRPr="00B11BB9">
        <w:rPr>
          <w:b/>
        </w:rPr>
        <w:t>Hardship Policy</w:t>
      </w:r>
      <w:r w:rsidRPr="00B11BB9">
        <w:t>, so long as you agree to participate in our hardship program upon restoration.</w:t>
      </w:r>
    </w:p>
    <w:p w:rsidR="00313AC1" w:rsidRPr="00B11BB9" w:rsidRDefault="00313AC1" w:rsidP="00646E85">
      <w:pPr>
        <w:pStyle w:val="GG-body"/>
        <w:numPr>
          <w:ilvl w:val="1"/>
          <w:numId w:val="26"/>
        </w:numPr>
      </w:pPr>
      <w:r w:rsidRPr="00B11BB9">
        <w:lastRenderedPageBreak/>
        <w:t xml:space="preserve">We will use our </w:t>
      </w:r>
      <w:r w:rsidRPr="00B11BB9">
        <w:rPr>
          <w:b/>
        </w:rPr>
        <w:t>best endeavours</w:t>
      </w:r>
      <w:r w:rsidRPr="00B11BB9">
        <w:t xml:space="preserve"> to reconnect or remove </w:t>
      </w:r>
      <w:r w:rsidRPr="00B11BB9">
        <w:rPr>
          <w:b/>
        </w:rPr>
        <w:t>water</w:t>
      </w:r>
      <w:r w:rsidRPr="00B11BB9">
        <w:t xml:space="preserve"> flow restrictions within the timeframes required by any </w:t>
      </w:r>
      <w:r w:rsidRPr="00B11BB9">
        <w:rPr>
          <w:b/>
        </w:rPr>
        <w:t>regulatory service standards</w:t>
      </w:r>
      <w:r w:rsidRPr="00B11BB9">
        <w:t>.</w:t>
      </w:r>
    </w:p>
    <w:p w:rsidR="00313AC1" w:rsidRPr="00B11BB9" w:rsidRDefault="00313AC1" w:rsidP="00646E85">
      <w:pPr>
        <w:pStyle w:val="GG-body"/>
        <w:numPr>
          <w:ilvl w:val="0"/>
          <w:numId w:val="26"/>
        </w:numPr>
        <w:rPr>
          <w:b/>
        </w:rPr>
      </w:pPr>
      <w:bookmarkStart w:id="251" w:name="_Ref381002849"/>
      <w:bookmarkStart w:id="252" w:name="_Toc12293625"/>
      <w:bookmarkStart w:id="253" w:name="_Toc379898749"/>
      <w:r w:rsidRPr="00B11BB9">
        <w:rPr>
          <w:b/>
        </w:rPr>
        <w:t>ENQUIRIES, COMPLAINTS AND DISPUTE RESOLUTION</w:t>
      </w:r>
      <w:bookmarkEnd w:id="251"/>
      <w:bookmarkEnd w:id="252"/>
    </w:p>
    <w:p w:rsidR="00DC0AF4" w:rsidRDefault="00313AC1" w:rsidP="00646E85">
      <w:pPr>
        <w:pStyle w:val="GG-body"/>
        <w:numPr>
          <w:ilvl w:val="1"/>
          <w:numId w:val="26"/>
        </w:numPr>
      </w:pPr>
      <w:r w:rsidRPr="00B11BB9">
        <w:t xml:space="preserve">If you have an enquiry or complaint relating to our </w:t>
      </w:r>
      <w:r w:rsidRPr="00B11BB9">
        <w:rPr>
          <w:b/>
        </w:rPr>
        <w:t>retail services</w:t>
      </w:r>
      <w:r w:rsidRPr="00B11BB9">
        <w:t xml:space="preserve"> or related matter, you can contact us on 1300 053 212.</w:t>
      </w:r>
    </w:p>
    <w:p w:rsidR="00DC0AF4" w:rsidRDefault="00313AC1" w:rsidP="00646E85">
      <w:pPr>
        <w:pStyle w:val="GG-body"/>
        <w:numPr>
          <w:ilvl w:val="1"/>
          <w:numId w:val="26"/>
        </w:numPr>
      </w:pPr>
      <w:r w:rsidRPr="00B11BB9">
        <w:t xml:space="preserve">You may make a complaint to us regarding our services or compliance with this </w:t>
      </w:r>
      <w:r w:rsidRPr="00B11BB9">
        <w:rPr>
          <w:b/>
        </w:rPr>
        <w:t>contract</w:t>
      </w:r>
      <w:r w:rsidRPr="00B11BB9">
        <w:t>. We will address your complaint in the manner set out in our procedures for the management and resolution of customer enquiries and disputes. For further information regarding this process please refer to our website.</w:t>
      </w:r>
    </w:p>
    <w:p w:rsidR="00DC0AF4" w:rsidRDefault="00313AC1" w:rsidP="00646E85">
      <w:pPr>
        <w:pStyle w:val="GG-body"/>
        <w:numPr>
          <w:ilvl w:val="1"/>
          <w:numId w:val="26"/>
        </w:numPr>
      </w:pPr>
      <w:r w:rsidRPr="00B11BB9">
        <w:t>If you are not satisfied with the solution offered or action taken by us in response to your complaint you may have the complaint reviewed by one of our senior managers under our procedures for the management and resolution of customer enquiries and disputes.</w:t>
      </w:r>
    </w:p>
    <w:p w:rsidR="00313AC1" w:rsidRPr="00B11BB9" w:rsidRDefault="00313AC1" w:rsidP="00646E85">
      <w:pPr>
        <w:pStyle w:val="GG-body"/>
        <w:numPr>
          <w:ilvl w:val="1"/>
          <w:numId w:val="26"/>
        </w:numPr>
      </w:pPr>
      <w:r w:rsidRPr="00B11BB9">
        <w:t xml:space="preserve">If you are not satisfied with the outcome of our internal dispute resolution process you may refer the matter the </w:t>
      </w:r>
      <w:r w:rsidRPr="00B11BB9">
        <w:rPr>
          <w:b/>
        </w:rPr>
        <w:t>Energy &amp; Water Ombudsman</w:t>
      </w:r>
      <w:r w:rsidRPr="00B11BB9">
        <w:t xml:space="preserve"> </w:t>
      </w:r>
      <w:r w:rsidRPr="00B11BB9">
        <w:rPr>
          <w:b/>
        </w:rPr>
        <w:t xml:space="preserve">South Australia </w:t>
      </w:r>
      <w:r w:rsidRPr="00B11BB9">
        <w:t>(if we are a participant in that scheme) for external dispute resolution.</w:t>
      </w:r>
    </w:p>
    <w:p w:rsidR="00313AC1" w:rsidRPr="00B11BB9" w:rsidRDefault="00313AC1" w:rsidP="00646E85">
      <w:pPr>
        <w:pStyle w:val="GG-body"/>
        <w:numPr>
          <w:ilvl w:val="0"/>
          <w:numId w:val="26"/>
        </w:numPr>
        <w:rPr>
          <w:b/>
        </w:rPr>
      </w:pPr>
      <w:bookmarkStart w:id="254" w:name="_Toc12293626"/>
      <w:r w:rsidRPr="00B11BB9">
        <w:rPr>
          <w:b/>
        </w:rPr>
        <w:t>RIGHT TO ENTER</w:t>
      </w:r>
      <w:bookmarkEnd w:id="254"/>
    </w:p>
    <w:p w:rsidR="00313AC1" w:rsidRPr="00B11BB9" w:rsidRDefault="00313AC1" w:rsidP="00646E85">
      <w:pPr>
        <w:pStyle w:val="GG-body"/>
        <w:numPr>
          <w:ilvl w:val="1"/>
          <w:numId w:val="26"/>
        </w:numPr>
      </w:pPr>
      <w:r w:rsidRPr="00B11BB9">
        <w:t xml:space="preserve">In the case of an emergency or on agreement with you, we will enter your property to perform planned or unplanned maintenance to our infrastructure located at your </w:t>
      </w:r>
      <w:r w:rsidRPr="00B11BB9">
        <w:rPr>
          <w:b/>
        </w:rPr>
        <w:t>supply address</w:t>
      </w:r>
      <w:r w:rsidRPr="00B11BB9">
        <w:t xml:space="preserve">, in each case in accordance with sections 44 and 45 of the </w:t>
      </w:r>
      <w:r w:rsidRPr="00B11BB9">
        <w:rPr>
          <w:b/>
        </w:rPr>
        <w:t>Act</w:t>
      </w:r>
      <w:r w:rsidRPr="00B11BB9">
        <w:t>.</w:t>
      </w:r>
    </w:p>
    <w:p w:rsidR="00313AC1" w:rsidRPr="00B11BB9" w:rsidRDefault="00313AC1" w:rsidP="00646E85">
      <w:pPr>
        <w:pStyle w:val="GG-body"/>
        <w:numPr>
          <w:ilvl w:val="0"/>
          <w:numId w:val="26"/>
        </w:numPr>
        <w:rPr>
          <w:b/>
        </w:rPr>
      </w:pPr>
      <w:bookmarkStart w:id="255" w:name="_Toc12293627"/>
      <w:r w:rsidRPr="00B11BB9">
        <w:rPr>
          <w:b/>
        </w:rPr>
        <w:t>FORCE MAJEURE</w:t>
      </w:r>
      <w:bookmarkEnd w:id="255"/>
    </w:p>
    <w:p w:rsidR="00313AC1" w:rsidRPr="00B11BB9" w:rsidRDefault="00313AC1" w:rsidP="00646E85">
      <w:pPr>
        <w:pStyle w:val="GG-body"/>
        <w:numPr>
          <w:ilvl w:val="1"/>
          <w:numId w:val="26"/>
        </w:numPr>
        <w:rPr>
          <w:b/>
        </w:rPr>
      </w:pPr>
      <w:r w:rsidRPr="00B11BB9">
        <w:t xml:space="preserve">If, but for this clause, either party would breach this </w:t>
      </w:r>
      <w:r w:rsidRPr="00B11BB9">
        <w:rPr>
          <w:b/>
        </w:rPr>
        <w:t>contract</w:t>
      </w:r>
      <w:r w:rsidRPr="00B11BB9">
        <w:t xml:space="preserve"> due to the occurrence of a </w:t>
      </w:r>
      <w:r w:rsidRPr="00B11BB9">
        <w:rPr>
          <w:b/>
        </w:rPr>
        <w:t>force majeure event</w:t>
      </w:r>
      <w:r w:rsidRPr="00B11BB9">
        <w:t>:</w:t>
      </w:r>
    </w:p>
    <w:p w:rsidR="00313AC1" w:rsidRPr="00B11BB9" w:rsidRDefault="00313AC1" w:rsidP="00646E85">
      <w:pPr>
        <w:pStyle w:val="GG-body"/>
        <w:numPr>
          <w:ilvl w:val="2"/>
          <w:numId w:val="67"/>
        </w:numPr>
        <w:rPr>
          <w:b/>
        </w:rPr>
      </w:pPr>
      <w:r w:rsidRPr="00B11BB9">
        <w:t xml:space="preserve">the obligations of the party under this </w:t>
      </w:r>
      <w:r w:rsidRPr="00B11BB9">
        <w:rPr>
          <w:b/>
        </w:rPr>
        <w:t>contract</w:t>
      </w:r>
      <w:r w:rsidRPr="00B11BB9">
        <w:t xml:space="preserve">, other than an obligation to pay money, are suspended to the extent to which they are affected by the </w:t>
      </w:r>
      <w:r w:rsidRPr="00B11BB9">
        <w:rPr>
          <w:b/>
        </w:rPr>
        <w:t>force majeure event</w:t>
      </w:r>
      <w:r w:rsidRPr="00B11BB9">
        <w:t xml:space="preserve"> for so long as the </w:t>
      </w:r>
      <w:r w:rsidRPr="00B11BB9">
        <w:rPr>
          <w:b/>
        </w:rPr>
        <w:t>force majeure event</w:t>
      </w:r>
      <w:r w:rsidRPr="00B11BB9">
        <w:t xml:space="preserve"> continues; and</w:t>
      </w:r>
    </w:p>
    <w:p w:rsidR="00313AC1" w:rsidRPr="00B11BB9" w:rsidRDefault="00313AC1" w:rsidP="00646E85">
      <w:pPr>
        <w:pStyle w:val="GG-body"/>
        <w:numPr>
          <w:ilvl w:val="2"/>
          <w:numId w:val="67"/>
        </w:numPr>
        <w:rPr>
          <w:b/>
        </w:rPr>
      </w:pPr>
      <w:r w:rsidRPr="00B11BB9">
        <w:t xml:space="preserve">the affected party must use its </w:t>
      </w:r>
      <w:r w:rsidRPr="00B11BB9">
        <w:rPr>
          <w:b/>
          <w:bCs/>
          <w:iCs/>
        </w:rPr>
        <w:t>best endeavours</w:t>
      </w:r>
      <w:r w:rsidRPr="00B11BB9">
        <w:t xml:space="preserve"> to give the other party prompt notice of that fact including full particulars of the </w:t>
      </w:r>
      <w:r w:rsidRPr="00B11BB9">
        <w:rPr>
          <w:b/>
        </w:rPr>
        <w:t>force majeure event</w:t>
      </w:r>
      <w:r w:rsidRPr="00B11BB9">
        <w:t>, an estimate of its likely duration, the obligations affected by it and the extent of its effects on those obligations and the steps taken to remove, overcome or minimise those effects.</w:t>
      </w:r>
    </w:p>
    <w:p w:rsidR="00313AC1" w:rsidRPr="00B11BB9" w:rsidRDefault="00313AC1" w:rsidP="00646E85">
      <w:pPr>
        <w:pStyle w:val="GG-body"/>
        <w:numPr>
          <w:ilvl w:val="1"/>
          <w:numId w:val="26"/>
        </w:numPr>
        <w:rPr>
          <w:b/>
        </w:rPr>
      </w:pPr>
      <w:r w:rsidRPr="00B11BB9">
        <w:t xml:space="preserve">For the purposes of this clause, if the effects of a </w:t>
      </w:r>
      <w:r w:rsidRPr="00B11BB9">
        <w:rPr>
          <w:b/>
        </w:rPr>
        <w:t>force majeure event</w:t>
      </w:r>
      <w:r w:rsidRPr="00B11BB9">
        <w:t xml:space="preserve"> are widespread we will be deemed to have given you prompt notice if we make the necessary information available by way of a 24 hour telephone service within 30 minutes of being advised of the </w:t>
      </w:r>
      <w:r w:rsidRPr="00B11BB9">
        <w:rPr>
          <w:b/>
        </w:rPr>
        <w:t>force majeure event</w:t>
      </w:r>
      <w:r w:rsidRPr="00B11BB9">
        <w:t xml:space="preserve"> or otherwise as soon as practicable.</w:t>
      </w:r>
    </w:p>
    <w:p w:rsidR="00313AC1" w:rsidRPr="00B11BB9" w:rsidRDefault="00313AC1" w:rsidP="00646E85">
      <w:pPr>
        <w:pStyle w:val="GG-body"/>
        <w:numPr>
          <w:ilvl w:val="1"/>
          <w:numId w:val="26"/>
        </w:numPr>
        <w:rPr>
          <w:b/>
        </w:rPr>
      </w:pPr>
      <w:r w:rsidRPr="00B11BB9">
        <w:t xml:space="preserve">Either party relying on this clause by claiming a </w:t>
      </w:r>
      <w:r w:rsidRPr="00B11BB9">
        <w:rPr>
          <w:b/>
        </w:rPr>
        <w:t>force majeure event</w:t>
      </w:r>
      <w:r w:rsidRPr="00B11BB9">
        <w:t xml:space="preserve"> must use its </w:t>
      </w:r>
      <w:r w:rsidRPr="00B11BB9">
        <w:rPr>
          <w:b/>
        </w:rPr>
        <w:t>best endeavours</w:t>
      </w:r>
      <w:r w:rsidRPr="00B11BB9">
        <w:t xml:space="preserve"> to remove, overcome or minimise the effects of that </w:t>
      </w:r>
      <w:r w:rsidRPr="00B11BB9">
        <w:rPr>
          <w:b/>
        </w:rPr>
        <w:t>force majeure event</w:t>
      </w:r>
      <w:r w:rsidRPr="00B11BB9">
        <w:t xml:space="preserve"> as quickly as practicable.</w:t>
      </w:r>
    </w:p>
    <w:p w:rsidR="00313AC1" w:rsidRPr="00B11BB9" w:rsidRDefault="00313AC1" w:rsidP="00646E85">
      <w:pPr>
        <w:pStyle w:val="GG-body"/>
        <w:numPr>
          <w:ilvl w:val="1"/>
          <w:numId w:val="26"/>
        </w:numPr>
        <w:rPr>
          <w:b/>
        </w:rPr>
      </w:pPr>
      <w:r w:rsidRPr="00B11BB9">
        <w:t xml:space="preserve">Nothing in this clause will require a party to settle an industrial dispute which constitutes a </w:t>
      </w:r>
      <w:r w:rsidRPr="00B11BB9">
        <w:rPr>
          <w:b/>
        </w:rPr>
        <w:t>force majeure event</w:t>
      </w:r>
      <w:r w:rsidRPr="00B11BB9">
        <w:t xml:space="preserve"> in any manner other than the manner preferred by that party.</w:t>
      </w:r>
    </w:p>
    <w:p w:rsidR="00313AC1" w:rsidRPr="00B11BB9" w:rsidRDefault="00313AC1" w:rsidP="00646E85">
      <w:pPr>
        <w:pStyle w:val="GG-body"/>
        <w:numPr>
          <w:ilvl w:val="0"/>
          <w:numId w:val="26"/>
        </w:numPr>
        <w:rPr>
          <w:b/>
        </w:rPr>
      </w:pPr>
      <w:bookmarkStart w:id="256" w:name="_Ref381175147"/>
      <w:bookmarkStart w:id="257" w:name="_Toc12293628"/>
      <w:r w:rsidRPr="00B11BB9">
        <w:rPr>
          <w:b/>
        </w:rPr>
        <w:t>INFORMATION AND PRIVACY</w:t>
      </w:r>
      <w:bookmarkEnd w:id="253"/>
      <w:bookmarkEnd w:id="256"/>
      <w:bookmarkEnd w:id="257"/>
    </w:p>
    <w:p w:rsidR="00DC0AF4" w:rsidRDefault="00313AC1" w:rsidP="00646E85">
      <w:pPr>
        <w:pStyle w:val="GG-body"/>
        <w:numPr>
          <w:ilvl w:val="1"/>
          <w:numId w:val="26"/>
        </w:numPr>
      </w:pPr>
      <w:r w:rsidRPr="00B11BB9">
        <w:t>We will keep your personal information confidential in accordance with applicable laws and our privacy policy.</w:t>
      </w:r>
    </w:p>
    <w:p w:rsidR="00313AC1" w:rsidRPr="00B11BB9" w:rsidRDefault="00313AC1" w:rsidP="00646E85">
      <w:pPr>
        <w:pStyle w:val="GG-body"/>
        <w:numPr>
          <w:ilvl w:val="1"/>
          <w:numId w:val="26"/>
        </w:numPr>
      </w:pPr>
      <w:r w:rsidRPr="00B11BB9">
        <w:t>We will also provide any relevant information to authorities in the event that you are under investigation for illegal use of our services or of any other crime.</w:t>
      </w:r>
    </w:p>
    <w:p w:rsidR="00313AC1" w:rsidRPr="00B11BB9" w:rsidRDefault="00313AC1" w:rsidP="00646E85">
      <w:pPr>
        <w:pStyle w:val="GG-body"/>
        <w:numPr>
          <w:ilvl w:val="1"/>
          <w:numId w:val="26"/>
        </w:numPr>
      </w:pPr>
      <w:r w:rsidRPr="00B11BB9">
        <w:t xml:space="preserve">By accepting a </w:t>
      </w:r>
      <w:r w:rsidRPr="00B11BB9">
        <w:rPr>
          <w:b/>
        </w:rPr>
        <w:t>retail service</w:t>
      </w:r>
      <w:r w:rsidRPr="00B11BB9">
        <w:t xml:space="preserve"> under this </w:t>
      </w:r>
      <w:r w:rsidRPr="00B11BB9">
        <w:rPr>
          <w:b/>
        </w:rPr>
        <w:t>contract</w:t>
      </w:r>
      <w:r w:rsidRPr="00B11BB9">
        <w:t xml:space="preserve"> you are agreeing to the release of billing data to a tenant of your </w:t>
      </w:r>
      <w:r w:rsidRPr="00B11BB9">
        <w:rPr>
          <w:b/>
        </w:rPr>
        <w:t>supply address</w:t>
      </w:r>
      <w:r w:rsidRPr="00B11BB9">
        <w:t xml:space="preserve">, in accordance with processes approved by </w:t>
      </w:r>
      <w:r w:rsidRPr="00B11BB9">
        <w:rPr>
          <w:b/>
        </w:rPr>
        <w:t>ESCOSA</w:t>
      </w:r>
      <w:r w:rsidRPr="00B11BB9">
        <w:t xml:space="preserve"> from time to time.</w:t>
      </w:r>
    </w:p>
    <w:p w:rsidR="00313AC1" w:rsidRPr="00B11BB9" w:rsidRDefault="00313AC1" w:rsidP="00646E85">
      <w:pPr>
        <w:pStyle w:val="GG-body"/>
        <w:numPr>
          <w:ilvl w:val="0"/>
          <w:numId w:val="26"/>
        </w:numPr>
        <w:rPr>
          <w:b/>
        </w:rPr>
      </w:pPr>
      <w:bookmarkStart w:id="258" w:name="_Toc379898750"/>
      <w:bookmarkStart w:id="259" w:name="_Ref381175150"/>
      <w:bookmarkStart w:id="260" w:name="_Toc12293629"/>
      <w:r w:rsidRPr="00B11BB9">
        <w:rPr>
          <w:b/>
        </w:rPr>
        <w:t>GENERAL</w:t>
      </w:r>
      <w:bookmarkEnd w:id="258"/>
      <w:bookmarkEnd w:id="259"/>
      <w:bookmarkEnd w:id="260"/>
    </w:p>
    <w:p w:rsidR="00313AC1" w:rsidRPr="00B11BB9" w:rsidRDefault="00313AC1" w:rsidP="00646E85">
      <w:pPr>
        <w:pStyle w:val="GG-body"/>
        <w:numPr>
          <w:ilvl w:val="1"/>
          <w:numId w:val="26"/>
        </w:numPr>
      </w:pPr>
      <w:r w:rsidRPr="00B11BB9">
        <w:t>Applicable law</w:t>
      </w:r>
    </w:p>
    <w:p w:rsidR="00313AC1" w:rsidRPr="00B11BB9" w:rsidRDefault="00313AC1" w:rsidP="00A53914">
      <w:pPr>
        <w:pStyle w:val="GG-body"/>
        <w:ind w:left="1134"/>
      </w:pPr>
      <w:r w:rsidRPr="00B11BB9">
        <w:t xml:space="preserve">The laws in force in the State of South Australia govern this </w:t>
      </w:r>
      <w:r w:rsidRPr="00B11BB9">
        <w:rPr>
          <w:b/>
        </w:rPr>
        <w:t>contract</w:t>
      </w:r>
      <w:r w:rsidRPr="00B11BB9">
        <w:t>.</w:t>
      </w:r>
    </w:p>
    <w:p w:rsidR="00313AC1" w:rsidRPr="00B11BB9" w:rsidRDefault="00313AC1" w:rsidP="00646E85">
      <w:pPr>
        <w:pStyle w:val="GG-body"/>
        <w:numPr>
          <w:ilvl w:val="1"/>
          <w:numId w:val="26"/>
        </w:numPr>
      </w:pPr>
      <w:r w:rsidRPr="00B11BB9">
        <w:t>Referral of Our Obligations</w:t>
      </w:r>
    </w:p>
    <w:p w:rsidR="00313AC1" w:rsidRPr="00B11BB9" w:rsidRDefault="00313AC1" w:rsidP="00A53914">
      <w:pPr>
        <w:pStyle w:val="GG-body"/>
        <w:ind w:left="1134"/>
      </w:pPr>
      <w:r w:rsidRPr="00B11BB9">
        <w:t xml:space="preserve">Some obligations placed on us under this </w:t>
      </w:r>
      <w:r w:rsidRPr="00B11BB9">
        <w:rPr>
          <w:b/>
        </w:rPr>
        <w:t>contract</w:t>
      </w:r>
      <w:r w:rsidRPr="00B11BB9">
        <w:t xml:space="preserve"> may be carried out by others engaged by us to perform the obligations on our behalf.</w:t>
      </w:r>
    </w:p>
    <w:p w:rsidR="00313AC1" w:rsidRPr="00B11BB9" w:rsidRDefault="00313AC1" w:rsidP="00646E85">
      <w:pPr>
        <w:pStyle w:val="GG-body"/>
        <w:numPr>
          <w:ilvl w:val="1"/>
          <w:numId w:val="26"/>
        </w:numPr>
      </w:pPr>
      <w:r w:rsidRPr="00B11BB9">
        <w:t>Amending the contract</w:t>
      </w:r>
    </w:p>
    <w:p w:rsidR="00313AC1" w:rsidRPr="00B11BB9" w:rsidRDefault="00313AC1" w:rsidP="00A53914">
      <w:pPr>
        <w:pStyle w:val="GG-body"/>
        <w:ind w:left="1134"/>
      </w:pPr>
      <w:r w:rsidRPr="00B11BB9">
        <w:t xml:space="preserve">This </w:t>
      </w:r>
      <w:r w:rsidRPr="00B11BB9">
        <w:rPr>
          <w:b/>
        </w:rPr>
        <w:t>contract</w:t>
      </w:r>
      <w:r w:rsidRPr="00B11BB9">
        <w:t xml:space="preserve"> may only be amended in accordance with the </w:t>
      </w:r>
      <w:r w:rsidRPr="00B11BB9">
        <w:rPr>
          <w:b/>
        </w:rPr>
        <w:t>Code</w:t>
      </w:r>
      <w:r w:rsidRPr="00B11BB9">
        <w:t xml:space="preserve">. We will publish any amendments to this </w:t>
      </w:r>
      <w:r w:rsidRPr="00B11BB9">
        <w:rPr>
          <w:b/>
        </w:rPr>
        <w:t>contract</w:t>
      </w:r>
      <w:r w:rsidRPr="00B11BB9">
        <w:t xml:space="preserve"> on our website.</w:t>
      </w:r>
    </w:p>
    <w:p w:rsidR="00313AC1" w:rsidRPr="00B11BB9" w:rsidRDefault="00313AC1" w:rsidP="00646E85">
      <w:pPr>
        <w:pStyle w:val="GG-body"/>
        <w:numPr>
          <w:ilvl w:val="1"/>
          <w:numId w:val="26"/>
        </w:numPr>
      </w:pPr>
      <w:r w:rsidRPr="00B11BB9">
        <w:t>The Code</w:t>
      </w:r>
    </w:p>
    <w:p w:rsidR="00313AC1" w:rsidRDefault="00313AC1" w:rsidP="00A53914">
      <w:pPr>
        <w:pStyle w:val="GG-body"/>
        <w:ind w:left="1134"/>
      </w:pPr>
      <w:r w:rsidRPr="00B11BB9">
        <w:t xml:space="preserve">If the </w:t>
      </w:r>
      <w:r w:rsidRPr="00B11BB9">
        <w:rPr>
          <w:b/>
        </w:rPr>
        <w:t>Code</w:t>
      </w:r>
      <w:r w:rsidRPr="00B11BB9">
        <w:t xml:space="preserve"> grants us a right which may be included in this </w:t>
      </w:r>
      <w:r w:rsidRPr="00B11BB9">
        <w:rPr>
          <w:b/>
        </w:rPr>
        <w:t>contract</w:t>
      </w:r>
      <w:r w:rsidRPr="00B11BB9">
        <w:t xml:space="preserve">, our rights under this </w:t>
      </w:r>
      <w:r w:rsidRPr="00B11BB9">
        <w:rPr>
          <w:b/>
        </w:rPr>
        <w:t>contract</w:t>
      </w:r>
      <w:r w:rsidRPr="00B11BB9">
        <w:t xml:space="preserve"> are deemed to include such a right.</w:t>
      </w:r>
    </w:p>
    <w:p w:rsidR="00313AC1" w:rsidRDefault="00313AC1" w:rsidP="00313AC1">
      <w:pPr>
        <w:pStyle w:val="GG-body"/>
        <w:pBdr>
          <w:top w:val="single" w:sz="4" w:space="1" w:color="auto"/>
        </w:pBdr>
        <w:spacing w:before="100" w:line="14" w:lineRule="exact"/>
        <w:ind w:left="1080" w:right="1080"/>
        <w:jc w:val="center"/>
      </w:pPr>
    </w:p>
    <w:p w:rsidR="00313AC1" w:rsidRPr="00B11BB9" w:rsidRDefault="00313AC1" w:rsidP="00313AC1">
      <w:pPr>
        <w:pStyle w:val="GG-Title2"/>
      </w:pPr>
      <w:bookmarkStart w:id="261" w:name="_Toc12293630"/>
      <w:r w:rsidRPr="00B11BB9">
        <w:t>Schedule 1</w:t>
      </w:r>
      <w:r w:rsidR="004E4088">
        <w:t>—</w:t>
      </w:r>
      <w:r w:rsidRPr="00B11BB9">
        <w:t>Definitions</w:t>
      </w:r>
      <w:bookmarkEnd w:id="261"/>
      <w:r w:rsidRPr="00B11BB9">
        <w:t xml:space="preserve"> </w:t>
      </w:r>
    </w:p>
    <w:p w:rsidR="00313AC1" w:rsidRPr="00B11BB9" w:rsidRDefault="00313AC1" w:rsidP="00313AC1">
      <w:pPr>
        <w:pStyle w:val="GG-body"/>
      </w:pPr>
      <w:r w:rsidRPr="00B11BB9">
        <w:t>The following words have the attributed meaning for the purposes of this contract.</w:t>
      </w:r>
    </w:p>
    <w:tbl>
      <w:tblPr>
        <w:tblW w:w="0" w:type="auto"/>
        <w:jc w:val="center"/>
        <w:tblLayout w:type="fixed"/>
        <w:tblLook w:val="04A0" w:firstRow="1" w:lastRow="0" w:firstColumn="1" w:lastColumn="0" w:noHBand="0" w:noVBand="1"/>
      </w:tblPr>
      <w:tblGrid>
        <w:gridCol w:w="2506"/>
        <w:gridCol w:w="6708"/>
      </w:tblGrid>
      <w:tr w:rsidR="00313AC1" w:rsidRPr="00B11BB9" w:rsidTr="00491D21">
        <w:trPr>
          <w:trHeight w:val="20"/>
          <w:jc w:val="center"/>
        </w:trPr>
        <w:tc>
          <w:tcPr>
            <w:tcW w:w="2506" w:type="dxa"/>
            <w:hideMark/>
          </w:tcPr>
          <w:p w:rsidR="00313AC1" w:rsidRPr="00B11BB9" w:rsidRDefault="00313AC1" w:rsidP="00491D21">
            <w:pPr>
              <w:pStyle w:val="GG-body"/>
            </w:pPr>
            <w:r w:rsidRPr="00B11BB9">
              <w:t>Act</w:t>
            </w:r>
          </w:p>
        </w:tc>
        <w:tc>
          <w:tcPr>
            <w:tcW w:w="6708" w:type="dxa"/>
            <w:hideMark/>
          </w:tcPr>
          <w:p w:rsidR="00313AC1" w:rsidRPr="00B11BB9" w:rsidRDefault="00313AC1" w:rsidP="00491D21">
            <w:pPr>
              <w:pStyle w:val="GG-body"/>
            </w:pPr>
            <w:r w:rsidRPr="00B11BB9">
              <w:t xml:space="preserve">means the </w:t>
            </w:r>
            <w:r w:rsidRPr="00B11BB9">
              <w:rPr>
                <w:i/>
                <w:iCs/>
              </w:rPr>
              <w:t>Water Industry Act 2012 (SA</w:t>
            </w:r>
            <w:r w:rsidRPr="00B11BB9">
              <w:t xml:space="preserve">) as amended from time to time. </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applicable regulatory instruments</w:t>
            </w:r>
          </w:p>
        </w:tc>
        <w:tc>
          <w:tcPr>
            <w:tcW w:w="6708" w:type="dxa"/>
            <w:hideMark/>
          </w:tcPr>
          <w:p w:rsidR="00313AC1" w:rsidRPr="00B11BB9" w:rsidRDefault="00313AC1" w:rsidP="00491D21">
            <w:pPr>
              <w:pStyle w:val="GG-body"/>
              <w:jc w:val="left"/>
            </w:pPr>
            <w:r w:rsidRPr="00B11BB9">
              <w:t xml:space="preserve">means any Act (including without limitation, the </w:t>
            </w:r>
            <w:r w:rsidRPr="00B11BB9">
              <w:rPr>
                <w:b/>
              </w:rPr>
              <w:t>Act</w:t>
            </w:r>
            <w:r w:rsidRPr="00B11BB9">
              <w:t xml:space="preserve">) or regulatory instrument made under an Act (including without limitation, the </w:t>
            </w:r>
            <w:r w:rsidRPr="00B11BB9">
              <w:rPr>
                <w:b/>
              </w:rPr>
              <w:t>Regulations</w:t>
            </w:r>
            <w:r w:rsidRPr="00B11BB9">
              <w:t xml:space="preserve">), or the </w:t>
            </w:r>
            <w:r w:rsidRPr="00B11BB9">
              <w:rPr>
                <w:b/>
              </w:rPr>
              <w:t>Code</w:t>
            </w:r>
            <w:r w:rsidRPr="00B11BB9">
              <w:t xml:space="preserve"> or any other industry code, guideline, or other regulatory instrument issued by </w:t>
            </w:r>
            <w:r w:rsidRPr="00B11BB9">
              <w:rPr>
                <w:b/>
              </w:rPr>
              <w:t>ESCOSA</w:t>
            </w:r>
            <w:r w:rsidRPr="00B11BB9">
              <w:t xml:space="preserve"> which applies to us.</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ADI</w:t>
            </w:r>
          </w:p>
        </w:tc>
        <w:tc>
          <w:tcPr>
            <w:tcW w:w="6708" w:type="dxa"/>
            <w:hideMark/>
          </w:tcPr>
          <w:p w:rsidR="00313AC1" w:rsidRPr="00B11BB9" w:rsidRDefault="00313AC1" w:rsidP="00491D21">
            <w:pPr>
              <w:pStyle w:val="GG-body"/>
              <w:jc w:val="left"/>
            </w:pPr>
            <w:r w:rsidRPr="00B11BB9">
              <w:t xml:space="preserve">means an authorised deposit taking institution within the meaning of the </w:t>
            </w:r>
            <w:r w:rsidRPr="00B11BB9">
              <w:rPr>
                <w:i/>
                <w:iCs/>
              </w:rPr>
              <w:t xml:space="preserve">Banking Act 1959 (Cth) </w:t>
            </w:r>
            <w:r w:rsidRPr="00B11BB9">
              <w:t xml:space="preserve">as defined in section 4 of the </w:t>
            </w:r>
            <w:r w:rsidRPr="00B11BB9">
              <w:rPr>
                <w:i/>
                <w:iCs/>
              </w:rPr>
              <w:t>Acts Interpretation Act 1915 (SA).</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availability charge</w:t>
            </w:r>
          </w:p>
        </w:tc>
        <w:tc>
          <w:tcPr>
            <w:tcW w:w="6708" w:type="dxa"/>
            <w:hideMark/>
          </w:tcPr>
          <w:p w:rsidR="00313AC1" w:rsidRPr="00B11BB9" w:rsidRDefault="00313AC1" w:rsidP="00491D21">
            <w:pPr>
              <w:pStyle w:val="GG-body"/>
              <w:jc w:val="left"/>
            </w:pPr>
            <w:r w:rsidRPr="00B11BB9">
              <w:t xml:space="preserve">a charge for the availability of a service (rather than the use of it). </w:t>
            </w:r>
            <w:r w:rsidRPr="00B11BB9">
              <w:rPr>
                <w:i/>
              </w:rPr>
              <w:t>The Local Government Act 1999/Roxby Downs Indenture Ratification Act 1982</w:t>
            </w:r>
            <w:r w:rsidRPr="00B11BB9">
              <w:t xml:space="preserve"> allows us to recover this availability charge from you where our water infrastructure runs adjacent to your property.</w:t>
            </w:r>
          </w:p>
        </w:tc>
      </w:tr>
    </w:tbl>
    <w:p w:rsidR="000D44E7" w:rsidRDefault="000D44E7">
      <w:r>
        <w:br w:type="page"/>
      </w:r>
    </w:p>
    <w:tbl>
      <w:tblPr>
        <w:tblW w:w="0" w:type="auto"/>
        <w:jc w:val="center"/>
        <w:tblLayout w:type="fixed"/>
        <w:tblLook w:val="04A0" w:firstRow="1" w:lastRow="0" w:firstColumn="1" w:lastColumn="0" w:noHBand="0" w:noVBand="1"/>
      </w:tblPr>
      <w:tblGrid>
        <w:gridCol w:w="2506"/>
        <w:gridCol w:w="6708"/>
      </w:tblGrid>
      <w:tr w:rsidR="00313AC1" w:rsidRPr="00B11BB9" w:rsidTr="00491D21">
        <w:trPr>
          <w:trHeight w:val="20"/>
          <w:jc w:val="center"/>
        </w:trPr>
        <w:tc>
          <w:tcPr>
            <w:tcW w:w="2506" w:type="dxa"/>
            <w:hideMark/>
          </w:tcPr>
          <w:p w:rsidR="00313AC1" w:rsidRPr="00B11BB9" w:rsidRDefault="00313AC1" w:rsidP="00491D21">
            <w:pPr>
              <w:pStyle w:val="GG-body"/>
              <w:jc w:val="left"/>
            </w:pPr>
            <w:r w:rsidRPr="00B11BB9">
              <w:lastRenderedPageBreak/>
              <w:t>best endeavours</w:t>
            </w:r>
          </w:p>
        </w:tc>
        <w:tc>
          <w:tcPr>
            <w:tcW w:w="6708" w:type="dxa"/>
            <w:hideMark/>
          </w:tcPr>
          <w:p w:rsidR="00313AC1" w:rsidRPr="00B11BB9" w:rsidRDefault="00313AC1" w:rsidP="00491D21">
            <w:pPr>
              <w:pStyle w:val="GG-body"/>
              <w:jc w:val="left"/>
            </w:pPr>
            <w:r w:rsidRPr="00B11BB9">
              <w:t>means to act in good faith and use all reasonable efforts, skill and resources.</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business day</w:t>
            </w:r>
          </w:p>
        </w:tc>
        <w:tc>
          <w:tcPr>
            <w:tcW w:w="6708" w:type="dxa"/>
            <w:hideMark/>
          </w:tcPr>
          <w:p w:rsidR="00313AC1" w:rsidRPr="00B11BB9" w:rsidRDefault="00313AC1" w:rsidP="00491D21">
            <w:pPr>
              <w:pStyle w:val="GG-body"/>
              <w:jc w:val="left"/>
            </w:pPr>
            <w:r w:rsidRPr="00B11BB9">
              <w:t>means a day that is not a Saturday, a Sunday or a public holiday in the State of South Australia.</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Centrepay</w:t>
            </w:r>
          </w:p>
        </w:tc>
        <w:tc>
          <w:tcPr>
            <w:tcW w:w="6708" w:type="dxa"/>
            <w:hideMark/>
          </w:tcPr>
          <w:p w:rsidR="00313AC1" w:rsidRPr="00B11BB9" w:rsidRDefault="00313AC1" w:rsidP="00491D21">
            <w:pPr>
              <w:pStyle w:val="GG-body"/>
              <w:jc w:val="left"/>
            </w:pPr>
            <w:r w:rsidRPr="00B11BB9">
              <w:t xml:space="preserve">a free service for </w:t>
            </w:r>
            <w:r w:rsidRPr="00B11BB9">
              <w:rPr>
                <w:b/>
              </w:rPr>
              <w:t>customers</w:t>
            </w:r>
            <w:r w:rsidRPr="00B11BB9">
              <w:t xml:space="preserve"> whereby bills may be paid as regular deductions from the </w:t>
            </w:r>
            <w:r w:rsidRPr="00B11BB9">
              <w:rPr>
                <w:b/>
              </w:rPr>
              <w:t>customer’s</w:t>
            </w:r>
            <w:r w:rsidRPr="00B11BB9">
              <w:t xml:space="preserve"> government welfare payments.</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Code</w:t>
            </w:r>
          </w:p>
        </w:tc>
        <w:tc>
          <w:tcPr>
            <w:tcW w:w="6708" w:type="dxa"/>
            <w:hideMark/>
          </w:tcPr>
          <w:p w:rsidR="00313AC1" w:rsidRPr="00B11BB9" w:rsidRDefault="00313AC1" w:rsidP="00491D21">
            <w:pPr>
              <w:pStyle w:val="GG-body"/>
              <w:jc w:val="left"/>
            </w:pPr>
            <w:r w:rsidRPr="00B11BB9">
              <w:t>means the Water Retail Code</w:t>
            </w:r>
            <w:r w:rsidR="004E4088">
              <w:t>—</w:t>
            </w:r>
            <w:r w:rsidRPr="00B11BB9">
              <w:t xml:space="preserve">Minor and Intermediate Retailers published by </w:t>
            </w:r>
            <w:r w:rsidRPr="00B11BB9">
              <w:rPr>
                <w:b/>
              </w:rPr>
              <w:t>ESCOSA</w:t>
            </w:r>
            <w:r w:rsidRPr="00B11BB9">
              <w:t xml:space="preserve"> as amended from time to time.</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connection point</w:t>
            </w:r>
          </w:p>
        </w:tc>
        <w:tc>
          <w:tcPr>
            <w:tcW w:w="6708" w:type="dxa"/>
            <w:hideMark/>
          </w:tcPr>
          <w:p w:rsidR="00313AC1" w:rsidRPr="00B11BB9" w:rsidRDefault="00313AC1" w:rsidP="00491D21">
            <w:pPr>
              <w:pStyle w:val="GG-body"/>
              <w:jc w:val="left"/>
            </w:pPr>
            <w:r w:rsidRPr="00B11BB9">
              <w:t xml:space="preserve">means, in respect of a </w:t>
            </w:r>
            <w:r w:rsidRPr="00B11BB9">
              <w:rPr>
                <w:b/>
              </w:rPr>
              <w:t>water retail service</w:t>
            </w:r>
            <w:r w:rsidRPr="00B11BB9">
              <w:t xml:space="preserve">, the outlet of the </w:t>
            </w:r>
            <w:r w:rsidRPr="00B11BB9">
              <w:rPr>
                <w:b/>
              </w:rPr>
              <w:t>meter</w:t>
            </w:r>
            <w:r w:rsidRPr="00B11BB9">
              <w:t xml:space="preserve"> at your </w:t>
            </w:r>
            <w:r w:rsidRPr="00B11BB9">
              <w:rPr>
                <w:b/>
              </w:rPr>
              <w:t>supply address</w:t>
            </w:r>
            <w:r w:rsidRPr="00B11BB9">
              <w:t xml:space="preserve"> which then connects to the </w:t>
            </w:r>
            <w:r w:rsidRPr="00B11BB9">
              <w:rPr>
                <w:b/>
              </w:rPr>
              <w:t>water reticulation network</w:t>
            </w:r>
            <w:r w:rsidRPr="00B11BB9">
              <w:t>.</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contract</w:t>
            </w:r>
          </w:p>
        </w:tc>
        <w:tc>
          <w:tcPr>
            <w:tcW w:w="6708" w:type="dxa"/>
            <w:hideMark/>
          </w:tcPr>
          <w:p w:rsidR="00313AC1" w:rsidRPr="00B11BB9" w:rsidRDefault="00313AC1" w:rsidP="00491D21">
            <w:pPr>
              <w:pStyle w:val="GG-body"/>
              <w:jc w:val="left"/>
            </w:pPr>
            <w:r w:rsidRPr="00B11BB9">
              <w:t xml:space="preserve">means this contract which has been approved by </w:t>
            </w:r>
            <w:r w:rsidRPr="00B11BB9">
              <w:rPr>
                <w:b/>
              </w:rPr>
              <w:t>ESCOSA</w:t>
            </w:r>
            <w:r w:rsidRPr="00B11BB9">
              <w:t xml:space="preserve"> under clause 2.1 of the </w:t>
            </w:r>
            <w:r w:rsidRPr="00B11BB9">
              <w:rPr>
                <w:b/>
              </w:rPr>
              <w:t>Code</w:t>
            </w:r>
            <w:r w:rsidRPr="00B11BB9">
              <w:t>.</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customer</w:t>
            </w:r>
          </w:p>
        </w:tc>
        <w:tc>
          <w:tcPr>
            <w:tcW w:w="6708" w:type="dxa"/>
            <w:hideMark/>
          </w:tcPr>
          <w:p w:rsidR="00313AC1" w:rsidRPr="00B11BB9" w:rsidRDefault="00313AC1" w:rsidP="00491D21">
            <w:pPr>
              <w:pStyle w:val="GG-body"/>
              <w:jc w:val="left"/>
            </w:pPr>
            <w:r w:rsidRPr="00B11BB9">
              <w:t xml:space="preserve">means a customer as defined under section 4 of the </w:t>
            </w:r>
            <w:r w:rsidRPr="00B11BB9">
              <w:rPr>
                <w:b/>
              </w:rPr>
              <w:t>Act</w:t>
            </w:r>
            <w:r w:rsidRPr="00B11BB9">
              <w:t>.</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domestic waste</w:t>
            </w:r>
          </w:p>
        </w:tc>
        <w:tc>
          <w:tcPr>
            <w:tcW w:w="6708" w:type="dxa"/>
            <w:hideMark/>
          </w:tcPr>
          <w:p w:rsidR="00313AC1" w:rsidRPr="00B11BB9" w:rsidRDefault="00313AC1" w:rsidP="00491D21">
            <w:pPr>
              <w:pStyle w:val="GG-body"/>
              <w:jc w:val="left"/>
            </w:pPr>
            <w:r w:rsidRPr="00B11BB9">
              <w:t xml:space="preserve">means human waste and toilet flushing </w:t>
            </w:r>
            <w:r w:rsidRPr="00B11BB9">
              <w:rPr>
                <w:b/>
              </w:rPr>
              <w:t>water</w:t>
            </w:r>
            <w:r w:rsidRPr="00B11BB9">
              <w:t xml:space="preserve">, and </w:t>
            </w:r>
            <w:r w:rsidRPr="00B11BB9">
              <w:rPr>
                <w:b/>
              </w:rPr>
              <w:t>water</w:t>
            </w:r>
            <w:r w:rsidRPr="00B11BB9">
              <w:t xml:space="preserve"> used for personal washing; and any wastewater, and substances of a kind and quantity usually contained within it, arising from the ordinary non-commercial domestic washing activities; but does not include discharges from a septic tank or any other facility for the onsite treatment or storage of domestic wastewater.</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Enquiries, Complaints and Dispute Resolution Process</w:t>
            </w:r>
          </w:p>
        </w:tc>
        <w:tc>
          <w:tcPr>
            <w:tcW w:w="6708" w:type="dxa"/>
            <w:hideMark/>
          </w:tcPr>
          <w:p w:rsidR="00313AC1" w:rsidRPr="00B11BB9" w:rsidRDefault="00313AC1" w:rsidP="00491D21">
            <w:pPr>
              <w:pStyle w:val="GG-body"/>
              <w:jc w:val="left"/>
            </w:pPr>
            <w:r w:rsidRPr="00B11BB9">
              <w:t>means our enquiries, complaints and dispute resolution process as published on our website and as may be amended from time to time.</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ESCOSA</w:t>
            </w:r>
          </w:p>
        </w:tc>
        <w:tc>
          <w:tcPr>
            <w:tcW w:w="6708" w:type="dxa"/>
            <w:hideMark/>
          </w:tcPr>
          <w:p w:rsidR="00313AC1" w:rsidRPr="00B11BB9" w:rsidRDefault="00313AC1" w:rsidP="00491D21">
            <w:pPr>
              <w:pStyle w:val="GG-body"/>
              <w:jc w:val="left"/>
            </w:pPr>
            <w:r w:rsidRPr="00B11BB9">
              <w:t xml:space="preserve">means the Essential Services Commission of South Australia, a body created under the </w:t>
            </w:r>
            <w:r w:rsidRPr="00B11BB9">
              <w:rPr>
                <w:i/>
                <w:iCs/>
              </w:rPr>
              <w:t>Essential Services Commission Act 2002 (SA).</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fees and charges</w:t>
            </w:r>
          </w:p>
        </w:tc>
        <w:tc>
          <w:tcPr>
            <w:tcW w:w="6708" w:type="dxa"/>
            <w:hideMark/>
          </w:tcPr>
          <w:p w:rsidR="00313AC1" w:rsidRPr="00B11BB9" w:rsidRDefault="00313AC1" w:rsidP="00491D21">
            <w:pPr>
              <w:pStyle w:val="GG-body"/>
              <w:jc w:val="left"/>
            </w:pPr>
            <w:r w:rsidRPr="00B11BB9">
              <w:t xml:space="preserve">means our fees and charges as specified in our </w:t>
            </w:r>
            <w:r w:rsidRPr="00B11BB9">
              <w:rPr>
                <w:b/>
              </w:rPr>
              <w:t>Price List</w:t>
            </w:r>
            <w:r w:rsidRPr="00B11BB9">
              <w:t>.</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Price List</w:t>
            </w:r>
          </w:p>
        </w:tc>
        <w:tc>
          <w:tcPr>
            <w:tcW w:w="6708" w:type="dxa"/>
            <w:hideMark/>
          </w:tcPr>
          <w:p w:rsidR="00313AC1" w:rsidRPr="00B11BB9" w:rsidRDefault="00313AC1" w:rsidP="00491D21">
            <w:pPr>
              <w:pStyle w:val="GG-body"/>
              <w:jc w:val="left"/>
            </w:pPr>
            <w:r w:rsidRPr="00B11BB9">
              <w:t>means the fees and charges schedule published by us on our website and in the Gazette as may be amended from time to time.</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financial hardship</w:t>
            </w:r>
          </w:p>
        </w:tc>
        <w:tc>
          <w:tcPr>
            <w:tcW w:w="6708" w:type="dxa"/>
            <w:hideMark/>
          </w:tcPr>
          <w:p w:rsidR="00313AC1" w:rsidRPr="00B11BB9" w:rsidRDefault="00313AC1" w:rsidP="00491D21">
            <w:pPr>
              <w:pStyle w:val="GG-body"/>
              <w:jc w:val="left"/>
            </w:pPr>
            <w:r w:rsidRPr="00B11BB9">
              <w:t xml:space="preserve">means a situation defined by reasonable assessment by us as a </w:t>
            </w:r>
            <w:r w:rsidRPr="00B11BB9">
              <w:rPr>
                <w:b/>
              </w:rPr>
              <w:t>customer</w:t>
            </w:r>
            <w:r w:rsidRPr="00B11BB9">
              <w:t xml:space="preserve"> having desire to pay an account but being absent of the means to pay the account within 3 months of the due date despite all best efforts.</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force majeure event</w:t>
            </w:r>
          </w:p>
        </w:tc>
        <w:tc>
          <w:tcPr>
            <w:tcW w:w="6708" w:type="dxa"/>
            <w:hideMark/>
          </w:tcPr>
          <w:p w:rsidR="00313AC1" w:rsidRPr="00B11BB9" w:rsidRDefault="00313AC1" w:rsidP="00491D21">
            <w:pPr>
              <w:pStyle w:val="GG-body"/>
              <w:jc w:val="left"/>
            </w:pPr>
            <w:r w:rsidRPr="00B11BB9">
              <w:t>means an event outside the control of us, the occurrence of which could not be reasonably foreseen by us, or if it could be foreseen, could not reasonably have been guarded against.</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Hardship Policy</w:t>
            </w:r>
          </w:p>
        </w:tc>
        <w:tc>
          <w:tcPr>
            <w:tcW w:w="6708" w:type="dxa"/>
            <w:hideMark/>
          </w:tcPr>
          <w:p w:rsidR="00313AC1" w:rsidRPr="00B11BB9" w:rsidRDefault="00313AC1" w:rsidP="00491D21">
            <w:pPr>
              <w:pStyle w:val="GG-body"/>
              <w:jc w:val="left"/>
            </w:pPr>
            <w:r w:rsidRPr="00B11BB9">
              <w:t xml:space="preserve">means our </w:t>
            </w:r>
            <w:r w:rsidRPr="00B11BB9">
              <w:rPr>
                <w:b/>
              </w:rPr>
              <w:t>financial hardship</w:t>
            </w:r>
            <w:r w:rsidRPr="00B11BB9">
              <w:t xml:space="preserve"> policy as published on our website and as may be amended from time to time.</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Industry Ombudsman</w:t>
            </w:r>
          </w:p>
        </w:tc>
        <w:tc>
          <w:tcPr>
            <w:tcW w:w="6708" w:type="dxa"/>
            <w:hideMark/>
          </w:tcPr>
          <w:p w:rsidR="00313AC1" w:rsidRPr="00B11BB9" w:rsidRDefault="00313AC1" w:rsidP="00491D21">
            <w:pPr>
              <w:pStyle w:val="GG-body"/>
              <w:jc w:val="left"/>
            </w:pPr>
            <w:r w:rsidRPr="00B11BB9">
              <w:t xml:space="preserve">means the industry ombudsman responsible for dealing with disputes under the </w:t>
            </w:r>
            <w:r w:rsidRPr="00B11BB9">
              <w:rPr>
                <w:b/>
              </w:rPr>
              <w:t>Act</w:t>
            </w:r>
            <w:r w:rsidRPr="00B11BB9">
              <w:t>.</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meter</w:t>
            </w:r>
          </w:p>
        </w:tc>
        <w:tc>
          <w:tcPr>
            <w:tcW w:w="6708" w:type="dxa"/>
            <w:hideMark/>
          </w:tcPr>
          <w:p w:rsidR="00313AC1" w:rsidRPr="00B11BB9" w:rsidRDefault="00313AC1" w:rsidP="00491D21">
            <w:pPr>
              <w:pStyle w:val="GG-body"/>
              <w:jc w:val="left"/>
            </w:pPr>
            <w:r w:rsidRPr="00B11BB9">
              <w:t xml:space="preserve">means the device and associated equipment owned by us used to measure the use of </w:t>
            </w:r>
            <w:r w:rsidRPr="00B11BB9">
              <w:rPr>
                <w:b/>
              </w:rPr>
              <w:t>water</w:t>
            </w:r>
            <w:r w:rsidRPr="00B11BB9">
              <w:t xml:space="preserve"> or </w:t>
            </w:r>
            <w:r w:rsidRPr="00B11BB9">
              <w:rPr>
                <w:b/>
              </w:rPr>
              <w:t>recycled water</w:t>
            </w:r>
            <w:r w:rsidRPr="00B11BB9">
              <w:t xml:space="preserve"> of a property.</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Minister</w:t>
            </w:r>
          </w:p>
        </w:tc>
        <w:tc>
          <w:tcPr>
            <w:tcW w:w="6708" w:type="dxa"/>
            <w:hideMark/>
          </w:tcPr>
          <w:p w:rsidR="00313AC1" w:rsidRPr="00B11BB9" w:rsidRDefault="00313AC1" w:rsidP="00491D21">
            <w:pPr>
              <w:pStyle w:val="GG-body"/>
              <w:jc w:val="left"/>
            </w:pPr>
            <w:r w:rsidRPr="00B11BB9">
              <w:t>means the Minister for Water and the River Murray.</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non-standard retail service</w:t>
            </w:r>
          </w:p>
        </w:tc>
        <w:tc>
          <w:tcPr>
            <w:tcW w:w="6708" w:type="dxa"/>
            <w:hideMark/>
          </w:tcPr>
          <w:p w:rsidR="00313AC1" w:rsidRPr="00B11BB9" w:rsidRDefault="00313AC1" w:rsidP="00491D21">
            <w:pPr>
              <w:pStyle w:val="GG-body"/>
              <w:jc w:val="left"/>
            </w:pPr>
            <w:r w:rsidRPr="00B11BB9">
              <w:t xml:space="preserve">means a </w:t>
            </w:r>
            <w:r w:rsidRPr="00B11BB9">
              <w:rPr>
                <w:b/>
              </w:rPr>
              <w:t>retail service</w:t>
            </w:r>
            <w:r w:rsidRPr="00B11BB9">
              <w:t xml:space="preserve"> and other services we may provide to </w:t>
            </w:r>
            <w:r w:rsidRPr="00B11BB9">
              <w:rPr>
                <w:b/>
              </w:rPr>
              <w:t>customers</w:t>
            </w:r>
            <w:r w:rsidRPr="00B11BB9">
              <w:t xml:space="preserve"> on terms and conditions other than that set out in this </w:t>
            </w:r>
            <w:r w:rsidRPr="00B11BB9">
              <w:rPr>
                <w:b/>
              </w:rPr>
              <w:t>contract</w:t>
            </w:r>
            <w:r w:rsidRPr="00B11BB9">
              <w:t xml:space="preserve">, but such services do not include a </w:t>
            </w:r>
            <w:r w:rsidRPr="00B11BB9">
              <w:rPr>
                <w:b/>
              </w:rPr>
              <w:t>retail service</w:t>
            </w:r>
            <w:r w:rsidRPr="00B11BB9">
              <w:t xml:space="preserve"> provided to </w:t>
            </w:r>
            <w:r w:rsidRPr="00B11BB9">
              <w:rPr>
                <w:b/>
              </w:rPr>
              <w:t>customers</w:t>
            </w:r>
            <w:r w:rsidRPr="00B11BB9">
              <w:t xml:space="preserve"> with </w:t>
            </w:r>
            <w:r w:rsidRPr="00B11BB9">
              <w:rPr>
                <w:b/>
              </w:rPr>
              <w:t>special characteristics</w:t>
            </w:r>
            <w:r w:rsidRPr="00B11BB9">
              <w:t xml:space="preserve"> as described in clause 22.3.</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Non-residential customer</w:t>
            </w:r>
          </w:p>
        </w:tc>
        <w:tc>
          <w:tcPr>
            <w:tcW w:w="6708" w:type="dxa"/>
            <w:hideMark/>
          </w:tcPr>
          <w:p w:rsidR="00313AC1" w:rsidRPr="00B11BB9" w:rsidRDefault="00313AC1" w:rsidP="00491D21">
            <w:pPr>
              <w:pStyle w:val="GG-body"/>
              <w:jc w:val="left"/>
            </w:pPr>
            <w:r w:rsidRPr="00B11BB9">
              <w:t xml:space="preserve">means a </w:t>
            </w:r>
            <w:r w:rsidRPr="00B11BB9">
              <w:rPr>
                <w:b/>
              </w:rPr>
              <w:t>customer</w:t>
            </w:r>
            <w:r w:rsidRPr="00B11BB9">
              <w:t xml:space="preserve"> other than a </w:t>
            </w:r>
            <w:r w:rsidRPr="00B11BB9">
              <w:rPr>
                <w:b/>
              </w:rPr>
              <w:t>residential customer</w:t>
            </w:r>
            <w:r w:rsidRPr="00B11BB9">
              <w:t>.</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recycled water</w:t>
            </w:r>
          </w:p>
        </w:tc>
        <w:tc>
          <w:tcPr>
            <w:tcW w:w="6708" w:type="dxa"/>
            <w:hideMark/>
          </w:tcPr>
          <w:p w:rsidR="00313AC1" w:rsidRPr="00B11BB9" w:rsidRDefault="00313AC1" w:rsidP="00491D21">
            <w:pPr>
              <w:pStyle w:val="GG-body"/>
              <w:jc w:val="left"/>
            </w:pPr>
            <w:r w:rsidRPr="00B11BB9">
              <w:t xml:space="preserve">means dual reticulation recycled </w:t>
            </w:r>
            <w:r w:rsidRPr="00B11BB9">
              <w:rPr>
                <w:b/>
              </w:rPr>
              <w:t>water</w:t>
            </w:r>
            <w:r w:rsidRPr="00B11BB9">
              <w:t xml:space="preserve"> produced from the treatment and disinfection of </w:t>
            </w:r>
            <w:r w:rsidRPr="00B11BB9">
              <w:rPr>
                <w:b/>
              </w:rPr>
              <w:t>sewage</w:t>
            </w:r>
            <w:r w:rsidRPr="00B11BB9">
              <w:t xml:space="preserve"> and/or stormwater, resulting in a product suitable for irrigation and other purposes not constituting human consumption and supplied to a </w:t>
            </w:r>
            <w:r w:rsidRPr="00B11BB9">
              <w:rPr>
                <w:b/>
              </w:rPr>
              <w:t>customer</w:t>
            </w:r>
            <w:r w:rsidRPr="00B11BB9">
              <w:t xml:space="preserve"> as a dual reticulation recycled water service.</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Regulations</w:t>
            </w:r>
          </w:p>
        </w:tc>
        <w:tc>
          <w:tcPr>
            <w:tcW w:w="6708" w:type="dxa"/>
            <w:hideMark/>
          </w:tcPr>
          <w:p w:rsidR="00313AC1" w:rsidRPr="00B11BB9" w:rsidRDefault="00313AC1" w:rsidP="00491D21">
            <w:pPr>
              <w:pStyle w:val="GG-body"/>
              <w:jc w:val="left"/>
            </w:pPr>
            <w:r w:rsidRPr="00B11BB9">
              <w:t xml:space="preserve">means the </w:t>
            </w:r>
            <w:r w:rsidRPr="00B11BB9">
              <w:rPr>
                <w:i/>
              </w:rPr>
              <w:t>Water Industry Regulations 2012 (SA)</w:t>
            </w:r>
            <w:r w:rsidRPr="00B11BB9">
              <w:t xml:space="preserve"> as may be amended from time to time.</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regulatory service standards</w:t>
            </w:r>
          </w:p>
        </w:tc>
        <w:tc>
          <w:tcPr>
            <w:tcW w:w="6708" w:type="dxa"/>
            <w:hideMark/>
          </w:tcPr>
          <w:p w:rsidR="00313AC1" w:rsidRPr="00B11BB9" w:rsidRDefault="00313AC1" w:rsidP="00491D21">
            <w:pPr>
              <w:pStyle w:val="GG-body"/>
              <w:jc w:val="left"/>
            </w:pPr>
            <w:r w:rsidRPr="00B11BB9">
              <w:t xml:space="preserve">means any regulatory service standards applicable to the provision by us to you of a </w:t>
            </w:r>
            <w:r w:rsidRPr="00B11BB9">
              <w:rPr>
                <w:b/>
              </w:rPr>
              <w:t>retail service</w:t>
            </w:r>
            <w:r w:rsidRPr="00B11BB9">
              <w:t xml:space="preserve"> as determined and published from time to time by </w:t>
            </w:r>
            <w:r w:rsidRPr="00B11BB9">
              <w:rPr>
                <w:b/>
              </w:rPr>
              <w:t>ESCOSA</w:t>
            </w:r>
            <w:r w:rsidRPr="00B11BB9">
              <w:t>.</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residential customer</w:t>
            </w:r>
          </w:p>
        </w:tc>
        <w:tc>
          <w:tcPr>
            <w:tcW w:w="6708" w:type="dxa"/>
            <w:hideMark/>
          </w:tcPr>
          <w:p w:rsidR="00313AC1" w:rsidRPr="00B11BB9" w:rsidRDefault="00313AC1" w:rsidP="00491D21">
            <w:pPr>
              <w:pStyle w:val="GG-body"/>
              <w:jc w:val="left"/>
            </w:pPr>
            <w:r w:rsidRPr="00B11BB9">
              <w:t xml:space="preserve">means a </w:t>
            </w:r>
            <w:r w:rsidRPr="00B11BB9">
              <w:rPr>
                <w:b/>
              </w:rPr>
              <w:t>customer</w:t>
            </w:r>
            <w:r w:rsidRPr="00B11BB9">
              <w:t xml:space="preserve"> which acquires a </w:t>
            </w:r>
            <w:r w:rsidRPr="00B11BB9">
              <w:rPr>
                <w:b/>
              </w:rPr>
              <w:t>retail service</w:t>
            </w:r>
            <w:r w:rsidRPr="00B11BB9">
              <w:t xml:space="preserve"> primarily for their own domestic purposes.</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restricted wastewater</w:t>
            </w:r>
          </w:p>
        </w:tc>
        <w:tc>
          <w:tcPr>
            <w:tcW w:w="6708" w:type="dxa"/>
            <w:hideMark/>
          </w:tcPr>
          <w:p w:rsidR="00313AC1" w:rsidRPr="00B11BB9" w:rsidRDefault="00313AC1" w:rsidP="00491D21">
            <w:pPr>
              <w:pStyle w:val="GG-body"/>
              <w:jc w:val="left"/>
            </w:pPr>
            <w:r w:rsidRPr="00B11BB9">
              <w:t xml:space="preserve">means anything you attempt to discharge through the system that is not </w:t>
            </w:r>
            <w:r w:rsidRPr="00B11BB9">
              <w:rPr>
                <w:b/>
              </w:rPr>
              <w:t>domestic waste</w:t>
            </w:r>
            <w:r w:rsidRPr="00B11BB9">
              <w:t xml:space="preserve"> and includes trade waste.</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retail service</w:t>
            </w:r>
          </w:p>
        </w:tc>
        <w:tc>
          <w:tcPr>
            <w:tcW w:w="6708" w:type="dxa"/>
            <w:hideMark/>
          </w:tcPr>
          <w:p w:rsidR="00313AC1" w:rsidRPr="00B11BB9" w:rsidRDefault="00313AC1" w:rsidP="00491D21">
            <w:pPr>
              <w:pStyle w:val="GG-body"/>
              <w:jc w:val="left"/>
            </w:pPr>
            <w:r w:rsidRPr="00B11BB9">
              <w:t xml:space="preserve">has the meaning described in clause 3.1 of this </w:t>
            </w:r>
            <w:r w:rsidRPr="00B11BB9">
              <w:rPr>
                <w:b/>
              </w:rPr>
              <w:t>contract</w:t>
            </w:r>
            <w:r w:rsidRPr="00B11BB9">
              <w:t xml:space="preserve">, which services are provided by us under the terms and conditions of this standard </w:t>
            </w:r>
            <w:r w:rsidRPr="00B11BB9">
              <w:rPr>
                <w:b/>
              </w:rPr>
              <w:t>contract</w:t>
            </w:r>
            <w:r w:rsidRPr="00B11BB9">
              <w:t xml:space="preserve">. </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special characteristics</w:t>
            </w:r>
          </w:p>
        </w:tc>
        <w:tc>
          <w:tcPr>
            <w:tcW w:w="6708" w:type="dxa"/>
            <w:hideMark/>
          </w:tcPr>
          <w:p w:rsidR="00313AC1" w:rsidRPr="00B11BB9" w:rsidRDefault="00313AC1" w:rsidP="00491D21">
            <w:pPr>
              <w:pStyle w:val="GG-body"/>
              <w:jc w:val="left"/>
            </w:pPr>
            <w:r w:rsidRPr="00B11BB9">
              <w:t xml:space="preserve">means the particular features or characteristics of the </w:t>
            </w:r>
            <w:r w:rsidRPr="00B11BB9">
              <w:rPr>
                <w:b/>
              </w:rPr>
              <w:t>retail service</w:t>
            </w:r>
            <w:r w:rsidRPr="00B11BB9">
              <w:t xml:space="preserve"> relevant to your </w:t>
            </w:r>
            <w:r w:rsidRPr="00B11BB9">
              <w:rPr>
                <w:b/>
              </w:rPr>
              <w:t xml:space="preserve">supply address </w:t>
            </w:r>
            <w:r w:rsidRPr="00B11BB9">
              <w:t>as set out in Schedule 2.</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supply address</w:t>
            </w:r>
          </w:p>
        </w:tc>
        <w:tc>
          <w:tcPr>
            <w:tcW w:w="6708" w:type="dxa"/>
            <w:hideMark/>
          </w:tcPr>
          <w:p w:rsidR="00313AC1" w:rsidRPr="00B11BB9" w:rsidRDefault="00313AC1" w:rsidP="00491D21">
            <w:pPr>
              <w:pStyle w:val="GG-body"/>
              <w:jc w:val="left"/>
            </w:pPr>
            <w:r w:rsidRPr="00B11BB9">
              <w:t xml:space="preserve">means the property address at which the </w:t>
            </w:r>
            <w:r w:rsidRPr="00B11BB9">
              <w:rPr>
                <w:b/>
              </w:rPr>
              <w:t>retail service</w:t>
            </w:r>
            <w:r w:rsidRPr="00B11BB9">
              <w:t xml:space="preserve"> is to be provided under this </w:t>
            </w:r>
            <w:r w:rsidRPr="00B11BB9">
              <w:rPr>
                <w:b/>
              </w:rPr>
              <w:t>contract</w:t>
            </w:r>
            <w:r w:rsidRPr="00B11BB9">
              <w:t>.</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water</w:t>
            </w:r>
          </w:p>
        </w:tc>
        <w:tc>
          <w:tcPr>
            <w:tcW w:w="6708" w:type="dxa"/>
            <w:hideMark/>
          </w:tcPr>
          <w:p w:rsidR="00313AC1" w:rsidRPr="00B11BB9" w:rsidRDefault="00313AC1" w:rsidP="00491D21">
            <w:pPr>
              <w:pStyle w:val="GG-body"/>
              <w:jc w:val="left"/>
            </w:pPr>
            <w:r w:rsidRPr="00B11BB9">
              <w:t xml:space="preserve">includes desalinated water and water that may include any material or impurities, but does not include </w:t>
            </w:r>
            <w:r w:rsidRPr="00B11BB9">
              <w:rPr>
                <w:b/>
              </w:rPr>
              <w:t>recycled water</w:t>
            </w:r>
            <w:r w:rsidRPr="00B11BB9">
              <w:t xml:space="preserve"> or </w:t>
            </w:r>
            <w:r w:rsidRPr="00B11BB9">
              <w:rPr>
                <w:b/>
              </w:rPr>
              <w:t>sewage</w:t>
            </w:r>
            <w:r w:rsidRPr="00B11BB9">
              <w:t>.</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water restrictions</w:t>
            </w:r>
          </w:p>
        </w:tc>
        <w:tc>
          <w:tcPr>
            <w:tcW w:w="6708" w:type="dxa"/>
            <w:hideMark/>
          </w:tcPr>
          <w:p w:rsidR="00313AC1" w:rsidRPr="00B11BB9" w:rsidRDefault="00313AC1" w:rsidP="00491D21">
            <w:pPr>
              <w:pStyle w:val="GG-body"/>
              <w:jc w:val="left"/>
            </w:pPr>
            <w:r w:rsidRPr="00B11BB9">
              <w:t xml:space="preserve">means limitations on </w:t>
            </w:r>
            <w:r w:rsidRPr="00B11BB9">
              <w:rPr>
                <w:b/>
              </w:rPr>
              <w:t>water</w:t>
            </w:r>
            <w:r w:rsidRPr="00B11BB9">
              <w:t xml:space="preserve"> or </w:t>
            </w:r>
            <w:r w:rsidRPr="00B11BB9">
              <w:rPr>
                <w:b/>
              </w:rPr>
              <w:t>recycled water</w:t>
            </w:r>
            <w:r w:rsidRPr="00B11BB9">
              <w:t xml:space="preserve"> use proclaimed by the </w:t>
            </w:r>
            <w:r w:rsidRPr="00B11BB9">
              <w:rPr>
                <w:b/>
              </w:rPr>
              <w:t>Minister</w:t>
            </w:r>
            <w:r w:rsidRPr="00B11BB9">
              <w:t xml:space="preserve"> from time to time. </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water retail service</w:t>
            </w:r>
          </w:p>
        </w:tc>
        <w:tc>
          <w:tcPr>
            <w:tcW w:w="6708" w:type="dxa"/>
            <w:hideMark/>
          </w:tcPr>
          <w:p w:rsidR="00313AC1" w:rsidRPr="00B11BB9" w:rsidRDefault="00313AC1" w:rsidP="00491D21">
            <w:pPr>
              <w:pStyle w:val="GG-body"/>
              <w:jc w:val="left"/>
            </w:pPr>
            <w:r w:rsidRPr="00B11BB9">
              <w:t xml:space="preserve">means a service constituted by the collection, storage, production, treatment, conveyance, reticulation or supply of </w:t>
            </w:r>
            <w:r w:rsidRPr="00B11BB9">
              <w:rPr>
                <w:b/>
              </w:rPr>
              <w:t>water</w:t>
            </w:r>
            <w:r w:rsidRPr="00B11BB9">
              <w:t xml:space="preserve">; or any other service, or any service of a class, brought within the ambit of this definition by the </w:t>
            </w:r>
            <w:r w:rsidRPr="00B11BB9">
              <w:rPr>
                <w:b/>
              </w:rPr>
              <w:t>Regulations</w:t>
            </w:r>
            <w:r w:rsidRPr="00B11BB9">
              <w:t xml:space="preserve">. </w:t>
            </w:r>
          </w:p>
        </w:tc>
      </w:tr>
      <w:tr w:rsidR="00313AC1" w:rsidRPr="00B11BB9" w:rsidTr="00491D21">
        <w:trPr>
          <w:trHeight w:val="20"/>
          <w:jc w:val="center"/>
        </w:trPr>
        <w:tc>
          <w:tcPr>
            <w:tcW w:w="2506" w:type="dxa"/>
            <w:hideMark/>
          </w:tcPr>
          <w:p w:rsidR="00313AC1" w:rsidRPr="00B11BB9" w:rsidRDefault="00313AC1" w:rsidP="00491D21">
            <w:pPr>
              <w:pStyle w:val="GG-body"/>
              <w:jc w:val="left"/>
            </w:pPr>
            <w:r w:rsidRPr="00B11BB9">
              <w:t>water reticulation network</w:t>
            </w:r>
          </w:p>
        </w:tc>
        <w:tc>
          <w:tcPr>
            <w:tcW w:w="6708" w:type="dxa"/>
            <w:hideMark/>
          </w:tcPr>
          <w:p w:rsidR="00313AC1" w:rsidRPr="00B11BB9" w:rsidRDefault="00313AC1" w:rsidP="00491D21">
            <w:pPr>
              <w:pStyle w:val="GG-body"/>
              <w:jc w:val="left"/>
            </w:pPr>
            <w:r w:rsidRPr="00B11BB9">
              <w:t xml:space="preserve">means our system of </w:t>
            </w:r>
            <w:r w:rsidRPr="00B11BB9">
              <w:rPr>
                <w:b/>
              </w:rPr>
              <w:t>water</w:t>
            </w:r>
            <w:r w:rsidRPr="00B11BB9">
              <w:t xml:space="preserve"> mains and service pipes for the provision of </w:t>
            </w:r>
            <w:r w:rsidRPr="00B11BB9">
              <w:rPr>
                <w:b/>
              </w:rPr>
              <w:t>water</w:t>
            </w:r>
            <w:r w:rsidRPr="00B11BB9">
              <w:t xml:space="preserve"> to two or more locations in the State.</w:t>
            </w:r>
          </w:p>
        </w:tc>
      </w:tr>
    </w:tbl>
    <w:p w:rsidR="00313AC1" w:rsidRDefault="00313AC1" w:rsidP="00313AC1">
      <w:pPr>
        <w:pStyle w:val="GG-body"/>
        <w:pBdr>
          <w:bottom w:val="single" w:sz="4" w:space="1" w:color="auto"/>
        </w:pBdr>
        <w:spacing w:after="0" w:line="52" w:lineRule="exact"/>
        <w:jc w:val="center"/>
      </w:pPr>
    </w:p>
    <w:p w:rsidR="00313AC1" w:rsidRDefault="00313AC1" w:rsidP="00313AC1">
      <w:pPr>
        <w:pStyle w:val="GG-body"/>
        <w:pBdr>
          <w:top w:val="single" w:sz="4" w:space="1" w:color="auto"/>
        </w:pBdr>
        <w:spacing w:before="34" w:after="0" w:line="14" w:lineRule="exact"/>
        <w:jc w:val="center"/>
      </w:pPr>
    </w:p>
    <w:p w:rsidR="00C17ECC" w:rsidRPr="003471CD" w:rsidRDefault="00C17ECC" w:rsidP="009C23A5">
      <w:pPr>
        <w:spacing w:after="0" w:line="240" w:lineRule="auto"/>
        <w:jc w:val="left"/>
        <w:rPr>
          <w:rFonts w:ascii="Times New Roman" w:eastAsia="Times New Roman" w:hAnsi="Times New Roman"/>
          <w:sz w:val="17"/>
          <w:szCs w:val="17"/>
          <w:lang w:val="en-US"/>
        </w:rPr>
      </w:pPr>
      <w:r w:rsidRPr="003471CD">
        <w:rPr>
          <w:rFonts w:ascii="Times New Roman" w:hAnsi="Times New Roman"/>
          <w:lang w:val="en-US"/>
        </w:rPr>
        <w:br w:type="page"/>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compiled and published each Thursday. </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Notices must be submitted before 4 p.m. Tuesday, the week of intended publication.</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All submissions are formatted per the gazette style and proofs are supplied as soon as possible. Alterations must be returned before 4 p.m. Wednesday.</w:t>
      </w:r>
    </w:p>
    <w:p w:rsidR="00576D3B" w:rsidRPr="00576D3B" w:rsidRDefault="00576D3B" w:rsidP="009C23A5">
      <w:pPr>
        <w:spacing w:line="240" w:lineRule="auto"/>
        <w:rPr>
          <w:rFonts w:ascii="Times New Roman" w:hAnsi="Times New Roman"/>
          <w:color w:val="000000"/>
        </w:rPr>
      </w:pPr>
      <w:r w:rsidRPr="00576D3B">
        <w:rPr>
          <w:rFonts w:ascii="Times New Roman" w:hAnsi="Times New Roman"/>
          <w:color w:val="000000"/>
        </w:rPr>
        <w:t>Requests to withdraw submitted notices must be received before 10 a.m. on the day of publication.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should be emailed </w:t>
      </w:r>
      <w:r w:rsidRPr="00576D3B">
        <w:rPr>
          <w:rFonts w:ascii="Times New Roman" w:hAnsi="Times New Roman"/>
          <w:b/>
          <w:color w:val="000000"/>
          <w:sz w:val="24"/>
          <w:szCs w:val="24"/>
        </w:rPr>
        <w:t>as Word files in the following format: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Title—name of the governing Act/Regulation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Subtitle—brief description of the notice</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A structured body of text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authorisation</w:t>
      </w:r>
    </w:p>
    <w:p w:rsidR="00576D3B" w:rsidRPr="00576D3B" w:rsidRDefault="00576D3B" w:rsidP="009C23A5">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Name, position, and government department/organisation of the person authorising the notice</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Contact details of at least two people responsible for the notice content</w:t>
      </w:r>
    </w:p>
    <w:p w:rsidR="00576D3B" w:rsidRPr="00576D3B" w:rsidRDefault="00576D3B" w:rsidP="009C23A5">
      <w:pPr>
        <w:spacing w:line="240" w:lineRule="auto"/>
        <w:ind w:left="567" w:hanging="425"/>
        <w:rPr>
          <w:rFonts w:ascii="Times New Roman" w:hAnsi="Times New Roman"/>
          <w:color w:val="000000"/>
          <w:spacing w:val="-5"/>
        </w:rPr>
      </w:pPr>
      <w:r w:rsidRPr="00576D3B">
        <w:rPr>
          <w:rFonts w:ascii="Times New Roman" w:hAnsi="Times New Roman"/>
          <w:color w:val="000000"/>
          <w:spacing w:val="-5"/>
        </w:rPr>
        <w:sym w:font="Symbol" w:char="F0B7"/>
      </w:r>
      <w:r w:rsidRPr="00576D3B">
        <w:rPr>
          <w:rFonts w:ascii="Times New Roman" w:hAnsi="Times New Roman"/>
          <w:color w:val="000000"/>
          <w:spacing w:val="-5"/>
        </w:rPr>
        <w:tab/>
        <w:t>Name of the person and organisation to be charged for the publication (Local Council and Public notices)</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Request for a quote, if required</w:t>
      </w:r>
    </w:p>
    <w:p w:rsidR="00576D3B" w:rsidRPr="00576D3B" w:rsidRDefault="00576D3B" w:rsidP="009C23A5">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128" w:history="1">
        <w:r w:rsidRPr="00576D3B">
          <w:rPr>
            <w:rFonts w:ascii="Times New Roman" w:eastAsia="Times New Roman" w:hAnsi="Times New Roman"/>
            <w:color w:val="0000FF"/>
            <w:sz w:val="24"/>
            <w:u w:val="single"/>
            <w:lang w:eastAsia="en-AU"/>
          </w:rPr>
          <w:t>governmentgazettesa@sa.gov.au</w:t>
        </w:r>
      </w:hyperlink>
    </w:p>
    <w:p w:rsidR="00576D3B" w:rsidRPr="00576D3B" w:rsidRDefault="00576D3B" w:rsidP="009C23A5">
      <w:pPr>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rsidR="00576D3B" w:rsidRPr="00576D3B" w:rsidRDefault="00576D3B" w:rsidP="009C23A5">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129" w:history="1">
        <w:r w:rsidRPr="00576D3B">
          <w:rPr>
            <w:rFonts w:ascii="Times New Roman" w:eastAsia="Times New Roman" w:hAnsi="Times New Roman"/>
            <w:color w:val="0000FF"/>
            <w:sz w:val="24"/>
            <w:u w:val="single"/>
            <w:lang w:eastAsia="en-AU"/>
          </w:rPr>
          <w:t>www.governmentgazette.sa.gov.au</w:t>
        </w:r>
      </w:hyperlink>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rsidR="00576D3B" w:rsidRPr="00576D3B" w:rsidRDefault="00576D3B" w:rsidP="009C23A5">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rsidR="00576D3B" w:rsidRPr="00576D3B" w:rsidRDefault="00576D3B" w:rsidP="009C23A5">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rsidR="00576D3B" w:rsidRPr="00576D3B" w:rsidRDefault="00576D3B" w:rsidP="009C23A5">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rsidR="00F337C8" w:rsidRPr="003471CD" w:rsidRDefault="00576D3B" w:rsidP="009C23A5">
      <w:pPr>
        <w:pStyle w:val="GG-body"/>
        <w:jc w:val="center"/>
      </w:pPr>
      <w:r w:rsidRPr="00576D3B">
        <w:rPr>
          <w:rFonts w:eastAsia="Calibri"/>
        </w:rPr>
        <w:t xml:space="preserve">Online publications: </w:t>
      </w:r>
      <w:hyperlink r:id="rId130" w:history="1">
        <w:r w:rsidRPr="00576D3B">
          <w:rPr>
            <w:rFonts w:eastAsia="Calibri"/>
            <w:color w:val="0000FF"/>
            <w:u w:val="single"/>
          </w:rPr>
          <w:t>www.governmentgazette.sa.gov.au</w:t>
        </w:r>
      </w:hyperlink>
    </w:p>
    <w:sectPr w:rsidR="00F337C8" w:rsidRPr="003471CD" w:rsidSect="00CD34D6">
      <w:headerReference w:type="even" r:id="rId131"/>
      <w:headerReference w:type="default" r:id="rId132"/>
      <w:footerReference w:type="default" r:id="rId133"/>
      <w:pgSz w:w="11906" w:h="16838"/>
      <w:pgMar w:top="1674" w:right="1256" w:bottom="1134" w:left="1290" w:header="1077" w:footer="1134" w:gutter="0"/>
      <w:pgNumType w:start="4616"/>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8B6" w:rsidRDefault="00BE58B6" w:rsidP="00777F88">
      <w:pPr>
        <w:spacing w:after="0" w:line="240" w:lineRule="auto"/>
      </w:pPr>
      <w:r>
        <w:separator/>
      </w:r>
    </w:p>
  </w:endnote>
  <w:endnote w:type="continuationSeparator" w:id="0">
    <w:p w:rsidR="00BE58B6" w:rsidRDefault="00BE58B6"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8B6" w:rsidRPr="00D0446B" w:rsidRDefault="00BE58B6"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8B6" w:rsidRPr="00144772" w:rsidRDefault="00BE58B6"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rsidR="00BE58B6" w:rsidRPr="00144772" w:rsidRDefault="00BE58B6"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BE58B6" w:rsidRPr="00777F88" w:rsidRDefault="00BE58B6"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rsidR="00BE58B6" w:rsidRPr="00777F88" w:rsidRDefault="00BE58B6"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rsidR="00BE58B6" w:rsidRPr="00D0446B" w:rsidRDefault="00BE58B6"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8B6" w:rsidRPr="00D0446B" w:rsidRDefault="00BE58B6" w:rsidP="00D0446B">
    <w:pPr>
      <w:pStyle w:val="Footer"/>
    </w:pPr>
    <w:r w:rsidRPr="00D0446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8B6" w:rsidRPr="00144772" w:rsidRDefault="00BE58B6"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rsidR="00BE58B6" w:rsidRPr="00144772" w:rsidRDefault="00BE58B6"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BE58B6" w:rsidRPr="00777F88" w:rsidRDefault="00BE58B6"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rsidR="00BE58B6" w:rsidRPr="00777F88" w:rsidRDefault="00BE58B6"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rsidR="00BE58B6" w:rsidRPr="00D0446B" w:rsidRDefault="00BE58B6"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8B6" w:rsidRPr="00622031" w:rsidRDefault="00BE58B6" w:rsidP="006220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8B6" w:rsidRDefault="00BE58B6" w:rsidP="00777F88">
      <w:pPr>
        <w:spacing w:after="0" w:line="240" w:lineRule="auto"/>
      </w:pPr>
      <w:r>
        <w:separator/>
      </w:r>
    </w:p>
  </w:footnote>
  <w:footnote w:type="continuationSeparator" w:id="0">
    <w:p w:rsidR="00BE58B6" w:rsidRDefault="00BE58B6"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8B6" w:rsidRPr="0034074D" w:rsidRDefault="00BE58B6"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lang w:eastAsia="en-AU"/>
      </w:rPr>
      <mc:AlternateContent>
        <mc:Choice Requires="wps">
          <w:drawing>
            <wp:anchor distT="0" distB="0" distL="114300" distR="114300" simplePos="1" relativeHeight="251664190" behindDoc="0" locked="0" layoutInCell="0" allowOverlap="1">
              <wp:simplePos x="0" y="190500"/>
              <wp:positionH relativeFrom="page">
                <wp:posOffset>0</wp:posOffset>
              </wp:positionH>
              <wp:positionV relativeFrom="page">
                <wp:posOffset>190500</wp:posOffset>
              </wp:positionV>
              <wp:extent cx="7560310" cy="252095"/>
              <wp:effectExtent l="0" t="0" r="0" b="14605"/>
              <wp:wrapNone/>
              <wp:docPr id="4" name="MSIPCM0e4d4d5695ca67133af3705e" descr="{&quot;HashCode&quot;:101204881,&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E58B6" w:rsidRPr="00A865B7" w:rsidRDefault="00BE58B6" w:rsidP="00A865B7">
                          <w:pPr>
                            <w:spacing w:after="0"/>
                            <w:jc w:val="center"/>
                            <w:rPr>
                              <w:rFonts w:ascii="Arial" w:hAnsi="Arial" w:cs="Arial"/>
                              <w:color w:val="A80000"/>
                              <w:sz w:val="24"/>
                            </w:rPr>
                          </w:pPr>
                          <w:r w:rsidRPr="00A865B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0e4d4d5695ca67133af3705e" o:spid="_x0000_s1026" type="#_x0000_t202" alt="{&quot;HashCode&quot;:101204881,&quot;Height&quot;:841.0,&quot;Width&quot;:595.0,&quot;Placement&quot;:&quot;Header&quot;,&quot;Index&quot;:&quot;OddAndEven&quot;,&quot;Section&quot;:1,&quot;Top&quot;:0.0,&quot;Left&quot;:0.0}" style="position:absolute;left:0;text-align:left;margin-left:0;margin-top:15pt;width:595.3pt;height:19.85pt;z-index:25166419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" o:allowincell="f" filled="f" stroked="f" strokeweight=".5pt">
              <v:textbox inset=",0,,0">
                <w:txbxContent>
                  <w:p w:rsidR="00BE58B6" w:rsidRPr="00A865B7" w:rsidRDefault="00BE58B6" w:rsidP="00A865B7">
                    <w:pPr>
                      <w:spacing w:after="0"/>
                      <w:jc w:val="center"/>
                      <w:rPr>
                        <w:rFonts w:ascii="Arial" w:hAnsi="Arial" w:cs="Arial"/>
                        <w:color w:val="A80000"/>
                        <w:sz w:val="24"/>
                      </w:rPr>
                    </w:pPr>
                    <w:r w:rsidRPr="00A865B7">
                      <w:rPr>
                        <w:rFonts w:ascii="Arial" w:hAnsi="Arial" w:cs="Arial"/>
                        <w:color w:val="A80000"/>
                        <w:sz w:val="24"/>
                      </w:rPr>
                      <w:t>OFFICIAL</w:t>
                    </w:r>
                  </w:p>
                </w:txbxContent>
              </v:textbox>
              <w10:wrap anchorx="page" anchory="page"/>
            </v:shape>
          </w:pict>
        </mc:Fallback>
      </mc:AlternateContent>
    </w: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BE58B6" w:rsidRPr="0034074D" w:rsidRDefault="00BE58B6"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BE58B6" w:rsidRPr="0034074D" w:rsidRDefault="00BE58B6"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8B6" w:rsidRPr="00DA30CF" w:rsidRDefault="00BE58B6" w:rsidP="00DA30CF">
    <w:pPr>
      <w:pStyle w:val="Header"/>
      <w:spacing w:line="170" w:lineRule="exact"/>
      <w:rPr>
        <w:rFonts w:ascii="Times New Roman" w:hAnsi="Times New Roman"/>
        <w:sz w:val="17"/>
        <w:szCs w:val="17"/>
      </w:rPr>
    </w:pPr>
    <w:r>
      <w:rPr>
        <w:rFonts w:ascii="Times New Roman" w:hAnsi="Times New Roman"/>
        <w:noProof/>
        <w:sz w:val="17"/>
        <w:szCs w:val="17"/>
        <w:lang w:eastAsia="en-AU"/>
      </w:rPr>
      <mc:AlternateContent>
        <mc:Choice Requires="wps">
          <w:drawing>
            <wp:anchor distT="0" distB="0" distL="114300" distR="114300" simplePos="1" relativeHeight="251663486" behindDoc="0" locked="0" layoutInCell="0" allowOverlap="1">
              <wp:simplePos x="0" y="190500"/>
              <wp:positionH relativeFrom="page">
                <wp:posOffset>0</wp:posOffset>
              </wp:positionH>
              <wp:positionV relativeFrom="page">
                <wp:posOffset>190500</wp:posOffset>
              </wp:positionV>
              <wp:extent cx="7560310" cy="252095"/>
              <wp:effectExtent l="0" t="0" r="0" b="14605"/>
              <wp:wrapNone/>
              <wp:docPr id="2" name="MSIPCM852c45a99c0cc7d3f89f1031" descr="{&quot;HashCode&quot;:10120488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E58B6" w:rsidRPr="00A865B7" w:rsidRDefault="00BE58B6" w:rsidP="00A865B7">
                          <w:pPr>
                            <w:spacing w:after="0"/>
                            <w:jc w:val="center"/>
                            <w:rPr>
                              <w:rFonts w:ascii="Arial" w:hAnsi="Arial" w:cs="Arial"/>
                              <w:color w:val="A80000"/>
                              <w:sz w:val="24"/>
                            </w:rPr>
                          </w:pPr>
                          <w:r w:rsidRPr="00A865B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852c45a99c0cc7d3f89f1031" o:spid="_x0000_s1027" type="#_x0000_t202" alt="{&quot;HashCode&quot;:101204881,&quot;Height&quot;:841.0,&quot;Width&quot;:595.0,&quot;Placement&quot;:&quot;Header&quot;,&quot;Index&quot;:&quot;Primary&quot;,&quot;Section&quot;:1,&quot;Top&quot;:0.0,&quot;Left&quot;:0.0}" style="position:absolute;left:0;text-align:left;margin-left:0;margin-top:15pt;width:595.3pt;height:19.85pt;z-index:25166348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" o:allowincell="f" filled="f" stroked="f" strokeweight=".5pt">
              <v:textbox inset=",0,,0">
                <w:txbxContent>
                  <w:p w:rsidR="00BE58B6" w:rsidRPr="00A865B7" w:rsidRDefault="00BE58B6" w:rsidP="00A865B7">
                    <w:pPr>
                      <w:spacing w:after="0"/>
                      <w:jc w:val="center"/>
                      <w:rPr>
                        <w:rFonts w:ascii="Arial" w:hAnsi="Arial" w:cs="Arial"/>
                        <w:color w:val="A80000"/>
                        <w:sz w:val="24"/>
                      </w:rPr>
                    </w:pPr>
                    <w:r w:rsidRPr="00A865B7">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8B6" w:rsidRPr="00552C29" w:rsidRDefault="00BE58B6" w:rsidP="00781B55">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 p. </w:t>
    </w:r>
    <w:r>
      <w:rPr>
        <w:rStyle w:val="PageNumber"/>
        <w:rFonts w:ascii="Times New Roman" w:hAnsi="Times New Roman"/>
        <w:sz w:val="21"/>
        <w:szCs w:val="21"/>
      </w:rPr>
      <w:t>?</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 ???? </w:t>
    </w:r>
    <w:r w:rsidRPr="00552C29">
      <w:rPr>
        <w:rFonts w:ascii="Times New Roman" w:hAnsi="Times New Roman"/>
        <w:sz w:val="21"/>
        <w:szCs w:val="21"/>
      </w:rPr>
      <w:t>202</w:t>
    </w:r>
    <w:r>
      <w:rPr>
        <w:rFonts w:ascii="Times New Roman" w:hAnsi="Times New Roman"/>
        <w:sz w:val="21"/>
        <w:szCs w:val="21"/>
      </w:rPr>
      <w:t>?</w:t>
    </w:r>
  </w:p>
  <w:p w:rsidR="00BE58B6" w:rsidRPr="00552C29" w:rsidRDefault="00BE58B6" w:rsidP="00781B55">
    <w:pPr>
      <w:pStyle w:val="Header"/>
      <w:tabs>
        <w:tab w:val="clear" w:pos="4513"/>
        <w:tab w:val="clear" w:pos="9026"/>
      </w:tabs>
      <w:spacing w:line="210" w:lineRule="exact"/>
      <w:jc w:val="left"/>
      <w:rPr>
        <w:rFonts w:ascii="Times New Roman" w:hAnsi="Times New Roman"/>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8B6" w:rsidRPr="00DA30CF" w:rsidRDefault="00BE58B6" w:rsidP="00DA30CF">
    <w:pPr>
      <w:pStyle w:val="Header"/>
      <w:spacing w:line="170" w:lineRule="exact"/>
      <w:rPr>
        <w:rFonts w:ascii="Times New Roman" w:hAnsi="Times New Roman"/>
        <w:sz w:val="17"/>
        <w:szCs w:val="17"/>
      </w:rPr>
    </w:pPr>
    <w:r>
      <w:rPr>
        <w:rFonts w:ascii="Times New Roman" w:hAnsi="Times New Roman"/>
        <w:noProof/>
        <w:sz w:val="17"/>
        <w:szCs w:val="17"/>
        <w:lang w:eastAsia="en-AU"/>
      </w:rPr>
      <mc:AlternateContent>
        <mc:Choice Requires="wps">
          <w:drawing>
            <wp:anchor distT="0" distB="0" distL="114300" distR="114300" simplePos="0" relativeHeight="251665279" behindDoc="0" locked="0" layoutInCell="0" allowOverlap="1">
              <wp:simplePos x="0" y="0"/>
              <wp:positionH relativeFrom="page">
                <wp:posOffset>0</wp:posOffset>
              </wp:positionH>
              <wp:positionV relativeFrom="page">
                <wp:posOffset>190500</wp:posOffset>
              </wp:positionV>
              <wp:extent cx="7560310" cy="252095"/>
              <wp:effectExtent l="0" t="0" r="0" b="14605"/>
              <wp:wrapNone/>
              <wp:docPr id="5" name="MSIPCMa7b940e09e65a131f091ee59" descr="{&quot;HashCode&quot;:101204881,&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E58B6" w:rsidRPr="00A865B7" w:rsidRDefault="00BE58B6" w:rsidP="00A865B7">
                          <w:pPr>
                            <w:spacing w:after="0"/>
                            <w:jc w:val="center"/>
                            <w:rPr>
                              <w:rFonts w:ascii="Arial" w:hAnsi="Arial" w:cs="Arial"/>
                              <w:color w:val="A80000"/>
                              <w:sz w:val="24"/>
                            </w:rPr>
                          </w:pPr>
                          <w:r w:rsidRPr="00A865B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a7b940e09e65a131f091ee59" o:spid="_x0000_s1028" type="#_x0000_t202" alt="{&quot;HashCode&quot;:101204881,&quot;Height&quot;:841.0,&quot;Width&quot;:595.0,&quot;Placement&quot;:&quot;Header&quot;,&quot;Index&quot;:&quot;Primary&quot;,&quot;Section&quot;:2,&quot;Top&quot;:0.0,&quot;Left&quot;:0.0}" style="position:absolute;left:0;text-align:left;margin-left:0;margin-top:15pt;width:595.3pt;height:19.85pt;z-index:2516652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" o:allowincell="f" filled="f" stroked="f" strokeweight=".5pt">
              <v:textbox inset=",0,,0">
                <w:txbxContent>
                  <w:p w:rsidR="00BE58B6" w:rsidRPr="00A865B7" w:rsidRDefault="00BE58B6" w:rsidP="00A865B7">
                    <w:pPr>
                      <w:spacing w:after="0"/>
                      <w:jc w:val="center"/>
                      <w:rPr>
                        <w:rFonts w:ascii="Arial" w:hAnsi="Arial" w:cs="Arial"/>
                        <w:color w:val="A80000"/>
                        <w:sz w:val="24"/>
                      </w:rPr>
                    </w:pPr>
                    <w:r w:rsidRPr="00A865B7">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8B6" w:rsidRPr="00552C29" w:rsidRDefault="00BE58B6"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Pr>
        <w:rStyle w:val="PageNumber"/>
        <w:rFonts w:ascii="Times New Roman" w:hAnsi="Times New Roman"/>
        <w:sz w:val="21"/>
        <w:szCs w:val="21"/>
      </w:rPr>
      <w:t>82</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474D54">
      <w:rPr>
        <w:rStyle w:val="PageNumber"/>
        <w:rFonts w:ascii="Times New Roman" w:hAnsi="Times New Roman"/>
        <w:noProof/>
        <w:sz w:val="21"/>
        <w:szCs w:val="21"/>
      </w:rPr>
      <w:t>4750</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Pr>
        <w:rStyle w:val="PageNumber"/>
        <w:rFonts w:ascii="Times New Roman" w:hAnsi="Times New Roman"/>
        <w:sz w:val="21"/>
        <w:szCs w:val="21"/>
      </w:rPr>
      <w:t>23</w:t>
    </w:r>
    <w:r w:rsidRPr="00552C29">
      <w:rPr>
        <w:rStyle w:val="PageNumber"/>
        <w:rFonts w:ascii="Times New Roman" w:hAnsi="Times New Roman"/>
        <w:sz w:val="21"/>
        <w:szCs w:val="21"/>
      </w:rPr>
      <w:t xml:space="preserve"> </w:t>
    </w:r>
    <w:r>
      <w:rPr>
        <w:rStyle w:val="PageNumber"/>
        <w:rFonts w:ascii="Times New Roman" w:hAnsi="Times New Roman"/>
        <w:sz w:val="21"/>
        <w:szCs w:val="21"/>
      </w:rPr>
      <w:t>December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p>
  <w:p w:rsidR="00BE58B6" w:rsidRPr="00552C29" w:rsidRDefault="00BE58B6" w:rsidP="00781B55">
    <w:pPr>
      <w:pStyle w:val="Header"/>
      <w:tabs>
        <w:tab w:val="clear" w:pos="4513"/>
        <w:tab w:val="clear" w:pos="9026"/>
      </w:tabs>
      <w:spacing w:line="210" w:lineRule="exact"/>
      <w:jc w:val="left"/>
      <w:rPr>
        <w:rFonts w:ascii="Times New Roman" w:hAnsi="Times New Roman"/>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8B6" w:rsidRPr="00552C29" w:rsidRDefault="00BE58B6"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23</w:t>
    </w:r>
    <w:r w:rsidRPr="00552C29">
      <w:rPr>
        <w:rStyle w:val="PageNumber"/>
        <w:rFonts w:ascii="Times New Roman" w:hAnsi="Times New Roman"/>
        <w:sz w:val="21"/>
        <w:szCs w:val="21"/>
      </w:rPr>
      <w:t xml:space="preserve"> </w:t>
    </w:r>
    <w:r>
      <w:rPr>
        <w:rStyle w:val="PageNumber"/>
        <w:rFonts w:ascii="Times New Roman" w:hAnsi="Times New Roman"/>
        <w:sz w:val="21"/>
        <w:szCs w:val="21"/>
      </w:rPr>
      <w:t>December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No. </w:t>
    </w:r>
    <w:r>
      <w:rPr>
        <w:rStyle w:val="PageNumber"/>
        <w:rFonts w:ascii="Times New Roman" w:hAnsi="Times New Roman"/>
        <w:sz w:val="21"/>
        <w:szCs w:val="21"/>
      </w:rPr>
      <w:t>82</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474D54">
      <w:rPr>
        <w:rStyle w:val="PageNumber"/>
        <w:rFonts w:ascii="Times New Roman" w:hAnsi="Times New Roman"/>
        <w:noProof/>
        <w:sz w:val="21"/>
        <w:szCs w:val="21"/>
      </w:rPr>
      <w:t>4751</w:t>
    </w:r>
    <w:r w:rsidRPr="00552C29">
      <w:rPr>
        <w:rStyle w:val="PageNumber"/>
        <w:rFonts w:ascii="Times New Roman" w:hAnsi="Times New Roman"/>
        <w:sz w:val="21"/>
        <w:szCs w:val="21"/>
      </w:rPr>
      <w:fldChar w:fldCharType="end"/>
    </w:r>
  </w:p>
  <w:p w:rsidR="00BE58B6" w:rsidRPr="00552C29" w:rsidRDefault="00BE58B6"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A0953"/>
    <w:multiLevelType w:val="multilevel"/>
    <w:tmpl w:val="A1723E8A"/>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ascii="Calibri" w:hAnsi="Calibri" w:cs="Times New Roman" w:hint="default"/>
        <w:b w:val="0"/>
        <w:i w:val="0"/>
        <w:sz w:val="24"/>
      </w:rPr>
    </w:lvl>
    <w:lvl w:ilvl="3">
      <w:start w:val="1"/>
      <w:numFmt w:val="lowerRoman"/>
      <w:lvlText w:val="%4."/>
      <w:lvlJc w:val="right"/>
      <w:pPr>
        <w:ind w:left="2268" w:hanging="567"/>
      </w:pPr>
      <w:rPr>
        <w:rFonts w:hint="default"/>
        <w:b w:val="0"/>
        <w:i w:val="0"/>
        <w:sz w:val="17"/>
        <w:szCs w:val="17"/>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1" w15:restartNumberingAfterBreak="0">
    <w:nsid w:val="003D5805"/>
    <w:multiLevelType w:val="hybridMultilevel"/>
    <w:tmpl w:val="D77C46AE"/>
    <w:lvl w:ilvl="0" w:tplc="D4EE4D3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0765171"/>
    <w:multiLevelType w:val="hybridMultilevel"/>
    <w:tmpl w:val="623CFDEE"/>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3" w15:restartNumberingAfterBreak="0">
    <w:nsid w:val="013C0C4C"/>
    <w:multiLevelType w:val="hybridMultilevel"/>
    <w:tmpl w:val="F8546F7E"/>
    <w:lvl w:ilvl="0" w:tplc="54BAEF4E">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4" w15:restartNumberingAfterBreak="0">
    <w:nsid w:val="02120BE8"/>
    <w:multiLevelType w:val="hybridMultilevel"/>
    <w:tmpl w:val="5A2013AE"/>
    <w:lvl w:ilvl="0" w:tplc="0C090017">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24657F4"/>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6" w15:restartNumberingAfterBreak="0">
    <w:nsid w:val="025179F0"/>
    <w:multiLevelType w:val="hybridMultilevel"/>
    <w:tmpl w:val="A0F432C4"/>
    <w:lvl w:ilvl="0" w:tplc="EAF8AC9E">
      <w:start w:val="1"/>
      <w:numFmt w:val="lowerLetter"/>
      <w:lvlText w:val="%1)"/>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2702D7D"/>
    <w:multiLevelType w:val="hybridMultilevel"/>
    <w:tmpl w:val="3586C08E"/>
    <w:lvl w:ilvl="0" w:tplc="B396321E">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8" w15:restartNumberingAfterBreak="0">
    <w:nsid w:val="02C72BC2"/>
    <w:multiLevelType w:val="hybridMultilevel"/>
    <w:tmpl w:val="D0283D24"/>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9" w15:restartNumberingAfterBreak="0">
    <w:nsid w:val="03157BBB"/>
    <w:multiLevelType w:val="multilevel"/>
    <w:tmpl w:val="93688B30"/>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0" w15:restartNumberingAfterBreak="0">
    <w:nsid w:val="03587171"/>
    <w:multiLevelType w:val="multilevel"/>
    <w:tmpl w:val="09E059BA"/>
    <w:numStyleLink w:val="StandardContract"/>
  </w:abstractNum>
  <w:abstractNum w:abstractNumId="21" w15:restartNumberingAfterBreak="0">
    <w:nsid w:val="035D3C41"/>
    <w:multiLevelType w:val="hybridMultilevel"/>
    <w:tmpl w:val="957075A8"/>
    <w:lvl w:ilvl="0" w:tplc="0AACCA66">
      <w:start w:val="1"/>
      <w:numFmt w:val="lowerRoman"/>
      <w:lvlText w:val="%1."/>
      <w:lvlJc w:val="right"/>
      <w:pPr>
        <w:ind w:left="1799" w:hanging="360"/>
      </w:pPr>
    </w:lvl>
    <w:lvl w:ilvl="1" w:tplc="69E4AE9A" w:tentative="1">
      <w:start w:val="1"/>
      <w:numFmt w:val="bullet"/>
      <w:lvlText w:val="o"/>
      <w:lvlJc w:val="left"/>
      <w:pPr>
        <w:ind w:left="2519" w:hanging="360"/>
      </w:pPr>
      <w:rPr>
        <w:rFonts w:ascii="Courier New" w:hAnsi="Courier New" w:hint="default"/>
      </w:rPr>
    </w:lvl>
    <w:lvl w:ilvl="2" w:tplc="BF8E1C56" w:tentative="1">
      <w:start w:val="1"/>
      <w:numFmt w:val="bullet"/>
      <w:lvlText w:val=""/>
      <w:lvlJc w:val="left"/>
      <w:pPr>
        <w:ind w:left="3239" w:hanging="360"/>
      </w:pPr>
      <w:rPr>
        <w:rFonts w:ascii="Wingdings" w:hAnsi="Wingdings" w:hint="default"/>
      </w:rPr>
    </w:lvl>
    <w:lvl w:ilvl="3" w:tplc="8AC64D0A" w:tentative="1">
      <w:start w:val="1"/>
      <w:numFmt w:val="bullet"/>
      <w:lvlText w:val=""/>
      <w:lvlJc w:val="left"/>
      <w:pPr>
        <w:ind w:left="3959" w:hanging="360"/>
      </w:pPr>
      <w:rPr>
        <w:rFonts w:ascii="Symbol" w:hAnsi="Symbol" w:hint="default"/>
      </w:rPr>
    </w:lvl>
    <w:lvl w:ilvl="4" w:tplc="FF4A3CA8" w:tentative="1">
      <w:start w:val="1"/>
      <w:numFmt w:val="bullet"/>
      <w:lvlText w:val="o"/>
      <w:lvlJc w:val="left"/>
      <w:pPr>
        <w:ind w:left="4679" w:hanging="360"/>
      </w:pPr>
      <w:rPr>
        <w:rFonts w:ascii="Courier New" w:hAnsi="Courier New" w:hint="default"/>
      </w:rPr>
    </w:lvl>
    <w:lvl w:ilvl="5" w:tplc="74344C94" w:tentative="1">
      <w:start w:val="1"/>
      <w:numFmt w:val="bullet"/>
      <w:lvlText w:val=""/>
      <w:lvlJc w:val="left"/>
      <w:pPr>
        <w:ind w:left="5399" w:hanging="360"/>
      </w:pPr>
      <w:rPr>
        <w:rFonts w:ascii="Wingdings" w:hAnsi="Wingdings" w:hint="default"/>
      </w:rPr>
    </w:lvl>
    <w:lvl w:ilvl="6" w:tplc="3564B9A8" w:tentative="1">
      <w:start w:val="1"/>
      <w:numFmt w:val="bullet"/>
      <w:lvlText w:val=""/>
      <w:lvlJc w:val="left"/>
      <w:pPr>
        <w:ind w:left="6119" w:hanging="360"/>
      </w:pPr>
      <w:rPr>
        <w:rFonts w:ascii="Symbol" w:hAnsi="Symbol" w:hint="default"/>
      </w:rPr>
    </w:lvl>
    <w:lvl w:ilvl="7" w:tplc="0A5E36D6" w:tentative="1">
      <w:start w:val="1"/>
      <w:numFmt w:val="bullet"/>
      <w:lvlText w:val="o"/>
      <w:lvlJc w:val="left"/>
      <w:pPr>
        <w:ind w:left="6839" w:hanging="360"/>
      </w:pPr>
      <w:rPr>
        <w:rFonts w:ascii="Courier New" w:hAnsi="Courier New" w:hint="default"/>
      </w:rPr>
    </w:lvl>
    <w:lvl w:ilvl="8" w:tplc="0A662FF6" w:tentative="1">
      <w:start w:val="1"/>
      <w:numFmt w:val="bullet"/>
      <w:lvlText w:val=""/>
      <w:lvlJc w:val="left"/>
      <w:pPr>
        <w:ind w:left="7559" w:hanging="360"/>
      </w:pPr>
      <w:rPr>
        <w:rFonts w:ascii="Wingdings" w:hAnsi="Wingdings" w:hint="default"/>
      </w:rPr>
    </w:lvl>
  </w:abstractNum>
  <w:abstractNum w:abstractNumId="22" w15:restartNumberingAfterBreak="0">
    <w:nsid w:val="040C76AF"/>
    <w:multiLevelType w:val="hybridMultilevel"/>
    <w:tmpl w:val="98625D6A"/>
    <w:lvl w:ilvl="0" w:tplc="2B92092A">
      <w:start w:val="1"/>
      <w:numFmt w:val="lowerLetter"/>
      <w:lvlText w:val="%1)"/>
      <w:lvlJc w:val="left"/>
      <w:pPr>
        <w:ind w:left="1069" w:hanging="360"/>
      </w:pPr>
      <w:rPr>
        <w:rFonts w:ascii="Times New Roman" w:hAnsi="Times New Roman" w:cs="Times New Roman" w:hint="default"/>
      </w:rPr>
    </w:lvl>
    <w:lvl w:ilvl="1" w:tplc="13B8F808">
      <w:start w:val="1"/>
      <w:numFmt w:val="bullet"/>
      <w:lvlText w:val="o"/>
      <w:lvlJc w:val="left"/>
      <w:pPr>
        <w:ind w:left="1789" w:hanging="360"/>
      </w:pPr>
      <w:rPr>
        <w:rFonts w:ascii="Courier New" w:hAnsi="Courier New" w:hint="default"/>
      </w:rPr>
    </w:lvl>
    <w:lvl w:ilvl="2" w:tplc="13D8AAA0">
      <w:start w:val="1"/>
      <w:numFmt w:val="bullet"/>
      <w:lvlText w:val=""/>
      <w:lvlJc w:val="left"/>
      <w:pPr>
        <w:ind w:left="2509" w:hanging="360"/>
      </w:pPr>
      <w:rPr>
        <w:rFonts w:ascii="Wingdings" w:hAnsi="Wingdings" w:hint="default"/>
      </w:rPr>
    </w:lvl>
    <w:lvl w:ilvl="3" w:tplc="38081724">
      <w:start w:val="1"/>
      <w:numFmt w:val="bullet"/>
      <w:lvlText w:val=""/>
      <w:lvlJc w:val="left"/>
      <w:pPr>
        <w:ind w:left="3229" w:hanging="360"/>
      </w:pPr>
      <w:rPr>
        <w:rFonts w:ascii="Symbol" w:hAnsi="Symbol" w:hint="default"/>
      </w:rPr>
    </w:lvl>
    <w:lvl w:ilvl="4" w:tplc="0BD2D5DC">
      <w:start w:val="1"/>
      <w:numFmt w:val="bullet"/>
      <w:lvlText w:val="o"/>
      <w:lvlJc w:val="left"/>
      <w:pPr>
        <w:ind w:left="3949" w:hanging="360"/>
      </w:pPr>
      <w:rPr>
        <w:rFonts w:ascii="Courier New" w:hAnsi="Courier New" w:hint="default"/>
      </w:rPr>
    </w:lvl>
    <w:lvl w:ilvl="5" w:tplc="1AACC054">
      <w:start w:val="1"/>
      <w:numFmt w:val="bullet"/>
      <w:lvlText w:val=""/>
      <w:lvlJc w:val="left"/>
      <w:pPr>
        <w:ind w:left="4669" w:hanging="360"/>
      </w:pPr>
      <w:rPr>
        <w:rFonts w:ascii="Wingdings" w:hAnsi="Wingdings" w:hint="default"/>
      </w:rPr>
    </w:lvl>
    <w:lvl w:ilvl="6" w:tplc="FE5A8F90">
      <w:start w:val="1"/>
      <w:numFmt w:val="bullet"/>
      <w:lvlText w:val=""/>
      <w:lvlJc w:val="left"/>
      <w:pPr>
        <w:ind w:left="5389" w:hanging="360"/>
      </w:pPr>
      <w:rPr>
        <w:rFonts w:ascii="Symbol" w:hAnsi="Symbol" w:hint="default"/>
      </w:rPr>
    </w:lvl>
    <w:lvl w:ilvl="7" w:tplc="FB466604">
      <w:start w:val="1"/>
      <w:numFmt w:val="bullet"/>
      <w:lvlText w:val="o"/>
      <w:lvlJc w:val="left"/>
      <w:pPr>
        <w:ind w:left="6109" w:hanging="360"/>
      </w:pPr>
      <w:rPr>
        <w:rFonts w:ascii="Courier New" w:hAnsi="Courier New" w:hint="default"/>
      </w:rPr>
    </w:lvl>
    <w:lvl w:ilvl="8" w:tplc="01EE4A7A">
      <w:start w:val="1"/>
      <w:numFmt w:val="bullet"/>
      <w:lvlText w:val=""/>
      <w:lvlJc w:val="left"/>
      <w:pPr>
        <w:ind w:left="6829" w:hanging="360"/>
      </w:pPr>
      <w:rPr>
        <w:rFonts w:ascii="Wingdings" w:hAnsi="Wingdings" w:hint="default"/>
      </w:rPr>
    </w:lvl>
  </w:abstractNum>
  <w:abstractNum w:abstractNumId="23" w15:restartNumberingAfterBreak="0">
    <w:nsid w:val="041B3ECD"/>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4" w15:restartNumberingAfterBreak="0">
    <w:nsid w:val="042F2DF9"/>
    <w:multiLevelType w:val="hybridMultilevel"/>
    <w:tmpl w:val="BF3A8C3A"/>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5" w15:restartNumberingAfterBreak="0">
    <w:nsid w:val="04492408"/>
    <w:multiLevelType w:val="hybridMultilevel"/>
    <w:tmpl w:val="0F6A9336"/>
    <w:lvl w:ilvl="0" w:tplc="DAF81834">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45F5840"/>
    <w:multiLevelType w:val="multilevel"/>
    <w:tmpl w:val="2980744A"/>
    <w:lvl w:ilvl="0">
      <w:start w:val="1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04A26EEA"/>
    <w:multiLevelType w:val="multilevel"/>
    <w:tmpl w:val="E09A279C"/>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ascii="Calibri" w:hAnsi="Calibri" w:cs="Times New Roman" w:hint="default"/>
        <w:b w:val="0"/>
        <w:i w:val="0"/>
        <w:sz w:val="24"/>
      </w:rPr>
    </w:lvl>
    <w:lvl w:ilvl="3">
      <w:start w:val="1"/>
      <w:numFmt w:val="lowerRoman"/>
      <w:lvlText w:val="%4."/>
      <w:lvlJc w:val="right"/>
      <w:pPr>
        <w:ind w:left="2268" w:hanging="567"/>
      </w:pPr>
      <w:rPr>
        <w:rFonts w:hint="default"/>
        <w:b w:val="0"/>
        <w:i w:val="0"/>
        <w:sz w:val="17"/>
        <w:szCs w:val="17"/>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28" w15:restartNumberingAfterBreak="0">
    <w:nsid w:val="04E8611D"/>
    <w:multiLevelType w:val="hybridMultilevel"/>
    <w:tmpl w:val="3586C08E"/>
    <w:lvl w:ilvl="0" w:tplc="B396321E">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9" w15:restartNumberingAfterBreak="0">
    <w:nsid w:val="050A79AF"/>
    <w:multiLevelType w:val="hybridMultilevel"/>
    <w:tmpl w:val="22BE591C"/>
    <w:lvl w:ilvl="0" w:tplc="1B9A5922">
      <w:start w:val="1"/>
      <w:numFmt w:val="lowerLetter"/>
      <w:lvlText w:val="(%1)"/>
      <w:lvlJc w:val="left"/>
      <w:pPr>
        <w:ind w:left="1211" w:hanging="360"/>
      </w:pPr>
      <w:rPr>
        <w:rFonts w:ascii="HelveticaNeueLT Std Lt" w:eastAsiaTheme="minorHAnsi" w:hAnsi="HelveticaNeueLT Std Lt" w:cs="HelveticaNeueLT Std 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0" w15:restartNumberingAfterBreak="0">
    <w:nsid w:val="05232D08"/>
    <w:multiLevelType w:val="hybridMultilevel"/>
    <w:tmpl w:val="0966060A"/>
    <w:lvl w:ilvl="0" w:tplc="0E3A140C">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1" w15:restartNumberingAfterBreak="0">
    <w:nsid w:val="05681944"/>
    <w:multiLevelType w:val="multilevel"/>
    <w:tmpl w:val="A298136C"/>
    <w:lvl w:ilvl="0">
      <w:start w:val="5"/>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05F818B9"/>
    <w:multiLevelType w:val="hybridMultilevel"/>
    <w:tmpl w:val="FFFFFFFF"/>
    <w:lvl w:ilvl="0" w:tplc="4D56606A">
      <w:start w:val="1"/>
      <w:numFmt w:val="lowerLetter"/>
      <w:lvlText w:val="%1)"/>
      <w:lvlJc w:val="left"/>
      <w:pPr>
        <w:ind w:left="1080" w:hanging="360"/>
      </w:pPr>
    </w:lvl>
    <w:lvl w:ilvl="1" w:tplc="343C5CF8">
      <w:start w:val="1"/>
      <w:numFmt w:val="lowerLetter"/>
      <w:lvlText w:val="%2."/>
      <w:lvlJc w:val="left"/>
      <w:pPr>
        <w:ind w:left="1800" w:hanging="360"/>
      </w:pPr>
    </w:lvl>
    <w:lvl w:ilvl="2" w:tplc="E9F05256">
      <w:start w:val="1"/>
      <w:numFmt w:val="lowerRoman"/>
      <w:lvlText w:val="%3."/>
      <w:lvlJc w:val="right"/>
      <w:pPr>
        <w:ind w:left="2520" w:hanging="180"/>
      </w:pPr>
    </w:lvl>
    <w:lvl w:ilvl="3" w:tplc="1C5C4008">
      <w:start w:val="1"/>
      <w:numFmt w:val="decimal"/>
      <w:lvlText w:val="%4."/>
      <w:lvlJc w:val="left"/>
      <w:pPr>
        <w:ind w:left="3240" w:hanging="360"/>
      </w:pPr>
    </w:lvl>
    <w:lvl w:ilvl="4" w:tplc="C2E8E11E">
      <w:start w:val="1"/>
      <w:numFmt w:val="lowerLetter"/>
      <w:lvlText w:val="%5."/>
      <w:lvlJc w:val="left"/>
      <w:pPr>
        <w:ind w:left="3960" w:hanging="360"/>
      </w:pPr>
    </w:lvl>
    <w:lvl w:ilvl="5" w:tplc="F7A870DA">
      <w:start w:val="1"/>
      <w:numFmt w:val="lowerRoman"/>
      <w:lvlText w:val="%6."/>
      <w:lvlJc w:val="right"/>
      <w:pPr>
        <w:ind w:left="4680" w:hanging="180"/>
      </w:pPr>
    </w:lvl>
    <w:lvl w:ilvl="6" w:tplc="FE909BC8">
      <w:start w:val="1"/>
      <w:numFmt w:val="decimal"/>
      <w:lvlText w:val="%7."/>
      <w:lvlJc w:val="left"/>
      <w:pPr>
        <w:ind w:left="5400" w:hanging="360"/>
      </w:pPr>
    </w:lvl>
    <w:lvl w:ilvl="7" w:tplc="B4023296">
      <w:start w:val="1"/>
      <w:numFmt w:val="lowerLetter"/>
      <w:lvlText w:val="%8."/>
      <w:lvlJc w:val="left"/>
      <w:pPr>
        <w:ind w:left="6120" w:hanging="360"/>
      </w:pPr>
    </w:lvl>
    <w:lvl w:ilvl="8" w:tplc="2EC24128">
      <w:start w:val="1"/>
      <w:numFmt w:val="lowerRoman"/>
      <w:lvlText w:val="%9."/>
      <w:lvlJc w:val="right"/>
      <w:pPr>
        <w:ind w:left="6840" w:hanging="180"/>
      </w:pPr>
    </w:lvl>
  </w:abstractNum>
  <w:abstractNum w:abstractNumId="33" w15:restartNumberingAfterBreak="0">
    <w:nsid w:val="05FA679D"/>
    <w:multiLevelType w:val="multilevel"/>
    <w:tmpl w:val="355EAFB0"/>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34" w15:restartNumberingAfterBreak="0">
    <w:nsid w:val="061E4A53"/>
    <w:multiLevelType w:val="multilevel"/>
    <w:tmpl w:val="FB207FC4"/>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35" w15:restartNumberingAfterBreak="0">
    <w:nsid w:val="06602F8D"/>
    <w:multiLevelType w:val="hybridMultilevel"/>
    <w:tmpl w:val="37948EB4"/>
    <w:lvl w:ilvl="0" w:tplc="00F89A28">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066627D4"/>
    <w:multiLevelType w:val="hybridMultilevel"/>
    <w:tmpl w:val="40B0FDF8"/>
    <w:lvl w:ilvl="0" w:tplc="D4EE4D3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06C307A8"/>
    <w:multiLevelType w:val="hybridMultilevel"/>
    <w:tmpl w:val="ACFE33E8"/>
    <w:lvl w:ilvl="0" w:tplc="A5E60690">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8" w15:restartNumberingAfterBreak="0">
    <w:nsid w:val="06E121A0"/>
    <w:multiLevelType w:val="multilevel"/>
    <w:tmpl w:val="6E2275FA"/>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075E5D57"/>
    <w:multiLevelType w:val="hybridMultilevel"/>
    <w:tmpl w:val="229E5D4C"/>
    <w:lvl w:ilvl="0" w:tplc="0C090017">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076844F5"/>
    <w:multiLevelType w:val="hybridMultilevel"/>
    <w:tmpl w:val="4C523EB0"/>
    <w:lvl w:ilvl="0" w:tplc="0C090017">
      <w:start w:val="1"/>
      <w:numFmt w:val="lowerLetter"/>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41" w15:restartNumberingAfterBreak="0">
    <w:nsid w:val="07823FFB"/>
    <w:multiLevelType w:val="singleLevel"/>
    <w:tmpl w:val="3CD41E08"/>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42" w15:restartNumberingAfterBreak="0">
    <w:nsid w:val="079937BB"/>
    <w:multiLevelType w:val="hybridMultilevel"/>
    <w:tmpl w:val="8878CE44"/>
    <w:lvl w:ilvl="0" w:tplc="0C090003">
      <w:start w:val="1"/>
      <w:numFmt w:val="bullet"/>
      <w:lvlText w:val="o"/>
      <w:lvlJc w:val="left"/>
      <w:pPr>
        <w:ind w:left="1920" w:hanging="360"/>
      </w:pPr>
      <w:rPr>
        <w:rFonts w:ascii="Courier New" w:hAnsi="Courier New" w:cs="Courier New"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43" w15:restartNumberingAfterBreak="0">
    <w:nsid w:val="07A5078D"/>
    <w:multiLevelType w:val="hybridMultilevel"/>
    <w:tmpl w:val="229E5D4C"/>
    <w:lvl w:ilvl="0" w:tplc="0C090017">
      <w:start w:val="1"/>
      <w:numFmt w:val="lowerLetter"/>
      <w:lvlText w:val="%1)"/>
      <w:lvlJc w:val="left"/>
      <w:pPr>
        <w:ind w:left="1069" w:hanging="360"/>
      </w:pPr>
      <w:rPr>
        <w:rFonts w:hint="default"/>
      </w:rPr>
    </w:lvl>
    <w:lvl w:ilvl="1" w:tplc="0C090003">
      <w:start w:val="1"/>
      <w:numFmt w:val="bullet"/>
      <w:lvlText w:val="o"/>
      <w:lvlJc w:val="left"/>
      <w:pPr>
        <w:ind w:left="1789" w:hanging="360"/>
      </w:pPr>
      <w:rPr>
        <w:rFonts w:ascii="Courier New" w:hAnsi="Courier New" w:cs="Courier New" w:hint="default"/>
      </w:rPr>
    </w:lvl>
    <w:lvl w:ilvl="2" w:tplc="0C090005">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4" w15:restartNumberingAfterBreak="0">
    <w:nsid w:val="07A85D08"/>
    <w:multiLevelType w:val="hybridMultilevel"/>
    <w:tmpl w:val="9F924912"/>
    <w:lvl w:ilvl="0" w:tplc="0C090017">
      <w:start w:val="1"/>
      <w:numFmt w:val="lowerLetter"/>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45" w15:restartNumberingAfterBreak="0">
    <w:nsid w:val="07B142BA"/>
    <w:multiLevelType w:val="hybridMultilevel"/>
    <w:tmpl w:val="07DCE9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08566C73"/>
    <w:multiLevelType w:val="hybridMultilevel"/>
    <w:tmpl w:val="A206616A"/>
    <w:lvl w:ilvl="0" w:tplc="B142AD04">
      <w:start w:val="1"/>
      <w:numFmt w:val="lowerLetter"/>
      <w:lvlText w:val="(%1)"/>
      <w:lvlJc w:val="left"/>
      <w:pPr>
        <w:ind w:left="1211"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7" w15:restartNumberingAfterBreak="0">
    <w:nsid w:val="086365C7"/>
    <w:multiLevelType w:val="hybridMultilevel"/>
    <w:tmpl w:val="E458AE46"/>
    <w:lvl w:ilvl="0" w:tplc="5240B908">
      <w:start w:val="2"/>
      <w:numFmt w:val="decimal"/>
      <w:lvlText w:val="%1."/>
      <w:lvlJc w:val="left"/>
      <w:pPr>
        <w:ind w:left="2344" w:hanging="360"/>
      </w:pPr>
      <w:rPr>
        <w:rFonts w:hint="default"/>
      </w:rPr>
    </w:lvl>
    <w:lvl w:ilvl="1" w:tplc="04090019" w:tentative="1">
      <w:start w:val="1"/>
      <w:numFmt w:val="lowerLetter"/>
      <w:lvlText w:val="%2."/>
      <w:lvlJc w:val="left"/>
      <w:pPr>
        <w:ind w:left="3064" w:hanging="360"/>
      </w:pPr>
    </w:lvl>
    <w:lvl w:ilvl="2" w:tplc="0409001B" w:tentative="1">
      <w:start w:val="1"/>
      <w:numFmt w:val="lowerRoman"/>
      <w:lvlText w:val="%3."/>
      <w:lvlJc w:val="right"/>
      <w:pPr>
        <w:ind w:left="3784" w:hanging="180"/>
      </w:pPr>
    </w:lvl>
    <w:lvl w:ilvl="3" w:tplc="0409000F" w:tentative="1">
      <w:start w:val="1"/>
      <w:numFmt w:val="decimal"/>
      <w:lvlText w:val="%4."/>
      <w:lvlJc w:val="left"/>
      <w:pPr>
        <w:ind w:left="4504" w:hanging="360"/>
      </w:pPr>
    </w:lvl>
    <w:lvl w:ilvl="4" w:tplc="04090019" w:tentative="1">
      <w:start w:val="1"/>
      <w:numFmt w:val="lowerLetter"/>
      <w:lvlText w:val="%5."/>
      <w:lvlJc w:val="left"/>
      <w:pPr>
        <w:ind w:left="5224" w:hanging="360"/>
      </w:pPr>
    </w:lvl>
    <w:lvl w:ilvl="5" w:tplc="0409001B" w:tentative="1">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48" w15:restartNumberingAfterBreak="0">
    <w:nsid w:val="08AC6872"/>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9" w15:restartNumberingAfterBreak="0">
    <w:nsid w:val="08B6543D"/>
    <w:multiLevelType w:val="hybridMultilevel"/>
    <w:tmpl w:val="E08026CA"/>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091E7586"/>
    <w:multiLevelType w:val="hybridMultilevel"/>
    <w:tmpl w:val="40B0FDF8"/>
    <w:lvl w:ilvl="0" w:tplc="D4EE4D3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092A3580"/>
    <w:multiLevelType w:val="hybridMultilevel"/>
    <w:tmpl w:val="FFFFFFFF"/>
    <w:lvl w:ilvl="0" w:tplc="4288E56E">
      <w:start w:val="1"/>
      <w:numFmt w:val="lowerLetter"/>
      <w:lvlText w:val="%1)"/>
      <w:lvlJc w:val="left"/>
      <w:pPr>
        <w:ind w:left="840" w:hanging="360"/>
      </w:pPr>
    </w:lvl>
    <w:lvl w:ilvl="1" w:tplc="6E1488E0">
      <w:start w:val="1"/>
      <w:numFmt w:val="lowerLetter"/>
      <w:lvlText w:val="%2."/>
      <w:lvlJc w:val="left"/>
      <w:pPr>
        <w:ind w:left="1560" w:hanging="360"/>
      </w:pPr>
    </w:lvl>
    <w:lvl w:ilvl="2" w:tplc="6142A802">
      <w:start w:val="1"/>
      <w:numFmt w:val="lowerRoman"/>
      <w:lvlText w:val="%3."/>
      <w:lvlJc w:val="right"/>
      <w:pPr>
        <w:ind w:left="2280" w:hanging="180"/>
      </w:pPr>
    </w:lvl>
    <w:lvl w:ilvl="3" w:tplc="F45042E6">
      <w:start w:val="1"/>
      <w:numFmt w:val="decimal"/>
      <w:lvlText w:val="%4."/>
      <w:lvlJc w:val="left"/>
      <w:pPr>
        <w:ind w:left="3000" w:hanging="360"/>
      </w:pPr>
    </w:lvl>
    <w:lvl w:ilvl="4" w:tplc="01D6D390">
      <w:start w:val="1"/>
      <w:numFmt w:val="lowerLetter"/>
      <w:lvlText w:val="%5."/>
      <w:lvlJc w:val="left"/>
      <w:pPr>
        <w:ind w:left="3720" w:hanging="360"/>
      </w:pPr>
    </w:lvl>
    <w:lvl w:ilvl="5" w:tplc="DCA66BC6">
      <w:start w:val="1"/>
      <w:numFmt w:val="lowerRoman"/>
      <w:lvlText w:val="%6."/>
      <w:lvlJc w:val="right"/>
      <w:pPr>
        <w:ind w:left="4440" w:hanging="180"/>
      </w:pPr>
    </w:lvl>
    <w:lvl w:ilvl="6" w:tplc="0FB61CD0">
      <w:start w:val="1"/>
      <w:numFmt w:val="decimal"/>
      <w:lvlText w:val="%7."/>
      <w:lvlJc w:val="left"/>
      <w:pPr>
        <w:ind w:left="5160" w:hanging="360"/>
      </w:pPr>
    </w:lvl>
    <w:lvl w:ilvl="7" w:tplc="CDF85670">
      <w:start w:val="1"/>
      <w:numFmt w:val="lowerLetter"/>
      <w:lvlText w:val="%8."/>
      <w:lvlJc w:val="left"/>
      <w:pPr>
        <w:ind w:left="5880" w:hanging="360"/>
      </w:pPr>
    </w:lvl>
    <w:lvl w:ilvl="8" w:tplc="6CF6AD4E">
      <w:start w:val="1"/>
      <w:numFmt w:val="lowerRoman"/>
      <w:lvlText w:val="%9."/>
      <w:lvlJc w:val="right"/>
      <w:pPr>
        <w:ind w:left="6600" w:hanging="180"/>
      </w:pPr>
    </w:lvl>
  </w:abstractNum>
  <w:abstractNum w:abstractNumId="52" w15:restartNumberingAfterBreak="0">
    <w:nsid w:val="095C4B8A"/>
    <w:multiLevelType w:val="hybridMultilevel"/>
    <w:tmpl w:val="464E83F2"/>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53" w15:restartNumberingAfterBreak="0">
    <w:nsid w:val="09762C4F"/>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54" w15:restartNumberingAfterBreak="0">
    <w:nsid w:val="09775E72"/>
    <w:multiLevelType w:val="hybridMultilevel"/>
    <w:tmpl w:val="9A564DB0"/>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55" w15:restartNumberingAfterBreak="0">
    <w:nsid w:val="09B23136"/>
    <w:multiLevelType w:val="hybridMultilevel"/>
    <w:tmpl w:val="1A1C13CC"/>
    <w:lvl w:ilvl="0" w:tplc="FCE22576">
      <w:start w:val="1"/>
      <w:numFmt w:val="lowerLetter"/>
      <w:lvlText w:val="%1)"/>
      <w:lvlJc w:val="left"/>
      <w:pPr>
        <w:ind w:left="720" w:hanging="360"/>
      </w:pPr>
      <w:rPr>
        <w:rFonts w:ascii="Times New Roman" w:eastAsiaTheme="minorHAnsi" w:hAnsi="Times New Roman" w:cs="Times New Roman" w:hint="default"/>
      </w:rPr>
    </w:lvl>
    <w:lvl w:ilvl="1" w:tplc="578E7AD4">
      <w:start w:val="1"/>
      <w:numFmt w:val="bullet"/>
      <w:lvlText w:val="o"/>
      <w:lvlJc w:val="left"/>
      <w:pPr>
        <w:ind w:left="1440" w:hanging="360"/>
      </w:pPr>
      <w:rPr>
        <w:rFonts w:ascii="Courier New" w:hAnsi="Courier New" w:hint="default"/>
      </w:rPr>
    </w:lvl>
    <w:lvl w:ilvl="2" w:tplc="A120B9C8">
      <w:start w:val="1"/>
      <w:numFmt w:val="bullet"/>
      <w:lvlText w:val=""/>
      <w:lvlJc w:val="left"/>
      <w:pPr>
        <w:ind w:left="2160" w:hanging="360"/>
      </w:pPr>
      <w:rPr>
        <w:rFonts w:ascii="Wingdings" w:hAnsi="Wingdings" w:hint="default"/>
      </w:rPr>
    </w:lvl>
    <w:lvl w:ilvl="3" w:tplc="C6148B1E">
      <w:start w:val="1"/>
      <w:numFmt w:val="bullet"/>
      <w:lvlText w:val=""/>
      <w:lvlJc w:val="left"/>
      <w:pPr>
        <w:ind w:left="2880" w:hanging="360"/>
      </w:pPr>
      <w:rPr>
        <w:rFonts w:ascii="Symbol" w:hAnsi="Symbol" w:hint="default"/>
      </w:rPr>
    </w:lvl>
    <w:lvl w:ilvl="4" w:tplc="80EEB9E4">
      <w:start w:val="1"/>
      <w:numFmt w:val="bullet"/>
      <w:lvlText w:val="o"/>
      <w:lvlJc w:val="left"/>
      <w:pPr>
        <w:ind w:left="3600" w:hanging="360"/>
      </w:pPr>
      <w:rPr>
        <w:rFonts w:ascii="Courier New" w:hAnsi="Courier New" w:hint="default"/>
      </w:rPr>
    </w:lvl>
    <w:lvl w:ilvl="5" w:tplc="D7520354">
      <w:start w:val="1"/>
      <w:numFmt w:val="bullet"/>
      <w:lvlText w:val=""/>
      <w:lvlJc w:val="left"/>
      <w:pPr>
        <w:ind w:left="4320" w:hanging="360"/>
      </w:pPr>
      <w:rPr>
        <w:rFonts w:ascii="Wingdings" w:hAnsi="Wingdings" w:hint="default"/>
      </w:rPr>
    </w:lvl>
    <w:lvl w:ilvl="6" w:tplc="0E66BEFC">
      <w:start w:val="1"/>
      <w:numFmt w:val="bullet"/>
      <w:lvlText w:val=""/>
      <w:lvlJc w:val="left"/>
      <w:pPr>
        <w:ind w:left="5040" w:hanging="360"/>
      </w:pPr>
      <w:rPr>
        <w:rFonts w:ascii="Symbol" w:hAnsi="Symbol" w:hint="default"/>
      </w:rPr>
    </w:lvl>
    <w:lvl w:ilvl="7" w:tplc="7C0A1252">
      <w:start w:val="1"/>
      <w:numFmt w:val="bullet"/>
      <w:lvlText w:val="o"/>
      <w:lvlJc w:val="left"/>
      <w:pPr>
        <w:ind w:left="5760" w:hanging="360"/>
      </w:pPr>
      <w:rPr>
        <w:rFonts w:ascii="Courier New" w:hAnsi="Courier New" w:hint="default"/>
      </w:rPr>
    </w:lvl>
    <w:lvl w:ilvl="8" w:tplc="57FE182A">
      <w:start w:val="1"/>
      <w:numFmt w:val="bullet"/>
      <w:lvlText w:val=""/>
      <w:lvlJc w:val="left"/>
      <w:pPr>
        <w:ind w:left="6480" w:hanging="360"/>
      </w:pPr>
      <w:rPr>
        <w:rFonts w:ascii="Wingdings" w:hAnsi="Wingdings" w:hint="default"/>
      </w:rPr>
    </w:lvl>
  </w:abstractNum>
  <w:abstractNum w:abstractNumId="56" w15:restartNumberingAfterBreak="0">
    <w:nsid w:val="0A38358D"/>
    <w:multiLevelType w:val="hybridMultilevel"/>
    <w:tmpl w:val="961E8850"/>
    <w:lvl w:ilvl="0" w:tplc="E9365B4C">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7" w15:restartNumberingAfterBreak="0">
    <w:nsid w:val="0A54797D"/>
    <w:multiLevelType w:val="hybridMultilevel"/>
    <w:tmpl w:val="8416D870"/>
    <w:lvl w:ilvl="0" w:tplc="FEF80D68">
      <w:start w:val="1"/>
      <w:numFmt w:val="decimal"/>
      <w:lvlText w:val="(%1)"/>
      <w:lvlJc w:val="left"/>
      <w:pPr>
        <w:ind w:left="786" w:hanging="360"/>
      </w:pPr>
      <w:rPr>
        <w:rFonts w:hint="default"/>
        <w:b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58" w15:restartNumberingAfterBreak="0">
    <w:nsid w:val="0ABB61F5"/>
    <w:multiLevelType w:val="hybridMultilevel"/>
    <w:tmpl w:val="623CFDEE"/>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9" w15:restartNumberingAfterBreak="0">
    <w:nsid w:val="0B266B01"/>
    <w:multiLevelType w:val="multilevel"/>
    <w:tmpl w:val="64C44578"/>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60" w15:restartNumberingAfterBreak="0">
    <w:nsid w:val="0B2A0493"/>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1" w15:restartNumberingAfterBreak="0">
    <w:nsid w:val="0B667C8F"/>
    <w:multiLevelType w:val="hybridMultilevel"/>
    <w:tmpl w:val="7D824C1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0C0F5849"/>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3" w15:restartNumberingAfterBreak="0">
    <w:nsid w:val="0C542B0A"/>
    <w:multiLevelType w:val="hybridMultilevel"/>
    <w:tmpl w:val="ADD683A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65" w15:restartNumberingAfterBreak="0">
    <w:nsid w:val="0CC50507"/>
    <w:multiLevelType w:val="hybridMultilevel"/>
    <w:tmpl w:val="0966060A"/>
    <w:lvl w:ilvl="0" w:tplc="0E3A140C">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6" w15:restartNumberingAfterBreak="0">
    <w:nsid w:val="0CDD2828"/>
    <w:multiLevelType w:val="multilevel"/>
    <w:tmpl w:val="9698E72C"/>
    <w:lvl w:ilvl="0">
      <w:start w:val="10"/>
      <w:numFmt w:val="decimal"/>
      <w:lvlText w:val="%1"/>
      <w:lvlJc w:val="left"/>
      <w:pPr>
        <w:ind w:left="465" w:hanging="465"/>
      </w:pPr>
      <w:rPr>
        <w:rFonts w:ascii="Arial" w:eastAsia="Times New Roman" w:hAnsi="Arial" w:cs="Arial" w:hint="default"/>
      </w:rPr>
    </w:lvl>
    <w:lvl w:ilvl="1">
      <w:start w:val="1"/>
      <w:numFmt w:val="decimal"/>
      <w:lvlText w:val="%1.%2"/>
      <w:lvlJc w:val="left"/>
      <w:pPr>
        <w:ind w:left="465" w:hanging="465"/>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ascii="Arial" w:eastAsia="Times New Roman" w:hAnsi="Arial" w:cs="Arial" w:hint="default"/>
      </w:rPr>
    </w:lvl>
    <w:lvl w:ilvl="5">
      <w:start w:val="1"/>
      <w:numFmt w:val="decimal"/>
      <w:lvlText w:val="%1.%2.%3.%4.%5.%6"/>
      <w:lvlJc w:val="left"/>
      <w:pPr>
        <w:ind w:left="1440" w:hanging="1440"/>
      </w:pPr>
      <w:rPr>
        <w:rFonts w:ascii="Arial" w:eastAsia="Times New Roman" w:hAnsi="Arial" w:cs="Arial" w:hint="default"/>
      </w:rPr>
    </w:lvl>
    <w:lvl w:ilvl="6">
      <w:start w:val="1"/>
      <w:numFmt w:val="decimal"/>
      <w:lvlText w:val="%1.%2.%3.%4.%5.%6.%7"/>
      <w:lvlJc w:val="left"/>
      <w:pPr>
        <w:ind w:left="1440" w:hanging="1440"/>
      </w:pPr>
      <w:rPr>
        <w:rFonts w:ascii="Arial" w:eastAsia="Times New Roman" w:hAnsi="Arial" w:cs="Arial" w:hint="default"/>
      </w:rPr>
    </w:lvl>
    <w:lvl w:ilvl="7">
      <w:start w:val="1"/>
      <w:numFmt w:val="decimal"/>
      <w:lvlText w:val="%1.%2.%3.%4.%5.%6.%7.%8"/>
      <w:lvlJc w:val="left"/>
      <w:pPr>
        <w:ind w:left="1800" w:hanging="1800"/>
      </w:pPr>
      <w:rPr>
        <w:rFonts w:ascii="Arial" w:eastAsia="Times New Roman" w:hAnsi="Arial" w:cs="Arial" w:hint="default"/>
      </w:rPr>
    </w:lvl>
    <w:lvl w:ilvl="8">
      <w:start w:val="1"/>
      <w:numFmt w:val="decimal"/>
      <w:lvlText w:val="%1.%2.%3.%4.%5.%6.%7.%8.%9"/>
      <w:lvlJc w:val="left"/>
      <w:pPr>
        <w:ind w:left="2160" w:hanging="2160"/>
      </w:pPr>
      <w:rPr>
        <w:rFonts w:ascii="Arial" w:eastAsia="Times New Roman" w:hAnsi="Arial" w:cs="Arial" w:hint="default"/>
      </w:rPr>
    </w:lvl>
  </w:abstractNum>
  <w:abstractNum w:abstractNumId="67" w15:restartNumberingAfterBreak="0">
    <w:nsid w:val="0D9D6F01"/>
    <w:multiLevelType w:val="hybridMultilevel"/>
    <w:tmpl w:val="3586C08E"/>
    <w:lvl w:ilvl="0" w:tplc="B396321E">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8" w15:restartNumberingAfterBreak="0">
    <w:nsid w:val="0DB46867"/>
    <w:multiLevelType w:val="multilevel"/>
    <w:tmpl w:val="0F0CA7FC"/>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ascii="Calibri" w:hAnsi="Calibri" w:cs="Times New Roman" w:hint="default"/>
        <w:b w:val="0"/>
        <w:i w:val="0"/>
        <w:sz w:val="24"/>
      </w:rPr>
    </w:lvl>
    <w:lvl w:ilvl="3">
      <w:start w:val="1"/>
      <w:numFmt w:val="lowerRoman"/>
      <w:lvlText w:val="%4."/>
      <w:lvlJc w:val="right"/>
      <w:pPr>
        <w:ind w:left="2268" w:hanging="567"/>
      </w:pPr>
      <w:rPr>
        <w:rFonts w:hint="default"/>
        <w:b w:val="0"/>
        <w:i w:val="0"/>
        <w:sz w:val="17"/>
        <w:szCs w:val="17"/>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69" w15:restartNumberingAfterBreak="0">
    <w:nsid w:val="0E283996"/>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0" w15:restartNumberingAfterBreak="0">
    <w:nsid w:val="0F6679AE"/>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1" w15:restartNumberingAfterBreak="0">
    <w:nsid w:val="0F96179A"/>
    <w:multiLevelType w:val="hybridMultilevel"/>
    <w:tmpl w:val="28243B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0F9D3237"/>
    <w:multiLevelType w:val="hybridMultilevel"/>
    <w:tmpl w:val="4768B53E"/>
    <w:lvl w:ilvl="0" w:tplc="136A23E0">
      <w:start w:val="1"/>
      <w:numFmt w:val="bullet"/>
      <w:lvlText w:val=""/>
      <w:lvlJc w:val="left"/>
      <w:pPr>
        <w:tabs>
          <w:tab w:val="num" w:pos="720"/>
        </w:tabs>
        <w:ind w:left="720" w:hanging="360"/>
      </w:pPr>
      <w:rPr>
        <w:rFonts w:ascii="Symbol" w:hAnsi="Symbol" w:hint="default"/>
        <w:sz w:val="20"/>
      </w:rPr>
    </w:lvl>
    <w:lvl w:ilvl="1" w:tplc="986C0D42" w:tentative="1">
      <w:start w:val="1"/>
      <w:numFmt w:val="bullet"/>
      <w:lvlText w:val=""/>
      <w:lvlJc w:val="left"/>
      <w:pPr>
        <w:tabs>
          <w:tab w:val="num" w:pos="1440"/>
        </w:tabs>
        <w:ind w:left="1440" w:hanging="360"/>
      </w:pPr>
      <w:rPr>
        <w:rFonts w:ascii="Symbol" w:hAnsi="Symbol" w:hint="default"/>
        <w:sz w:val="20"/>
      </w:rPr>
    </w:lvl>
    <w:lvl w:ilvl="2" w:tplc="E1A03450" w:tentative="1">
      <w:start w:val="1"/>
      <w:numFmt w:val="bullet"/>
      <w:lvlText w:val=""/>
      <w:lvlJc w:val="left"/>
      <w:pPr>
        <w:tabs>
          <w:tab w:val="num" w:pos="2160"/>
        </w:tabs>
        <w:ind w:left="2160" w:hanging="360"/>
      </w:pPr>
      <w:rPr>
        <w:rFonts w:ascii="Symbol" w:hAnsi="Symbol" w:hint="default"/>
        <w:sz w:val="20"/>
      </w:rPr>
    </w:lvl>
    <w:lvl w:ilvl="3" w:tplc="6A6E79C4" w:tentative="1">
      <w:start w:val="1"/>
      <w:numFmt w:val="bullet"/>
      <w:lvlText w:val=""/>
      <w:lvlJc w:val="left"/>
      <w:pPr>
        <w:tabs>
          <w:tab w:val="num" w:pos="2880"/>
        </w:tabs>
        <w:ind w:left="2880" w:hanging="360"/>
      </w:pPr>
      <w:rPr>
        <w:rFonts w:ascii="Symbol" w:hAnsi="Symbol" w:hint="default"/>
        <w:sz w:val="20"/>
      </w:rPr>
    </w:lvl>
    <w:lvl w:ilvl="4" w:tplc="CE54E5EC" w:tentative="1">
      <w:start w:val="1"/>
      <w:numFmt w:val="bullet"/>
      <w:lvlText w:val=""/>
      <w:lvlJc w:val="left"/>
      <w:pPr>
        <w:tabs>
          <w:tab w:val="num" w:pos="3600"/>
        </w:tabs>
        <w:ind w:left="3600" w:hanging="360"/>
      </w:pPr>
      <w:rPr>
        <w:rFonts w:ascii="Symbol" w:hAnsi="Symbol" w:hint="default"/>
        <w:sz w:val="20"/>
      </w:rPr>
    </w:lvl>
    <w:lvl w:ilvl="5" w:tplc="19CE33AA" w:tentative="1">
      <w:start w:val="1"/>
      <w:numFmt w:val="bullet"/>
      <w:lvlText w:val=""/>
      <w:lvlJc w:val="left"/>
      <w:pPr>
        <w:tabs>
          <w:tab w:val="num" w:pos="4320"/>
        </w:tabs>
        <w:ind w:left="4320" w:hanging="360"/>
      </w:pPr>
      <w:rPr>
        <w:rFonts w:ascii="Symbol" w:hAnsi="Symbol" w:hint="default"/>
        <w:sz w:val="20"/>
      </w:rPr>
    </w:lvl>
    <w:lvl w:ilvl="6" w:tplc="5ADC01B0" w:tentative="1">
      <w:start w:val="1"/>
      <w:numFmt w:val="bullet"/>
      <w:lvlText w:val=""/>
      <w:lvlJc w:val="left"/>
      <w:pPr>
        <w:tabs>
          <w:tab w:val="num" w:pos="5040"/>
        </w:tabs>
        <w:ind w:left="5040" w:hanging="360"/>
      </w:pPr>
      <w:rPr>
        <w:rFonts w:ascii="Symbol" w:hAnsi="Symbol" w:hint="default"/>
        <w:sz w:val="20"/>
      </w:rPr>
    </w:lvl>
    <w:lvl w:ilvl="7" w:tplc="209EABAC" w:tentative="1">
      <w:start w:val="1"/>
      <w:numFmt w:val="bullet"/>
      <w:lvlText w:val=""/>
      <w:lvlJc w:val="left"/>
      <w:pPr>
        <w:tabs>
          <w:tab w:val="num" w:pos="5760"/>
        </w:tabs>
        <w:ind w:left="5760" w:hanging="360"/>
      </w:pPr>
      <w:rPr>
        <w:rFonts w:ascii="Symbol" w:hAnsi="Symbol" w:hint="default"/>
        <w:sz w:val="20"/>
      </w:rPr>
    </w:lvl>
    <w:lvl w:ilvl="8" w:tplc="7214D0C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FD047D5"/>
    <w:multiLevelType w:val="multilevel"/>
    <w:tmpl w:val="46A0F66A"/>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74" w15:restartNumberingAfterBreak="0">
    <w:nsid w:val="10327C7A"/>
    <w:multiLevelType w:val="hybridMultilevel"/>
    <w:tmpl w:val="3E18A80C"/>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5" w15:restartNumberingAfterBreak="0">
    <w:nsid w:val="103C773E"/>
    <w:multiLevelType w:val="hybridMultilevel"/>
    <w:tmpl w:val="FFFFFFFF"/>
    <w:lvl w:ilvl="0" w:tplc="95CAEC58">
      <w:start w:val="1"/>
      <w:numFmt w:val="lowerLetter"/>
      <w:lvlText w:val="%1)"/>
      <w:lvlJc w:val="left"/>
      <w:pPr>
        <w:ind w:left="1080" w:hanging="360"/>
      </w:pPr>
    </w:lvl>
    <w:lvl w:ilvl="1" w:tplc="7904009C">
      <w:start w:val="1"/>
      <w:numFmt w:val="lowerLetter"/>
      <w:lvlText w:val="%2."/>
      <w:lvlJc w:val="left"/>
      <w:pPr>
        <w:ind w:left="1800" w:hanging="360"/>
      </w:pPr>
    </w:lvl>
    <w:lvl w:ilvl="2" w:tplc="BFD00E96">
      <w:start w:val="1"/>
      <w:numFmt w:val="lowerRoman"/>
      <w:lvlText w:val="%3."/>
      <w:lvlJc w:val="right"/>
      <w:pPr>
        <w:ind w:left="2520" w:hanging="180"/>
      </w:pPr>
    </w:lvl>
    <w:lvl w:ilvl="3" w:tplc="0D4A295A">
      <w:start w:val="1"/>
      <w:numFmt w:val="decimal"/>
      <w:lvlText w:val="%4."/>
      <w:lvlJc w:val="left"/>
      <w:pPr>
        <w:ind w:left="3240" w:hanging="360"/>
      </w:pPr>
    </w:lvl>
    <w:lvl w:ilvl="4" w:tplc="CA78FE7C">
      <w:start w:val="1"/>
      <w:numFmt w:val="lowerLetter"/>
      <w:lvlText w:val="%5."/>
      <w:lvlJc w:val="left"/>
      <w:pPr>
        <w:ind w:left="3960" w:hanging="360"/>
      </w:pPr>
    </w:lvl>
    <w:lvl w:ilvl="5" w:tplc="8684D982">
      <w:start w:val="1"/>
      <w:numFmt w:val="lowerRoman"/>
      <w:lvlText w:val="%6."/>
      <w:lvlJc w:val="right"/>
      <w:pPr>
        <w:ind w:left="4680" w:hanging="180"/>
      </w:pPr>
    </w:lvl>
    <w:lvl w:ilvl="6" w:tplc="134EFB84">
      <w:start w:val="1"/>
      <w:numFmt w:val="decimal"/>
      <w:lvlText w:val="%7."/>
      <w:lvlJc w:val="left"/>
      <w:pPr>
        <w:ind w:left="5400" w:hanging="360"/>
      </w:pPr>
    </w:lvl>
    <w:lvl w:ilvl="7" w:tplc="A90CD31A">
      <w:start w:val="1"/>
      <w:numFmt w:val="lowerLetter"/>
      <w:lvlText w:val="%8."/>
      <w:lvlJc w:val="left"/>
      <w:pPr>
        <w:ind w:left="6120" w:hanging="360"/>
      </w:pPr>
    </w:lvl>
    <w:lvl w:ilvl="8" w:tplc="12BC3C9A">
      <w:start w:val="1"/>
      <w:numFmt w:val="lowerRoman"/>
      <w:lvlText w:val="%9."/>
      <w:lvlJc w:val="right"/>
      <w:pPr>
        <w:ind w:left="6840" w:hanging="180"/>
      </w:pPr>
    </w:lvl>
  </w:abstractNum>
  <w:abstractNum w:abstractNumId="76" w15:restartNumberingAfterBreak="0">
    <w:nsid w:val="10FD7EA7"/>
    <w:multiLevelType w:val="multilevel"/>
    <w:tmpl w:val="94FAB608"/>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77" w15:restartNumberingAfterBreak="0">
    <w:nsid w:val="110E0994"/>
    <w:multiLevelType w:val="hybridMultilevel"/>
    <w:tmpl w:val="237E0EAA"/>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78"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79" w15:restartNumberingAfterBreak="0">
    <w:nsid w:val="12091221"/>
    <w:multiLevelType w:val="hybridMultilevel"/>
    <w:tmpl w:val="C1045C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121F58D7"/>
    <w:multiLevelType w:val="hybridMultilevel"/>
    <w:tmpl w:val="6D641E58"/>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81" w15:restartNumberingAfterBreak="0">
    <w:nsid w:val="132826DC"/>
    <w:multiLevelType w:val="hybridMultilevel"/>
    <w:tmpl w:val="E7647CBC"/>
    <w:lvl w:ilvl="0" w:tplc="0C09001B">
      <w:start w:val="1"/>
      <w:numFmt w:val="lowerRoman"/>
      <w:lvlText w:val="%1."/>
      <w:lvlJc w:val="righ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82" w15:restartNumberingAfterBreak="0">
    <w:nsid w:val="135E4313"/>
    <w:multiLevelType w:val="hybridMultilevel"/>
    <w:tmpl w:val="8BA6E83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136C4AF1"/>
    <w:multiLevelType w:val="hybridMultilevel"/>
    <w:tmpl w:val="30162D42"/>
    <w:lvl w:ilvl="0" w:tplc="A7ACDE98">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4" w15:restartNumberingAfterBreak="0">
    <w:nsid w:val="13734A70"/>
    <w:multiLevelType w:val="hybridMultilevel"/>
    <w:tmpl w:val="EE64347E"/>
    <w:lvl w:ilvl="0" w:tplc="1B9A5922">
      <w:start w:val="1"/>
      <w:numFmt w:val="lowerLetter"/>
      <w:lvlText w:val="(%1)"/>
      <w:lvlJc w:val="left"/>
      <w:pPr>
        <w:ind w:left="1211" w:hanging="360"/>
      </w:pPr>
      <w:rPr>
        <w:rFonts w:ascii="HelveticaNeueLT Std Lt" w:eastAsiaTheme="minorHAnsi" w:hAnsi="HelveticaNeueLT Std Lt" w:cs="HelveticaNeueLT Std 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85" w15:restartNumberingAfterBreak="0">
    <w:nsid w:val="1385025D"/>
    <w:multiLevelType w:val="hybridMultilevel"/>
    <w:tmpl w:val="9106359A"/>
    <w:lvl w:ilvl="0" w:tplc="0C090017">
      <w:start w:val="1"/>
      <w:numFmt w:val="lowerLetter"/>
      <w:lvlText w:val="%1)"/>
      <w:lvlJc w:val="left"/>
      <w:pPr>
        <w:ind w:left="1069" w:hanging="360"/>
      </w:pPr>
      <w:rPr>
        <w:rFonts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86" w15:restartNumberingAfterBreak="0">
    <w:nsid w:val="13D45ECF"/>
    <w:multiLevelType w:val="hybridMultilevel"/>
    <w:tmpl w:val="0DBA19F4"/>
    <w:lvl w:ilvl="0" w:tplc="ED72BCA2">
      <w:start w:val="1"/>
      <w:numFmt w:val="lowerLetter"/>
      <w:lvlText w:val="%1)"/>
      <w:lvlJc w:val="left"/>
      <w:pPr>
        <w:ind w:left="1080" w:hanging="360"/>
      </w:pPr>
    </w:lvl>
    <w:lvl w:ilvl="1" w:tplc="2AC886B2">
      <w:start w:val="1"/>
      <w:numFmt w:val="lowerLetter"/>
      <w:lvlText w:val="%2."/>
      <w:lvlJc w:val="left"/>
      <w:pPr>
        <w:ind w:left="1800" w:hanging="360"/>
      </w:pPr>
    </w:lvl>
    <w:lvl w:ilvl="2" w:tplc="C6ECC8C4">
      <w:start w:val="1"/>
      <w:numFmt w:val="lowerRoman"/>
      <w:lvlText w:val="%3."/>
      <w:lvlJc w:val="right"/>
      <w:pPr>
        <w:ind w:left="2520" w:hanging="180"/>
      </w:pPr>
    </w:lvl>
    <w:lvl w:ilvl="3" w:tplc="BD3C4082">
      <w:start w:val="1"/>
      <w:numFmt w:val="decimal"/>
      <w:lvlText w:val="%4."/>
      <w:lvlJc w:val="left"/>
      <w:pPr>
        <w:ind w:left="3240" w:hanging="360"/>
      </w:pPr>
    </w:lvl>
    <w:lvl w:ilvl="4" w:tplc="4D4A7DE4">
      <w:start w:val="1"/>
      <w:numFmt w:val="lowerLetter"/>
      <w:lvlText w:val="%5."/>
      <w:lvlJc w:val="left"/>
      <w:pPr>
        <w:ind w:left="3960" w:hanging="360"/>
      </w:pPr>
    </w:lvl>
    <w:lvl w:ilvl="5" w:tplc="366E68F6">
      <w:start w:val="1"/>
      <w:numFmt w:val="lowerRoman"/>
      <w:lvlText w:val="%6."/>
      <w:lvlJc w:val="right"/>
      <w:pPr>
        <w:ind w:left="4680" w:hanging="180"/>
      </w:pPr>
    </w:lvl>
    <w:lvl w:ilvl="6" w:tplc="22CC3FD6">
      <w:start w:val="1"/>
      <w:numFmt w:val="decimal"/>
      <w:lvlText w:val="%7."/>
      <w:lvlJc w:val="left"/>
      <w:pPr>
        <w:ind w:left="5400" w:hanging="360"/>
      </w:pPr>
    </w:lvl>
    <w:lvl w:ilvl="7" w:tplc="6CC086F0">
      <w:start w:val="1"/>
      <w:numFmt w:val="lowerLetter"/>
      <w:lvlText w:val="%8."/>
      <w:lvlJc w:val="left"/>
      <w:pPr>
        <w:ind w:left="6120" w:hanging="360"/>
      </w:pPr>
    </w:lvl>
    <w:lvl w:ilvl="8" w:tplc="41E0989A">
      <w:start w:val="1"/>
      <w:numFmt w:val="lowerRoman"/>
      <w:lvlText w:val="%9."/>
      <w:lvlJc w:val="right"/>
      <w:pPr>
        <w:ind w:left="6840" w:hanging="180"/>
      </w:pPr>
    </w:lvl>
  </w:abstractNum>
  <w:abstractNum w:abstractNumId="87" w15:restartNumberingAfterBreak="0">
    <w:nsid w:val="15050B2F"/>
    <w:multiLevelType w:val="multilevel"/>
    <w:tmpl w:val="C776741E"/>
    <w:lvl w:ilvl="0">
      <w:start w:val="1"/>
      <w:numFmt w:val="decimal"/>
      <w:lvlText w:val="%1"/>
      <w:lvlJc w:val="left"/>
      <w:pPr>
        <w:ind w:left="360" w:hanging="360"/>
      </w:pPr>
      <w:rPr>
        <w:rFonts w:hint="default"/>
        <w:color w:val="0563C1" w:themeColor="hyperlink"/>
        <w:u w:val="single"/>
      </w:rPr>
    </w:lvl>
    <w:lvl w:ilvl="1">
      <w:start w:val="1"/>
      <w:numFmt w:val="decimal"/>
      <w:lvlText w:val="%1.%2"/>
      <w:lvlJc w:val="left"/>
      <w:pPr>
        <w:ind w:left="360" w:hanging="360"/>
      </w:pPr>
      <w:rPr>
        <w:rFonts w:hint="default"/>
        <w:color w:val="000000" w:themeColor="text1"/>
        <w:u w:val="none"/>
      </w:rPr>
    </w:lvl>
    <w:lvl w:ilvl="2">
      <w:start w:val="1"/>
      <w:numFmt w:val="lowerLetter"/>
      <w:lvlText w:val="%3)"/>
      <w:lvlJc w:val="left"/>
      <w:pPr>
        <w:ind w:left="720" w:hanging="720"/>
      </w:pPr>
      <w:rPr>
        <w:rFonts w:ascii="Times New Roman" w:eastAsiaTheme="minorHAnsi" w:hAnsi="Times New Roman" w:cs="Times New Roman" w:hint="default"/>
        <w:color w:val="000000" w:themeColor="text1"/>
        <w:u w:val="none"/>
      </w:rPr>
    </w:lvl>
    <w:lvl w:ilvl="3">
      <w:start w:val="1"/>
      <w:numFmt w:val="decimal"/>
      <w:lvlText w:val="%1.%2.%3.%4"/>
      <w:lvlJc w:val="left"/>
      <w:pPr>
        <w:ind w:left="1080" w:hanging="1080"/>
      </w:pPr>
      <w:rPr>
        <w:rFonts w:hint="default"/>
        <w:color w:val="0563C1" w:themeColor="hyperlink"/>
        <w:u w:val="single"/>
      </w:rPr>
    </w:lvl>
    <w:lvl w:ilvl="4">
      <w:start w:val="1"/>
      <w:numFmt w:val="decimal"/>
      <w:lvlText w:val="%1.%2.%3.%4.%5"/>
      <w:lvlJc w:val="left"/>
      <w:pPr>
        <w:ind w:left="1080" w:hanging="1080"/>
      </w:pPr>
      <w:rPr>
        <w:rFonts w:hint="default"/>
        <w:color w:val="0563C1" w:themeColor="hyperlink"/>
        <w:u w:val="single"/>
      </w:rPr>
    </w:lvl>
    <w:lvl w:ilvl="5">
      <w:start w:val="1"/>
      <w:numFmt w:val="decimal"/>
      <w:lvlText w:val="%1.%2.%3.%4.%5.%6"/>
      <w:lvlJc w:val="left"/>
      <w:pPr>
        <w:ind w:left="1440" w:hanging="1440"/>
      </w:pPr>
      <w:rPr>
        <w:rFonts w:hint="default"/>
        <w:color w:val="0563C1" w:themeColor="hyperlink"/>
        <w:u w:val="single"/>
      </w:rPr>
    </w:lvl>
    <w:lvl w:ilvl="6">
      <w:start w:val="1"/>
      <w:numFmt w:val="decimal"/>
      <w:lvlText w:val="%1.%2.%3.%4.%5.%6.%7"/>
      <w:lvlJc w:val="left"/>
      <w:pPr>
        <w:ind w:left="1440" w:hanging="1440"/>
      </w:pPr>
      <w:rPr>
        <w:rFonts w:hint="default"/>
        <w:color w:val="0563C1" w:themeColor="hyperlink"/>
        <w:u w:val="single"/>
      </w:rPr>
    </w:lvl>
    <w:lvl w:ilvl="7">
      <w:start w:val="1"/>
      <w:numFmt w:val="decimal"/>
      <w:lvlText w:val="%1.%2.%3.%4.%5.%6.%7.%8"/>
      <w:lvlJc w:val="left"/>
      <w:pPr>
        <w:ind w:left="1800" w:hanging="1800"/>
      </w:pPr>
      <w:rPr>
        <w:rFonts w:hint="default"/>
        <w:color w:val="0563C1" w:themeColor="hyperlink"/>
        <w:u w:val="single"/>
      </w:rPr>
    </w:lvl>
    <w:lvl w:ilvl="8">
      <w:start w:val="1"/>
      <w:numFmt w:val="decimal"/>
      <w:lvlText w:val="%1.%2.%3.%4.%5.%6.%7.%8.%9"/>
      <w:lvlJc w:val="left"/>
      <w:pPr>
        <w:ind w:left="1800" w:hanging="1800"/>
      </w:pPr>
      <w:rPr>
        <w:rFonts w:hint="default"/>
        <w:color w:val="0563C1" w:themeColor="hyperlink"/>
        <w:u w:val="single"/>
      </w:rPr>
    </w:lvl>
  </w:abstractNum>
  <w:abstractNum w:abstractNumId="88" w15:restartNumberingAfterBreak="0">
    <w:nsid w:val="15133BB2"/>
    <w:multiLevelType w:val="multilevel"/>
    <w:tmpl w:val="395E361E"/>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ascii="Calibri" w:hAnsi="Calibri" w:cs="Times New Roman" w:hint="default"/>
        <w:b w:val="0"/>
        <w:i w:val="0"/>
        <w:sz w:val="24"/>
      </w:rPr>
    </w:lvl>
    <w:lvl w:ilvl="3">
      <w:start w:val="1"/>
      <w:numFmt w:val="lowerRoman"/>
      <w:lvlText w:val="%4."/>
      <w:lvlJc w:val="right"/>
      <w:pPr>
        <w:ind w:left="2268" w:hanging="567"/>
      </w:pPr>
      <w:rPr>
        <w:rFonts w:hint="default"/>
        <w:b w:val="0"/>
        <w:i w:val="0"/>
        <w:sz w:val="17"/>
        <w:szCs w:val="17"/>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89"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90" w15:restartNumberingAfterBreak="0">
    <w:nsid w:val="15C15358"/>
    <w:multiLevelType w:val="hybridMultilevel"/>
    <w:tmpl w:val="49B404F0"/>
    <w:lvl w:ilvl="0" w:tplc="0C090017">
      <w:start w:val="1"/>
      <w:numFmt w:val="lowerLetter"/>
      <w:lvlText w:val="%1)"/>
      <w:lvlJc w:val="left"/>
      <w:pPr>
        <w:ind w:left="1000" w:hanging="360"/>
      </w:pPr>
      <w:rPr>
        <w:rFonts w:hint="default"/>
      </w:rPr>
    </w:lvl>
    <w:lvl w:ilvl="1" w:tplc="0C090003" w:tentative="1">
      <w:start w:val="1"/>
      <w:numFmt w:val="bullet"/>
      <w:lvlText w:val="o"/>
      <w:lvlJc w:val="left"/>
      <w:pPr>
        <w:ind w:left="1720" w:hanging="360"/>
      </w:pPr>
      <w:rPr>
        <w:rFonts w:ascii="Courier New" w:hAnsi="Courier New" w:cs="Courier New" w:hint="default"/>
      </w:rPr>
    </w:lvl>
    <w:lvl w:ilvl="2" w:tplc="0C090005" w:tentative="1">
      <w:start w:val="1"/>
      <w:numFmt w:val="bullet"/>
      <w:lvlText w:val=""/>
      <w:lvlJc w:val="left"/>
      <w:pPr>
        <w:ind w:left="2440" w:hanging="360"/>
      </w:pPr>
      <w:rPr>
        <w:rFonts w:ascii="Wingdings" w:hAnsi="Wingdings" w:hint="default"/>
      </w:rPr>
    </w:lvl>
    <w:lvl w:ilvl="3" w:tplc="0C090001" w:tentative="1">
      <w:start w:val="1"/>
      <w:numFmt w:val="bullet"/>
      <w:lvlText w:val=""/>
      <w:lvlJc w:val="left"/>
      <w:pPr>
        <w:ind w:left="3160" w:hanging="360"/>
      </w:pPr>
      <w:rPr>
        <w:rFonts w:ascii="Symbol" w:hAnsi="Symbol" w:hint="default"/>
      </w:rPr>
    </w:lvl>
    <w:lvl w:ilvl="4" w:tplc="0C090003" w:tentative="1">
      <w:start w:val="1"/>
      <w:numFmt w:val="bullet"/>
      <w:lvlText w:val="o"/>
      <w:lvlJc w:val="left"/>
      <w:pPr>
        <w:ind w:left="3880" w:hanging="360"/>
      </w:pPr>
      <w:rPr>
        <w:rFonts w:ascii="Courier New" w:hAnsi="Courier New" w:cs="Courier New" w:hint="default"/>
      </w:rPr>
    </w:lvl>
    <w:lvl w:ilvl="5" w:tplc="0C090005" w:tentative="1">
      <w:start w:val="1"/>
      <w:numFmt w:val="bullet"/>
      <w:lvlText w:val=""/>
      <w:lvlJc w:val="left"/>
      <w:pPr>
        <w:ind w:left="4600" w:hanging="360"/>
      </w:pPr>
      <w:rPr>
        <w:rFonts w:ascii="Wingdings" w:hAnsi="Wingdings" w:hint="default"/>
      </w:rPr>
    </w:lvl>
    <w:lvl w:ilvl="6" w:tplc="0C090001" w:tentative="1">
      <w:start w:val="1"/>
      <w:numFmt w:val="bullet"/>
      <w:lvlText w:val=""/>
      <w:lvlJc w:val="left"/>
      <w:pPr>
        <w:ind w:left="5320" w:hanging="360"/>
      </w:pPr>
      <w:rPr>
        <w:rFonts w:ascii="Symbol" w:hAnsi="Symbol" w:hint="default"/>
      </w:rPr>
    </w:lvl>
    <w:lvl w:ilvl="7" w:tplc="0C090003" w:tentative="1">
      <w:start w:val="1"/>
      <w:numFmt w:val="bullet"/>
      <w:lvlText w:val="o"/>
      <w:lvlJc w:val="left"/>
      <w:pPr>
        <w:ind w:left="6040" w:hanging="360"/>
      </w:pPr>
      <w:rPr>
        <w:rFonts w:ascii="Courier New" w:hAnsi="Courier New" w:cs="Courier New" w:hint="default"/>
      </w:rPr>
    </w:lvl>
    <w:lvl w:ilvl="8" w:tplc="0C090005" w:tentative="1">
      <w:start w:val="1"/>
      <w:numFmt w:val="bullet"/>
      <w:lvlText w:val=""/>
      <w:lvlJc w:val="left"/>
      <w:pPr>
        <w:ind w:left="6760" w:hanging="360"/>
      </w:pPr>
      <w:rPr>
        <w:rFonts w:ascii="Wingdings" w:hAnsi="Wingdings" w:hint="default"/>
      </w:rPr>
    </w:lvl>
  </w:abstractNum>
  <w:abstractNum w:abstractNumId="91" w15:restartNumberingAfterBreak="0">
    <w:nsid w:val="162F2FA3"/>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2" w15:restartNumberingAfterBreak="0">
    <w:nsid w:val="16556764"/>
    <w:multiLevelType w:val="hybridMultilevel"/>
    <w:tmpl w:val="2FEE4DAE"/>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93" w15:restartNumberingAfterBreak="0">
    <w:nsid w:val="16597E14"/>
    <w:multiLevelType w:val="hybridMultilevel"/>
    <w:tmpl w:val="4052FCF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4" w15:restartNumberingAfterBreak="0">
    <w:nsid w:val="166B44A2"/>
    <w:multiLevelType w:val="hybridMultilevel"/>
    <w:tmpl w:val="7CEE5D36"/>
    <w:lvl w:ilvl="0" w:tplc="6310C708">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5" w15:restartNumberingAfterBreak="0">
    <w:nsid w:val="16D51B8B"/>
    <w:multiLevelType w:val="multilevel"/>
    <w:tmpl w:val="B84CD11A"/>
    <w:lvl w:ilvl="0">
      <w:start w:val="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17252297"/>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7" w15:restartNumberingAfterBreak="0">
    <w:nsid w:val="177C1D73"/>
    <w:multiLevelType w:val="hybridMultilevel"/>
    <w:tmpl w:val="D0283D24"/>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98" w15:restartNumberingAfterBreak="0">
    <w:nsid w:val="17EE296B"/>
    <w:multiLevelType w:val="multilevel"/>
    <w:tmpl w:val="2D5C9DB2"/>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ascii="Calibri" w:hAnsi="Calibri" w:cs="Times New Roman" w:hint="default"/>
        <w:b w:val="0"/>
        <w:i w:val="0"/>
        <w:sz w:val="24"/>
      </w:rPr>
    </w:lvl>
    <w:lvl w:ilvl="3">
      <w:start w:val="1"/>
      <w:numFmt w:val="lowerRoman"/>
      <w:lvlText w:val="%4."/>
      <w:lvlJc w:val="right"/>
      <w:pPr>
        <w:ind w:left="2268" w:hanging="567"/>
      </w:pPr>
      <w:rPr>
        <w:rFonts w:hint="default"/>
        <w:b w:val="0"/>
        <w:i w:val="0"/>
        <w:sz w:val="17"/>
        <w:szCs w:val="17"/>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99" w15:restartNumberingAfterBreak="0">
    <w:nsid w:val="185C4395"/>
    <w:multiLevelType w:val="hybridMultilevel"/>
    <w:tmpl w:val="3B6AC36E"/>
    <w:lvl w:ilvl="0" w:tplc="E9B433D4">
      <w:start w:val="1"/>
      <w:numFmt w:val="decimal"/>
      <w:lvlText w:val="(%1)"/>
      <w:lvlJc w:val="left"/>
      <w:pPr>
        <w:ind w:left="786" w:hanging="360"/>
      </w:pPr>
      <w:rPr>
        <w:rFonts w:hint="default"/>
        <w:b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0" w15:restartNumberingAfterBreak="0">
    <w:nsid w:val="18F46BC2"/>
    <w:multiLevelType w:val="hybridMultilevel"/>
    <w:tmpl w:val="6CAEA604"/>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01" w15:restartNumberingAfterBreak="0">
    <w:nsid w:val="19336C46"/>
    <w:multiLevelType w:val="hybridMultilevel"/>
    <w:tmpl w:val="3E18A80C"/>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2" w15:restartNumberingAfterBreak="0">
    <w:nsid w:val="195578DA"/>
    <w:multiLevelType w:val="hybridMultilevel"/>
    <w:tmpl w:val="1CF2F8E4"/>
    <w:lvl w:ilvl="0" w:tplc="0C090017">
      <w:start w:val="1"/>
      <w:numFmt w:val="lowerLetter"/>
      <w:lvlText w:val="%1)"/>
      <w:lvlJc w:val="left"/>
      <w:pPr>
        <w:ind w:left="1069" w:hanging="360"/>
      </w:pPr>
      <w:rPr>
        <w:rFonts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03" w15:restartNumberingAfterBreak="0">
    <w:nsid w:val="199A6325"/>
    <w:multiLevelType w:val="hybridMultilevel"/>
    <w:tmpl w:val="B2ECA13A"/>
    <w:lvl w:ilvl="0" w:tplc="D8BE755C">
      <w:start w:val="1"/>
      <w:numFmt w:val="lowerLetter"/>
      <w:lvlText w:val="%1)"/>
      <w:lvlJc w:val="left"/>
      <w:pPr>
        <w:ind w:left="1014" w:hanging="360"/>
      </w:pPr>
    </w:lvl>
    <w:lvl w:ilvl="1" w:tplc="BBAADB88" w:tentative="1">
      <w:start w:val="1"/>
      <w:numFmt w:val="bullet"/>
      <w:lvlText w:val="o"/>
      <w:lvlJc w:val="left"/>
      <w:pPr>
        <w:ind w:left="1734" w:hanging="360"/>
      </w:pPr>
      <w:rPr>
        <w:rFonts w:ascii="Courier New" w:hAnsi="Courier New" w:hint="default"/>
      </w:rPr>
    </w:lvl>
    <w:lvl w:ilvl="2" w:tplc="706A14FE" w:tentative="1">
      <w:start w:val="1"/>
      <w:numFmt w:val="bullet"/>
      <w:lvlText w:val=""/>
      <w:lvlJc w:val="left"/>
      <w:pPr>
        <w:ind w:left="2454" w:hanging="360"/>
      </w:pPr>
      <w:rPr>
        <w:rFonts w:ascii="Wingdings" w:hAnsi="Wingdings" w:hint="default"/>
      </w:rPr>
    </w:lvl>
    <w:lvl w:ilvl="3" w:tplc="9BF45BA4" w:tentative="1">
      <w:start w:val="1"/>
      <w:numFmt w:val="bullet"/>
      <w:lvlText w:val=""/>
      <w:lvlJc w:val="left"/>
      <w:pPr>
        <w:ind w:left="3174" w:hanging="360"/>
      </w:pPr>
      <w:rPr>
        <w:rFonts w:ascii="Symbol" w:hAnsi="Symbol" w:hint="default"/>
      </w:rPr>
    </w:lvl>
    <w:lvl w:ilvl="4" w:tplc="1FB60E9C" w:tentative="1">
      <w:start w:val="1"/>
      <w:numFmt w:val="bullet"/>
      <w:lvlText w:val="o"/>
      <w:lvlJc w:val="left"/>
      <w:pPr>
        <w:ind w:left="3894" w:hanging="360"/>
      </w:pPr>
      <w:rPr>
        <w:rFonts w:ascii="Courier New" w:hAnsi="Courier New" w:hint="default"/>
      </w:rPr>
    </w:lvl>
    <w:lvl w:ilvl="5" w:tplc="BC4E7B3E" w:tentative="1">
      <w:start w:val="1"/>
      <w:numFmt w:val="bullet"/>
      <w:lvlText w:val=""/>
      <w:lvlJc w:val="left"/>
      <w:pPr>
        <w:ind w:left="4614" w:hanging="360"/>
      </w:pPr>
      <w:rPr>
        <w:rFonts w:ascii="Wingdings" w:hAnsi="Wingdings" w:hint="default"/>
      </w:rPr>
    </w:lvl>
    <w:lvl w:ilvl="6" w:tplc="5B74F9D2" w:tentative="1">
      <w:start w:val="1"/>
      <w:numFmt w:val="bullet"/>
      <w:lvlText w:val=""/>
      <w:lvlJc w:val="left"/>
      <w:pPr>
        <w:ind w:left="5334" w:hanging="360"/>
      </w:pPr>
      <w:rPr>
        <w:rFonts w:ascii="Symbol" w:hAnsi="Symbol" w:hint="default"/>
      </w:rPr>
    </w:lvl>
    <w:lvl w:ilvl="7" w:tplc="9A065522" w:tentative="1">
      <w:start w:val="1"/>
      <w:numFmt w:val="bullet"/>
      <w:lvlText w:val="o"/>
      <w:lvlJc w:val="left"/>
      <w:pPr>
        <w:ind w:left="6054" w:hanging="360"/>
      </w:pPr>
      <w:rPr>
        <w:rFonts w:ascii="Courier New" w:hAnsi="Courier New" w:hint="default"/>
      </w:rPr>
    </w:lvl>
    <w:lvl w:ilvl="8" w:tplc="881055D8" w:tentative="1">
      <w:start w:val="1"/>
      <w:numFmt w:val="bullet"/>
      <w:lvlText w:val=""/>
      <w:lvlJc w:val="left"/>
      <w:pPr>
        <w:ind w:left="6774" w:hanging="360"/>
      </w:pPr>
      <w:rPr>
        <w:rFonts w:ascii="Wingdings" w:hAnsi="Wingdings" w:hint="default"/>
      </w:rPr>
    </w:lvl>
  </w:abstractNum>
  <w:abstractNum w:abstractNumId="104" w15:restartNumberingAfterBreak="0">
    <w:nsid w:val="19C85639"/>
    <w:multiLevelType w:val="multilevel"/>
    <w:tmpl w:val="B07AB014"/>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05" w15:restartNumberingAfterBreak="0">
    <w:nsid w:val="1AA56827"/>
    <w:multiLevelType w:val="hybridMultilevel"/>
    <w:tmpl w:val="76D43090"/>
    <w:lvl w:ilvl="0" w:tplc="51106BB4">
      <w:start w:val="1"/>
      <w:numFmt w:val="lowerLetter"/>
      <w:lvlText w:val="%1)"/>
      <w:lvlJc w:val="left"/>
      <w:pPr>
        <w:ind w:left="1069" w:hanging="360"/>
      </w:pPr>
      <w:rPr>
        <w:rFonts w:ascii="Times New Roman" w:hAnsi="Times New Roman" w:cs="Times New Roman" w:hint="default"/>
      </w:rPr>
    </w:lvl>
    <w:lvl w:ilvl="1" w:tplc="9C90A7F2">
      <w:start w:val="1"/>
      <w:numFmt w:val="bullet"/>
      <w:lvlText w:val="o"/>
      <w:lvlJc w:val="left"/>
      <w:pPr>
        <w:ind w:left="1789" w:hanging="360"/>
      </w:pPr>
      <w:rPr>
        <w:rFonts w:ascii="Courier New" w:hAnsi="Courier New" w:hint="default"/>
      </w:rPr>
    </w:lvl>
    <w:lvl w:ilvl="2" w:tplc="64E2D0FA">
      <w:start w:val="1"/>
      <w:numFmt w:val="bullet"/>
      <w:lvlText w:val=""/>
      <w:lvlJc w:val="left"/>
      <w:pPr>
        <w:ind w:left="2509" w:hanging="360"/>
      </w:pPr>
      <w:rPr>
        <w:rFonts w:ascii="Wingdings" w:hAnsi="Wingdings" w:hint="default"/>
      </w:rPr>
    </w:lvl>
    <w:lvl w:ilvl="3" w:tplc="7F9A9672">
      <w:start w:val="1"/>
      <w:numFmt w:val="bullet"/>
      <w:lvlText w:val=""/>
      <w:lvlJc w:val="left"/>
      <w:pPr>
        <w:ind w:left="3229" w:hanging="360"/>
      </w:pPr>
      <w:rPr>
        <w:rFonts w:ascii="Symbol" w:hAnsi="Symbol" w:hint="default"/>
      </w:rPr>
    </w:lvl>
    <w:lvl w:ilvl="4" w:tplc="FE2CA43C">
      <w:start w:val="1"/>
      <w:numFmt w:val="bullet"/>
      <w:lvlText w:val="o"/>
      <w:lvlJc w:val="left"/>
      <w:pPr>
        <w:ind w:left="3949" w:hanging="360"/>
      </w:pPr>
      <w:rPr>
        <w:rFonts w:ascii="Courier New" w:hAnsi="Courier New" w:hint="default"/>
      </w:rPr>
    </w:lvl>
    <w:lvl w:ilvl="5" w:tplc="2A9CF002">
      <w:start w:val="1"/>
      <w:numFmt w:val="bullet"/>
      <w:lvlText w:val=""/>
      <w:lvlJc w:val="left"/>
      <w:pPr>
        <w:ind w:left="4669" w:hanging="360"/>
      </w:pPr>
      <w:rPr>
        <w:rFonts w:ascii="Wingdings" w:hAnsi="Wingdings" w:hint="default"/>
      </w:rPr>
    </w:lvl>
    <w:lvl w:ilvl="6" w:tplc="43C41BAA">
      <w:start w:val="1"/>
      <w:numFmt w:val="bullet"/>
      <w:lvlText w:val=""/>
      <w:lvlJc w:val="left"/>
      <w:pPr>
        <w:ind w:left="5389" w:hanging="360"/>
      </w:pPr>
      <w:rPr>
        <w:rFonts w:ascii="Symbol" w:hAnsi="Symbol" w:hint="default"/>
      </w:rPr>
    </w:lvl>
    <w:lvl w:ilvl="7" w:tplc="9C36440C">
      <w:start w:val="1"/>
      <w:numFmt w:val="bullet"/>
      <w:lvlText w:val="o"/>
      <w:lvlJc w:val="left"/>
      <w:pPr>
        <w:ind w:left="6109" w:hanging="360"/>
      </w:pPr>
      <w:rPr>
        <w:rFonts w:ascii="Courier New" w:hAnsi="Courier New" w:hint="default"/>
      </w:rPr>
    </w:lvl>
    <w:lvl w:ilvl="8" w:tplc="03483ECA">
      <w:start w:val="1"/>
      <w:numFmt w:val="bullet"/>
      <w:lvlText w:val=""/>
      <w:lvlJc w:val="left"/>
      <w:pPr>
        <w:ind w:left="6829" w:hanging="360"/>
      </w:pPr>
      <w:rPr>
        <w:rFonts w:ascii="Wingdings" w:hAnsi="Wingdings" w:hint="default"/>
      </w:rPr>
    </w:lvl>
  </w:abstractNum>
  <w:abstractNum w:abstractNumId="106" w15:restartNumberingAfterBreak="0">
    <w:nsid w:val="1ACA7EE6"/>
    <w:multiLevelType w:val="hybridMultilevel"/>
    <w:tmpl w:val="FFFFFFFF"/>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107" w15:restartNumberingAfterBreak="0">
    <w:nsid w:val="1B2C1176"/>
    <w:multiLevelType w:val="hybridMultilevel"/>
    <w:tmpl w:val="2F94D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1B2C1CE8"/>
    <w:multiLevelType w:val="hybridMultilevel"/>
    <w:tmpl w:val="2D7AE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1B3E436F"/>
    <w:multiLevelType w:val="hybridMultilevel"/>
    <w:tmpl w:val="5BF8976C"/>
    <w:lvl w:ilvl="0" w:tplc="D4EE4D3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1B792B63"/>
    <w:multiLevelType w:val="hybridMultilevel"/>
    <w:tmpl w:val="6646F080"/>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1BD74E9F"/>
    <w:multiLevelType w:val="hybridMultilevel"/>
    <w:tmpl w:val="40B0FDF8"/>
    <w:lvl w:ilvl="0" w:tplc="D4EE4D3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1C5759F9"/>
    <w:multiLevelType w:val="hybridMultilevel"/>
    <w:tmpl w:val="3B6AC36E"/>
    <w:lvl w:ilvl="0" w:tplc="E9B433D4">
      <w:start w:val="1"/>
      <w:numFmt w:val="decimal"/>
      <w:lvlText w:val="(%1)"/>
      <w:lvlJc w:val="left"/>
      <w:pPr>
        <w:ind w:left="786" w:hanging="360"/>
      </w:pPr>
      <w:rPr>
        <w:rFonts w:hint="default"/>
        <w:b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13" w15:restartNumberingAfterBreak="0">
    <w:nsid w:val="1C8A0669"/>
    <w:multiLevelType w:val="hybridMultilevel"/>
    <w:tmpl w:val="3F7A939C"/>
    <w:lvl w:ilvl="0" w:tplc="BC267522">
      <w:start w:val="5"/>
      <w:numFmt w:val="bullet"/>
      <w:lvlText w:val=""/>
      <w:lvlJc w:val="left"/>
      <w:pPr>
        <w:ind w:left="720" w:hanging="360"/>
      </w:pPr>
      <w:rPr>
        <w:rFonts w:ascii="Symbol" w:eastAsiaTheme="minorHAnsi" w:hAnsi="Symbol" w:cs="Aria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BF84DDF4">
      <w:start w:val="2"/>
      <w:numFmt w:val="decimal"/>
      <w:lvlText w:val="%4."/>
      <w:lvlJc w:val="left"/>
      <w:pPr>
        <w:ind w:left="2880" w:hanging="360"/>
      </w:pPr>
      <w:rPr>
        <w:rFonts w:hint="default"/>
      </w:rPr>
    </w:lvl>
    <w:lvl w:ilvl="4" w:tplc="21C4CB8A">
      <w:start w:val="1"/>
      <w:numFmt w:val="lowerLetter"/>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1C9C48B3"/>
    <w:multiLevelType w:val="multilevel"/>
    <w:tmpl w:val="78327AEE"/>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15" w15:restartNumberingAfterBreak="0">
    <w:nsid w:val="1CB75B8E"/>
    <w:multiLevelType w:val="hybridMultilevel"/>
    <w:tmpl w:val="1B4A3CF2"/>
    <w:lvl w:ilvl="0" w:tplc="391C6376">
      <w:start w:val="1"/>
      <w:numFmt w:val="lowerLetter"/>
      <w:lvlText w:val="(%1)"/>
      <w:lvlJc w:val="left"/>
      <w:pPr>
        <w:ind w:left="1211"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16" w15:restartNumberingAfterBreak="0">
    <w:nsid w:val="1D296B8F"/>
    <w:multiLevelType w:val="multilevel"/>
    <w:tmpl w:val="5350BF10"/>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ascii="Calibri" w:hAnsi="Calibri" w:cs="Times New Roman" w:hint="default"/>
        <w:b w:val="0"/>
        <w:i w:val="0"/>
        <w:sz w:val="24"/>
      </w:rPr>
    </w:lvl>
    <w:lvl w:ilvl="3">
      <w:start w:val="1"/>
      <w:numFmt w:val="lowerRoman"/>
      <w:lvlText w:val="%4."/>
      <w:lvlJc w:val="right"/>
      <w:pPr>
        <w:ind w:left="2268" w:hanging="567"/>
      </w:pPr>
      <w:rPr>
        <w:rFonts w:hint="default"/>
        <w:b w:val="0"/>
        <w:i w:val="0"/>
        <w:sz w:val="17"/>
        <w:szCs w:val="17"/>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17" w15:restartNumberingAfterBreak="0">
    <w:nsid w:val="1D3060BE"/>
    <w:multiLevelType w:val="multilevel"/>
    <w:tmpl w:val="CDFE1514"/>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18" w15:restartNumberingAfterBreak="0">
    <w:nsid w:val="1DED56CB"/>
    <w:multiLevelType w:val="hybridMultilevel"/>
    <w:tmpl w:val="FA007930"/>
    <w:lvl w:ilvl="0" w:tplc="C060B72A">
      <w:start w:val="1"/>
      <w:numFmt w:val="lowerLetter"/>
      <w:lvlText w:val="%1)"/>
      <w:lvlJc w:val="left"/>
      <w:pPr>
        <w:ind w:left="1080" w:hanging="360"/>
      </w:pPr>
    </w:lvl>
    <w:lvl w:ilvl="1" w:tplc="6BFC125C">
      <w:start w:val="1"/>
      <w:numFmt w:val="lowerLetter"/>
      <w:lvlText w:val="%2."/>
      <w:lvlJc w:val="left"/>
      <w:pPr>
        <w:ind w:left="1800" w:hanging="360"/>
      </w:pPr>
    </w:lvl>
    <w:lvl w:ilvl="2" w:tplc="96723482">
      <w:start w:val="1"/>
      <w:numFmt w:val="lowerRoman"/>
      <w:lvlText w:val="%3."/>
      <w:lvlJc w:val="right"/>
      <w:pPr>
        <w:ind w:left="2520" w:hanging="180"/>
      </w:pPr>
    </w:lvl>
    <w:lvl w:ilvl="3" w:tplc="E4B455AE">
      <w:start w:val="1"/>
      <w:numFmt w:val="decimal"/>
      <w:lvlText w:val="%4."/>
      <w:lvlJc w:val="left"/>
      <w:pPr>
        <w:ind w:left="3240" w:hanging="360"/>
      </w:pPr>
    </w:lvl>
    <w:lvl w:ilvl="4" w:tplc="7910D3B8">
      <w:start w:val="1"/>
      <w:numFmt w:val="lowerLetter"/>
      <w:lvlText w:val="%5."/>
      <w:lvlJc w:val="left"/>
      <w:pPr>
        <w:ind w:left="3960" w:hanging="360"/>
      </w:pPr>
    </w:lvl>
    <w:lvl w:ilvl="5" w:tplc="C29448BA">
      <w:start w:val="1"/>
      <w:numFmt w:val="lowerRoman"/>
      <w:lvlText w:val="%6."/>
      <w:lvlJc w:val="right"/>
      <w:pPr>
        <w:ind w:left="4680" w:hanging="180"/>
      </w:pPr>
    </w:lvl>
    <w:lvl w:ilvl="6" w:tplc="928ECDD4">
      <w:start w:val="1"/>
      <w:numFmt w:val="decimal"/>
      <w:lvlText w:val="%7."/>
      <w:lvlJc w:val="left"/>
      <w:pPr>
        <w:ind w:left="5400" w:hanging="360"/>
      </w:pPr>
    </w:lvl>
    <w:lvl w:ilvl="7" w:tplc="EE8AA6CA">
      <w:start w:val="1"/>
      <w:numFmt w:val="lowerLetter"/>
      <w:lvlText w:val="%8."/>
      <w:lvlJc w:val="left"/>
      <w:pPr>
        <w:ind w:left="6120" w:hanging="360"/>
      </w:pPr>
    </w:lvl>
    <w:lvl w:ilvl="8" w:tplc="066800BC">
      <w:start w:val="1"/>
      <w:numFmt w:val="lowerRoman"/>
      <w:lvlText w:val="%9."/>
      <w:lvlJc w:val="right"/>
      <w:pPr>
        <w:ind w:left="6840" w:hanging="180"/>
      </w:pPr>
    </w:lvl>
  </w:abstractNum>
  <w:abstractNum w:abstractNumId="119" w15:restartNumberingAfterBreak="0">
    <w:nsid w:val="1E235C16"/>
    <w:multiLevelType w:val="hybridMultilevel"/>
    <w:tmpl w:val="CB2C09F0"/>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20" w15:restartNumberingAfterBreak="0">
    <w:nsid w:val="1E5E2A6F"/>
    <w:multiLevelType w:val="multilevel"/>
    <w:tmpl w:val="03EA8DB6"/>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1E6960CF"/>
    <w:multiLevelType w:val="hybridMultilevel"/>
    <w:tmpl w:val="6C7EB662"/>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22" w15:restartNumberingAfterBreak="0">
    <w:nsid w:val="1E6C4557"/>
    <w:multiLevelType w:val="hybridMultilevel"/>
    <w:tmpl w:val="4C523EB0"/>
    <w:lvl w:ilvl="0" w:tplc="0C090017">
      <w:start w:val="1"/>
      <w:numFmt w:val="lowerLetter"/>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23" w15:restartNumberingAfterBreak="0">
    <w:nsid w:val="1EC34F85"/>
    <w:multiLevelType w:val="hybridMultilevel"/>
    <w:tmpl w:val="B85068D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4" w15:restartNumberingAfterBreak="0">
    <w:nsid w:val="1F634047"/>
    <w:multiLevelType w:val="multilevel"/>
    <w:tmpl w:val="DF124920"/>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25" w15:restartNumberingAfterBreak="0">
    <w:nsid w:val="1FCE4A6B"/>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26" w15:restartNumberingAfterBreak="0">
    <w:nsid w:val="201E541E"/>
    <w:multiLevelType w:val="hybridMultilevel"/>
    <w:tmpl w:val="18143078"/>
    <w:lvl w:ilvl="0" w:tplc="F0385C04">
      <w:start w:val="1"/>
      <w:numFmt w:val="lowerLetter"/>
      <w:lvlText w:val="(%1)"/>
      <w:lvlJc w:val="left"/>
      <w:pPr>
        <w:ind w:left="1211" w:hanging="360"/>
      </w:pPr>
      <w:rPr>
        <w:rFonts w:hint="default"/>
        <w:b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27" w15:restartNumberingAfterBreak="0">
    <w:nsid w:val="206907AC"/>
    <w:multiLevelType w:val="multilevel"/>
    <w:tmpl w:val="ABDA39E6"/>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28" w15:restartNumberingAfterBreak="0">
    <w:nsid w:val="20F458F3"/>
    <w:multiLevelType w:val="hybridMultilevel"/>
    <w:tmpl w:val="4C4EC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21EB5ABA"/>
    <w:multiLevelType w:val="hybridMultilevel"/>
    <w:tmpl w:val="0966060A"/>
    <w:lvl w:ilvl="0" w:tplc="0E3A140C">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30" w15:restartNumberingAfterBreak="0">
    <w:nsid w:val="220C4FFA"/>
    <w:multiLevelType w:val="hybridMultilevel"/>
    <w:tmpl w:val="EEA23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2241594A"/>
    <w:multiLevelType w:val="hybridMultilevel"/>
    <w:tmpl w:val="3ACAB56A"/>
    <w:lvl w:ilvl="0" w:tplc="271CC79E">
      <w:start w:val="1"/>
      <w:numFmt w:val="lowerLetter"/>
      <w:lvlText w:val="(%1)"/>
      <w:lvlJc w:val="left"/>
      <w:pPr>
        <w:ind w:left="1211" w:hanging="360"/>
      </w:pPr>
      <w:rPr>
        <w:rFonts w:hint="default"/>
        <w:b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32" w15:restartNumberingAfterBreak="0">
    <w:nsid w:val="22BE184F"/>
    <w:multiLevelType w:val="hybridMultilevel"/>
    <w:tmpl w:val="3B6AC36E"/>
    <w:lvl w:ilvl="0" w:tplc="E9B433D4">
      <w:start w:val="1"/>
      <w:numFmt w:val="decimal"/>
      <w:lvlText w:val="(%1)"/>
      <w:lvlJc w:val="left"/>
      <w:pPr>
        <w:ind w:left="786" w:hanging="360"/>
      </w:pPr>
      <w:rPr>
        <w:rFonts w:hint="default"/>
        <w:b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33" w15:restartNumberingAfterBreak="0">
    <w:nsid w:val="233A14F1"/>
    <w:multiLevelType w:val="hybridMultilevel"/>
    <w:tmpl w:val="F8CEBA76"/>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34" w15:restartNumberingAfterBreak="0">
    <w:nsid w:val="2353503F"/>
    <w:multiLevelType w:val="hybridMultilevel"/>
    <w:tmpl w:val="6D641E58"/>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35" w15:restartNumberingAfterBreak="0">
    <w:nsid w:val="237215A6"/>
    <w:multiLevelType w:val="hybridMultilevel"/>
    <w:tmpl w:val="51849A04"/>
    <w:lvl w:ilvl="0" w:tplc="9CD06C90">
      <w:start w:val="1"/>
      <w:numFmt w:val="lowerLetter"/>
      <w:lvlText w:val="%1)"/>
      <w:lvlJc w:val="left"/>
      <w:pPr>
        <w:ind w:left="1080" w:hanging="360"/>
      </w:pPr>
    </w:lvl>
    <w:lvl w:ilvl="1" w:tplc="45008D48">
      <w:start w:val="1"/>
      <w:numFmt w:val="lowerLetter"/>
      <w:lvlText w:val="%2."/>
      <w:lvlJc w:val="left"/>
      <w:pPr>
        <w:ind w:left="1800" w:hanging="360"/>
      </w:pPr>
    </w:lvl>
    <w:lvl w:ilvl="2" w:tplc="662E7E10">
      <w:start w:val="1"/>
      <w:numFmt w:val="lowerRoman"/>
      <w:lvlText w:val="%3."/>
      <w:lvlJc w:val="right"/>
      <w:pPr>
        <w:ind w:left="2520" w:hanging="180"/>
      </w:pPr>
    </w:lvl>
    <w:lvl w:ilvl="3" w:tplc="D2D6D5DC">
      <w:start w:val="1"/>
      <w:numFmt w:val="decimal"/>
      <w:lvlText w:val="%4."/>
      <w:lvlJc w:val="left"/>
      <w:pPr>
        <w:ind w:left="3240" w:hanging="360"/>
      </w:pPr>
    </w:lvl>
    <w:lvl w:ilvl="4" w:tplc="05AA84FA">
      <w:start w:val="1"/>
      <w:numFmt w:val="lowerLetter"/>
      <w:lvlText w:val="%5."/>
      <w:lvlJc w:val="left"/>
      <w:pPr>
        <w:ind w:left="3960" w:hanging="360"/>
      </w:pPr>
    </w:lvl>
    <w:lvl w:ilvl="5" w:tplc="051453DE">
      <w:start w:val="1"/>
      <w:numFmt w:val="lowerRoman"/>
      <w:lvlText w:val="%6."/>
      <w:lvlJc w:val="right"/>
      <w:pPr>
        <w:ind w:left="4680" w:hanging="180"/>
      </w:pPr>
    </w:lvl>
    <w:lvl w:ilvl="6" w:tplc="CDCEF748">
      <w:start w:val="1"/>
      <w:numFmt w:val="decimal"/>
      <w:lvlText w:val="%7."/>
      <w:lvlJc w:val="left"/>
      <w:pPr>
        <w:ind w:left="5400" w:hanging="360"/>
      </w:pPr>
    </w:lvl>
    <w:lvl w:ilvl="7" w:tplc="16F6230A">
      <w:start w:val="1"/>
      <w:numFmt w:val="lowerLetter"/>
      <w:lvlText w:val="%8."/>
      <w:lvlJc w:val="left"/>
      <w:pPr>
        <w:ind w:left="6120" w:hanging="360"/>
      </w:pPr>
    </w:lvl>
    <w:lvl w:ilvl="8" w:tplc="C1E4EBE8">
      <w:start w:val="1"/>
      <w:numFmt w:val="lowerRoman"/>
      <w:lvlText w:val="%9."/>
      <w:lvlJc w:val="right"/>
      <w:pPr>
        <w:ind w:left="6840" w:hanging="180"/>
      </w:pPr>
    </w:lvl>
  </w:abstractNum>
  <w:abstractNum w:abstractNumId="136" w15:restartNumberingAfterBreak="0">
    <w:nsid w:val="238A2282"/>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37" w15:restartNumberingAfterBreak="0">
    <w:nsid w:val="24FC23C5"/>
    <w:multiLevelType w:val="hybridMultilevel"/>
    <w:tmpl w:val="2FEE4DAE"/>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138" w15:restartNumberingAfterBreak="0">
    <w:nsid w:val="264A302E"/>
    <w:multiLevelType w:val="hybridMultilevel"/>
    <w:tmpl w:val="3E18A80C"/>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39" w15:restartNumberingAfterBreak="0">
    <w:nsid w:val="268C7C8B"/>
    <w:multiLevelType w:val="hybridMultilevel"/>
    <w:tmpl w:val="5456F64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0" w15:restartNumberingAfterBreak="0">
    <w:nsid w:val="26D0365C"/>
    <w:multiLevelType w:val="hybridMultilevel"/>
    <w:tmpl w:val="6E7E50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1" w15:restartNumberingAfterBreak="0">
    <w:nsid w:val="27494260"/>
    <w:multiLevelType w:val="multilevel"/>
    <w:tmpl w:val="7FE03A86"/>
    <w:lvl w:ilvl="0">
      <w:start w:val="1"/>
      <w:numFmt w:val="decimal"/>
      <w:lvlText w:val="%1."/>
      <w:lvlJc w:val="left"/>
      <w:pPr>
        <w:ind w:left="360" w:hanging="360"/>
      </w:pPr>
      <w:rPr>
        <w:rFonts w:hint="default"/>
        <w:b/>
        <w:bCs w:val="0"/>
        <w:sz w:val="24"/>
        <w:szCs w:val="24"/>
      </w:rPr>
    </w:lvl>
    <w:lvl w:ilvl="1">
      <w:start w:val="1"/>
      <w:numFmt w:val="decimal"/>
      <w:isLg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2" w15:restartNumberingAfterBreak="0">
    <w:nsid w:val="275F32C9"/>
    <w:multiLevelType w:val="hybridMultilevel"/>
    <w:tmpl w:val="BF3A8C3A"/>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43" w15:restartNumberingAfterBreak="0">
    <w:nsid w:val="276F176D"/>
    <w:multiLevelType w:val="hybridMultilevel"/>
    <w:tmpl w:val="C9A667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4" w15:restartNumberingAfterBreak="0">
    <w:nsid w:val="27761269"/>
    <w:multiLevelType w:val="hybridMultilevel"/>
    <w:tmpl w:val="D7C2DFA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277C0C7B"/>
    <w:multiLevelType w:val="hybridMultilevel"/>
    <w:tmpl w:val="2FDC99CE"/>
    <w:lvl w:ilvl="0" w:tplc="ABD826F0">
      <w:start w:val="1"/>
      <w:numFmt w:val="lowerLetter"/>
      <w:lvlText w:val="%1)"/>
      <w:lvlJc w:val="left"/>
      <w:pPr>
        <w:ind w:left="922" w:hanging="360"/>
      </w:pPr>
      <w:rPr>
        <w:rFonts w:hint="default"/>
      </w:rPr>
    </w:lvl>
    <w:lvl w:ilvl="1" w:tplc="0C090019" w:tentative="1">
      <w:start w:val="1"/>
      <w:numFmt w:val="lowerLetter"/>
      <w:lvlText w:val="%2."/>
      <w:lvlJc w:val="left"/>
      <w:pPr>
        <w:ind w:left="1642" w:hanging="360"/>
      </w:pPr>
    </w:lvl>
    <w:lvl w:ilvl="2" w:tplc="0C09001B" w:tentative="1">
      <w:start w:val="1"/>
      <w:numFmt w:val="lowerRoman"/>
      <w:lvlText w:val="%3."/>
      <w:lvlJc w:val="right"/>
      <w:pPr>
        <w:ind w:left="2362" w:hanging="180"/>
      </w:pPr>
    </w:lvl>
    <w:lvl w:ilvl="3" w:tplc="0C09000F" w:tentative="1">
      <w:start w:val="1"/>
      <w:numFmt w:val="decimal"/>
      <w:lvlText w:val="%4."/>
      <w:lvlJc w:val="left"/>
      <w:pPr>
        <w:ind w:left="3082" w:hanging="360"/>
      </w:pPr>
    </w:lvl>
    <w:lvl w:ilvl="4" w:tplc="0C090019" w:tentative="1">
      <w:start w:val="1"/>
      <w:numFmt w:val="lowerLetter"/>
      <w:lvlText w:val="%5."/>
      <w:lvlJc w:val="left"/>
      <w:pPr>
        <w:ind w:left="3802" w:hanging="360"/>
      </w:pPr>
    </w:lvl>
    <w:lvl w:ilvl="5" w:tplc="0C09001B" w:tentative="1">
      <w:start w:val="1"/>
      <w:numFmt w:val="lowerRoman"/>
      <w:lvlText w:val="%6."/>
      <w:lvlJc w:val="right"/>
      <w:pPr>
        <w:ind w:left="4522" w:hanging="180"/>
      </w:pPr>
    </w:lvl>
    <w:lvl w:ilvl="6" w:tplc="0C09000F" w:tentative="1">
      <w:start w:val="1"/>
      <w:numFmt w:val="decimal"/>
      <w:lvlText w:val="%7."/>
      <w:lvlJc w:val="left"/>
      <w:pPr>
        <w:ind w:left="5242" w:hanging="360"/>
      </w:pPr>
    </w:lvl>
    <w:lvl w:ilvl="7" w:tplc="0C090019" w:tentative="1">
      <w:start w:val="1"/>
      <w:numFmt w:val="lowerLetter"/>
      <w:lvlText w:val="%8."/>
      <w:lvlJc w:val="left"/>
      <w:pPr>
        <w:ind w:left="5962" w:hanging="360"/>
      </w:pPr>
    </w:lvl>
    <w:lvl w:ilvl="8" w:tplc="0C09001B" w:tentative="1">
      <w:start w:val="1"/>
      <w:numFmt w:val="lowerRoman"/>
      <w:lvlText w:val="%9."/>
      <w:lvlJc w:val="right"/>
      <w:pPr>
        <w:ind w:left="6682" w:hanging="180"/>
      </w:pPr>
    </w:lvl>
  </w:abstractNum>
  <w:abstractNum w:abstractNumId="146" w15:restartNumberingAfterBreak="0">
    <w:nsid w:val="27CC75F2"/>
    <w:multiLevelType w:val="hybridMultilevel"/>
    <w:tmpl w:val="5DD2D526"/>
    <w:lvl w:ilvl="0" w:tplc="B4A4A23E">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7" w15:restartNumberingAfterBreak="0">
    <w:nsid w:val="27DF49E8"/>
    <w:multiLevelType w:val="hybridMultilevel"/>
    <w:tmpl w:val="2D743F22"/>
    <w:lvl w:ilvl="0" w:tplc="51AED9F2">
      <w:start w:val="1"/>
      <w:numFmt w:val="lowerLetter"/>
      <w:lvlText w:val="%1)"/>
      <w:lvlJc w:val="left"/>
      <w:pPr>
        <w:ind w:left="1080" w:hanging="360"/>
      </w:pPr>
    </w:lvl>
    <w:lvl w:ilvl="1" w:tplc="BEAC691C">
      <w:start w:val="1"/>
      <w:numFmt w:val="lowerLetter"/>
      <w:lvlText w:val="%2."/>
      <w:lvlJc w:val="left"/>
      <w:pPr>
        <w:ind w:left="1800" w:hanging="360"/>
      </w:pPr>
    </w:lvl>
    <w:lvl w:ilvl="2" w:tplc="B42A588A">
      <w:start w:val="1"/>
      <w:numFmt w:val="lowerRoman"/>
      <w:lvlText w:val="%3."/>
      <w:lvlJc w:val="right"/>
      <w:pPr>
        <w:ind w:left="2520" w:hanging="180"/>
      </w:pPr>
    </w:lvl>
    <w:lvl w:ilvl="3" w:tplc="0D7E165C">
      <w:start w:val="1"/>
      <w:numFmt w:val="decimal"/>
      <w:lvlText w:val="%4."/>
      <w:lvlJc w:val="left"/>
      <w:pPr>
        <w:ind w:left="3240" w:hanging="360"/>
      </w:pPr>
    </w:lvl>
    <w:lvl w:ilvl="4" w:tplc="4C1AD1D8">
      <w:start w:val="1"/>
      <w:numFmt w:val="lowerLetter"/>
      <w:lvlText w:val="%5."/>
      <w:lvlJc w:val="left"/>
      <w:pPr>
        <w:ind w:left="3960" w:hanging="360"/>
      </w:pPr>
    </w:lvl>
    <w:lvl w:ilvl="5" w:tplc="D4D4620C">
      <w:start w:val="1"/>
      <w:numFmt w:val="lowerRoman"/>
      <w:lvlText w:val="%6."/>
      <w:lvlJc w:val="right"/>
      <w:pPr>
        <w:ind w:left="4680" w:hanging="180"/>
      </w:pPr>
    </w:lvl>
    <w:lvl w:ilvl="6" w:tplc="0284BAFE">
      <w:start w:val="1"/>
      <w:numFmt w:val="decimal"/>
      <w:lvlText w:val="%7."/>
      <w:lvlJc w:val="left"/>
      <w:pPr>
        <w:ind w:left="5400" w:hanging="360"/>
      </w:pPr>
    </w:lvl>
    <w:lvl w:ilvl="7" w:tplc="4B0ECC3A">
      <w:start w:val="1"/>
      <w:numFmt w:val="lowerLetter"/>
      <w:lvlText w:val="%8."/>
      <w:lvlJc w:val="left"/>
      <w:pPr>
        <w:ind w:left="6120" w:hanging="360"/>
      </w:pPr>
    </w:lvl>
    <w:lvl w:ilvl="8" w:tplc="898E82D2">
      <w:start w:val="1"/>
      <w:numFmt w:val="lowerRoman"/>
      <w:lvlText w:val="%9."/>
      <w:lvlJc w:val="right"/>
      <w:pPr>
        <w:ind w:left="6840" w:hanging="180"/>
      </w:pPr>
    </w:lvl>
  </w:abstractNum>
  <w:abstractNum w:abstractNumId="148" w15:restartNumberingAfterBreak="0">
    <w:nsid w:val="281E42CC"/>
    <w:multiLevelType w:val="hybridMultilevel"/>
    <w:tmpl w:val="7F36A9BE"/>
    <w:lvl w:ilvl="0" w:tplc="11D43B1E">
      <w:start w:val="1"/>
      <w:numFmt w:val="lowerLetter"/>
      <w:lvlText w:val="%1)"/>
      <w:lvlJc w:val="left"/>
      <w:pPr>
        <w:ind w:left="1080" w:hanging="360"/>
      </w:pPr>
    </w:lvl>
    <w:lvl w:ilvl="1" w:tplc="4E2EC0DA">
      <w:start w:val="1"/>
      <w:numFmt w:val="lowerLetter"/>
      <w:lvlText w:val="%2."/>
      <w:lvlJc w:val="left"/>
      <w:pPr>
        <w:ind w:left="1800" w:hanging="360"/>
      </w:pPr>
    </w:lvl>
    <w:lvl w:ilvl="2" w:tplc="DDCA1F02">
      <w:start w:val="1"/>
      <w:numFmt w:val="lowerRoman"/>
      <w:lvlText w:val="%3."/>
      <w:lvlJc w:val="right"/>
      <w:pPr>
        <w:ind w:left="2520" w:hanging="180"/>
      </w:pPr>
    </w:lvl>
    <w:lvl w:ilvl="3" w:tplc="F18872EE">
      <w:start w:val="1"/>
      <w:numFmt w:val="decimal"/>
      <w:lvlText w:val="%4."/>
      <w:lvlJc w:val="left"/>
      <w:pPr>
        <w:ind w:left="3240" w:hanging="360"/>
      </w:pPr>
    </w:lvl>
    <w:lvl w:ilvl="4" w:tplc="7AF69428">
      <w:start w:val="1"/>
      <w:numFmt w:val="lowerLetter"/>
      <w:lvlText w:val="%5."/>
      <w:lvlJc w:val="left"/>
      <w:pPr>
        <w:ind w:left="3960" w:hanging="360"/>
      </w:pPr>
    </w:lvl>
    <w:lvl w:ilvl="5" w:tplc="6D5CC3CA">
      <w:start w:val="1"/>
      <w:numFmt w:val="lowerRoman"/>
      <w:lvlText w:val="%6."/>
      <w:lvlJc w:val="right"/>
      <w:pPr>
        <w:ind w:left="4680" w:hanging="180"/>
      </w:pPr>
    </w:lvl>
    <w:lvl w:ilvl="6" w:tplc="8F5A1D34">
      <w:start w:val="1"/>
      <w:numFmt w:val="decimal"/>
      <w:lvlText w:val="%7."/>
      <w:lvlJc w:val="left"/>
      <w:pPr>
        <w:ind w:left="5400" w:hanging="360"/>
      </w:pPr>
    </w:lvl>
    <w:lvl w:ilvl="7" w:tplc="BF7A282C">
      <w:start w:val="1"/>
      <w:numFmt w:val="lowerLetter"/>
      <w:lvlText w:val="%8."/>
      <w:lvlJc w:val="left"/>
      <w:pPr>
        <w:ind w:left="6120" w:hanging="360"/>
      </w:pPr>
    </w:lvl>
    <w:lvl w:ilvl="8" w:tplc="84AC5654">
      <w:start w:val="1"/>
      <w:numFmt w:val="lowerRoman"/>
      <w:lvlText w:val="%9."/>
      <w:lvlJc w:val="right"/>
      <w:pPr>
        <w:ind w:left="6840" w:hanging="180"/>
      </w:pPr>
    </w:lvl>
  </w:abstractNum>
  <w:abstractNum w:abstractNumId="149" w15:restartNumberingAfterBreak="0">
    <w:nsid w:val="29747556"/>
    <w:multiLevelType w:val="hybridMultilevel"/>
    <w:tmpl w:val="0298BD78"/>
    <w:lvl w:ilvl="0" w:tplc="2B1C5966">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0" w15:restartNumberingAfterBreak="0">
    <w:nsid w:val="2A886800"/>
    <w:multiLevelType w:val="hybridMultilevel"/>
    <w:tmpl w:val="E08026CA"/>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1" w15:restartNumberingAfterBreak="0">
    <w:nsid w:val="2AA3621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2" w15:restartNumberingAfterBreak="0">
    <w:nsid w:val="2AD85F72"/>
    <w:multiLevelType w:val="hybridMultilevel"/>
    <w:tmpl w:val="D7323CC0"/>
    <w:lvl w:ilvl="0" w:tplc="D1183D16">
      <w:start w:val="1"/>
      <w:numFmt w:val="lowerLetter"/>
      <w:lvlText w:val="%1)"/>
      <w:lvlJc w:val="left"/>
      <w:pPr>
        <w:ind w:left="922" w:hanging="360"/>
      </w:pPr>
      <w:rPr>
        <w:rFonts w:hint="default"/>
      </w:rPr>
    </w:lvl>
    <w:lvl w:ilvl="1" w:tplc="0C090019">
      <w:start w:val="1"/>
      <w:numFmt w:val="lowerLetter"/>
      <w:lvlText w:val="%2."/>
      <w:lvlJc w:val="left"/>
      <w:pPr>
        <w:ind w:left="1642" w:hanging="360"/>
      </w:pPr>
    </w:lvl>
    <w:lvl w:ilvl="2" w:tplc="0C09001B" w:tentative="1">
      <w:start w:val="1"/>
      <w:numFmt w:val="lowerRoman"/>
      <w:lvlText w:val="%3."/>
      <w:lvlJc w:val="right"/>
      <w:pPr>
        <w:ind w:left="2362" w:hanging="180"/>
      </w:pPr>
    </w:lvl>
    <w:lvl w:ilvl="3" w:tplc="0C09000F" w:tentative="1">
      <w:start w:val="1"/>
      <w:numFmt w:val="decimal"/>
      <w:lvlText w:val="%4."/>
      <w:lvlJc w:val="left"/>
      <w:pPr>
        <w:ind w:left="3082" w:hanging="360"/>
      </w:pPr>
    </w:lvl>
    <w:lvl w:ilvl="4" w:tplc="0C090019" w:tentative="1">
      <w:start w:val="1"/>
      <w:numFmt w:val="lowerLetter"/>
      <w:lvlText w:val="%5."/>
      <w:lvlJc w:val="left"/>
      <w:pPr>
        <w:ind w:left="3802" w:hanging="360"/>
      </w:pPr>
    </w:lvl>
    <w:lvl w:ilvl="5" w:tplc="0C09001B" w:tentative="1">
      <w:start w:val="1"/>
      <w:numFmt w:val="lowerRoman"/>
      <w:lvlText w:val="%6."/>
      <w:lvlJc w:val="right"/>
      <w:pPr>
        <w:ind w:left="4522" w:hanging="180"/>
      </w:pPr>
    </w:lvl>
    <w:lvl w:ilvl="6" w:tplc="0C09000F" w:tentative="1">
      <w:start w:val="1"/>
      <w:numFmt w:val="decimal"/>
      <w:lvlText w:val="%7."/>
      <w:lvlJc w:val="left"/>
      <w:pPr>
        <w:ind w:left="5242" w:hanging="360"/>
      </w:pPr>
    </w:lvl>
    <w:lvl w:ilvl="7" w:tplc="0C090019" w:tentative="1">
      <w:start w:val="1"/>
      <w:numFmt w:val="lowerLetter"/>
      <w:lvlText w:val="%8."/>
      <w:lvlJc w:val="left"/>
      <w:pPr>
        <w:ind w:left="5962" w:hanging="360"/>
      </w:pPr>
    </w:lvl>
    <w:lvl w:ilvl="8" w:tplc="0C09001B" w:tentative="1">
      <w:start w:val="1"/>
      <w:numFmt w:val="lowerRoman"/>
      <w:lvlText w:val="%9."/>
      <w:lvlJc w:val="right"/>
      <w:pPr>
        <w:ind w:left="6682" w:hanging="180"/>
      </w:pPr>
    </w:lvl>
  </w:abstractNum>
  <w:abstractNum w:abstractNumId="153" w15:restartNumberingAfterBreak="0">
    <w:nsid w:val="2AFF3AF2"/>
    <w:multiLevelType w:val="multilevel"/>
    <w:tmpl w:val="C0AE4C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2B743DF0"/>
    <w:multiLevelType w:val="hybridMultilevel"/>
    <w:tmpl w:val="9A564DB0"/>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55" w15:restartNumberingAfterBreak="0">
    <w:nsid w:val="2C433442"/>
    <w:multiLevelType w:val="hybridMultilevel"/>
    <w:tmpl w:val="1250F402"/>
    <w:lvl w:ilvl="0" w:tplc="91249AE0">
      <w:start w:val="1"/>
      <w:numFmt w:val="bullet"/>
      <w:lvlText w:val=""/>
      <w:lvlJc w:val="left"/>
      <w:pPr>
        <w:tabs>
          <w:tab w:val="num" w:pos="720"/>
        </w:tabs>
        <w:ind w:left="720" w:hanging="360"/>
      </w:pPr>
      <w:rPr>
        <w:rFonts w:ascii="Symbol" w:hAnsi="Symbol" w:hint="default"/>
        <w:sz w:val="20"/>
      </w:rPr>
    </w:lvl>
    <w:lvl w:ilvl="1" w:tplc="2982D440" w:tentative="1">
      <w:start w:val="1"/>
      <w:numFmt w:val="bullet"/>
      <w:lvlText w:val=""/>
      <w:lvlJc w:val="left"/>
      <w:pPr>
        <w:tabs>
          <w:tab w:val="num" w:pos="1440"/>
        </w:tabs>
        <w:ind w:left="1440" w:hanging="360"/>
      </w:pPr>
      <w:rPr>
        <w:rFonts w:ascii="Symbol" w:hAnsi="Symbol" w:hint="default"/>
        <w:sz w:val="20"/>
      </w:rPr>
    </w:lvl>
    <w:lvl w:ilvl="2" w:tplc="1A00EA6E" w:tentative="1">
      <w:start w:val="1"/>
      <w:numFmt w:val="bullet"/>
      <w:lvlText w:val=""/>
      <w:lvlJc w:val="left"/>
      <w:pPr>
        <w:tabs>
          <w:tab w:val="num" w:pos="2160"/>
        </w:tabs>
        <w:ind w:left="2160" w:hanging="360"/>
      </w:pPr>
      <w:rPr>
        <w:rFonts w:ascii="Symbol" w:hAnsi="Symbol" w:hint="default"/>
        <w:sz w:val="20"/>
      </w:rPr>
    </w:lvl>
    <w:lvl w:ilvl="3" w:tplc="1AE2AA9C" w:tentative="1">
      <w:start w:val="1"/>
      <w:numFmt w:val="bullet"/>
      <w:lvlText w:val=""/>
      <w:lvlJc w:val="left"/>
      <w:pPr>
        <w:tabs>
          <w:tab w:val="num" w:pos="2880"/>
        </w:tabs>
        <w:ind w:left="2880" w:hanging="360"/>
      </w:pPr>
      <w:rPr>
        <w:rFonts w:ascii="Symbol" w:hAnsi="Symbol" w:hint="default"/>
        <w:sz w:val="20"/>
      </w:rPr>
    </w:lvl>
    <w:lvl w:ilvl="4" w:tplc="A32A1C2E" w:tentative="1">
      <w:start w:val="1"/>
      <w:numFmt w:val="bullet"/>
      <w:lvlText w:val=""/>
      <w:lvlJc w:val="left"/>
      <w:pPr>
        <w:tabs>
          <w:tab w:val="num" w:pos="3600"/>
        </w:tabs>
        <w:ind w:left="3600" w:hanging="360"/>
      </w:pPr>
      <w:rPr>
        <w:rFonts w:ascii="Symbol" w:hAnsi="Symbol" w:hint="default"/>
        <w:sz w:val="20"/>
      </w:rPr>
    </w:lvl>
    <w:lvl w:ilvl="5" w:tplc="722692CA" w:tentative="1">
      <w:start w:val="1"/>
      <w:numFmt w:val="bullet"/>
      <w:lvlText w:val=""/>
      <w:lvlJc w:val="left"/>
      <w:pPr>
        <w:tabs>
          <w:tab w:val="num" w:pos="4320"/>
        </w:tabs>
        <w:ind w:left="4320" w:hanging="360"/>
      </w:pPr>
      <w:rPr>
        <w:rFonts w:ascii="Symbol" w:hAnsi="Symbol" w:hint="default"/>
        <w:sz w:val="20"/>
      </w:rPr>
    </w:lvl>
    <w:lvl w:ilvl="6" w:tplc="CCFEDE1E" w:tentative="1">
      <w:start w:val="1"/>
      <w:numFmt w:val="bullet"/>
      <w:lvlText w:val=""/>
      <w:lvlJc w:val="left"/>
      <w:pPr>
        <w:tabs>
          <w:tab w:val="num" w:pos="5040"/>
        </w:tabs>
        <w:ind w:left="5040" w:hanging="360"/>
      </w:pPr>
      <w:rPr>
        <w:rFonts w:ascii="Symbol" w:hAnsi="Symbol" w:hint="default"/>
        <w:sz w:val="20"/>
      </w:rPr>
    </w:lvl>
    <w:lvl w:ilvl="7" w:tplc="C7DCBC14" w:tentative="1">
      <w:start w:val="1"/>
      <w:numFmt w:val="bullet"/>
      <w:lvlText w:val=""/>
      <w:lvlJc w:val="left"/>
      <w:pPr>
        <w:tabs>
          <w:tab w:val="num" w:pos="5760"/>
        </w:tabs>
        <w:ind w:left="5760" w:hanging="360"/>
      </w:pPr>
      <w:rPr>
        <w:rFonts w:ascii="Symbol" w:hAnsi="Symbol" w:hint="default"/>
        <w:sz w:val="20"/>
      </w:rPr>
    </w:lvl>
    <w:lvl w:ilvl="8" w:tplc="F16A0F0E"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C4D3B8E"/>
    <w:multiLevelType w:val="hybridMultilevel"/>
    <w:tmpl w:val="3E18A80C"/>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57" w15:restartNumberingAfterBreak="0">
    <w:nsid w:val="2C590932"/>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2C600B92"/>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59" w15:restartNumberingAfterBreak="0">
    <w:nsid w:val="2CCA757B"/>
    <w:multiLevelType w:val="multilevel"/>
    <w:tmpl w:val="62946746"/>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0" w15:restartNumberingAfterBreak="0">
    <w:nsid w:val="2D5D1747"/>
    <w:multiLevelType w:val="hybridMultilevel"/>
    <w:tmpl w:val="FAE6024E"/>
    <w:lvl w:ilvl="0" w:tplc="E690B5B0">
      <w:start w:val="1"/>
      <w:numFmt w:val="lowerLetter"/>
      <w:lvlText w:val="%1)"/>
      <w:lvlJc w:val="left"/>
      <w:pPr>
        <w:ind w:left="720" w:hanging="360"/>
      </w:pPr>
      <w:rPr>
        <w:rFonts w:ascii="Times New Roman" w:eastAsiaTheme="minorHAnsi" w:hAnsi="Times New Roman" w:cs="Times New Roman" w:hint="default"/>
      </w:rPr>
    </w:lvl>
    <w:lvl w:ilvl="1" w:tplc="9394FBA6">
      <w:start w:val="1"/>
      <w:numFmt w:val="bullet"/>
      <w:lvlText w:val="o"/>
      <w:lvlJc w:val="left"/>
      <w:pPr>
        <w:ind w:left="1440" w:hanging="360"/>
      </w:pPr>
      <w:rPr>
        <w:rFonts w:ascii="Courier New" w:hAnsi="Courier New" w:hint="default"/>
      </w:rPr>
    </w:lvl>
    <w:lvl w:ilvl="2" w:tplc="A6DCF35E">
      <w:start w:val="1"/>
      <w:numFmt w:val="bullet"/>
      <w:lvlText w:val=""/>
      <w:lvlJc w:val="left"/>
      <w:pPr>
        <w:ind w:left="2160" w:hanging="360"/>
      </w:pPr>
      <w:rPr>
        <w:rFonts w:ascii="Wingdings" w:hAnsi="Wingdings" w:hint="default"/>
      </w:rPr>
    </w:lvl>
    <w:lvl w:ilvl="3" w:tplc="188C00BA">
      <w:start w:val="1"/>
      <w:numFmt w:val="bullet"/>
      <w:lvlText w:val=""/>
      <w:lvlJc w:val="left"/>
      <w:pPr>
        <w:ind w:left="2880" w:hanging="360"/>
      </w:pPr>
      <w:rPr>
        <w:rFonts w:ascii="Symbol" w:hAnsi="Symbol" w:hint="default"/>
      </w:rPr>
    </w:lvl>
    <w:lvl w:ilvl="4" w:tplc="50DEEEBC">
      <w:start w:val="1"/>
      <w:numFmt w:val="bullet"/>
      <w:lvlText w:val="o"/>
      <w:lvlJc w:val="left"/>
      <w:pPr>
        <w:ind w:left="3600" w:hanging="360"/>
      </w:pPr>
      <w:rPr>
        <w:rFonts w:ascii="Courier New" w:hAnsi="Courier New" w:hint="default"/>
      </w:rPr>
    </w:lvl>
    <w:lvl w:ilvl="5" w:tplc="54D60BA6">
      <w:start w:val="1"/>
      <w:numFmt w:val="bullet"/>
      <w:lvlText w:val=""/>
      <w:lvlJc w:val="left"/>
      <w:pPr>
        <w:ind w:left="4320" w:hanging="360"/>
      </w:pPr>
      <w:rPr>
        <w:rFonts w:ascii="Wingdings" w:hAnsi="Wingdings" w:hint="default"/>
      </w:rPr>
    </w:lvl>
    <w:lvl w:ilvl="6" w:tplc="3406378A">
      <w:start w:val="1"/>
      <w:numFmt w:val="bullet"/>
      <w:lvlText w:val=""/>
      <w:lvlJc w:val="left"/>
      <w:pPr>
        <w:ind w:left="5040" w:hanging="360"/>
      </w:pPr>
      <w:rPr>
        <w:rFonts w:ascii="Symbol" w:hAnsi="Symbol" w:hint="default"/>
      </w:rPr>
    </w:lvl>
    <w:lvl w:ilvl="7" w:tplc="1E121A2A">
      <w:start w:val="1"/>
      <w:numFmt w:val="bullet"/>
      <w:lvlText w:val="o"/>
      <w:lvlJc w:val="left"/>
      <w:pPr>
        <w:ind w:left="5760" w:hanging="360"/>
      </w:pPr>
      <w:rPr>
        <w:rFonts w:ascii="Courier New" w:hAnsi="Courier New" w:hint="default"/>
      </w:rPr>
    </w:lvl>
    <w:lvl w:ilvl="8" w:tplc="FBAEFCF0">
      <w:start w:val="1"/>
      <w:numFmt w:val="bullet"/>
      <w:lvlText w:val=""/>
      <w:lvlJc w:val="left"/>
      <w:pPr>
        <w:ind w:left="6480" w:hanging="360"/>
      </w:pPr>
      <w:rPr>
        <w:rFonts w:ascii="Wingdings" w:hAnsi="Wingdings" w:hint="default"/>
      </w:rPr>
    </w:lvl>
  </w:abstractNum>
  <w:abstractNum w:abstractNumId="161" w15:restartNumberingAfterBreak="0">
    <w:nsid w:val="2D6127C2"/>
    <w:multiLevelType w:val="hybridMultilevel"/>
    <w:tmpl w:val="FFFFFFFF"/>
    <w:lvl w:ilvl="0" w:tplc="CE6E129A">
      <w:start w:val="1"/>
      <w:numFmt w:val="lowerLetter"/>
      <w:lvlText w:val="%1)"/>
      <w:lvlJc w:val="left"/>
      <w:pPr>
        <w:ind w:left="1080" w:hanging="360"/>
      </w:pPr>
    </w:lvl>
    <w:lvl w:ilvl="1" w:tplc="0DE20F52">
      <w:start w:val="1"/>
      <w:numFmt w:val="lowerLetter"/>
      <w:lvlText w:val="%2."/>
      <w:lvlJc w:val="left"/>
      <w:pPr>
        <w:ind w:left="1800" w:hanging="360"/>
      </w:pPr>
    </w:lvl>
    <w:lvl w:ilvl="2" w:tplc="0C600D3C">
      <w:start w:val="1"/>
      <w:numFmt w:val="lowerRoman"/>
      <w:lvlText w:val="%3."/>
      <w:lvlJc w:val="right"/>
      <w:pPr>
        <w:ind w:left="2520" w:hanging="180"/>
      </w:pPr>
    </w:lvl>
    <w:lvl w:ilvl="3" w:tplc="0950BBEA">
      <w:start w:val="1"/>
      <w:numFmt w:val="decimal"/>
      <w:lvlText w:val="%4."/>
      <w:lvlJc w:val="left"/>
      <w:pPr>
        <w:ind w:left="3240" w:hanging="360"/>
      </w:pPr>
    </w:lvl>
    <w:lvl w:ilvl="4" w:tplc="7AACA40C">
      <w:start w:val="1"/>
      <w:numFmt w:val="lowerLetter"/>
      <w:lvlText w:val="%5."/>
      <w:lvlJc w:val="left"/>
      <w:pPr>
        <w:ind w:left="3960" w:hanging="360"/>
      </w:pPr>
    </w:lvl>
    <w:lvl w:ilvl="5" w:tplc="FE70A39C">
      <w:start w:val="1"/>
      <w:numFmt w:val="lowerRoman"/>
      <w:lvlText w:val="%6."/>
      <w:lvlJc w:val="right"/>
      <w:pPr>
        <w:ind w:left="4680" w:hanging="180"/>
      </w:pPr>
    </w:lvl>
    <w:lvl w:ilvl="6" w:tplc="174655D2">
      <w:start w:val="1"/>
      <w:numFmt w:val="decimal"/>
      <w:lvlText w:val="%7."/>
      <w:lvlJc w:val="left"/>
      <w:pPr>
        <w:ind w:left="5400" w:hanging="360"/>
      </w:pPr>
    </w:lvl>
    <w:lvl w:ilvl="7" w:tplc="A9DE4DD4">
      <w:start w:val="1"/>
      <w:numFmt w:val="lowerLetter"/>
      <w:lvlText w:val="%8."/>
      <w:lvlJc w:val="left"/>
      <w:pPr>
        <w:ind w:left="6120" w:hanging="360"/>
      </w:pPr>
    </w:lvl>
    <w:lvl w:ilvl="8" w:tplc="3FF283FC">
      <w:start w:val="1"/>
      <w:numFmt w:val="lowerRoman"/>
      <w:lvlText w:val="%9."/>
      <w:lvlJc w:val="right"/>
      <w:pPr>
        <w:ind w:left="6840" w:hanging="180"/>
      </w:pPr>
    </w:lvl>
  </w:abstractNum>
  <w:abstractNum w:abstractNumId="162" w15:restartNumberingAfterBreak="0">
    <w:nsid w:val="2D6A68E2"/>
    <w:multiLevelType w:val="hybridMultilevel"/>
    <w:tmpl w:val="F1CEF536"/>
    <w:lvl w:ilvl="0" w:tplc="A1E8AF90">
      <w:start w:val="1"/>
      <w:numFmt w:val="lowerLetter"/>
      <w:lvlText w:val="%1)"/>
      <w:lvlJc w:val="left"/>
      <w:pPr>
        <w:ind w:left="1080" w:hanging="360"/>
      </w:pPr>
    </w:lvl>
    <w:lvl w:ilvl="1" w:tplc="CCBCEFA6">
      <w:start w:val="1"/>
      <w:numFmt w:val="lowerLetter"/>
      <w:lvlText w:val="%2."/>
      <w:lvlJc w:val="left"/>
      <w:pPr>
        <w:ind w:left="1800" w:hanging="360"/>
      </w:pPr>
    </w:lvl>
    <w:lvl w:ilvl="2" w:tplc="34D076A4">
      <w:start w:val="1"/>
      <w:numFmt w:val="lowerRoman"/>
      <w:lvlText w:val="%3."/>
      <w:lvlJc w:val="right"/>
      <w:pPr>
        <w:ind w:left="2520" w:hanging="180"/>
      </w:pPr>
    </w:lvl>
    <w:lvl w:ilvl="3" w:tplc="D41EFA16">
      <w:start w:val="1"/>
      <w:numFmt w:val="decimal"/>
      <w:lvlText w:val="%4."/>
      <w:lvlJc w:val="left"/>
      <w:pPr>
        <w:ind w:left="3240" w:hanging="360"/>
      </w:pPr>
    </w:lvl>
    <w:lvl w:ilvl="4" w:tplc="DF1E28A6">
      <w:start w:val="1"/>
      <w:numFmt w:val="lowerLetter"/>
      <w:lvlText w:val="%5."/>
      <w:lvlJc w:val="left"/>
      <w:pPr>
        <w:ind w:left="3960" w:hanging="360"/>
      </w:pPr>
    </w:lvl>
    <w:lvl w:ilvl="5" w:tplc="E0EC3FD0">
      <w:start w:val="1"/>
      <w:numFmt w:val="lowerRoman"/>
      <w:lvlText w:val="%6."/>
      <w:lvlJc w:val="right"/>
      <w:pPr>
        <w:ind w:left="4680" w:hanging="180"/>
      </w:pPr>
    </w:lvl>
    <w:lvl w:ilvl="6" w:tplc="5A1C6344">
      <w:start w:val="1"/>
      <w:numFmt w:val="decimal"/>
      <w:lvlText w:val="%7."/>
      <w:lvlJc w:val="left"/>
      <w:pPr>
        <w:ind w:left="5400" w:hanging="360"/>
      </w:pPr>
    </w:lvl>
    <w:lvl w:ilvl="7" w:tplc="B33CA1D4">
      <w:start w:val="1"/>
      <w:numFmt w:val="lowerLetter"/>
      <w:lvlText w:val="%8."/>
      <w:lvlJc w:val="left"/>
      <w:pPr>
        <w:ind w:left="6120" w:hanging="360"/>
      </w:pPr>
    </w:lvl>
    <w:lvl w:ilvl="8" w:tplc="DAF6CDB4">
      <w:start w:val="1"/>
      <w:numFmt w:val="lowerRoman"/>
      <w:lvlText w:val="%9."/>
      <w:lvlJc w:val="right"/>
      <w:pPr>
        <w:ind w:left="6840" w:hanging="180"/>
      </w:pPr>
    </w:lvl>
  </w:abstractNum>
  <w:abstractNum w:abstractNumId="163"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64" w15:restartNumberingAfterBreak="0">
    <w:nsid w:val="2D862D25"/>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65" w15:restartNumberingAfterBreak="0">
    <w:nsid w:val="2D9A3A1C"/>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66" w15:restartNumberingAfterBreak="0">
    <w:nsid w:val="2DE571EF"/>
    <w:multiLevelType w:val="hybridMultilevel"/>
    <w:tmpl w:val="D0920A1C"/>
    <w:lvl w:ilvl="0" w:tplc="7814266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2DF37F32"/>
    <w:multiLevelType w:val="multilevel"/>
    <w:tmpl w:val="84A88238"/>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8" w15:restartNumberingAfterBreak="0">
    <w:nsid w:val="2E0E1930"/>
    <w:multiLevelType w:val="hybridMultilevel"/>
    <w:tmpl w:val="7D8A9476"/>
    <w:lvl w:ilvl="0" w:tplc="BC267522">
      <w:start w:val="5"/>
      <w:numFmt w:val="bullet"/>
      <w:lvlText w:val=""/>
      <w:lvlJc w:val="left"/>
      <w:pPr>
        <w:ind w:left="720" w:hanging="360"/>
      </w:pPr>
      <w:rPr>
        <w:rFonts w:ascii="Symbol" w:eastAsiaTheme="minorHAnsi" w:hAnsi="Symbol" w:cs="Arial" w:hint="default"/>
      </w:rPr>
    </w:lvl>
    <w:lvl w:ilvl="1" w:tplc="0C090013">
      <w:start w:val="1"/>
      <w:numFmt w:val="upp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BF84DDF4">
      <w:start w:val="2"/>
      <w:numFmt w:val="decimal"/>
      <w:lvlText w:val="%4."/>
      <w:lvlJc w:val="left"/>
      <w:pPr>
        <w:ind w:left="2880" w:hanging="360"/>
      </w:pPr>
      <w:rPr>
        <w:rFonts w:hint="default"/>
      </w:rPr>
    </w:lvl>
    <w:lvl w:ilvl="4" w:tplc="21C4CB8A">
      <w:start w:val="1"/>
      <w:numFmt w:val="lowerLetter"/>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2E1C1444"/>
    <w:multiLevelType w:val="hybridMultilevel"/>
    <w:tmpl w:val="30F6B936"/>
    <w:lvl w:ilvl="0" w:tplc="CC5EB1D6">
      <w:start w:val="1"/>
      <w:numFmt w:val="lowerLetter"/>
      <w:pStyle w:val="CodeEnd"/>
      <w:lvlText w:val="(%1)"/>
      <w:lvlJc w:val="left"/>
      <w:pPr>
        <w:ind w:left="1080" w:hanging="360"/>
      </w:pPr>
      <w:rPr>
        <w:rFonts w:ascii="HelveticaNeueLT Std Lt" w:eastAsiaTheme="minorHAnsi" w:hAnsi="HelveticaNeueLT Std Lt" w:cs="HelveticaNeueLT Std 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0" w15:restartNumberingAfterBreak="0">
    <w:nsid w:val="2E5B201A"/>
    <w:multiLevelType w:val="multilevel"/>
    <w:tmpl w:val="1C02C310"/>
    <w:lvl w:ilvl="0">
      <w:start w:val="1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1" w15:restartNumberingAfterBreak="0">
    <w:nsid w:val="2E8E278E"/>
    <w:multiLevelType w:val="hybridMultilevel"/>
    <w:tmpl w:val="C1BE3B92"/>
    <w:lvl w:ilvl="0" w:tplc="8250AB44">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2" w15:restartNumberingAfterBreak="0">
    <w:nsid w:val="2EAB1AED"/>
    <w:multiLevelType w:val="multilevel"/>
    <w:tmpl w:val="8CDC3AC0"/>
    <w:lvl w:ilvl="0">
      <w:start w:val="9"/>
      <w:numFmt w:val="decimal"/>
      <w:lvlText w:val="%1"/>
      <w:lvlJc w:val="left"/>
      <w:pPr>
        <w:ind w:left="525" w:hanging="525"/>
      </w:pPr>
      <w:rPr>
        <w:rFonts w:hint="default"/>
      </w:rPr>
    </w:lvl>
    <w:lvl w:ilvl="1">
      <w:start w:val="2"/>
      <w:numFmt w:val="decimal"/>
      <w:lvlText w:val="%1.%2"/>
      <w:lvlJc w:val="left"/>
      <w:pPr>
        <w:ind w:left="705" w:hanging="525"/>
      </w:pPr>
      <w:rPr>
        <w:rFonts w:hint="default"/>
        <w:b/>
        <w:bCs/>
        <w:i w:val="0"/>
        <w:iCs w:val="0"/>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73" w15:restartNumberingAfterBreak="0">
    <w:nsid w:val="2EB76219"/>
    <w:multiLevelType w:val="hybridMultilevel"/>
    <w:tmpl w:val="EF2E64DC"/>
    <w:lvl w:ilvl="0" w:tplc="EBB04CDC">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4" w15:restartNumberingAfterBreak="0">
    <w:nsid w:val="2F244203"/>
    <w:multiLevelType w:val="hybridMultilevel"/>
    <w:tmpl w:val="7A64C41A"/>
    <w:lvl w:ilvl="0" w:tplc="94C4C6E8">
      <w:start w:val="1"/>
      <w:numFmt w:val="lowerLetter"/>
      <w:lvlText w:val="(%1)"/>
      <w:lvlJc w:val="left"/>
      <w:pPr>
        <w:ind w:left="1211"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75" w15:restartNumberingAfterBreak="0">
    <w:nsid w:val="2F5B65F6"/>
    <w:multiLevelType w:val="hybridMultilevel"/>
    <w:tmpl w:val="2FEE4DAE"/>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176" w15:restartNumberingAfterBreak="0">
    <w:nsid w:val="2FA043AA"/>
    <w:multiLevelType w:val="hybridMultilevel"/>
    <w:tmpl w:val="0C86C124"/>
    <w:lvl w:ilvl="0" w:tplc="E0BE8B54">
      <w:start w:val="1"/>
      <w:numFmt w:val="lowerLetter"/>
      <w:lvlText w:val="%1)"/>
      <w:lvlJc w:val="left"/>
      <w:pPr>
        <w:ind w:left="720" w:hanging="360"/>
      </w:pPr>
      <w:rPr>
        <w:rFonts w:ascii="Arial" w:eastAsiaTheme="minorHAnsi" w:hAnsi="Arial" w:cs="Arial"/>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2FAF1240"/>
    <w:multiLevelType w:val="hybridMultilevel"/>
    <w:tmpl w:val="AF0CCB52"/>
    <w:lvl w:ilvl="0" w:tplc="BC267522">
      <w:start w:val="5"/>
      <w:numFmt w:val="bullet"/>
      <w:lvlText w:val=""/>
      <w:lvlJc w:val="left"/>
      <w:pPr>
        <w:ind w:left="720" w:hanging="360"/>
      </w:pPr>
      <w:rPr>
        <w:rFonts w:ascii="Symbol" w:eastAsiaTheme="minorHAnsi" w:hAnsi="Symbol" w:cs="Aria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30823ADB"/>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9" w15:restartNumberingAfterBreak="0">
    <w:nsid w:val="30A55C77"/>
    <w:multiLevelType w:val="multilevel"/>
    <w:tmpl w:val="28162D7C"/>
    <w:lvl w:ilvl="0">
      <w:start w:val="9"/>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30FF6CAB"/>
    <w:multiLevelType w:val="hybridMultilevel"/>
    <w:tmpl w:val="7A0C9468"/>
    <w:lvl w:ilvl="0" w:tplc="E996A7EC">
      <w:start w:val="1"/>
      <w:numFmt w:val="lowerLetter"/>
      <w:lvlText w:val="(%1)"/>
      <w:lvlJc w:val="left"/>
      <w:pPr>
        <w:ind w:left="1211" w:hanging="360"/>
      </w:pPr>
      <w:rPr>
        <w:rFonts w:hint="default"/>
        <w:b w:val="0"/>
        <w:bCs/>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82" w15:restartNumberingAfterBreak="0">
    <w:nsid w:val="31054848"/>
    <w:multiLevelType w:val="hybridMultilevel"/>
    <w:tmpl w:val="706A280C"/>
    <w:lvl w:ilvl="0" w:tplc="1B9A5922">
      <w:start w:val="1"/>
      <w:numFmt w:val="lowerLetter"/>
      <w:lvlText w:val="(%1)"/>
      <w:lvlJc w:val="left"/>
      <w:pPr>
        <w:ind w:left="720" w:hanging="360"/>
      </w:pPr>
      <w:rPr>
        <w:rFonts w:ascii="HelveticaNeueLT Std Lt" w:eastAsiaTheme="minorHAnsi" w:hAnsi="HelveticaNeueLT Std Lt" w:cs="HelveticaNeueLT Std 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31AB34DE"/>
    <w:multiLevelType w:val="hybridMultilevel"/>
    <w:tmpl w:val="D286FDAC"/>
    <w:lvl w:ilvl="0" w:tplc="604A8D14">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31BE0F95"/>
    <w:multiLevelType w:val="hybridMultilevel"/>
    <w:tmpl w:val="3E18A80C"/>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85" w15:restartNumberingAfterBreak="0">
    <w:nsid w:val="326B5D19"/>
    <w:multiLevelType w:val="hybridMultilevel"/>
    <w:tmpl w:val="29482FD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86" w15:restartNumberingAfterBreak="0">
    <w:nsid w:val="326D4085"/>
    <w:multiLevelType w:val="multilevel"/>
    <w:tmpl w:val="51885226"/>
    <w:lvl w:ilvl="0">
      <w:start w:val="1"/>
      <w:numFmt w:val="decimal"/>
      <w:lvlText w:val="%1"/>
      <w:lvlJc w:val="left"/>
      <w:pPr>
        <w:ind w:left="360" w:hanging="360"/>
      </w:pPr>
      <w:rPr>
        <w:rFonts w:hint="default"/>
        <w:color w:val="0563C1" w:themeColor="hyperlink"/>
        <w:u w:val="single"/>
      </w:rPr>
    </w:lvl>
    <w:lvl w:ilvl="1">
      <w:start w:val="1"/>
      <w:numFmt w:val="decimal"/>
      <w:lvlText w:val="%1.%2"/>
      <w:lvlJc w:val="left"/>
      <w:pPr>
        <w:ind w:left="360" w:hanging="360"/>
      </w:pPr>
      <w:rPr>
        <w:rFonts w:hint="default"/>
        <w:color w:val="000000" w:themeColor="text1"/>
        <w:u w:val="none"/>
      </w:rPr>
    </w:lvl>
    <w:lvl w:ilvl="2">
      <w:start w:val="1"/>
      <w:numFmt w:val="lowerLetter"/>
      <w:lvlText w:val="%3)"/>
      <w:lvlJc w:val="left"/>
      <w:pPr>
        <w:ind w:left="720" w:hanging="720"/>
      </w:pPr>
      <w:rPr>
        <w:rFonts w:ascii="Times New Roman" w:eastAsiaTheme="minorHAnsi" w:hAnsi="Times New Roman" w:cs="Times New Roman" w:hint="default"/>
        <w:color w:val="000000" w:themeColor="text1"/>
        <w:u w:val="none"/>
      </w:rPr>
    </w:lvl>
    <w:lvl w:ilvl="3">
      <w:start w:val="1"/>
      <w:numFmt w:val="decimal"/>
      <w:lvlText w:val="%1.%2.%3.%4"/>
      <w:lvlJc w:val="left"/>
      <w:pPr>
        <w:ind w:left="1080" w:hanging="1080"/>
      </w:pPr>
      <w:rPr>
        <w:rFonts w:hint="default"/>
        <w:color w:val="0563C1" w:themeColor="hyperlink"/>
        <w:u w:val="single"/>
      </w:rPr>
    </w:lvl>
    <w:lvl w:ilvl="4">
      <w:start w:val="1"/>
      <w:numFmt w:val="decimal"/>
      <w:lvlText w:val="%1.%2.%3.%4.%5"/>
      <w:lvlJc w:val="left"/>
      <w:pPr>
        <w:ind w:left="1080" w:hanging="1080"/>
      </w:pPr>
      <w:rPr>
        <w:rFonts w:hint="default"/>
        <w:color w:val="0563C1" w:themeColor="hyperlink"/>
        <w:u w:val="single"/>
      </w:rPr>
    </w:lvl>
    <w:lvl w:ilvl="5">
      <w:start w:val="1"/>
      <w:numFmt w:val="decimal"/>
      <w:lvlText w:val="%1.%2.%3.%4.%5.%6"/>
      <w:lvlJc w:val="left"/>
      <w:pPr>
        <w:ind w:left="1440" w:hanging="1440"/>
      </w:pPr>
      <w:rPr>
        <w:rFonts w:hint="default"/>
        <w:color w:val="0563C1" w:themeColor="hyperlink"/>
        <w:u w:val="single"/>
      </w:rPr>
    </w:lvl>
    <w:lvl w:ilvl="6">
      <w:start w:val="1"/>
      <w:numFmt w:val="decimal"/>
      <w:lvlText w:val="%1.%2.%3.%4.%5.%6.%7"/>
      <w:lvlJc w:val="left"/>
      <w:pPr>
        <w:ind w:left="1440" w:hanging="1440"/>
      </w:pPr>
      <w:rPr>
        <w:rFonts w:hint="default"/>
        <w:color w:val="0563C1" w:themeColor="hyperlink"/>
        <w:u w:val="single"/>
      </w:rPr>
    </w:lvl>
    <w:lvl w:ilvl="7">
      <w:start w:val="1"/>
      <w:numFmt w:val="decimal"/>
      <w:lvlText w:val="%1.%2.%3.%4.%5.%6.%7.%8"/>
      <w:lvlJc w:val="left"/>
      <w:pPr>
        <w:ind w:left="1800" w:hanging="1800"/>
      </w:pPr>
      <w:rPr>
        <w:rFonts w:hint="default"/>
        <w:color w:val="0563C1" w:themeColor="hyperlink"/>
        <w:u w:val="single"/>
      </w:rPr>
    </w:lvl>
    <w:lvl w:ilvl="8">
      <w:start w:val="1"/>
      <w:numFmt w:val="decimal"/>
      <w:lvlText w:val="%1.%2.%3.%4.%5.%6.%7.%8.%9"/>
      <w:lvlJc w:val="left"/>
      <w:pPr>
        <w:ind w:left="1800" w:hanging="1800"/>
      </w:pPr>
      <w:rPr>
        <w:rFonts w:hint="default"/>
        <w:color w:val="0563C1" w:themeColor="hyperlink"/>
        <w:u w:val="single"/>
      </w:rPr>
    </w:lvl>
  </w:abstractNum>
  <w:abstractNum w:abstractNumId="187" w15:restartNumberingAfterBreak="0">
    <w:nsid w:val="332A0E3A"/>
    <w:multiLevelType w:val="hybridMultilevel"/>
    <w:tmpl w:val="14B4B86E"/>
    <w:lvl w:ilvl="0" w:tplc="5C941CBE">
      <w:start w:val="16"/>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34206A66"/>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89" w15:restartNumberingAfterBreak="0">
    <w:nsid w:val="34253987"/>
    <w:multiLevelType w:val="hybridMultilevel"/>
    <w:tmpl w:val="79BA6D8E"/>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342F3F07"/>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91" w15:restartNumberingAfterBreak="0">
    <w:nsid w:val="345132ED"/>
    <w:multiLevelType w:val="hybridMultilevel"/>
    <w:tmpl w:val="3ACAB56A"/>
    <w:lvl w:ilvl="0" w:tplc="271CC79E">
      <w:start w:val="1"/>
      <w:numFmt w:val="lowerLetter"/>
      <w:lvlText w:val="(%1)"/>
      <w:lvlJc w:val="left"/>
      <w:pPr>
        <w:ind w:left="1211" w:hanging="360"/>
      </w:pPr>
      <w:rPr>
        <w:rFonts w:hint="default"/>
        <w:b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92" w15:restartNumberingAfterBreak="0">
    <w:nsid w:val="348B0389"/>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93" w15:restartNumberingAfterBreak="0">
    <w:nsid w:val="349E5D9A"/>
    <w:multiLevelType w:val="multilevel"/>
    <w:tmpl w:val="A1723E8A"/>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ascii="Calibri" w:hAnsi="Calibri" w:cs="Times New Roman" w:hint="default"/>
        <w:b w:val="0"/>
        <w:i w:val="0"/>
        <w:sz w:val="24"/>
      </w:rPr>
    </w:lvl>
    <w:lvl w:ilvl="3">
      <w:start w:val="1"/>
      <w:numFmt w:val="lowerRoman"/>
      <w:lvlText w:val="%4."/>
      <w:lvlJc w:val="right"/>
      <w:pPr>
        <w:ind w:left="2268" w:hanging="567"/>
      </w:pPr>
      <w:rPr>
        <w:rFonts w:hint="default"/>
        <w:b w:val="0"/>
        <w:i w:val="0"/>
        <w:sz w:val="17"/>
        <w:szCs w:val="17"/>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94" w15:restartNumberingAfterBreak="0">
    <w:nsid w:val="35745CFB"/>
    <w:multiLevelType w:val="hybridMultilevel"/>
    <w:tmpl w:val="CB2C09F0"/>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95" w15:restartNumberingAfterBreak="0">
    <w:nsid w:val="361625BB"/>
    <w:multiLevelType w:val="hybridMultilevel"/>
    <w:tmpl w:val="2FEE4DAE"/>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196" w15:restartNumberingAfterBreak="0">
    <w:nsid w:val="36175EEB"/>
    <w:multiLevelType w:val="hybridMultilevel"/>
    <w:tmpl w:val="FFFFFFFF"/>
    <w:lvl w:ilvl="0" w:tplc="3C10C58A">
      <w:start w:val="1"/>
      <w:numFmt w:val="lowerLetter"/>
      <w:lvlText w:val="%1)"/>
      <w:lvlJc w:val="left"/>
      <w:pPr>
        <w:ind w:left="720" w:hanging="360"/>
      </w:pPr>
    </w:lvl>
    <w:lvl w:ilvl="1" w:tplc="D5080D84">
      <w:start w:val="1"/>
      <w:numFmt w:val="lowerLetter"/>
      <w:lvlText w:val="%2."/>
      <w:lvlJc w:val="left"/>
      <w:pPr>
        <w:ind w:left="1440" w:hanging="360"/>
      </w:pPr>
    </w:lvl>
    <w:lvl w:ilvl="2" w:tplc="CF30FA00">
      <w:start w:val="1"/>
      <w:numFmt w:val="lowerRoman"/>
      <w:lvlText w:val="%3."/>
      <w:lvlJc w:val="right"/>
      <w:pPr>
        <w:ind w:left="2160" w:hanging="180"/>
      </w:pPr>
    </w:lvl>
    <w:lvl w:ilvl="3" w:tplc="541C4992">
      <w:start w:val="1"/>
      <w:numFmt w:val="decimal"/>
      <w:lvlText w:val="%4."/>
      <w:lvlJc w:val="left"/>
      <w:pPr>
        <w:ind w:left="2880" w:hanging="360"/>
      </w:pPr>
    </w:lvl>
    <w:lvl w:ilvl="4" w:tplc="F6B412F0">
      <w:start w:val="1"/>
      <w:numFmt w:val="lowerLetter"/>
      <w:lvlText w:val="%5."/>
      <w:lvlJc w:val="left"/>
      <w:pPr>
        <w:ind w:left="3600" w:hanging="360"/>
      </w:pPr>
    </w:lvl>
    <w:lvl w:ilvl="5" w:tplc="DD8035F6">
      <w:start w:val="1"/>
      <w:numFmt w:val="lowerRoman"/>
      <w:lvlText w:val="%6."/>
      <w:lvlJc w:val="right"/>
      <w:pPr>
        <w:ind w:left="4320" w:hanging="180"/>
      </w:pPr>
    </w:lvl>
    <w:lvl w:ilvl="6" w:tplc="9D846C7E">
      <w:start w:val="1"/>
      <w:numFmt w:val="decimal"/>
      <w:lvlText w:val="%7."/>
      <w:lvlJc w:val="left"/>
      <w:pPr>
        <w:ind w:left="5040" w:hanging="360"/>
      </w:pPr>
    </w:lvl>
    <w:lvl w:ilvl="7" w:tplc="B5AAA7B2">
      <w:start w:val="1"/>
      <w:numFmt w:val="lowerLetter"/>
      <w:lvlText w:val="%8."/>
      <w:lvlJc w:val="left"/>
      <w:pPr>
        <w:ind w:left="5760" w:hanging="360"/>
      </w:pPr>
    </w:lvl>
    <w:lvl w:ilvl="8" w:tplc="CEA673F8">
      <w:start w:val="1"/>
      <w:numFmt w:val="lowerRoman"/>
      <w:lvlText w:val="%9."/>
      <w:lvlJc w:val="right"/>
      <w:pPr>
        <w:ind w:left="6480" w:hanging="180"/>
      </w:pPr>
    </w:lvl>
  </w:abstractNum>
  <w:abstractNum w:abstractNumId="197" w15:restartNumberingAfterBreak="0">
    <w:nsid w:val="36CE2965"/>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98" w15:restartNumberingAfterBreak="0">
    <w:nsid w:val="37B314A2"/>
    <w:multiLevelType w:val="hybridMultilevel"/>
    <w:tmpl w:val="D0283D24"/>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99" w15:restartNumberingAfterBreak="0">
    <w:nsid w:val="37B8472C"/>
    <w:multiLevelType w:val="hybridMultilevel"/>
    <w:tmpl w:val="3F4472F6"/>
    <w:lvl w:ilvl="0" w:tplc="619628FA">
      <w:start w:val="1"/>
      <w:numFmt w:val="lowerLetter"/>
      <w:lvlText w:val="%1)"/>
      <w:lvlJc w:val="left"/>
      <w:pPr>
        <w:ind w:left="1080" w:hanging="360"/>
      </w:pPr>
    </w:lvl>
    <w:lvl w:ilvl="1" w:tplc="8CFADCA8">
      <w:start w:val="1"/>
      <w:numFmt w:val="lowerLetter"/>
      <w:lvlText w:val="%2."/>
      <w:lvlJc w:val="left"/>
      <w:pPr>
        <w:ind w:left="1800" w:hanging="360"/>
      </w:pPr>
    </w:lvl>
    <w:lvl w:ilvl="2" w:tplc="BB5EAB44">
      <w:start w:val="1"/>
      <w:numFmt w:val="lowerRoman"/>
      <w:lvlText w:val="%3."/>
      <w:lvlJc w:val="right"/>
      <w:pPr>
        <w:ind w:left="2520" w:hanging="180"/>
      </w:pPr>
    </w:lvl>
    <w:lvl w:ilvl="3" w:tplc="E7F404E8">
      <w:start w:val="1"/>
      <w:numFmt w:val="decimal"/>
      <w:lvlText w:val="%4."/>
      <w:lvlJc w:val="left"/>
      <w:pPr>
        <w:ind w:left="3240" w:hanging="360"/>
      </w:pPr>
    </w:lvl>
    <w:lvl w:ilvl="4" w:tplc="A326683E">
      <w:start w:val="1"/>
      <w:numFmt w:val="lowerLetter"/>
      <w:lvlText w:val="%5."/>
      <w:lvlJc w:val="left"/>
      <w:pPr>
        <w:ind w:left="3960" w:hanging="360"/>
      </w:pPr>
    </w:lvl>
    <w:lvl w:ilvl="5" w:tplc="891ED6BC">
      <w:start w:val="1"/>
      <w:numFmt w:val="lowerRoman"/>
      <w:lvlText w:val="%6."/>
      <w:lvlJc w:val="right"/>
      <w:pPr>
        <w:ind w:left="4680" w:hanging="180"/>
      </w:pPr>
    </w:lvl>
    <w:lvl w:ilvl="6" w:tplc="71BE066E">
      <w:start w:val="1"/>
      <w:numFmt w:val="decimal"/>
      <w:lvlText w:val="%7."/>
      <w:lvlJc w:val="left"/>
      <w:pPr>
        <w:ind w:left="5400" w:hanging="360"/>
      </w:pPr>
    </w:lvl>
    <w:lvl w:ilvl="7" w:tplc="F378FDC6">
      <w:start w:val="1"/>
      <w:numFmt w:val="lowerLetter"/>
      <w:lvlText w:val="%8."/>
      <w:lvlJc w:val="left"/>
      <w:pPr>
        <w:ind w:left="6120" w:hanging="360"/>
      </w:pPr>
    </w:lvl>
    <w:lvl w:ilvl="8" w:tplc="34449612">
      <w:start w:val="1"/>
      <w:numFmt w:val="lowerRoman"/>
      <w:lvlText w:val="%9."/>
      <w:lvlJc w:val="right"/>
      <w:pPr>
        <w:ind w:left="6840" w:hanging="180"/>
      </w:pPr>
    </w:lvl>
  </w:abstractNum>
  <w:abstractNum w:abstractNumId="200" w15:restartNumberingAfterBreak="0">
    <w:nsid w:val="382F33E0"/>
    <w:multiLevelType w:val="hybridMultilevel"/>
    <w:tmpl w:val="29482FD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01" w15:restartNumberingAfterBreak="0">
    <w:nsid w:val="38AF5A91"/>
    <w:multiLevelType w:val="hybridMultilevel"/>
    <w:tmpl w:val="8AE01DF0"/>
    <w:lvl w:ilvl="0" w:tplc="DC2639C0">
      <w:start w:val="1"/>
      <w:numFmt w:val="lowerLetter"/>
      <w:lvlText w:val="%1)"/>
      <w:lvlJc w:val="left"/>
      <w:pPr>
        <w:ind w:left="720" w:hanging="360"/>
      </w:pPr>
      <w:rPr>
        <w:rFonts w:ascii="Times New Roman" w:eastAsiaTheme="minorHAnsi" w:hAnsi="Times New Roman" w:cs="Times New Roman" w:hint="default"/>
      </w:rPr>
    </w:lvl>
    <w:lvl w:ilvl="1" w:tplc="DBCE2584">
      <w:start w:val="1"/>
      <w:numFmt w:val="bullet"/>
      <w:lvlText w:val="o"/>
      <w:lvlJc w:val="left"/>
      <w:pPr>
        <w:ind w:left="1440" w:hanging="360"/>
      </w:pPr>
      <w:rPr>
        <w:rFonts w:ascii="Courier New" w:hAnsi="Courier New" w:hint="default"/>
      </w:rPr>
    </w:lvl>
    <w:lvl w:ilvl="2" w:tplc="BA664F4A">
      <w:start w:val="1"/>
      <w:numFmt w:val="bullet"/>
      <w:lvlText w:val=""/>
      <w:lvlJc w:val="left"/>
      <w:pPr>
        <w:ind w:left="2160" w:hanging="360"/>
      </w:pPr>
      <w:rPr>
        <w:rFonts w:ascii="Wingdings" w:hAnsi="Wingdings" w:hint="default"/>
      </w:rPr>
    </w:lvl>
    <w:lvl w:ilvl="3" w:tplc="23C219D8">
      <w:start w:val="1"/>
      <w:numFmt w:val="bullet"/>
      <w:lvlText w:val=""/>
      <w:lvlJc w:val="left"/>
      <w:pPr>
        <w:ind w:left="2880" w:hanging="360"/>
      </w:pPr>
      <w:rPr>
        <w:rFonts w:ascii="Symbol" w:hAnsi="Symbol" w:hint="default"/>
      </w:rPr>
    </w:lvl>
    <w:lvl w:ilvl="4" w:tplc="B81822B4">
      <w:start w:val="1"/>
      <w:numFmt w:val="bullet"/>
      <w:lvlText w:val="o"/>
      <w:lvlJc w:val="left"/>
      <w:pPr>
        <w:ind w:left="3600" w:hanging="360"/>
      </w:pPr>
      <w:rPr>
        <w:rFonts w:ascii="Courier New" w:hAnsi="Courier New" w:hint="default"/>
      </w:rPr>
    </w:lvl>
    <w:lvl w:ilvl="5" w:tplc="AC1092D6">
      <w:start w:val="1"/>
      <w:numFmt w:val="bullet"/>
      <w:lvlText w:val=""/>
      <w:lvlJc w:val="left"/>
      <w:pPr>
        <w:ind w:left="4320" w:hanging="360"/>
      </w:pPr>
      <w:rPr>
        <w:rFonts w:ascii="Wingdings" w:hAnsi="Wingdings" w:hint="default"/>
      </w:rPr>
    </w:lvl>
    <w:lvl w:ilvl="6" w:tplc="B6FA2356">
      <w:start w:val="1"/>
      <w:numFmt w:val="bullet"/>
      <w:lvlText w:val=""/>
      <w:lvlJc w:val="left"/>
      <w:pPr>
        <w:ind w:left="5040" w:hanging="360"/>
      </w:pPr>
      <w:rPr>
        <w:rFonts w:ascii="Symbol" w:hAnsi="Symbol" w:hint="default"/>
      </w:rPr>
    </w:lvl>
    <w:lvl w:ilvl="7" w:tplc="EC4E03DA">
      <w:start w:val="1"/>
      <w:numFmt w:val="bullet"/>
      <w:lvlText w:val="o"/>
      <w:lvlJc w:val="left"/>
      <w:pPr>
        <w:ind w:left="5760" w:hanging="360"/>
      </w:pPr>
      <w:rPr>
        <w:rFonts w:ascii="Courier New" w:hAnsi="Courier New" w:hint="default"/>
      </w:rPr>
    </w:lvl>
    <w:lvl w:ilvl="8" w:tplc="251E3C98">
      <w:start w:val="1"/>
      <w:numFmt w:val="bullet"/>
      <w:lvlText w:val=""/>
      <w:lvlJc w:val="left"/>
      <w:pPr>
        <w:ind w:left="6480" w:hanging="360"/>
      </w:pPr>
      <w:rPr>
        <w:rFonts w:ascii="Wingdings" w:hAnsi="Wingdings" w:hint="default"/>
      </w:rPr>
    </w:lvl>
  </w:abstractNum>
  <w:abstractNum w:abstractNumId="202" w15:restartNumberingAfterBreak="0">
    <w:nsid w:val="38F00837"/>
    <w:multiLevelType w:val="hybridMultilevel"/>
    <w:tmpl w:val="A586B0EC"/>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03" w15:restartNumberingAfterBreak="0">
    <w:nsid w:val="393A230E"/>
    <w:multiLevelType w:val="hybridMultilevel"/>
    <w:tmpl w:val="32CE9248"/>
    <w:lvl w:ilvl="0" w:tplc="1B9A5922">
      <w:start w:val="1"/>
      <w:numFmt w:val="lowerLetter"/>
      <w:lvlText w:val="(%1)"/>
      <w:lvlJc w:val="left"/>
      <w:pPr>
        <w:ind w:left="720" w:hanging="360"/>
      </w:pPr>
      <w:rPr>
        <w:rFonts w:ascii="HelveticaNeueLT Std Lt" w:eastAsiaTheme="minorHAnsi" w:hAnsi="HelveticaNeueLT Std Lt" w:cs="HelveticaNeueLT Std Lt"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39593C0C"/>
    <w:multiLevelType w:val="multilevel"/>
    <w:tmpl w:val="A1723E8A"/>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ascii="Calibri" w:hAnsi="Calibri" w:cs="Times New Roman" w:hint="default"/>
        <w:b w:val="0"/>
        <w:i w:val="0"/>
        <w:sz w:val="24"/>
      </w:rPr>
    </w:lvl>
    <w:lvl w:ilvl="3">
      <w:start w:val="1"/>
      <w:numFmt w:val="lowerRoman"/>
      <w:lvlText w:val="%4."/>
      <w:lvlJc w:val="right"/>
      <w:pPr>
        <w:ind w:left="2268" w:hanging="567"/>
      </w:pPr>
      <w:rPr>
        <w:rFonts w:hint="default"/>
        <w:b w:val="0"/>
        <w:i w:val="0"/>
        <w:sz w:val="17"/>
        <w:szCs w:val="17"/>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205" w15:restartNumberingAfterBreak="0">
    <w:nsid w:val="39C9034E"/>
    <w:multiLevelType w:val="hybridMultilevel"/>
    <w:tmpl w:val="3E18A80C"/>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06" w15:restartNumberingAfterBreak="0">
    <w:nsid w:val="3A0D38E5"/>
    <w:multiLevelType w:val="hybridMultilevel"/>
    <w:tmpl w:val="B232C1E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3AAC21E4"/>
    <w:multiLevelType w:val="hybridMultilevel"/>
    <w:tmpl w:val="6AE2F526"/>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08" w15:restartNumberingAfterBreak="0">
    <w:nsid w:val="3AC3079E"/>
    <w:multiLevelType w:val="hybridMultilevel"/>
    <w:tmpl w:val="015A119A"/>
    <w:lvl w:ilvl="0" w:tplc="DDC09C76">
      <w:start w:val="1"/>
      <w:numFmt w:val="lowerRoman"/>
      <w:lvlText w:val="%1."/>
      <w:lvlJc w:val="right"/>
      <w:pPr>
        <w:ind w:left="2421" w:hanging="360"/>
      </w:pPr>
      <w:rPr>
        <w:rFonts w:hint="default"/>
      </w:rPr>
    </w:lvl>
    <w:lvl w:ilvl="1" w:tplc="0C090019">
      <w:start w:val="1"/>
      <w:numFmt w:val="lowerLetter"/>
      <w:lvlText w:val="%2."/>
      <w:lvlJc w:val="left"/>
      <w:pPr>
        <w:ind w:left="3141" w:hanging="360"/>
      </w:pPr>
    </w:lvl>
    <w:lvl w:ilvl="2" w:tplc="0C09001B">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209" w15:restartNumberingAfterBreak="0">
    <w:nsid w:val="3B612E34"/>
    <w:multiLevelType w:val="hybridMultilevel"/>
    <w:tmpl w:val="5456F64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0" w15:restartNumberingAfterBreak="0">
    <w:nsid w:val="3BA86927"/>
    <w:multiLevelType w:val="hybridMultilevel"/>
    <w:tmpl w:val="E08026CA"/>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1" w15:restartNumberingAfterBreak="0">
    <w:nsid w:val="3BE62CC0"/>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12" w15:restartNumberingAfterBreak="0">
    <w:nsid w:val="3CB63FF2"/>
    <w:multiLevelType w:val="hybridMultilevel"/>
    <w:tmpl w:val="E08026CA"/>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3" w15:restartNumberingAfterBreak="0">
    <w:nsid w:val="3CCF01E0"/>
    <w:multiLevelType w:val="hybridMultilevel"/>
    <w:tmpl w:val="326CD5B8"/>
    <w:lvl w:ilvl="0" w:tplc="9F80962E">
      <w:start w:val="1"/>
      <w:numFmt w:val="lowerLetter"/>
      <w:lvlText w:val="%1)"/>
      <w:lvlJc w:val="left"/>
      <w:pPr>
        <w:ind w:left="1080" w:hanging="360"/>
      </w:pPr>
    </w:lvl>
    <w:lvl w:ilvl="1" w:tplc="CE761498">
      <w:start w:val="1"/>
      <w:numFmt w:val="lowerLetter"/>
      <w:lvlText w:val="%2."/>
      <w:lvlJc w:val="left"/>
      <w:pPr>
        <w:ind w:left="1800" w:hanging="360"/>
      </w:pPr>
    </w:lvl>
    <w:lvl w:ilvl="2" w:tplc="593E0BD2">
      <w:start w:val="1"/>
      <w:numFmt w:val="lowerRoman"/>
      <w:lvlText w:val="%3."/>
      <w:lvlJc w:val="right"/>
      <w:pPr>
        <w:ind w:left="2520" w:hanging="180"/>
      </w:pPr>
    </w:lvl>
    <w:lvl w:ilvl="3" w:tplc="C22EDB0C">
      <w:start w:val="1"/>
      <w:numFmt w:val="decimal"/>
      <w:lvlText w:val="%4."/>
      <w:lvlJc w:val="left"/>
      <w:pPr>
        <w:ind w:left="3240" w:hanging="360"/>
      </w:pPr>
    </w:lvl>
    <w:lvl w:ilvl="4" w:tplc="1A580500">
      <w:start w:val="1"/>
      <w:numFmt w:val="lowerLetter"/>
      <w:lvlText w:val="%5."/>
      <w:lvlJc w:val="left"/>
      <w:pPr>
        <w:ind w:left="3960" w:hanging="360"/>
      </w:pPr>
    </w:lvl>
    <w:lvl w:ilvl="5" w:tplc="457C034E">
      <w:start w:val="1"/>
      <w:numFmt w:val="lowerRoman"/>
      <w:lvlText w:val="%6."/>
      <w:lvlJc w:val="right"/>
      <w:pPr>
        <w:ind w:left="4680" w:hanging="180"/>
      </w:pPr>
    </w:lvl>
    <w:lvl w:ilvl="6" w:tplc="399C91A0">
      <w:start w:val="1"/>
      <w:numFmt w:val="decimal"/>
      <w:lvlText w:val="%7."/>
      <w:lvlJc w:val="left"/>
      <w:pPr>
        <w:ind w:left="5400" w:hanging="360"/>
      </w:pPr>
    </w:lvl>
    <w:lvl w:ilvl="7" w:tplc="243A4C9A">
      <w:start w:val="1"/>
      <w:numFmt w:val="lowerLetter"/>
      <w:lvlText w:val="%8."/>
      <w:lvlJc w:val="left"/>
      <w:pPr>
        <w:ind w:left="6120" w:hanging="360"/>
      </w:pPr>
    </w:lvl>
    <w:lvl w:ilvl="8" w:tplc="0C461592">
      <w:start w:val="1"/>
      <w:numFmt w:val="lowerRoman"/>
      <w:lvlText w:val="%9."/>
      <w:lvlJc w:val="right"/>
      <w:pPr>
        <w:ind w:left="6840" w:hanging="180"/>
      </w:pPr>
    </w:lvl>
  </w:abstractNum>
  <w:abstractNum w:abstractNumId="214" w15:restartNumberingAfterBreak="0">
    <w:nsid w:val="3CE54B03"/>
    <w:multiLevelType w:val="multilevel"/>
    <w:tmpl w:val="2A705902"/>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215" w15:restartNumberingAfterBreak="0">
    <w:nsid w:val="3D273E18"/>
    <w:multiLevelType w:val="multilevel"/>
    <w:tmpl w:val="09E059BA"/>
    <w:styleLink w:val="StandardContract"/>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pStyle w:val="Stylelevel2BodyCalibri12ptBefore0ptAfter0pt"/>
      <w:lvlText w:val="%1.%2"/>
      <w:lvlJc w:val="left"/>
      <w:pPr>
        <w:ind w:left="1134" w:hanging="567"/>
      </w:pPr>
      <w:rPr>
        <w:rFonts w:ascii="Calibri" w:hAnsi="Calibri" w:cs="Times New Roman" w:hint="default"/>
        <w:b w:val="0"/>
        <w:i w:val="0"/>
        <w:sz w:val="24"/>
      </w:rPr>
    </w:lvl>
    <w:lvl w:ilvl="2">
      <w:start w:val="1"/>
      <w:numFmt w:val="lowerLetter"/>
      <w:pStyle w:val="Stylelevel3BodyCalibri12ptBefore0ptAfter0pt"/>
      <w:lvlText w:val="(%3)"/>
      <w:lvlJc w:val="left"/>
      <w:pPr>
        <w:ind w:left="1701" w:hanging="567"/>
      </w:pPr>
      <w:rPr>
        <w:rFonts w:ascii="Calibri" w:hAnsi="Calibri" w:cs="Times New Roman" w:hint="default"/>
        <w:b w:val="0"/>
        <w:i w:val="0"/>
        <w:sz w:val="24"/>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216" w15:restartNumberingAfterBreak="0">
    <w:nsid w:val="3D4C527E"/>
    <w:multiLevelType w:val="hybridMultilevel"/>
    <w:tmpl w:val="CC00A262"/>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17" w15:restartNumberingAfterBreak="0">
    <w:nsid w:val="3D6E6907"/>
    <w:multiLevelType w:val="hybridMultilevel"/>
    <w:tmpl w:val="FFFFFFFF"/>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218" w15:restartNumberingAfterBreak="0">
    <w:nsid w:val="3DB93415"/>
    <w:multiLevelType w:val="hybridMultilevel"/>
    <w:tmpl w:val="0FB4BF9A"/>
    <w:lvl w:ilvl="0" w:tplc="D4EE4D3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9" w15:restartNumberingAfterBreak="0">
    <w:nsid w:val="3E285762"/>
    <w:multiLevelType w:val="hybridMultilevel"/>
    <w:tmpl w:val="11846002"/>
    <w:lvl w:ilvl="0" w:tplc="B19660EE">
      <w:start w:val="1"/>
      <w:numFmt w:val="lowerLetter"/>
      <w:lvlText w:val="%1)"/>
      <w:lvlJc w:val="left"/>
      <w:pPr>
        <w:ind w:left="720" w:hanging="360"/>
      </w:pPr>
    </w:lvl>
    <w:lvl w:ilvl="1" w:tplc="E67CDDCE">
      <w:start w:val="1"/>
      <w:numFmt w:val="lowerLetter"/>
      <w:lvlText w:val="%2."/>
      <w:lvlJc w:val="left"/>
      <w:pPr>
        <w:ind w:left="1440" w:hanging="360"/>
      </w:pPr>
    </w:lvl>
    <w:lvl w:ilvl="2" w:tplc="BF8CCECA">
      <w:start w:val="1"/>
      <w:numFmt w:val="lowerRoman"/>
      <w:lvlText w:val="%3."/>
      <w:lvlJc w:val="right"/>
      <w:pPr>
        <w:ind w:left="2160" w:hanging="180"/>
      </w:pPr>
    </w:lvl>
    <w:lvl w:ilvl="3" w:tplc="9AB0D28C">
      <w:start w:val="1"/>
      <w:numFmt w:val="decimal"/>
      <w:lvlText w:val="%4."/>
      <w:lvlJc w:val="left"/>
      <w:pPr>
        <w:ind w:left="2880" w:hanging="360"/>
      </w:pPr>
    </w:lvl>
    <w:lvl w:ilvl="4" w:tplc="001C7F4E">
      <w:start w:val="1"/>
      <w:numFmt w:val="lowerLetter"/>
      <w:lvlText w:val="%5."/>
      <w:lvlJc w:val="left"/>
      <w:pPr>
        <w:ind w:left="3600" w:hanging="360"/>
      </w:pPr>
    </w:lvl>
    <w:lvl w:ilvl="5" w:tplc="5C68725A">
      <w:start w:val="1"/>
      <w:numFmt w:val="lowerRoman"/>
      <w:lvlText w:val="%6."/>
      <w:lvlJc w:val="right"/>
      <w:pPr>
        <w:ind w:left="4320" w:hanging="180"/>
      </w:pPr>
    </w:lvl>
    <w:lvl w:ilvl="6" w:tplc="7572F460">
      <w:start w:val="1"/>
      <w:numFmt w:val="decimal"/>
      <w:lvlText w:val="%7."/>
      <w:lvlJc w:val="left"/>
      <w:pPr>
        <w:ind w:left="5040" w:hanging="360"/>
      </w:pPr>
    </w:lvl>
    <w:lvl w:ilvl="7" w:tplc="C1186788">
      <w:start w:val="1"/>
      <w:numFmt w:val="lowerLetter"/>
      <w:lvlText w:val="%8."/>
      <w:lvlJc w:val="left"/>
      <w:pPr>
        <w:ind w:left="5760" w:hanging="360"/>
      </w:pPr>
    </w:lvl>
    <w:lvl w:ilvl="8" w:tplc="5AA02E8A">
      <w:start w:val="1"/>
      <w:numFmt w:val="lowerRoman"/>
      <w:lvlText w:val="%9."/>
      <w:lvlJc w:val="right"/>
      <w:pPr>
        <w:ind w:left="6480" w:hanging="180"/>
      </w:pPr>
    </w:lvl>
  </w:abstractNum>
  <w:abstractNum w:abstractNumId="220" w15:restartNumberingAfterBreak="0">
    <w:nsid w:val="3E2B39EA"/>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21"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22" w15:restartNumberingAfterBreak="0">
    <w:nsid w:val="3E4B0CD4"/>
    <w:multiLevelType w:val="hybridMultilevel"/>
    <w:tmpl w:val="A7DE753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3" w15:restartNumberingAfterBreak="0">
    <w:nsid w:val="3E4D50FF"/>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24" w15:restartNumberingAfterBreak="0">
    <w:nsid w:val="3EAC7F2A"/>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25" w15:restartNumberingAfterBreak="0">
    <w:nsid w:val="3EF050DB"/>
    <w:multiLevelType w:val="hybridMultilevel"/>
    <w:tmpl w:val="FFFFFFFF"/>
    <w:lvl w:ilvl="0" w:tplc="CE6E129A">
      <w:start w:val="1"/>
      <w:numFmt w:val="lowerLetter"/>
      <w:lvlText w:val="%1)"/>
      <w:lvlJc w:val="left"/>
      <w:pPr>
        <w:ind w:left="1080" w:hanging="360"/>
      </w:pPr>
    </w:lvl>
    <w:lvl w:ilvl="1" w:tplc="0DE20F52">
      <w:start w:val="1"/>
      <w:numFmt w:val="lowerLetter"/>
      <w:lvlText w:val="%2."/>
      <w:lvlJc w:val="left"/>
      <w:pPr>
        <w:ind w:left="1800" w:hanging="360"/>
      </w:pPr>
    </w:lvl>
    <w:lvl w:ilvl="2" w:tplc="0C600D3C">
      <w:start w:val="1"/>
      <w:numFmt w:val="lowerRoman"/>
      <w:lvlText w:val="%3."/>
      <w:lvlJc w:val="right"/>
      <w:pPr>
        <w:ind w:left="2520" w:hanging="180"/>
      </w:pPr>
    </w:lvl>
    <w:lvl w:ilvl="3" w:tplc="0950BBEA">
      <w:start w:val="1"/>
      <w:numFmt w:val="decimal"/>
      <w:lvlText w:val="%4."/>
      <w:lvlJc w:val="left"/>
      <w:pPr>
        <w:ind w:left="3240" w:hanging="360"/>
      </w:pPr>
    </w:lvl>
    <w:lvl w:ilvl="4" w:tplc="7AACA40C">
      <w:start w:val="1"/>
      <w:numFmt w:val="lowerLetter"/>
      <w:lvlText w:val="%5."/>
      <w:lvlJc w:val="left"/>
      <w:pPr>
        <w:ind w:left="3960" w:hanging="360"/>
      </w:pPr>
    </w:lvl>
    <w:lvl w:ilvl="5" w:tplc="FE70A39C">
      <w:start w:val="1"/>
      <w:numFmt w:val="lowerRoman"/>
      <w:lvlText w:val="%6."/>
      <w:lvlJc w:val="right"/>
      <w:pPr>
        <w:ind w:left="4680" w:hanging="180"/>
      </w:pPr>
    </w:lvl>
    <w:lvl w:ilvl="6" w:tplc="174655D2">
      <w:start w:val="1"/>
      <w:numFmt w:val="decimal"/>
      <w:lvlText w:val="%7."/>
      <w:lvlJc w:val="left"/>
      <w:pPr>
        <w:ind w:left="5400" w:hanging="360"/>
      </w:pPr>
    </w:lvl>
    <w:lvl w:ilvl="7" w:tplc="A9DE4DD4">
      <w:start w:val="1"/>
      <w:numFmt w:val="lowerLetter"/>
      <w:lvlText w:val="%8."/>
      <w:lvlJc w:val="left"/>
      <w:pPr>
        <w:ind w:left="6120" w:hanging="360"/>
      </w:pPr>
    </w:lvl>
    <w:lvl w:ilvl="8" w:tplc="3FF283FC">
      <w:start w:val="1"/>
      <w:numFmt w:val="lowerRoman"/>
      <w:lvlText w:val="%9."/>
      <w:lvlJc w:val="right"/>
      <w:pPr>
        <w:ind w:left="6840" w:hanging="180"/>
      </w:pPr>
    </w:lvl>
  </w:abstractNum>
  <w:abstractNum w:abstractNumId="226"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7" w15:restartNumberingAfterBreak="0">
    <w:nsid w:val="3F5013CB"/>
    <w:multiLevelType w:val="hybridMultilevel"/>
    <w:tmpl w:val="1512C8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8" w15:restartNumberingAfterBreak="0">
    <w:nsid w:val="3F5855A3"/>
    <w:multiLevelType w:val="hybridMultilevel"/>
    <w:tmpl w:val="35BE09F2"/>
    <w:lvl w:ilvl="0" w:tplc="62CC802E">
      <w:start w:val="1"/>
      <w:numFmt w:val="lowerLetter"/>
      <w:lvlText w:val="%1)"/>
      <w:lvlJc w:val="left"/>
      <w:pPr>
        <w:ind w:left="1080" w:hanging="360"/>
      </w:pPr>
    </w:lvl>
    <w:lvl w:ilvl="1" w:tplc="E2743548">
      <w:start w:val="1"/>
      <w:numFmt w:val="lowerLetter"/>
      <w:lvlText w:val="%2."/>
      <w:lvlJc w:val="left"/>
      <w:pPr>
        <w:ind w:left="1800" w:hanging="360"/>
      </w:pPr>
    </w:lvl>
    <w:lvl w:ilvl="2" w:tplc="90E2B6D6">
      <w:start w:val="1"/>
      <w:numFmt w:val="lowerRoman"/>
      <w:lvlText w:val="%3."/>
      <w:lvlJc w:val="right"/>
      <w:pPr>
        <w:ind w:left="2520" w:hanging="180"/>
      </w:pPr>
    </w:lvl>
    <w:lvl w:ilvl="3" w:tplc="ABA0B426">
      <w:start w:val="1"/>
      <w:numFmt w:val="decimal"/>
      <w:lvlText w:val="%4."/>
      <w:lvlJc w:val="left"/>
      <w:pPr>
        <w:ind w:left="3240" w:hanging="360"/>
      </w:pPr>
    </w:lvl>
    <w:lvl w:ilvl="4" w:tplc="98CC67D2">
      <w:start w:val="1"/>
      <w:numFmt w:val="lowerLetter"/>
      <w:lvlText w:val="%5."/>
      <w:lvlJc w:val="left"/>
      <w:pPr>
        <w:ind w:left="3960" w:hanging="360"/>
      </w:pPr>
    </w:lvl>
    <w:lvl w:ilvl="5" w:tplc="68E0F330">
      <w:start w:val="1"/>
      <w:numFmt w:val="lowerRoman"/>
      <w:lvlText w:val="%6."/>
      <w:lvlJc w:val="right"/>
      <w:pPr>
        <w:ind w:left="4680" w:hanging="180"/>
      </w:pPr>
    </w:lvl>
    <w:lvl w:ilvl="6" w:tplc="3BF47CF6">
      <w:start w:val="1"/>
      <w:numFmt w:val="decimal"/>
      <w:lvlText w:val="%7."/>
      <w:lvlJc w:val="left"/>
      <w:pPr>
        <w:ind w:left="5400" w:hanging="360"/>
      </w:pPr>
    </w:lvl>
    <w:lvl w:ilvl="7" w:tplc="80E0A73C">
      <w:start w:val="1"/>
      <w:numFmt w:val="lowerLetter"/>
      <w:lvlText w:val="%8."/>
      <w:lvlJc w:val="left"/>
      <w:pPr>
        <w:ind w:left="6120" w:hanging="360"/>
      </w:pPr>
    </w:lvl>
    <w:lvl w:ilvl="8" w:tplc="48507EFA">
      <w:start w:val="1"/>
      <w:numFmt w:val="lowerRoman"/>
      <w:lvlText w:val="%9."/>
      <w:lvlJc w:val="right"/>
      <w:pPr>
        <w:ind w:left="6840" w:hanging="180"/>
      </w:pPr>
    </w:lvl>
  </w:abstractNum>
  <w:abstractNum w:abstractNumId="229" w15:restartNumberingAfterBreak="0">
    <w:nsid w:val="3F78191D"/>
    <w:multiLevelType w:val="hybridMultilevel"/>
    <w:tmpl w:val="3F3653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0" w15:restartNumberingAfterBreak="0">
    <w:nsid w:val="3F8E65C8"/>
    <w:multiLevelType w:val="hybridMultilevel"/>
    <w:tmpl w:val="CD527526"/>
    <w:lvl w:ilvl="0" w:tplc="8DB03EF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31" w15:restartNumberingAfterBreak="0">
    <w:nsid w:val="403504A8"/>
    <w:multiLevelType w:val="hybridMultilevel"/>
    <w:tmpl w:val="D0920A1C"/>
    <w:lvl w:ilvl="0" w:tplc="7814266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2" w15:restartNumberingAfterBreak="0">
    <w:nsid w:val="40412DA3"/>
    <w:multiLevelType w:val="hybridMultilevel"/>
    <w:tmpl w:val="ED84840A"/>
    <w:lvl w:ilvl="0" w:tplc="083C64F0">
      <w:start w:val="1"/>
      <w:numFmt w:val="decimal"/>
      <w:lvlText w:val="%1."/>
      <w:lvlJc w:val="left"/>
      <w:pPr>
        <w:tabs>
          <w:tab w:val="num" w:pos="360"/>
        </w:tabs>
        <w:ind w:left="360" w:hanging="360"/>
      </w:pPr>
      <w:rPr>
        <w:rFonts w:hint="default"/>
        <w:b/>
        <w:sz w:val="17"/>
        <w:szCs w:val="17"/>
      </w:rPr>
    </w:lvl>
    <w:lvl w:ilvl="1" w:tplc="0DE2073E">
      <w:start w:val="1"/>
      <w:numFmt w:val="decimal"/>
      <w:lvlText w:val="(%2)"/>
      <w:lvlJc w:val="left"/>
      <w:pPr>
        <w:tabs>
          <w:tab w:val="num" w:pos="540"/>
        </w:tabs>
        <w:ind w:left="540" w:hanging="360"/>
      </w:pPr>
      <w:rPr>
        <w:rFonts w:hint="default"/>
        <w:b w:val="0"/>
        <w:sz w:val="20"/>
        <w:szCs w:val="20"/>
      </w:rPr>
    </w:lvl>
    <w:lvl w:ilvl="2" w:tplc="149634C4">
      <w:start w:val="2"/>
      <w:numFmt w:val="decimal"/>
      <w:lvlText w:val="(%3)"/>
      <w:lvlJc w:val="left"/>
      <w:pPr>
        <w:tabs>
          <w:tab w:val="num" w:pos="1440"/>
        </w:tabs>
        <w:ind w:left="1440" w:hanging="360"/>
      </w:pPr>
      <w:rPr>
        <w:rFonts w:hint="default"/>
        <w:b w:val="0"/>
        <w:sz w:val="20"/>
        <w:szCs w:val="20"/>
      </w:rPr>
    </w:lvl>
    <w:lvl w:ilvl="3" w:tplc="0C09000F">
      <w:start w:val="1"/>
      <w:numFmt w:val="decimal"/>
      <w:lvlText w:val="%4."/>
      <w:lvlJc w:val="left"/>
      <w:pPr>
        <w:tabs>
          <w:tab w:val="num" w:pos="1980"/>
        </w:tabs>
        <w:ind w:left="1980" w:hanging="360"/>
      </w:pPr>
    </w:lvl>
    <w:lvl w:ilvl="4" w:tplc="0C090019" w:tentative="1">
      <w:start w:val="1"/>
      <w:numFmt w:val="lowerLetter"/>
      <w:lvlText w:val="%5."/>
      <w:lvlJc w:val="left"/>
      <w:pPr>
        <w:tabs>
          <w:tab w:val="num" w:pos="2700"/>
        </w:tabs>
        <w:ind w:left="2700" w:hanging="360"/>
      </w:pPr>
    </w:lvl>
    <w:lvl w:ilvl="5" w:tplc="0C09001B" w:tentative="1">
      <w:start w:val="1"/>
      <w:numFmt w:val="lowerRoman"/>
      <w:lvlText w:val="%6."/>
      <w:lvlJc w:val="right"/>
      <w:pPr>
        <w:tabs>
          <w:tab w:val="num" w:pos="3420"/>
        </w:tabs>
        <w:ind w:left="3420" w:hanging="180"/>
      </w:pPr>
    </w:lvl>
    <w:lvl w:ilvl="6" w:tplc="0C09000F" w:tentative="1">
      <w:start w:val="1"/>
      <w:numFmt w:val="decimal"/>
      <w:lvlText w:val="%7."/>
      <w:lvlJc w:val="left"/>
      <w:pPr>
        <w:tabs>
          <w:tab w:val="num" w:pos="4140"/>
        </w:tabs>
        <w:ind w:left="4140" w:hanging="360"/>
      </w:pPr>
    </w:lvl>
    <w:lvl w:ilvl="7" w:tplc="0C090019" w:tentative="1">
      <w:start w:val="1"/>
      <w:numFmt w:val="lowerLetter"/>
      <w:lvlText w:val="%8."/>
      <w:lvlJc w:val="left"/>
      <w:pPr>
        <w:tabs>
          <w:tab w:val="num" w:pos="4860"/>
        </w:tabs>
        <w:ind w:left="4860" w:hanging="360"/>
      </w:pPr>
    </w:lvl>
    <w:lvl w:ilvl="8" w:tplc="0C09001B" w:tentative="1">
      <w:start w:val="1"/>
      <w:numFmt w:val="lowerRoman"/>
      <w:lvlText w:val="%9."/>
      <w:lvlJc w:val="right"/>
      <w:pPr>
        <w:tabs>
          <w:tab w:val="num" w:pos="5580"/>
        </w:tabs>
        <w:ind w:left="5580" w:hanging="180"/>
      </w:pPr>
    </w:lvl>
  </w:abstractNum>
  <w:abstractNum w:abstractNumId="233" w15:restartNumberingAfterBreak="0">
    <w:nsid w:val="40AA7973"/>
    <w:multiLevelType w:val="hybridMultilevel"/>
    <w:tmpl w:val="40B0FDF8"/>
    <w:lvl w:ilvl="0" w:tplc="D4EE4D3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4" w15:restartNumberingAfterBreak="0">
    <w:nsid w:val="40B80C83"/>
    <w:multiLevelType w:val="hybridMultilevel"/>
    <w:tmpl w:val="5B2E856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5" w15:restartNumberingAfterBreak="0">
    <w:nsid w:val="40E14214"/>
    <w:multiLevelType w:val="multilevel"/>
    <w:tmpl w:val="0884165E"/>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236" w15:restartNumberingAfterBreak="0">
    <w:nsid w:val="41260C95"/>
    <w:multiLevelType w:val="hybridMultilevel"/>
    <w:tmpl w:val="84CAC866"/>
    <w:lvl w:ilvl="0" w:tplc="D4EE4D3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7" w15:restartNumberingAfterBreak="0">
    <w:nsid w:val="413F5E88"/>
    <w:multiLevelType w:val="hybridMultilevel"/>
    <w:tmpl w:val="D0920A1C"/>
    <w:lvl w:ilvl="0" w:tplc="7814266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8" w15:restartNumberingAfterBreak="0">
    <w:nsid w:val="4185462D"/>
    <w:multiLevelType w:val="hybridMultilevel"/>
    <w:tmpl w:val="F14A2A92"/>
    <w:lvl w:ilvl="0" w:tplc="61962428">
      <w:start w:val="1"/>
      <w:numFmt w:val="lowerLetter"/>
      <w:pStyle w:val="Codea"/>
      <w:lvlText w:val="(%1)"/>
      <w:lvlJc w:val="left"/>
      <w:pPr>
        <w:ind w:left="1211" w:hanging="360"/>
      </w:pPr>
      <w:rPr>
        <w:rFonts w:ascii="HelveticaNeueLT Std Lt" w:eastAsiaTheme="minorHAnsi" w:hAnsi="HelveticaNeueLT Std Lt" w:cs="HelveticaNeueLT Std 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39" w15:restartNumberingAfterBreak="0">
    <w:nsid w:val="41E22EA6"/>
    <w:multiLevelType w:val="hybridMultilevel"/>
    <w:tmpl w:val="7F381DB6"/>
    <w:lvl w:ilvl="0" w:tplc="D4EE4D3A">
      <w:start w:val="1"/>
      <w:numFmt w:val="decimal"/>
      <w:lvlText w:val="(%1)"/>
      <w:lvlJc w:val="left"/>
      <w:pPr>
        <w:ind w:left="1506" w:hanging="360"/>
      </w:pPr>
      <w:rPr>
        <w:rFonts w:hint="default"/>
      </w:rPr>
    </w:lvl>
    <w:lvl w:ilvl="1" w:tplc="0C090019" w:tentative="1">
      <w:start w:val="1"/>
      <w:numFmt w:val="lowerLetter"/>
      <w:lvlText w:val="%2."/>
      <w:lvlJc w:val="left"/>
      <w:pPr>
        <w:ind w:left="1375" w:hanging="360"/>
      </w:pPr>
    </w:lvl>
    <w:lvl w:ilvl="2" w:tplc="0C09001B" w:tentative="1">
      <w:start w:val="1"/>
      <w:numFmt w:val="lowerRoman"/>
      <w:lvlText w:val="%3."/>
      <w:lvlJc w:val="right"/>
      <w:pPr>
        <w:ind w:left="2095" w:hanging="180"/>
      </w:pPr>
    </w:lvl>
    <w:lvl w:ilvl="3" w:tplc="0C09000F" w:tentative="1">
      <w:start w:val="1"/>
      <w:numFmt w:val="decimal"/>
      <w:lvlText w:val="%4."/>
      <w:lvlJc w:val="left"/>
      <w:pPr>
        <w:ind w:left="2815" w:hanging="360"/>
      </w:pPr>
    </w:lvl>
    <w:lvl w:ilvl="4" w:tplc="0C090019" w:tentative="1">
      <w:start w:val="1"/>
      <w:numFmt w:val="lowerLetter"/>
      <w:lvlText w:val="%5."/>
      <w:lvlJc w:val="left"/>
      <w:pPr>
        <w:ind w:left="3535" w:hanging="360"/>
      </w:pPr>
    </w:lvl>
    <w:lvl w:ilvl="5" w:tplc="0C09001B" w:tentative="1">
      <w:start w:val="1"/>
      <w:numFmt w:val="lowerRoman"/>
      <w:lvlText w:val="%6."/>
      <w:lvlJc w:val="right"/>
      <w:pPr>
        <w:ind w:left="4255" w:hanging="180"/>
      </w:pPr>
    </w:lvl>
    <w:lvl w:ilvl="6" w:tplc="0C09000F" w:tentative="1">
      <w:start w:val="1"/>
      <w:numFmt w:val="decimal"/>
      <w:lvlText w:val="%7."/>
      <w:lvlJc w:val="left"/>
      <w:pPr>
        <w:ind w:left="4975" w:hanging="360"/>
      </w:pPr>
    </w:lvl>
    <w:lvl w:ilvl="7" w:tplc="0C090019" w:tentative="1">
      <w:start w:val="1"/>
      <w:numFmt w:val="lowerLetter"/>
      <w:lvlText w:val="%8."/>
      <w:lvlJc w:val="left"/>
      <w:pPr>
        <w:ind w:left="5695" w:hanging="360"/>
      </w:pPr>
    </w:lvl>
    <w:lvl w:ilvl="8" w:tplc="0C09001B" w:tentative="1">
      <w:start w:val="1"/>
      <w:numFmt w:val="lowerRoman"/>
      <w:lvlText w:val="%9."/>
      <w:lvlJc w:val="right"/>
      <w:pPr>
        <w:ind w:left="6415" w:hanging="180"/>
      </w:pPr>
    </w:lvl>
  </w:abstractNum>
  <w:abstractNum w:abstractNumId="240" w15:restartNumberingAfterBreak="0">
    <w:nsid w:val="43031197"/>
    <w:multiLevelType w:val="hybridMultilevel"/>
    <w:tmpl w:val="4C6072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1" w15:restartNumberingAfterBreak="0">
    <w:nsid w:val="43364238"/>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42" w15:restartNumberingAfterBreak="0">
    <w:nsid w:val="43BD7A90"/>
    <w:multiLevelType w:val="hybridMultilevel"/>
    <w:tmpl w:val="29482FD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43" w15:restartNumberingAfterBreak="0">
    <w:nsid w:val="43F12ACC"/>
    <w:multiLevelType w:val="hybridMultilevel"/>
    <w:tmpl w:val="4C523EB0"/>
    <w:lvl w:ilvl="0" w:tplc="0C090017">
      <w:start w:val="1"/>
      <w:numFmt w:val="lowerLetter"/>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44" w15:restartNumberingAfterBreak="0">
    <w:nsid w:val="44134D88"/>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45" w15:restartNumberingAfterBreak="0">
    <w:nsid w:val="4453610D"/>
    <w:multiLevelType w:val="hybridMultilevel"/>
    <w:tmpl w:val="00065CF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6" w15:restartNumberingAfterBreak="0">
    <w:nsid w:val="4453665E"/>
    <w:multiLevelType w:val="hybridMultilevel"/>
    <w:tmpl w:val="E0E669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44553A7F"/>
    <w:multiLevelType w:val="hybridMultilevel"/>
    <w:tmpl w:val="5456F64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8" w15:restartNumberingAfterBreak="0">
    <w:nsid w:val="44C03AEA"/>
    <w:multiLevelType w:val="hybridMultilevel"/>
    <w:tmpl w:val="B812153E"/>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9" w15:restartNumberingAfterBreak="0">
    <w:nsid w:val="44ED0C0A"/>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50" w15:restartNumberingAfterBreak="0">
    <w:nsid w:val="44FC4A71"/>
    <w:multiLevelType w:val="multilevel"/>
    <w:tmpl w:val="63D686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855" w:hanging="720"/>
      </w:pPr>
      <w:rPr>
        <w:rFonts w:ascii="Times New Roman" w:eastAsiaTheme="minorHAnsi" w:hAnsi="Times New Roman" w:cs="Times New Roman"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45133B00"/>
    <w:multiLevelType w:val="hybridMultilevel"/>
    <w:tmpl w:val="4AB8D24C"/>
    <w:lvl w:ilvl="0" w:tplc="2A3CBDDA">
      <w:start w:val="1"/>
      <w:numFmt w:val="lowerLetter"/>
      <w:lvlText w:val="%1)"/>
      <w:lvlJc w:val="left"/>
      <w:pPr>
        <w:ind w:left="720" w:hanging="360"/>
      </w:pPr>
    </w:lvl>
    <w:lvl w:ilvl="1" w:tplc="C8643E18">
      <w:start w:val="1"/>
      <w:numFmt w:val="lowerLetter"/>
      <w:lvlText w:val="%2."/>
      <w:lvlJc w:val="left"/>
      <w:pPr>
        <w:ind w:left="1440" w:hanging="360"/>
      </w:pPr>
    </w:lvl>
    <w:lvl w:ilvl="2" w:tplc="6AB05924">
      <w:start w:val="1"/>
      <w:numFmt w:val="lowerRoman"/>
      <w:lvlText w:val="%3."/>
      <w:lvlJc w:val="right"/>
      <w:pPr>
        <w:ind w:left="2160" w:hanging="180"/>
      </w:pPr>
    </w:lvl>
    <w:lvl w:ilvl="3" w:tplc="3A04F36A">
      <w:start w:val="1"/>
      <w:numFmt w:val="decimal"/>
      <w:lvlText w:val="%4."/>
      <w:lvlJc w:val="left"/>
      <w:pPr>
        <w:ind w:left="2880" w:hanging="360"/>
      </w:pPr>
    </w:lvl>
    <w:lvl w:ilvl="4" w:tplc="CF2C5F48">
      <w:start w:val="1"/>
      <w:numFmt w:val="lowerLetter"/>
      <w:lvlText w:val="%5."/>
      <w:lvlJc w:val="left"/>
      <w:pPr>
        <w:ind w:left="3600" w:hanging="360"/>
      </w:pPr>
    </w:lvl>
    <w:lvl w:ilvl="5" w:tplc="B58EBDB6">
      <w:start w:val="1"/>
      <w:numFmt w:val="lowerRoman"/>
      <w:lvlText w:val="%6."/>
      <w:lvlJc w:val="right"/>
      <w:pPr>
        <w:ind w:left="4320" w:hanging="180"/>
      </w:pPr>
    </w:lvl>
    <w:lvl w:ilvl="6" w:tplc="6BFC3D60">
      <w:start w:val="1"/>
      <w:numFmt w:val="decimal"/>
      <w:lvlText w:val="%7."/>
      <w:lvlJc w:val="left"/>
      <w:pPr>
        <w:ind w:left="5040" w:hanging="360"/>
      </w:pPr>
    </w:lvl>
    <w:lvl w:ilvl="7" w:tplc="1AB023A0">
      <w:start w:val="1"/>
      <w:numFmt w:val="lowerLetter"/>
      <w:lvlText w:val="%8."/>
      <w:lvlJc w:val="left"/>
      <w:pPr>
        <w:ind w:left="5760" w:hanging="360"/>
      </w:pPr>
    </w:lvl>
    <w:lvl w:ilvl="8" w:tplc="2F60BF2E">
      <w:start w:val="1"/>
      <w:numFmt w:val="lowerRoman"/>
      <w:lvlText w:val="%9."/>
      <w:lvlJc w:val="right"/>
      <w:pPr>
        <w:ind w:left="6480" w:hanging="180"/>
      </w:pPr>
    </w:lvl>
  </w:abstractNum>
  <w:abstractNum w:abstractNumId="252" w15:restartNumberingAfterBreak="0">
    <w:nsid w:val="452C6BCA"/>
    <w:multiLevelType w:val="hybridMultilevel"/>
    <w:tmpl w:val="271003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3" w15:restartNumberingAfterBreak="0">
    <w:nsid w:val="46502708"/>
    <w:multiLevelType w:val="hybridMultilevel"/>
    <w:tmpl w:val="0C5A4C98"/>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4" w15:restartNumberingAfterBreak="0">
    <w:nsid w:val="46B3763E"/>
    <w:multiLevelType w:val="multilevel"/>
    <w:tmpl w:val="D57EDE06"/>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255" w15:restartNumberingAfterBreak="0">
    <w:nsid w:val="472B797C"/>
    <w:multiLevelType w:val="multilevel"/>
    <w:tmpl w:val="EE14184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6" w15:restartNumberingAfterBreak="0">
    <w:nsid w:val="4836053C"/>
    <w:multiLevelType w:val="hybridMultilevel"/>
    <w:tmpl w:val="0966060A"/>
    <w:lvl w:ilvl="0" w:tplc="0E3A140C">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57" w15:restartNumberingAfterBreak="0">
    <w:nsid w:val="48621CE4"/>
    <w:multiLevelType w:val="hybridMultilevel"/>
    <w:tmpl w:val="5246C638"/>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58" w15:restartNumberingAfterBreak="0">
    <w:nsid w:val="48DC629C"/>
    <w:multiLevelType w:val="multilevel"/>
    <w:tmpl w:val="95AC5F58"/>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259" w15:restartNumberingAfterBreak="0">
    <w:nsid w:val="48E360B7"/>
    <w:multiLevelType w:val="hybridMultilevel"/>
    <w:tmpl w:val="5E649FC8"/>
    <w:lvl w:ilvl="0" w:tplc="6AE09FA0">
      <w:start w:val="1"/>
      <w:numFmt w:val="lowerLetter"/>
      <w:lvlText w:val="%1)"/>
      <w:lvlJc w:val="left"/>
      <w:pPr>
        <w:ind w:left="1080" w:hanging="360"/>
      </w:pPr>
      <w:rPr>
        <w:b w:val="0"/>
        <w:bCs w:val="0"/>
      </w:r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260" w15:restartNumberingAfterBreak="0">
    <w:nsid w:val="49050CD0"/>
    <w:multiLevelType w:val="hybridMultilevel"/>
    <w:tmpl w:val="4B7C51C4"/>
    <w:lvl w:ilvl="0" w:tplc="3704DC0A">
      <w:start w:val="1"/>
      <w:numFmt w:val="lowerLetter"/>
      <w:lvlText w:val="%1)"/>
      <w:lvlJc w:val="left"/>
      <w:pPr>
        <w:ind w:left="1069" w:hanging="360"/>
      </w:pPr>
      <w:rPr>
        <w:i w:val="0"/>
        <w:iCs w:val="0"/>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61" w15:restartNumberingAfterBreak="0">
    <w:nsid w:val="49051149"/>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62" w15:restartNumberingAfterBreak="0">
    <w:nsid w:val="490747C4"/>
    <w:multiLevelType w:val="hybridMultilevel"/>
    <w:tmpl w:val="E08026CA"/>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3" w15:restartNumberingAfterBreak="0">
    <w:nsid w:val="492F5EDA"/>
    <w:multiLevelType w:val="multilevel"/>
    <w:tmpl w:val="CD68C932"/>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264" w15:restartNumberingAfterBreak="0">
    <w:nsid w:val="49447417"/>
    <w:multiLevelType w:val="hybridMultilevel"/>
    <w:tmpl w:val="D0920A1C"/>
    <w:lvl w:ilvl="0" w:tplc="7814266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5" w15:restartNumberingAfterBreak="0">
    <w:nsid w:val="49AB70C7"/>
    <w:multiLevelType w:val="hybridMultilevel"/>
    <w:tmpl w:val="86A4CBA4"/>
    <w:lvl w:ilvl="0" w:tplc="3E3CF4F8">
      <w:start w:val="1"/>
      <w:numFmt w:val="lowerLetter"/>
      <w:lvlText w:val="(%1)"/>
      <w:lvlJc w:val="left"/>
      <w:pPr>
        <w:ind w:left="1211"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66" w15:restartNumberingAfterBreak="0">
    <w:nsid w:val="49EA5D2D"/>
    <w:multiLevelType w:val="multilevel"/>
    <w:tmpl w:val="628614F8"/>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267" w15:restartNumberingAfterBreak="0">
    <w:nsid w:val="4A0D2201"/>
    <w:multiLevelType w:val="hybridMultilevel"/>
    <w:tmpl w:val="3ACAB56A"/>
    <w:lvl w:ilvl="0" w:tplc="271CC79E">
      <w:start w:val="1"/>
      <w:numFmt w:val="lowerLetter"/>
      <w:lvlText w:val="(%1)"/>
      <w:lvlJc w:val="left"/>
      <w:pPr>
        <w:ind w:left="1211" w:hanging="360"/>
      </w:pPr>
      <w:rPr>
        <w:rFonts w:hint="default"/>
        <w:b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68" w15:restartNumberingAfterBreak="0">
    <w:nsid w:val="4A28243B"/>
    <w:multiLevelType w:val="hybridMultilevel"/>
    <w:tmpl w:val="3586C08E"/>
    <w:lvl w:ilvl="0" w:tplc="B396321E">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69" w15:restartNumberingAfterBreak="0">
    <w:nsid w:val="4A5C639C"/>
    <w:multiLevelType w:val="hybridMultilevel"/>
    <w:tmpl w:val="69F68122"/>
    <w:lvl w:ilvl="0" w:tplc="998C1E78">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0" w15:restartNumberingAfterBreak="0">
    <w:nsid w:val="4A88097F"/>
    <w:multiLevelType w:val="hybridMultilevel"/>
    <w:tmpl w:val="D0920A1C"/>
    <w:lvl w:ilvl="0" w:tplc="7814266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1" w15:restartNumberingAfterBreak="0">
    <w:nsid w:val="4A920923"/>
    <w:multiLevelType w:val="hybridMultilevel"/>
    <w:tmpl w:val="464E83F2"/>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72" w15:restartNumberingAfterBreak="0">
    <w:nsid w:val="4AFD1E15"/>
    <w:multiLevelType w:val="hybridMultilevel"/>
    <w:tmpl w:val="FD984452"/>
    <w:lvl w:ilvl="0" w:tplc="B59A755C">
      <w:start w:val="1"/>
      <w:numFmt w:val="lowerLetter"/>
      <w:lvlText w:val="%1)"/>
      <w:lvlJc w:val="left"/>
      <w:pPr>
        <w:ind w:left="1015" w:hanging="360"/>
      </w:pPr>
    </w:lvl>
    <w:lvl w:ilvl="1" w:tplc="A80A3128">
      <w:start w:val="1"/>
      <w:numFmt w:val="bullet"/>
      <w:lvlText w:val="o"/>
      <w:lvlJc w:val="left"/>
      <w:pPr>
        <w:ind w:left="1735" w:hanging="360"/>
      </w:pPr>
      <w:rPr>
        <w:rFonts w:ascii="Courier New" w:hAnsi="Courier New" w:hint="default"/>
      </w:rPr>
    </w:lvl>
    <w:lvl w:ilvl="2" w:tplc="5C50CCAA">
      <w:start w:val="1"/>
      <w:numFmt w:val="bullet"/>
      <w:lvlText w:val=""/>
      <w:lvlJc w:val="left"/>
      <w:pPr>
        <w:ind w:left="2455" w:hanging="360"/>
      </w:pPr>
      <w:rPr>
        <w:rFonts w:ascii="Wingdings" w:hAnsi="Wingdings" w:hint="default"/>
      </w:rPr>
    </w:lvl>
    <w:lvl w:ilvl="3" w:tplc="15A23B38">
      <w:start w:val="1"/>
      <w:numFmt w:val="bullet"/>
      <w:lvlText w:val=""/>
      <w:lvlJc w:val="left"/>
      <w:pPr>
        <w:ind w:left="3175" w:hanging="360"/>
      </w:pPr>
      <w:rPr>
        <w:rFonts w:ascii="Symbol" w:hAnsi="Symbol" w:hint="default"/>
      </w:rPr>
    </w:lvl>
    <w:lvl w:ilvl="4" w:tplc="60306AAE">
      <w:start w:val="1"/>
      <w:numFmt w:val="bullet"/>
      <w:lvlText w:val="o"/>
      <w:lvlJc w:val="left"/>
      <w:pPr>
        <w:ind w:left="3895" w:hanging="360"/>
      </w:pPr>
      <w:rPr>
        <w:rFonts w:ascii="Courier New" w:hAnsi="Courier New" w:hint="default"/>
      </w:rPr>
    </w:lvl>
    <w:lvl w:ilvl="5" w:tplc="F90E1EDC">
      <w:start w:val="1"/>
      <w:numFmt w:val="bullet"/>
      <w:lvlText w:val=""/>
      <w:lvlJc w:val="left"/>
      <w:pPr>
        <w:ind w:left="4615" w:hanging="360"/>
      </w:pPr>
      <w:rPr>
        <w:rFonts w:ascii="Wingdings" w:hAnsi="Wingdings" w:hint="default"/>
      </w:rPr>
    </w:lvl>
    <w:lvl w:ilvl="6" w:tplc="1D46598A">
      <w:start w:val="1"/>
      <w:numFmt w:val="bullet"/>
      <w:lvlText w:val=""/>
      <w:lvlJc w:val="left"/>
      <w:pPr>
        <w:ind w:left="5335" w:hanging="360"/>
      </w:pPr>
      <w:rPr>
        <w:rFonts w:ascii="Symbol" w:hAnsi="Symbol" w:hint="default"/>
      </w:rPr>
    </w:lvl>
    <w:lvl w:ilvl="7" w:tplc="5686D24C">
      <w:start w:val="1"/>
      <w:numFmt w:val="bullet"/>
      <w:lvlText w:val="o"/>
      <w:lvlJc w:val="left"/>
      <w:pPr>
        <w:ind w:left="6055" w:hanging="360"/>
      </w:pPr>
      <w:rPr>
        <w:rFonts w:ascii="Courier New" w:hAnsi="Courier New" w:hint="default"/>
      </w:rPr>
    </w:lvl>
    <w:lvl w:ilvl="8" w:tplc="2CCAAF54">
      <w:start w:val="1"/>
      <w:numFmt w:val="bullet"/>
      <w:lvlText w:val=""/>
      <w:lvlJc w:val="left"/>
      <w:pPr>
        <w:ind w:left="6775" w:hanging="360"/>
      </w:pPr>
      <w:rPr>
        <w:rFonts w:ascii="Wingdings" w:hAnsi="Wingdings" w:hint="default"/>
      </w:rPr>
    </w:lvl>
  </w:abstractNum>
  <w:abstractNum w:abstractNumId="273" w15:restartNumberingAfterBreak="0">
    <w:nsid w:val="4B18209E"/>
    <w:multiLevelType w:val="hybridMultilevel"/>
    <w:tmpl w:val="D0920A1C"/>
    <w:lvl w:ilvl="0" w:tplc="7814266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4" w15:restartNumberingAfterBreak="0">
    <w:nsid w:val="4B536E44"/>
    <w:multiLevelType w:val="hybridMultilevel"/>
    <w:tmpl w:val="0AD60AD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75" w15:restartNumberingAfterBreak="0">
    <w:nsid w:val="4B5B1751"/>
    <w:multiLevelType w:val="hybridMultilevel"/>
    <w:tmpl w:val="5456F646"/>
    <w:lvl w:ilvl="0" w:tplc="0C090017">
      <w:start w:val="1"/>
      <w:numFmt w:val="lowerLetter"/>
      <w:lvlText w:val="%1)"/>
      <w:lvlJc w:val="left"/>
      <w:pPr>
        <w:ind w:left="1001" w:hanging="360"/>
      </w:pPr>
    </w:lvl>
    <w:lvl w:ilvl="1" w:tplc="0C090019" w:tentative="1">
      <w:start w:val="1"/>
      <w:numFmt w:val="lowerLetter"/>
      <w:lvlText w:val="%2."/>
      <w:lvlJc w:val="left"/>
      <w:pPr>
        <w:ind w:left="1721" w:hanging="360"/>
      </w:pPr>
    </w:lvl>
    <w:lvl w:ilvl="2" w:tplc="0C09001B" w:tentative="1">
      <w:start w:val="1"/>
      <w:numFmt w:val="lowerRoman"/>
      <w:lvlText w:val="%3."/>
      <w:lvlJc w:val="right"/>
      <w:pPr>
        <w:ind w:left="2441" w:hanging="180"/>
      </w:pPr>
    </w:lvl>
    <w:lvl w:ilvl="3" w:tplc="0C09000F" w:tentative="1">
      <w:start w:val="1"/>
      <w:numFmt w:val="decimal"/>
      <w:lvlText w:val="%4."/>
      <w:lvlJc w:val="left"/>
      <w:pPr>
        <w:ind w:left="3161" w:hanging="360"/>
      </w:pPr>
    </w:lvl>
    <w:lvl w:ilvl="4" w:tplc="0C090019" w:tentative="1">
      <w:start w:val="1"/>
      <w:numFmt w:val="lowerLetter"/>
      <w:lvlText w:val="%5."/>
      <w:lvlJc w:val="left"/>
      <w:pPr>
        <w:ind w:left="3881" w:hanging="360"/>
      </w:pPr>
    </w:lvl>
    <w:lvl w:ilvl="5" w:tplc="0C09001B" w:tentative="1">
      <w:start w:val="1"/>
      <w:numFmt w:val="lowerRoman"/>
      <w:lvlText w:val="%6."/>
      <w:lvlJc w:val="right"/>
      <w:pPr>
        <w:ind w:left="4601" w:hanging="180"/>
      </w:pPr>
    </w:lvl>
    <w:lvl w:ilvl="6" w:tplc="0C09000F" w:tentative="1">
      <w:start w:val="1"/>
      <w:numFmt w:val="decimal"/>
      <w:lvlText w:val="%7."/>
      <w:lvlJc w:val="left"/>
      <w:pPr>
        <w:ind w:left="5321" w:hanging="360"/>
      </w:pPr>
    </w:lvl>
    <w:lvl w:ilvl="7" w:tplc="0C090019" w:tentative="1">
      <w:start w:val="1"/>
      <w:numFmt w:val="lowerLetter"/>
      <w:lvlText w:val="%8."/>
      <w:lvlJc w:val="left"/>
      <w:pPr>
        <w:ind w:left="6041" w:hanging="360"/>
      </w:pPr>
    </w:lvl>
    <w:lvl w:ilvl="8" w:tplc="0C09001B" w:tentative="1">
      <w:start w:val="1"/>
      <w:numFmt w:val="lowerRoman"/>
      <w:lvlText w:val="%9."/>
      <w:lvlJc w:val="right"/>
      <w:pPr>
        <w:ind w:left="6761" w:hanging="180"/>
      </w:pPr>
    </w:lvl>
  </w:abstractNum>
  <w:abstractNum w:abstractNumId="276" w15:restartNumberingAfterBreak="0">
    <w:nsid w:val="4B704733"/>
    <w:multiLevelType w:val="hybridMultilevel"/>
    <w:tmpl w:val="237E0EAA"/>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77" w15:restartNumberingAfterBreak="0">
    <w:nsid w:val="4BE67EBF"/>
    <w:multiLevelType w:val="multilevel"/>
    <w:tmpl w:val="A1723E8A"/>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ascii="Calibri" w:hAnsi="Calibri" w:cs="Times New Roman" w:hint="default"/>
        <w:b w:val="0"/>
        <w:i w:val="0"/>
        <w:sz w:val="24"/>
      </w:rPr>
    </w:lvl>
    <w:lvl w:ilvl="3">
      <w:start w:val="1"/>
      <w:numFmt w:val="lowerRoman"/>
      <w:lvlText w:val="%4."/>
      <w:lvlJc w:val="right"/>
      <w:pPr>
        <w:ind w:left="2268" w:hanging="567"/>
      </w:pPr>
      <w:rPr>
        <w:rFonts w:hint="default"/>
        <w:b w:val="0"/>
        <w:i w:val="0"/>
        <w:sz w:val="17"/>
        <w:szCs w:val="17"/>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278" w15:restartNumberingAfterBreak="0">
    <w:nsid w:val="4CF93ABF"/>
    <w:multiLevelType w:val="hybridMultilevel"/>
    <w:tmpl w:val="3ACAB56A"/>
    <w:lvl w:ilvl="0" w:tplc="271CC79E">
      <w:start w:val="1"/>
      <w:numFmt w:val="lowerLetter"/>
      <w:lvlText w:val="(%1)"/>
      <w:lvlJc w:val="left"/>
      <w:pPr>
        <w:ind w:left="1211" w:hanging="360"/>
      </w:pPr>
      <w:rPr>
        <w:rFonts w:hint="default"/>
        <w:b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79" w15:restartNumberingAfterBreak="0">
    <w:nsid w:val="4D1F67FB"/>
    <w:multiLevelType w:val="hybridMultilevel"/>
    <w:tmpl w:val="34306FB2"/>
    <w:lvl w:ilvl="0" w:tplc="88464998">
      <w:start w:val="1"/>
      <w:numFmt w:val="decimal"/>
      <w:lvlText w:val="(%1)"/>
      <w:lvlJc w:val="left"/>
      <w:pPr>
        <w:ind w:left="786" w:hanging="360"/>
      </w:pPr>
      <w:rPr>
        <w:rFonts w:hint="default"/>
        <w:b w:val="0"/>
        <w:bCs/>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80" w15:restartNumberingAfterBreak="0">
    <w:nsid w:val="4D3F4195"/>
    <w:multiLevelType w:val="hybridMultilevel"/>
    <w:tmpl w:val="FFFFFFFF"/>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281" w15:restartNumberingAfterBreak="0">
    <w:nsid w:val="4D4353CC"/>
    <w:multiLevelType w:val="hybridMultilevel"/>
    <w:tmpl w:val="FFFFFFFF"/>
    <w:lvl w:ilvl="0" w:tplc="0406BF9C">
      <w:start w:val="1"/>
      <w:numFmt w:val="lowerLetter"/>
      <w:lvlText w:val="%1)"/>
      <w:lvlJc w:val="left"/>
      <w:pPr>
        <w:ind w:left="1080" w:hanging="360"/>
      </w:pPr>
    </w:lvl>
    <w:lvl w:ilvl="1" w:tplc="384E7816">
      <w:start w:val="1"/>
      <w:numFmt w:val="lowerLetter"/>
      <w:lvlText w:val="%2."/>
      <w:lvlJc w:val="left"/>
      <w:pPr>
        <w:ind w:left="1800" w:hanging="360"/>
      </w:pPr>
    </w:lvl>
    <w:lvl w:ilvl="2" w:tplc="7D000068">
      <w:start w:val="1"/>
      <w:numFmt w:val="lowerRoman"/>
      <w:lvlText w:val="%3."/>
      <w:lvlJc w:val="right"/>
      <w:pPr>
        <w:ind w:left="2520" w:hanging="180"/>
      </w:pPr>
    </w:lvl>
    <w:lvl w:ilvl="3" w:tplc="14A0971C">
      <w:start w:val="1"/>
      <w:numFmt w:val="decimal"/>
      <w:lvlText w:val="%4."/>
      <w:lvlJc w:val="left"/>
      <w:pPr>
        <w:ind w:left="3240" w:hanging="360"/>
      </w:pPr>
    </w:lvl>
    <w:lvl w:ilvl="4" w:tplc="B3542668">
      <w:start w:val="1"/>
      <w:numFmt w:val="lowerLetter"/>
      <w:lvlText w:val="%5."/>
      <w:lvlJc w:val="left"/>
      <w:pPr>
        <w:ind w:left="3960" w:hanging="360"/>
      </w:pPr>
    </w:lvl>
    <w:lvl w:ilvl="5" w:tplc="C53C12C8">
      <w:start w:val="1"/>
      <w:numFmt w:val="lowerRoman"/>
      <w:lvlText w:val="%6."/>
      <w:lvlJc w:val="right"/>
      <w:pPr>
        <w:ind w:left="4680" w:hanging="180"/>
      </w:pPr>
    </w:lvl>
    <w:lvl w:ilvl="6" w:tplc="ED84887E">
      <w:start w:val="1"/>
      <w:numFmt w:val="decimal"/>
      <w:lvlText w:val="%7."/>
      <w:lvlJc w:val="left"/>
      <w:pPr>
        <w:ind w:left="5400" w:hanging="360"/>
      </w:pPr>
    </w:lvl>
    <w:lvl w:ilvl="7" w:tplc="A9443D58">
      <w:start w:val="1"/>
      <w:numFmt w:val="lowerLetter"/>
      <w:lvlText w:val="%8."/>
      <w:lvlJc w:val="left"/>
      <w:pPr>
        <w:ind w:left="6120" w:hanging="360"/>
      </w:pPr>
    </w:lvl>
    <w:lvl w:ilvl="8" w:tplc="B450F7D4">
      <w:start w:val="1"/>
      <w:numFmt w:val="lowerRoman"/>
      <w:lvlText w:val="%9."/>
      <w:lvlJc w:val="right"/>
      <w:pPr>
        <w:ind w:left="6840" w:hanging="180"/>
      </w:pPr>
    </w:lvl>
  </w:abstractNum>
  <w:abstractNum w:abstractNumId="282" w15:restartNumberingAfterBreak="0">
    <w:nsid w:val="4D4D52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3" w15:restartNumberingAfterBreak="0">
    <w:nsid w:val="4DBA22DA"/>
    <w:multiLevelType w:val="hybridMultilevel"/>
    <w:tmpl w:val="0FB4BF9A"/>
    <w:lvl w:ilvl="0" w:tplc="D4EE4D3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4" w15:restartNumberingAfterBreak="0">
    <w:nsid w:val="4DCB283F"/>
    <w:multiLevelType w:val="multilevel"/>
    <w:tmpl w:val="F28C7644"/>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285" w15:restartNumberingAfterBreak="0">
    <w:nsid w:val="4F677510"/>
    <w:multiLevelType w:val="hybridMultilevel"/>
    <w:tmpl w:val="84CAC866"/>
    <w:lvl w:ilvl="0" w:tplc="D4EE4D3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6" w15:restartNumberingAfterBreak="0">
    <w:nsid w:val="509A5837"/>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87" w15:restartNumberingAfterBreak="0">
    <w:nsid w:val="515D2741"/>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88" w15:restartNumberingAfterBreak="0">
    <w:nsid w:val="516D7E29"/>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89" w15:restartNumberingAfterBreak="0">
    <w:nsid w:val="519C183A"/>
    <w:multiLevelType w:val="hybridMultilevel"/>
    <w:tmpl w:val="20163512"/>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90" w15:restartNumberingAfterBreak="0">
    <w:nsid w:val="51AF7614"/>
    <w:multiLevelType w:val="hybridMultilevel"/>
    <w:tmpl w:val="3E18A80C"/>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91"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92" w15:restartNumberingAfterBreak="0">
    <w:nsid w:val="52856E4C"/>
    <w:multiLevelType w:val="hybridMultilevel"/>
    <w:tmpl w:val="E8AE06E6"/>
    <w:lvl w:ilvl="0" w:tplc="1B9A5922">
      <w:start w:val="1"/>
      <w:numFmt w:val="lowerLetter"/>
      <w:lvlText w:val="(%1)"/>
      <w:lvlJc w:val="left"/>
      <w:pPr>
        <w:ind w:left="720" w:hanging="360"/>
      </w:pPr>
      <w:rPr>
        <w:rFonts w:ascii="HelveticaNeueLT Std Lt" w:eastAsiaTheme="minorHAnsi" w:hAnsi="HelveticaNeueLT Std Lt" w:cs="HelveticaNeueLT Std Lt"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3" w15:restartNumberingAfterBreak="0">
    <w:nsid w:val="52BD562E"/>
    <w:multiLevelType w:val="multilevel"/>
    <w:tmpl w:val="3468E9D2"/>
    <w:lvl w:ilvl="0">
      <w:start w:val="10"/>
      <w:numFmt w:val="decimal"/>
      <w:lvlText w:val="%1"/>
      <w:lvlJc w:val="left"/>
      <w:pPr>
        <w:ind w:left="465" w:hanging="465"/>
      </w:pPr>
      <w:rPr>
        <w:rFonts w:ascii="Arial" w:eastAsia="Times New Roman" w:hAnsi="Arial" w:cs="Arial" w:hint="default"/>
      </w:rPr>
    </w:lvl>
    <w:lvl w:ilvl="1">
      <w:start w:val="2"/>
      <w:numFmt w:val="decimal"/>
      <w:lvlText w:val="%1.%2"/>
      <w:lvlJc w:val="left"/>
      <w:pPr>
        <w:ind w:left="3585" w:hanging="465"/>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ascii="Arial" w:eastAsia="Times New Roman" w:hAnsi="Arial" w:cs="Arial" w:hint="default"/>
      </w:rPr>
    </w:lvl>
    <w:lvl w:ilvl="5">
      <w:start w:val="1"/>
      <w:numFmt w:val="decimal"/>
      <w:lvlText w:val="%1.%2.%3.%4.%5.%6"/>
      <w:lvlJc w:val="left"/>
      <w:pPr>
        <w:ind w:left="1440" w:hanging="1440"/>
      </w:pPr>
      <w:rPr>
        <w:rFonts w:ascii="Arial" w:eastAsia="Times New Roman" w:hAnsi="Arial" w:cs="Arial" w:hint="default"/>
      </w:rPr>
    </w:lvl>
    <w:lvl w:ilvl="6">
      <w:start w:val="1"/>
      <w:numFmt w:val="decimal"/>
      <w:lvlText w:val="%1.%2.%3.%4.%5.%6.%7"/>
      <w:lvlJc w:val="left"/>
      <w:pPr>
        <w:ind w:left="1440" w:hanging="1440"/>
      </w:pPr>
      <w:rPr>
        <w:rFonts w:ascii="Arial" w:eastAsia="Times New Roman" w:hAnsi="Arial" w:cs="Arial" w:hint="default"/>
      </w:rPr>
    </w:lvl>
    <w:lvl w:ilvl="7">
      <w:start w:val="1"/>
      <w:numFmt w:val="decimal"/>
      <w:lvlText w:val="%1.%2.%3.%4.%5.%6.%7.%8"/>
      <w:lvlJc w:val="left"/>
      <w:pPr>
        <w:ind w:left="1800" w:hanging="1800"/>
      </w:pPr>
      <w:rPr>
        <w:rFonts w:ascii="Arial" w:eastAsia="Times New Roman" w:hAnsi="Arial" w:cs="Arial" w:hint="default"/>
      </w:rPr>
    </w:lvl>
    <w:lvl w:ilvl="8">
      <w:start w:val="1"/>
      <w:numFmt w:val="decimal"/>
      <w:lvlText w:val="%1.%2.%3.%4.%5.%6.%7.%8.%9"/>
      <w:lvlJc w:val="left"/>
      <w:pPr>
        <w:ind w:left="2160" w:hanging="2160"/>
      </w:pPr>
      <w:rPr>
        <w:rFonts w:ascii="Arial" w:eastAsia="Times New Roman" w:hAnsi="Arial" w:cs="Arial" w:hint="default"/>
      </w:rPr>
    </w:lvl>
  </w:abstractNum>
  <w:abstractNum w:abstractNumId="294" w15:restartNumberingAfterBreak="0">
    <w:nsid w:val="52CF1611"/>
    <w:multiLevelType w:val="hybridMultilevel"/>
    <w:tmpl w:val="8A6CB450"/>
    <w:lvl w:ilvl="0" w:tplc="F61669FC">
      <w:start w:val="1"/>
      <w:numFmt w:val="lowerLetter"/>
      <w:lvlText w:val="%1)"/>
      <w:lvlJc w:val="left"/>
      <w:pPr>
        <w:ind w:left="1440" w:hanging="360"/>
      </w:pPr>
      <w:rPr>
        <w:sz w:val="17"/>
        <w:szCs w:val="17"/>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5" w15:restartNumberingAfterBreak="0">
    <w:nsid w:val="52EA2CD1"/>
    <w:multiLevelType w:val="hybridMultilevel"/>
    <w:tmpl w:val="FA4841A6"/>
    <w:lvl w:ilvl="0" w:tplc="FCACEA4E">
      <w:start w:val="1"/>
      <w:numFmt w:val="decimal"/>
      <w:lvlText w:val="%1)"/>
      <w:lvlJc w:val="left"/>
      <w:pPr>
        <w:ind w:left="360" w:hanging="360"/>
      </w:pPr>
      <w:rPr>
        <w:rFonts w:hint="default"/>
      </w:rPr>
    </w:lvl>
    <w:lvl w:ilvl="1" w:tplc="30E4FF9C">
      <w:start w:val="1"/>
      <w:numFmt w:val="lowerLetter"/>
      <w:lvlText w:val="%2)"/>
      <w:lvlJc w:val="left"/>
      <w:pPr>
        <w:ind w:left="720" w:hanging="360"/>
      </w:pPr>
      <w:rPr>
        <w:rFonts w:hint="default"/>
      </w:rPr>
    </w:lvl>
    <w:lvl w:ilvl="2" w:tplc="CB16A7D4">
      <w:start w:val="1"/>
      <w:numFmt w:val="lowerLetter"/>
      <w:lvlText w:val="%3)"/>
      <w:lvlJc w:val="left"/>
      <w:pPr>
        <w:ind w:left="1080" w:hanging="360"/>
      </w:pPr>
      <w:rPr>
        <w:rFonts w:ascii="Times New Roman" w:eastAsiaTheme="minorHAnsi" w:hAnsi="Times New Roman" w:cs="Times New Roman" w:hint="default"/>
      </w:rPr>
    </w:lvl>
    <w:lvl w:ilvl="3" w:tplc="F71A22D2">
      <w:start w:val="1"/>
      <w:numFmt w:val="lowerRoman"/>
      <w:lvlText w:val="(%4)"/>
      <w:lvlJc w:val="left"/>
      <w:pPr>
        <w:ind w:left="1440" w:hanging="360"/>
      </w:pPr>
      <w:rPr>
        <w:rFonts w:asciiTheme="minorHAnsi" w:eastAsiaTheme="minorHAnsi" w:hAnsiTheme="minorHAnsi" w:cstheme="minorBidi"/>
      </w:rPr>
    </w:lvl>
    <w:lvl w:ilvl="4" w:tplc="39DE718E">
      <w:start w:val="1"/>
      <w:numFmt w:val="lowerLetter"/>
      <w:lvlText w:val="(%5)"/>
      <w:lvlJc w:val="left"/>
      <w:pPr>
        <w:ind w:left="1800" w:hanging="360"/>
      </w:pPr>
      <w:rPr>
        <w:rFonts w:hint="default"/>
      </w:rPr>
    </w:lvl>
    <w:lvl w:ilvl="5" w:tplc="E33AA618">
      <w:start w:val="1"/>
      <w:numFmt w:val="lowerRoman"/>
      <w:lvlText w:val="(%6)"/>
      <w:lvlJc w:val="left"/>
      <w:pPr>
        <w:ind w:left="2160" w:hanging="360"/>
      </w:pPr>
      <w:rPr>
        <w:rFonts w:hint="default"/>
      </w:rPr>
    </w:lvl>
    <w:lvl w:ilvl="6" w:tplc="596CFC7A">
      <w:start w:val="1"/>
      <w:numFmt w:val="decimal"/>
      <w:lvlText w:val="%7."/>
      <w:lvlJc w:val="left"/>
      <w:pPr>
        <w:ind w:left="2520" w:hanging="360"/>
      </w:pPr>
      <w:rPr>
        <w:rFonts w:hint="default"/>
      </w:rPr>
    </w:lvl>
    <w:lvl w:ilvl="7" w:tplc="83920CFA">
      <w:start w:val="1"/>
      <w:numFmt w:val="lowerLetter"/>
      <w:lvlText w:val="%8."/>
      <w:lvlJc w:val="left"/>
      <w:pPr>
        <w:ind w:left="2880" w:hanging="360"/>
      </w:pPr>
      <w:rPr>
        <w:rFonts w:hint="default"/>
      </w:rPr>
    </w:lvl>
    <w:lvl w:ilvl="8" w:tplc="19D44018">
      <w:start w:val="1"/>
      <w:numFmt w:val="lowerRoman"/>
      <w:lvlText w:val="%9."/>
      <w:lvlJc w:val="left"/>
      <w:pPr>
        <w:ind w:left="3240" w:hanging="360"/>
      </w:pPr>
      <w:rPr>
        <w:rFonts w:hint="default"/>
      </w:rPr>
    </w:lvl>
  </w:abstractNum>
  <w:abstractNum w:abstractNumId="296" w15:restartNumberingAfterBreak="0">
    <w:nsid w:val="53120E0E"/>
    <w:multiLevelType w:val="multilevel"/>
    <w:tmpl w:val="1722CB1C"/>
    <w:lvl w:ilvl="0">
      <w:start w:val="5"/>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7" w15:restartNumberingAfterBreak="0">
    <w:nsid w:val="53397CEA"/>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98" w15:restartNumberingAfterBreak="0">
    <w:nsid w:val="536C12C4"/>
    <w:multiLevelType w:val="hybridMultilevel"/>
    <w:tmpl w:val="5246C638"/>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99" w15:restartNumberingAfterBreak="0">
    <w:nsid w:val="53773763"/>
    <w:multiLevelType w:val="hybridMultilevel"/>
    <w:tmpl w:val="FBBC0C7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00" w15:restartNumberingAfterBreak="0">
    <w:nsid w:val="53AC22CE"/>
    <w:multiLevelType w:val="hybridMultilevel"/>
    <w:tmpl w:val="FF32BD1E"/>
    <w:lvl w:ilvl="0" w:tplc="0C090017">
      <w:start w:val="1"/>
      <w:numFmt w:val="lowerLetter"/>
      <w:lvlText w:val="%1)"/>
      <w:lvlJc w:val="left"/>
      <w:pPr>
        <w:ind w:left="1069" w:hanging="360"/>
      </w:pPr>
      <w:rPr>
        <w:rFonts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01" w15:restartNumberingAfterBreak="0">
    <w:nsid w:val="53C33100"/>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02" w15:restartNumberingAfterBreak="0">
    <w:nsid w:val="54283DA0"/>
    <w:multiLevelType w:val="hybridMultilevel"/>
    <w:tmpl w:val="EA4AC5E6"/>
    <w:lvl w:ilvl="0" w:tplc="3FC02890">
      <w:start w:val="1"/>
      <w:numFmt w:val="lowerLetter"/>
      <w:lvlText w:val="%1)"/>
      <w:lvlJc w:val="left"/>
      <w:pPr>
        <w:ind w:left="1014" w:hanging="360"/>
      </w:pPr>
    </w:lvl>
    <w:lvl w:ilvl="1" w:tplc="8E2CBA98" w:tentative="1">
      <w:start w:val="1"/>
      <w:numFmt w:val="bullet"/>
      <w:lvlText w:val="o"/>
      <w:lvlJc w:val="left"/>
      <w:pPr>
        <w:ind w:left="1734" w:hanging="360"/>
      </w:pPr>
      <w:rPr>
        <w:rFonts w:ascii="Courier New" w:hAnsi="Courier New" w:hint="default"/>
      </w:rPr>
    </w:lvl>
    <w:lvl w:ilvl="2" w:tplc="F16698F4" w:tentative="1">
      <w:start w:val="1"/>
      <w:numFmt w:val="bullet"/>
      <w:lvlText w:val=""/>
      <w:lvlJc w:val="left"/>
      <w:pPr>
        <w:ind w:left="2454" w:hanging="360"/>
      </w:pPr>
      <w:rPr>
        <w:rFonts w:ascii="Wingdings" w:hAnsi="Wingdings" w:hint="default"/>
      </w:rPr>
    </w:lvl>
    <w:lvl w:ilvl="3" w:tplc="3C248B34" w:tentative="1">
      <w:start w:val="1"/>
      <w:numFmt w:val="bullet"/>
      <w:lvlText w:val=""/>
      <w:lvlJc w:val="left"/>
      <w:pPr>
        <w:ind w:left="3174" w:hanging="360"/>
      </w:pPr>
      <w:rPr>
        <w:rFonts w:ascii="Symbol" w:hAnsi="Symbol" w:hint="default"/>
      </w:rPr>
    </w:lvl>
    <w:lvl w:ilvl="4" w:tplc="DC72B1C4" w:tentative="1">
      <w:start w:val="1"/>
      <w:numFmt w:val="bullet"/>
      <w:lvlText w:val="o"/>
      <w:lvlJc w:val="left"/>
      <w:pPr>
        <w:ind w:left="3894" w:hanging="360"/>
      </w:pPr>
      <w:rPr>
        <w:rFonts w:ascii="Courier New" w:hAnsi="Courier New" w:hint="default"/>
      </w:rPr>
    </w:lvl>
    <w:lvl w:ilvl="5" w:tplc="3D263C9A" w:tentative="1">
      <w:start w:val="1"/>
      <w:numFmt w:val="bullet"/>
      <w:lvlText w:val=""/>
      <w:lvlJc w:val="left"/>
      <w:pPr>
        <w:ind w:left="4614" w:hanging="360"/>
      </w:pPr>
      <w:rPr>
        <w:rFonts w:ascii="Wingdings" w:hAnsi="Wingdings" w:hint="default"/>
      </w:rPr>
    </w:lvl>
    <w:lvl w:ilvl="6" w:tplc="29B69EDE" w:tentative="1">
      <w:start w:val="1"/>
      <w:numFmt w:val="bullet"/>
      <w:lvlText w:val=""/>
      <w:lvlJc w:val="left"/>
      <w:pPr>
        <w:ind w:left="5334" w:hanging="360"/>
      </w:pPr>
      <w:rPr>
        <w:rFonts w:ascii="Symbol" w:hAnsi="Symbol" w:hint="default"/>
      </w:rPr>
    </w:lvl>
    <w:lvl w:ilvl="7" w:tplc="38A6A2AE" w:tentative="1">
      <w:start w:val="1"/>
      <w:numFmt w:val="bullet"/>
      <w:lvlText w:val="o"/>
      <w:lvlJc w:val="left"/>
      <w:pPr>
        <w:ind w:left="6054" w:hanging="360"/>
      </w:pPr>
      <w:rPr>
        <w:rFonts w:ascii="Courier New" w:hAnsi="Courier New" w:hint="default"/>
      </w:rPr>
    </w:lvl>
    <w:lvl w:ilvl="8" w:tplc="843EE1C2" w:tentative="1">
      <w:start w:val="1"/>
      <w:numFmt w:val="bullet"/>
      <w:lvlText w:val=""/>
      <w:lvlJc w:val="left"/>
      <w:pPr>
        <w:ind w:left="6774" w:hanging="360"/>
      </w:pPr>
      <w:rPr>
        <w:rFonts w:ascii="Wingdings" w:hAnsi="Wingdings" w:hint="default"/>
      </w:rPr>
    </w:lvl>
  </w:abstractNum>
  <w:abstractNum w:abstractNumId="303" w15:restartNumberingAfterBreak="0">
    <w:nsid w:val="54476CFF"/>
    <w:multiLevelType w:val="multilevel"/>
    <w:tmpl w:val="A0D0BE56"/>
    <w:lvl w:ilvl="0">
      <w:start w:val="9"/>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04" w15:restartNumberingAfterBreak="0">
    <w:nsid w:val="547263BB"/>
    <w:multiLevelType w:val="hybridMultilevel"/>
    <w:tmpl w:val="A2D68A36"/>
    <w:lvl w:ilvl="0" w:tplc="A0322D94">
      <w:start w:val="1"/>
      <w:numFmt w:val="decimal"/>
      <w:lvlText w:val="%1)"/>
      <w:lvlJc w:val="left"/>
      <w:pPr>
        <w:ind w:left="360" w:hanging="360"/>
      </w:pPr>
      <w:rPr>
        <w:rFonts w:hint="default"/>
      </w:rPr>
    </w:lvl>
    <w:lvl w:ilvl="1" w:tplc="CEA41844">
      <w:start w:val="1"/>
      <w:numFmt w:val="lowerLetter"/>
      <w:lvlText w:val="%2)"/>
      <w:lvlJc w:val="left"/>
      <w:pPr>
        <w:ind w:left="720" w:hanging="360"/>
      </w:pPr>
      <w:rPr>
        <w:rFonts w:hint="default"/>
      </w:rPr>
    </w:lvl>
    <w:lvl w:ilvl="2" w:tplc="4F9478E6">
      <w:start w:val="1"/>
      <w:numFmt w:val="lowerLetter"/>
      <w:lvlText w:val="%3)"/>
      <w:lvlJc w:val="left"/>
      <w:pPr>
        <w:ind w:left="928" w:hanging="360"/>
      </w:pPr>
      <w:rPr>
        <w:rFonts w:ascii="Arial" w:eastAsiaTheme="minorHAnsi" w:hAnsi="Arial" w:cs="Arial" w:hint="default"/>
      </w:rPr>
    </w:lvl>
    <w:lvl w:ilvl="3" w:tplc="0C09001B">
      <w:start w:val="1"/>
      <w:numFmt w:val="lowerRoman"/>
      <w:lvlText w:val="%4."/>
      <w:lvlJc w:val="right"/>
      <w:pPr>
        <w:ind w:left="1440" w:hanging="360"/>
      </w:pPr>
    </w:lvl>
    <w:lvl w:ilvl="4" w:tplc="7EA040E4">
      <w:start w:val="1"/>
      <w:numFmt w:val="lowerLetter"/>
      <w:lvlText w:val="(%5)"/>
      <w:lvlJc w:val="left"/>
      <w:pPr>
        <w:ind w:left="1800" w:hanging="360"/>
      </w:pPr>
      <w:rPr>
        <w:rFonts w:hint="default"/>
      </w:rPr>
    </w:lvl>
    <w:lvl w:ilvl="5" w:tplc="0C09001B">
      <w:start w:val="1"/>
      <w:numFmt w:val="lowerRoman"/>
      <w:lvlText w:val="%6."/>
      <w:lvlJc w:val="right"/>
      <w:pPr>
        <w:ind w:left="2160" w:hanging="360"/>
      </w:pPr>
      <w:rPr>
        <w:rFonts w:hint="default"/>
      </w:rPr>
    </w:lvl>
    <w:lvl w:ilvl="6" w:tplc="D6E2468E">
      <w:start w:val="1"/>
      <w:numFmt w:val="decimal"/>
      <w:lvlText w:val="%7."/>
      <w:lvlJc w:val="left"/>
      <w:pPr>
        <w:ind w:left="2520" w:hanging="360"/>
      </w:pPr>
      <w:rPr>
        <w:rFonts w:hint="default"/>
      </w:rPr>
    </w:lvl>
    <w:lvl w:ilvl="7" w:tplc="3578A8C8">
      <w:start w:val="1"/>
      <w:numFmt w:val="lowerLetter"/>
      <w:lvlText w:val="%8."/>
      <w:lvlJc w:val="left"/>
      <w:pPr>
        <w:ind w:left="2880" w:hanging="360"/>
      </w:pPr>
      <w:rPr>
        <w:rFonts w:hint="default"/>
      </w:rPr>
    </w:lvl>
    <w:lvl w:ilvl="8" w:tplc="B1382DD4">
      <w:start w:val="1"/>
      <w:numFmt w:val="lowerRoman"/>
      <w:lvlText w:val="%9."/>
      <w:lvlJc w:val="left"/>
      <w:pPr>
        <w:ind w:left="3240" w:hanging="360"/>
      </w:pPr>
      <w:rPr>
        <w:rFonts w:hint="default"/>
      </w:rPr>
    </w:lvl>
  </w:abstractNum>
  <w:abstractNum w:abstractNumId="305" w15:restartNumberingAfterBreak="0">
    <w:nsid w:val="55207940"/>
    <w:multiLevelType w:val="hybridMultilevel"/>
    <w:tmpl w:val="DF30ADF2"/>
    <w:lvl w:ilvl="0" w:tplc="66FA24D2">
      <w:start w:val="1"/>
      <w:numFmt w:val="lowerLetter"/>
      <w:lvlText w:val="%1)"/>
      <w:lvlJc w:val="left"/>
      <w:pPr>
        <w:ind w:left="1014" w:hanging="360"/>
      </w:pPr>
    </w:lvl>
    <w:lvl w:ilvl="1" w:tplc="E04452C0" w:tentative="1">
      <w:start w:val="1"/>
      <w:numFmt w:val="bullet"/>
      <w:lvlText w:val="o"/>
      <w:lvlJc w:val="left"/>
      <w:pPr>
        <w:ind w:left="1734" w:hanging="360"/>
      </w:pPr>
      <w:rPr>
        <w:rFonts w:ascii="Courier New" w:hAnsi="Courier New" w:hint="default"/>
      </w:rPr>
    </w:lvl>
    <w:lvl w:ilvl="2" w:tplc="F6745756" w:tentative="1">
      <w:start w:val="1"/>
      <w:numFmt w:val="bullet"/>
      <w:lvlText w:val=""/>
      <w:lvlJc w:val="left"/>
      <w:pPr>
        <w:ind w:left="2454" w:hanging="360"/>
      </w:pPr>
      <w:rPr>
        <w:rFonts w:ascii="Wingdings" w:hAnsi="Wingdings" w:hint="default"/>
      </w:rPr>
    </w:lvl>
    <w:lvl w:ilvl="3" w:tplc="01F6AF92" w:tentative="1">
      <w:start w:val="1"/>
      <w:numFmt w:val="bullet"/>
      <w:lvlText w:val=""/>
      <w:lvlJc w:val="left"/>
      <w:pPr>
        <w:ind w:left="3174" w:hanging="360"/>
      </w:pPr>
      <w:rPr>
        <w:rFonts w:ascii="Symbol" w:hAnsi="Symbol" w:hint="default"/>
      </w:rPr>
    </w:lvl>
    <w:lvl w:ilvl="4" w:tplc="F178200E" w:tentative="1">
      <w:start w:val="1"/>
      <w:numFmt w:val="bullet"/>
      <w:lvlText w:val="o"/>
      <w:lvlJc w:val="left"/>
      <w:pPr>
        <w:ind w:left="3894" w:hanging="360"/>
      </w:pPr>
      <w:rPr>
        <w:rFonts w:ascii="Courier New" w:hAnsi="Courier New" w:hint="default"/>
      </w:rPr>
    </w:lvl>
    <w:lvl w:ilvl="5" w:tplc="0C5C769E" w:tentative="1">
      <w:start w:val="1"/>
      <w:numFmt w:val="bullet"/>
      <w:lvlText w:val=""/>
      <w:lvlJc w:val="left"/>
      <w:pPr>
        <w:ind w:left="4614" w:hanging="360"/>
      </w:pPr>
      <w:rPr>
        <w:rFonts w:ascii="Wingdings" w:hAnsi="Wingdings" w:hint="default"/>
      </w:rPr>
    </w:lvl>
    <w:lvl w:ilvl="6" w:tplc="2BE41A3A" w:tentative="1">
      <w:start w:val="1"/>
      <w:numFmt w:val="bullet"/>
      <w:lvlText w:val=""/>
      <w:lvlJc w:val="left"/>
      <w:pPr>
        <w:ind w:left="5334" w:hanging="360"/>
      </w:pPr>
      <w:rPr>
        <w:rFonts w:ascii="Symbol" w:hAnsi="Symbol" w:hint="default"/>
      </w:rPr>
    </w:lvl>
    <w:lvl w:ilvl="7" w:tplc="792AB51A" w:tentative="1">
      <w:start w:val="1"/>
      <w:numFmt w:val="bullet"/>
      <w:lvlText w:val="o"/>
      <w:lvlJc w:val="left"/>
      <w:pPr>
        <w:ind w:left="6054" w:hanging="360"/>
      </w:pPr>
      <w:rPr>
        <w:rFonts w:ascii="Courier New" w:hAnsi="Courier New" w:hint="default"/>
      </w:rPr>
    </w:lvl>
    <w:lvl w:ilvl="8" w:tplc="294E0840" w:tentative="1">
      <w:start w:val="1"/>
      <w:numFmt w:val="bullet"/>
      <w:lvlText w:val=""/>
      <w:lvlJc w:val="left"/>
      <w:pPr>
        <w:ind w:left="6774" w:hanging="360"/>
      </w:pPr>
      <w:rPr>
        <w:rFonts w:ascii="Wingdings" w:hAnsi="Wingdings" w:hint="default"/>
      </w:rPr>
    </w:lvl>
  </w:abstractNum>
  <w:abstractNum w:abstractNumId="306" w15:restartNumberingAfterBreak="0">
    <w:nsid w:val="55514921"/>
    <w:multiLevelType w:val="hybridMultilevel"/>
    <w:tmpl w:val="6B144E9C"/>
    <w:lvl w:ilvl="0" w:tplc="4F4A2E22">
      <w:start w:val="1"/>
      <w:numFmt w:val="lowerLetter"/>
      <w:lvlText w:val="%1)"/>
      <w:lvlJc w:val="left"/>
      <w:pPr>
        <w:ind w:left="720" w:hanging="360"/>
      </w:pPr>
      <w:rPr>
        <w:rFonts w:ascii="Times New Roman" w:eastAsiaTheme="minorHAnsi"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7" w15:restartNumberingAfterBreak="0">
    <w:nsid w:val="55CE1222"/>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08" w15:restartNumberingAfterBreak="0">
    <w:nsid w:val="562758A5"/>
    <w:multiLevelType w:val="hybridMultilevel"/>
    <w:tmpl w:val="3E18A80C"/>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09" w15:restartNumberingAfterBreak="0">
    <w:nsid w:val="562C148D"/>
    <w:multiLevelType w:val="hybridMultilevel"/>
    <w:tmpl w:val="4C523EB0"/>
    <w:lvl w:ilvl="0" w:tplc="0C090017">
      <w:start w:val="1"/>
      <w:numFmt w:val="lowerLetter"/>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10" w15:restartNumberingAfterBreak="0">
    <w:nsid w:val="565C5175"/>
    <w:multiLevelType w:val="hybridMultilevel"/>
    <w:tmpl w:val="015A119A"/>
    <w:lvl w:ilvl="0" w:tplc="DDC09C76">
      <w:start w:val="1"/>
      <w:numFmt w:val="lowerRoman"/>
      <w:lvlText w:val="%1."/>
      <w:lvlJc w:val="right"/>
      <w:pPr>
        <w:ind w:left="2421" w:hanging="360"/>
      </w:pPr>
      <w:rPr>
        <w:rFonts w:hint="default"/>
      </w:rPr>
    </w:lvl>
    <w:lvl w:ilvl="1" w:tplc="0C090019">
      <w:start w:val="1"/>
      <w:numFmt w:val="lowerLetter"/>
      <w:lvlText w:val="%2."/>
      <w:lvlJc w:val="left"/>
      <w:pPr>
        <w:ind w:left="3141" w:hanging="360"/>
      </w:pPr>
    </w:lvl>
    <w:lvl w:ilvl="2" w:tplc="0C09001B">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311" w15:restartNumberingAfterBreak="0">
    <w:nsid w:val="568742C5"/>
    <w:multiLevelType w:val="hybridMultilevel"/>
    <w:tmpl w:val="FE4A2252"/>
    <w:lvl w:ilvl="0" w:tplc="A0322D94">
      <w:start w:val="1"/>
      <w:numFmt w:val="decimal"/>
      <w:lvlText w:val="%1)"/>
      <w:lvlJc w:val="left"/>
      <w:pPr>
        <w:ind w:left="360" w:hanging="360"/>
      </w:pPr>
      <w:rPr>
        <w:rFonts w:hint="default"/>
      </w:rPr>
    </w:lvl>
    <w:lvl w:ilvl="1" w:tplc="CEA41844">
      <w:start w:val="1"/>
      <w:numFmt w:val="lowerLetter"/>
      <w:lvlText w:val="%2)"/>
      <w:lvlJc w:val="left"/>
      <w:pPr>
        <w:ind w:left="720" w:hanging="360"/>
      </w:pPr>
      <w:rPr>
        <w:rFonts w:hint="default"/>
      </w:rPr>
    </w:lvl>
    <w:lvl w:ilvl="2" w:tplc="F26813E6">
      <w:start w:val="1"/>
      <w:numFmt w:val="lowerLetter"/>
      <w:lvlText w:val="%3)"/>
      <w:lvlJc w:val="left"/>
      <w:pPr>
        <w:ind w:left="928" w:hanging="360"/>
      </w:pPr>
      <w:rPr>
        <w:rFonts w:ascii="Times New Roman" w:eastAsiaTheme="minorHAnsi" w:hAnsi="Times New Roman" w:cs="Times New Roman" w:hint="default"/>
      </w:rPr>
    </w:lvl>
    <w:lvl w:ilvl="3" w:tplc="9D66DC86">
      <w:start w:val="1"/>
      <w:numFmt w:val="lowerRoman"/>
      <w:lvlText w:val="(%4)"/>
      <w:lvlJc w:val="left"/>
      <w:pPr>
        <w:ind w:left="1440" w:hanging="360"/>
      </w:pPr>
      <w:rPr>
        <w:rFonts w:asciiTheme="minorHAnsi" w:eastAsiaTheme="minorHAnsi" w:hAnsiTheme="minorHAnsi" w:cstheme="minorBidi"/>
      </w:rPr>
    </w:lvl>
    <w:lvl w:ilvl="4" w:tplc="7EA040E4">
      <w:start w:val="1"/>
      <w:numFmt w:val="lowerLetter"/>
      <w:lvlText w:val="(%5)"/>
      <w:lvlJc w:val="left"/>
      <w:pPr>
        <w:ind w:left="1800" w:hanging="360"/>
      </w:pPr>
      <w:rPr>
        <w:rFonts w:hint="default"/>
      </w:rPr>
    </w:lvl>
    <w:lvl w:ilvl="5" w:tplc="B8646A28">
      <w:start w:val="1"/>
      <w:numFmt w:val="lowerRoman"/>
      <w:lvlText w:val="(%6)"/>
      <w:lvlJc w:val="left"/>
      <w:pPr>
        <w:ind w:left="2160" w:hanging="360"/>
      </w:pPr>
      <w:rPr>
        <w:rFonts w:hint="default"/>
      </w:rPr>
    </w:lvl>
    <w:lvl w:ilvl="6" w:tplc="D6E2468E">
      <w:start w:val="1"/>
      <w:numFmt w:val="decimal"/>
      <w:lvlText w:val="%7."/>
      <w:lvlJc w:val="left"/>
      <w:pPr>
        <w:ind w:left="2520" w:hanging="360"/>
      </w:pPr>
      <w:rPr>
        <w:rFonts w:hint="default"/>
      </w:rPr>
    </w:lvl>
    <w:lvl w:ilvl="7" w:tplc="3578A8C8">
      <w:start w:val="1"/>
      <w:numFmt w:val="lowerLetter"/>
      <w:lvlText w:val="%8."/>
      <w:lvlJc w:val="left"/>
      <w:pPr>
        <w:ind w:left="2880" w:hanging="360"/>
      </w:pPr>
      <w:rPr>
        <w:rFonts w:hint="default"/>
      </w:rPr>
    </w:lvl>
    <w:lvl w:ilvl="8" w:tplc="B1382DD4">
      <w:start w:val="1"/>
      <w:numFmt w:val="lowerRoman"/>
      <w:lvlText w:val="%9."/>
      <w:lvlJc w:val="left"/>
      <w:pPr>
        <w:ind w:left="3240" w:hanging="360"/>
      </w:pPr>
      <w:rPr>
        <w:rFonts w:hint="default"/>
      </w:rPr>
    </w:lvl>
  </w:abstractNum>
  <w:abstractNum w:abstractNumId="312" w15:restartNumberingAfterBreak="0">
    <w:nsid w:val="571C0F56"/>
    <w:multiLevelType w:val="hybridMultilevel"/>
    <w:tmpl w:val="FC12F318"/>
    <w:lvl w:ilvl="0" w:tplc="719ABDB4">
      <w:start w:val="1"/>
      <w:numFmt w:val="lowerLetter"/>
      <w:lvlText w:val="%1)"/>
      <w:lvlJc w:val="left"/>
      <w:pPr>
        <w:ind w:left="1080" w:hanging="360"/>
      </w:pPr>
    </w:lvl>
    <w:lvl w:ilvl="1" w:tplc="503A4ADC">
      <w:start w:val="1"/>
      <w:numFmt w:val="lowerLetter"/>
      <w:lvlText w:val="%2."/>
      <w:lvlJc w:val="left"/>
      <w:pPr>
        <w:ind w:left="1800" w:hanging="360"/>
      </w:pPr>
    </w:lvl>
    <w:lvl w:ilvl="2" w:tplc="3676A09A">
      <w:start w:val="1"/>
      <w:numFmt w:val="lowerRoman"/>
      <w:lvlText w:val="%3."/>
      <w:lvlJc w:val="right"/>
      <w:pPr>
        <w:ind w:left="2520" w:hanging="180"/>
      </w:pPr>
    </w:lvl>
    <w:lvl w:ilvl="3" w:tplc="C4208CE4">
      <w:start w:val="1"/>
      <w:numFmt w:val="decimal"/>
      <w:lvlText w:val="%4."/>
      <w:lvlJc w:val="left"/>
      <w:pPr>
        <w:ind w:left="3240" w:hanging="360"/>
      </w:pPr>
    </w:lvl>
    <w:lvl w:ilvl="4" w:tplc="7A604EC4">
      <w:start w:val="1"/>
      <w:numFmt w:val="lowerLetter"/>
      <w:lvlText w:val="%5."/>
      <w:lvlJc w:val="left"/>
      <w:pPr>
        <w:ind w:left="3960" w:hanging="360"/>
      </w:pPr>
    </w:lvl>
    <w:lvl w:ilvl="5" w:tplc="3B14C55C">
      <w:start w:val="1"/>
      <w:numFmt w:val="lowerRoman"/>
      <w:lvlText w:val="%6."/>
      <w:lvlJc w:val="right"/>
      <w:pPr>
        <w:ind w:left="4680" w:hanging="180"/>
      </w:pPr>
    </w:lvl>
    <w:lvl w:ilvl="6" w:tplc="E57A14F4">
      <w:start w:val="1"/>
      <w:numFmt w:val="decimal"/>
      <w:lvlText w:val="%7."/>
      <w:lvlJc w:val="left"/>
      <w:pPr>
        <w:ind w:left="5400" w:hanging="360"/>
      </w:pPr>
    </w:lvl>
    <w:lvl w:ilvl="7" w:tplc="55FAE508">
      <w:start w:val="1"/>
      <w:numFmt w:val="lowerLetter"/>
      <w:lvlText w:val="%8."/>
      <w:lvlJc w:val="left"/>
      <w:pPr>
        <w:ind w:left="6120" w:hanging="360"/>
      </w:pPr>
    </w:lvl>
    <w:lvl w:ilvl="8" w:tplc="EBF6D5EC">
      <w:start w:val="1"/>
      <w:numFmt w:val="lowerRoman"/>
      <w:lvlText w:val="%9."/>
      <w:lvlJc w:val="right"/>
      <w:pPr>
        <w:ind w:left="6840" w:hanging="180"/>
      </w:pPr>
    </w:lvl>
  </w:abstractNum>
  <w:abstractNum w:abstractNumId="313" w15:restartNumberingAfterBreak="0">
    <w:nsid w:val="57B17B2B"/>
    <w:multiLevelType w:val="hybridMultilevel"/>
    <w:tmpl w:val="F8CEBA76"/>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14" w15:restartNumberingAfterBreak="0">
    <w:nsid w:val="58451316"/>
    <w:multiLevelType w:val="hybridMultilevel"/>
    <w:tmpl w:val="84CAC866"/>
    <w:lvl w:ilvl="0" w:tplc="D4EE4D3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5" w15:restartNumberingAfterBreak="0">
    <w:nsid w:val="58451AF0"/>
    <w:multiLevelType w:val="hybridMultilevel"/>
    <w:tmpl w:val="FAC84BF6"/>
    <w:lvl w:ilvl="0" w:tplc="AF10A998">
      <w:start w:val="1"/>
      <w:numFmt w:val="lowerLetter"/>
      <w:lvlText w:val="(%1)"/>
      <w:lvlJc w:val="left"/>
      <w:pPr>
        <w:ind w:left="1211" w:hanging="360"/>
      </w:pPr>
      <w:rPr>
        <w:rFonts w:hint="default"/>
        <w:b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16" w15:restartNumberingAfterBreak="0">
    <w:nsid w:val="58504F64"/>
    <w:multiLevelType w:val="hybridMultilevel"/>
    <w:tmpl w:val="3ACAB56A"/>
    <w:lvl w:ilvl="0" w:tplc="271CC79E">
      <w:start w:val="1"/>
      <w:numFmt w:val="lowerLetter"/>
      <w:lvlText w:val="(%1)"/>
      <w:lvlJc w:val="left"/>
      <w:pPr>
        <w:ind w:left="1211" w:hanging="360"/>
      </w:pPr>
      <w:rPr>
        <w:rFonts w:hint="default"/>
        <w:b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17" w15:restartNumberingAfterBreak="0">
    <w:nsid w:val="58615624"/>
    <w:multiLevelType w:val="multilevel"/>
    <w:tmpl w:val="DB68D416"/>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b w:val="0"/>
        <w:sz w:val="17"/>
        <w:szCs w:val="17"/>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8" w15:restartNumberingAfterBreak="0">
    <w:nsid w:val="588530E0"/>
    <w:multiLevelType w:val="hybridMultilevel"/>
    <w:tmpl w:val="9A564DB0"/>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19" w15:restartNumberingAfterBreak="0">
    <w:nsid w:val="588F3EDF"/>
    <w:multiLevelType w:val="hybridMultilevel"/>
    <w:tmpl w:val="6EE84FF4"/>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20" w15:restartNumberingAfterBreak="0">
    <w:nsid w:val="592B1C13"/>
    <w:multiLevelType w:val="hybridMultilevel"/>
    <w:tmpl w:val="6C7674E0"/>
    <w:lvl w:ilvl="0" w:tplc="3F422662">
      <w:start w:val="1"/>
      <w:numFmt w:val="lowerLetter"/>
      <w:lvlText w:val="%1)"/>
      <w:lvlJc w:val="left"/>
      <w:pPr>
        <w:ind w:left="720" w:hanging="360"/>
      </w:pPr>
      <w:rPr>
        <w:rFonts w:ascii="Times New Roman" w:eastAsiaTheme="minorHAnsi" w:hAnsi="Times New Roman" w:cs="Times New Roman" w:hint="default"/>
      </w:rPr>
    </w:lvl>
    <w:lvl w:ilvl="1" w:tplc="578E7AD4">
      <w:start w:val="1"/>
      <w:numFmt w:val="bullet"/>
      <w:lvlText w:val="o"/>
      <w:lvlJc w:val="left"/>
      <w:pPr>
        <w:ind w:left="1440" w:hanging="360"/>
      </w:pPr>
      <w:rPr>
        <w:rFonts w:ascii="Courier New" w:hAnsi="Courier New" w:hint="default"/>
      </w:rPr>
    </w:lvl>
    <w:lvl w:ilvl="2" w:tplc="A120B9C8">
      <w:start w:val="1"/>
      <w:numFmt w:val="bullet"/>
      <w:lvlText w:val=""/>
      <w:lvlJc w:val="left"/>
      <w:pPr>
        <w:ind w:left="2160" w:hanging="360"/>
      </w:pPr>
      <w:rPr>
        <w:rFonts w:ascii="Wingdings" w:hAnsi="Wingdings" w:hint="default"/>
      </w:rPr>
    </w:lvl>
    <w:lvl w:ilvl="3" w:tplc="C6148B1E">
      <w:start w:val="1"/>
      <w:numFmt w:val="bullet"/>
      <w:lvlText w:val=""/>
      <w:lvlJc w:val="left"/>
      <w:pPr>
        <w:ind w:left="2880" w:hanging="360"/>
      </w:pPr>
      <w:rPr>
        <w:rFonts w:ascii="Symbol" w:hAnsi="Symbol" w:hint="default"/>
      </w:rPr>
    </w:lvl>
    <w:lvl w:ilvl="4" w:tplc="80EEB9E4">
      <w:start w:val="1"/>
      <w:numFmt w:val="bullet"/>
      <w:lvlText w:val="o"/>
      <w:lvlJc w:val="left"/>
      <w:pPr>
        <w:ind w:left="3600" w:hanging="360"/>
      </w:pPr>
      <w:rPr>
        <w:rFonts w:ascii="Courier New" w:hAnsi="Courier New" w:hint="default"/>
      </w:rPr>
    </w:lvl>
    <w:lvl w:ilvl="5" w:tplc="D7520354">
      <w:start w:val="1"/>
      <w:numFmt w:val="bullet"/>
      <w:lvlText w:val=""/>
      <w:lvlJc w:val="left"/>
      <w:pPr>
        <w:ind w:left="4320" w:hanging="360"/>
      </w:pPr>
      <w:rPr>
        <w:rFonts w:ascii="Wingdings" w:hAnsi="Wingdings" w:hint="default"/>
      </w:rPr>
    </w:lvl>
    <w:lvl w:ilvl="6" w:tplc="0E66BEFC">
      <w:start w:val="1"/>
      <w:numFmt w:val="bullet"/>
      <w:lvlText w:val=""/>
      <w:lvlJc w:val="left"/>
      <w:pPr>
        <w:ind w:left="5040" w:hanging="360"/>
      </w:pPr>
      <w:rPr>
        <w:rFonts w:ascii="Symbol" w:hAnsi="Symbol" w:hint="default"/>
      </w:rPr>
    </w:lvl>
    <w:lvl w:ilvl="7" w:tplc="7C0A1252">
      <w:start w:val="1"/>
      <w:numFmt w:val="bullet"/>
      <w:lvlText w:val="o"/>
      <w:lvlJc w:val="left"/>
      <w:pPr>
        <w:ind w:left="5760" w:hanging="360"/>
      </w:pPr>
      <w:rPr>
        <w:rFonts w:ascii="Courier New" w:hAnsi="Courier New" w:hint="default"/>
      </w:rPr>
    </w:lvl>
    <w:lvl w:ilvl="8" w:tplc="57FE182A">
      <w:start w:val="1"/>
      <w:numFmt w:val="bullet"/>
      <w:lvlText w:val=""/>
      <w:lvlJc w:val="left"/>
      <w:pPr>
        <w:ind w:left="6480" w:hanging="360"/>
      </w:pPr>
      <w:rPr>
        <w:rFonts w:ascii="Wingdings" w:hAnsi="Wingdings" w:hint="default"/>
      </w:rPr>
    </w:lvl>
  </w:abstractNum>
  <w:abstractNum w:abstractNumId="321" w15:restartNumberingAfterBreak="0">
    <w:nsid w:val="598B663D"/>
    <w:multiLevelType w:val="hybridMultilevel"/>
    <w:tmpl w:val="180A89CA"/>
    <w:lvl w:ilvl="0" w:tplc="EA905F5E">
      <w:start w:val="1"/>
      <w:numFmt w:val="lowerLetter"/>
      <w:lvlText w:val="%1)"/>
      <w:lvlJc w:val="left"/>
      <w:pPr>
        <w:ind w:left="1160" w:hanging="360"/>
      </w:pPr>
    </w:lvl>
    <w:lvl w:ilvl="1" w:tplc="2BFA59C6">
      <w:start w:val="1"/>
      <w:numFmt w:val="bullet"/>
      <w:lvlText w:val="o"/>
      <w:lvlJc w:val="left"/>
      <w:pPr>
        <w:ind w:left="1880" w:hanging="360"/>
      </w:pPr>
      <w:rPr>
        <w:rFonts w:ascii="Courier New" w:hAnsi="Courier New" w:hint="default"/>
      </w:rPr>
    </w:lvl>
    <w:lvl w:ilvl="2" w:tplc="80E424F2">
      <w:start w:val="1"/>
      <w:numFmt w:val="bullet"/>
      <w:lvlText w:val=""/>
      <w:lvlJc w:val="left"/>
      <w:pPr>
        <w:ind w:left="2600" w:hanging="360"/>
      </w:pPr>
      <w:rPr>
        <w:rFonts w:ascii="Wingdings" w:hAnsi="Wingdings" w:hint="default"/>
      </w:rPr>
    </w:lvl>
    <w:lvl w:ilvl="3" w:tplc="C950B5DE">
      <w:start w:val="1"/>
      <w:numFmt w:val="bullet"/>
      <w:lvlText w:val=""/>
      <w:lvlJc w:val="left"/>
      <w:pPr>
        <w:ind w:left="3320" w:hanging="360"/>
      </w:pPr>
      <w:rPr>
        <w:rFonts w:ascii="Symbol" w:hAnsi="Symbol" w:hint="default"/>
      </w:rPr>
    </w:lvl>
    <w:lvl w:ilvl="4" w:tplc="AD54126A">
      <w:start w:val="1"/>
      <w:numFmt w:val="bullet"/>
      <w:lvlText w:val="o"/>
      <w:lvlJc w:val="left"/>
      <w:pPr>
        <w:ind w:left="4040" w:hanging="360"/>
      </w:pPr>
      <w:rPr>
        <w:rFonts w:ascii="Courier New" w:hAnsi="Courier New" w:hint="default"/>
      </w:rPr>
    </w:lvl>
    <w:lvl w:ilvl="5" w:tplc="C0F28DFC">
      <w:start w:val="1"/>
      <w:numFmt w:val="bullet"/>
      <w:lvlText w:val=""/>
      <w:lvlJc w:val="left"/>
      <w:pPr>
        <w:ind w:left="4760" w:hanging="360"/>
      </w:pPr>
      <w:rPr>
        <w:rFonts w:ascii="Wingdings" w:hAnsi="Wingdings" w:hint="default"/>
      </w:rPr>
    </w:lvl>
    <w:lvl w:ilvl="6" w:tplc="8D7C399A">
      <w:start w:val="1"/>
      <w:numFmt w:val="bullet"/>
      <w:lvlText w:val=""/>
      <w:lvlJc w:val="left"/>
      <w:pPr>
        <w:ind w:left="5480" w:hanging="360"/>
      </w:pPr>
      <w:rPr>
        <w:rFonts w:ascii="Symbol" w:hAnsi="Symbol" w:hint="default"/>
      </w:rPr>
    </w:lvl>
    <w:lvl w:ilvl="7" w:tplc="26641ABA">
      <w:start w:val="1"/>
      <w:numFmt w:val="bullet"/>
      <w:lvlText w:val="o"/>
      <w:lvlJc w:val="left"/>
      <w:pPr>
        <w:ind w:left="6200" w:hanging="360"/>
      </w:pPr>
      <w:rPr>
        <w:rFonts w:ascii="Courier New" w:hAnsi="Courier New" w:hint="default"/>
      </w:rPr>
    </w:lvl>
    <w:lvl w:ilvl="8" w:tplc="CD64F5C6">
      <w:start w:val="1"/>
      <w:numFmt w:val="bullet"/>
      <w:lvlText w:val=""/>
      <w:lvlJc w:val="left"/>
      <w:pPr>
        <w:ind w:left="6920" w:hanging="360"/>
      </w:pPr>
      <w:rPr>
        <w:rFonts w:ascii="Wingdings" w:hAnsi="Wingdings" w:hint="default"/>
      </w:rPr>
    </w:lvl>
  </w:abstractNum>
  <w:abstractNum w:abstractNumId="322" w15:restartNumberingAfterBreak="0">
    <w:nsid w:val="5A0B21FC"/>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23" w15:restartNumberingAfterBreak="0">
    <w:nsid w:val="5A6A5438"/>
    <w:multiLevelType w:val="hybridMultilevel"/>
    <w:tmpl w:val="21AAD99C"/>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324" w15:restartNumberingAfterBreak="0">
    <w:nsid w:val="5A762812"/>
    <w:multiLevelType w:val="multilevel"/>
    <w:tmpl w:val="05364300"/>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325" w15:restartNumberingAfterBreak="0">
    <w:nsid w:val="5A937888"/>
    <w:multiLevelType w:val="hybridMultilevel"/>
    <w:tmpl w:val="94E0E30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6" w15:restartNumberingAfterBreak="0">
    <w:nsid w:val="5AAD6989"/>
    <w:multiLevelType w:val="hybridMultilevel"/>
    <w:tmpl w:val="D6226D6E"/>
    <w:lvl w:ilvl="0" w:tplc="D4EE4D3A">
      <w:start w:val="1"/>
      <w:numFmt w:val="decimal"/>
      <w:lvlText w:val="(%1)"/>
      <w:lvlJc w:val="left"/>
      <w:pPr>
        <w:ind w:left="786" w:hanging="360"/>
      </w:pPr>
      <w:rPr>
        <w:rFonts w:hint="default"/>
      </w:rPr>
    </w:lvl>
    <w:lvl w:ilvl="1" w:tplc="D4EE4D3A">
      <w:start w:val="1"/>
      <w:numFmt w:val="decimal"/>
      <w:lvlText w:val="(%2)"/>
      <w:lvlJc w:val="left"/>
      <w:pPr>
        <w:ind w:left="1506" w:hanging="360"/>
      </w:pPr>
      <w:rPr>
        <w:rFonts w:hint="default"/>
      </w:rPr>
    </w:lvl>
    <w:lvl w:ilvl="2" w:tplc="0C09001B">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27" w15:restartNumberingAfterBreak="0">
    <w:nsid w:val="5B0227B9"/>
    <w:multiLevelType w:val="hybridMultilevel"/>
    <w:tmpl w:val="ACFE33E8"/>
    <w:lvl w:ilvl="0" w:tplc="A5E60690">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28" w15:restartNumberingAfterBreak="0">
    <w:nsid w:val="5B232198"/>
    <w:multiLevelType w:val="multilevel"/>
    <w:tmpl w:val="70F4BF6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9" w15:restartNumberingAfterBreak="0">
    <w:nsid w:val="5B4C4D77"/>
    <w:multiLevelType w:val="multilevel"/>
    <w:tmpl w:val="D0724E46"/>
    <w:lvl w:ilvl="0">
      <w:start w:val="1"/>
      <w:numFmt w:val="lowerLetter"/>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30" w15:restartNumberingAfterBreak="0">
    <w:nsid w:val="5BA47CB4"/>
    <w:multiLevelType w:val="hybridMultilevel"/>
    <w:tmpl w:val="FFFFFFFF"/>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331" w15:restartNumberingAfterBreak="0">
    <w:nsid w:val="5C2E0D30"/>
    <w:multiLevelType w:val="hybridMultilevel"/>
    <w:tmpl w:val="4ED8406E"/>
    <w:lvl w:ilvl="0" w:tplc="FCACEA4E">
      <w:start w:val="1"/>
      <w:numFmt w:val="decimal"/>
      <w:lvlText w:val="%1)"/>
      <w:lvlJc w:val="left"/>
      <w:pPr>
        <w:ind w:left="360" w:hanging="360"/>
      </w:pPr>
      <w:rPr>
        <w:rFonts w:hint="default"/>
      </w:rPr>
    </w:lvl>
    <w:lvl w:ilvl="1" w:tplc="30E4FF9C">
      <w:start w:val="1"/>
      <w:numFmt w:val="lowerLetter"/>
      <w:lvlText w:val="%2)"/>
      <w:lvlJc w:val="left"/>
      <w:pPr>
        <w:ind w:left="720" w:hanging="360"/>
      </w:pPr>
      <w:rPr>
        <w:rFonts w:hint="default"/>
      </w:rPr>
    </w:lvl>
    <w:lvl w:ilvl="2" w:tplc="947CC8B2">
      <w:start w:val="1"/>
      <w:numFmt w:val="lowerLetter"/>
      <w:lvlText w:val="%3)"/>
      <w:lvlJc w:val="left"/>
      <w:pPr>
        <w:ind w:left="1080" w:hanging="360"/>
      </w:pPr>
      <w:rPr>
        <w:rFonts w:ascii="Arial" w:eastAsiaTheme="minorHAnsi" w:hAnsi="Arial" w:cs="Arial" w:hint="default"/>
      </w:rPr>
    </w:lvl>
    <w:lvl w:ilvl="3" w:tplc="0C09001B">
      <w:start w:val="1"/>
      <w:numFmt w:val="lowerRoman"/>
      <w:lvlText w:val="%4."/>
      <w:lvlJc w:val="right"/>
      <w:pPr>
        <w:ind w:left="1440" w:hanging="360"/>
      </w:pPr>
    </w:lvl>
    <w:lvl w:ilvl="4" w:tplc="39DE718E">
      <w:start w:val="1"/>
      <w:numFmt w:val="lowerLetter"/>
      <w:lvlText w:val="(%5)"/>
      <w:lvlJc w:val="left"/>
      <w:pPr>
        <w:ind w:left="1800" w:hanging="360"/>
      </w:pPr>
      <w:rPr>
        <w:rFonts w:hint="default"/>
      </w:rPr>
    </w:lvl>
    <w:lvl w:ilvl="5" w:tplc="E33AA618">
      <w:start w:val="1"/>
      <w:numFmt w:val="lowerRoman"/>
      <w:lvlText w:val="(%6)"/>
      <w:lvlJc w:val="left"/>
      <w:pPr>
        <w:ind w:left="2160" w:hanging="360"/>
      </w:pPr>
      <w:rPr>
        <w:rFonts w:hint="default"/>
      </w:rPr>
    </w:lvl>
    <w:lvl w:ilvl="6" w:tplc="596CFC7A">
      <w:start w:val="1"/>
      <w:numFmt w:val="decimal"/>
      <w:lvlText w:val="%7."/>
      <w:lvlJc w:val="left"/>
      <w:pPr>
        <w:ind w:left="2520" w:hanging="360"/>
      </w:pPr>
      <w:rPr>
        <w:rFonts w:hint="default"/>
      </w:rPr>
    </w:lvl>
    <w:lvl w:ilvl="7" w:tplc="83920CFA">
      <w:start w:val="1"/>
      <w:numFmt w:val="lowerLetter"/>
      <w:lvlText w:val="%8."/>
      <w:lvlJc w:val="left"/>
      <w:pPr>
        <w:ind w:left="2880" w:hanging="360"/>
      </w:pPr>
      <w:rPr>
        <w:rFonts w:hint="default"/>
      </w:rPr>
    </w:lvl>
    <w:lvl w:ilvl="8" w:tplc="19D44018">
      <w:start w:val="1"/>
      <w:numFmt w:val="lowerRoman"/>
      <w:lvlText w:val="%9."/>
      <w:lvlJc w:val="left"/>
      <w:pPr>
        <w:ind w:left="3240" w:hanging="360"/>
      </w:pPr>
      <w:rPr>
        <w:rFonts w:hint="default"/>
      </w:rPr>
    </w:lvl>
  </w:abstractNum>
  <w:abstractNum w:abstractNumId="332" w15:restartNumberingAfterBreak="0">
    <w:nsid w:val="5C771BD5"/>
    <w:multiLevelType w:val="multilevel"/>
    <w:tmpl w:val="CF9ABDF0"/>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333" w15:restartNumberingAfterBreak="0">
    <w:nsid w:val="5CAE3708"/>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34" w15:restartNumberingAfterBreak="0">
    <w:nsid w:val="5CF20AFD"/>
    <w:multiLevelType w:val="multilevel"/>
    <w:tmpl w:val="5BDC5912"/>
    <w:lvl w:ilvl="0">
      <w:start w:val="5"/>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5" w15:restartNumberingAfterBreak="0">
    <w:nsid w:val="5D072245"/>
    <w:multiLevelType w:val="multilevel"/>
    <w:tmpl w:val="A524D3AA"/>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336" w15:restartNumberingAfterBreak="0">
    <w:nsid w:val="5D666B65"/>
    <w:multiLevelType w:val="hybridMultilevel"/>
    <w:tmpl w:val="C1045C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7"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38" w15:restartNumberingAfterBreak="0">
    <w:nsid w:val="5DA00899"/>
    <w:multiLevelType w:val="hybridMultilevel"/>
    <w:tmpl w:val="FFFFFFFF"/>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339" w15:restartNumberingAfterBreak="0">
    <w:nsid w:val="5DEF74BD"/>
    <w:multiLevelType w:val="hybridMultilevel"/>
    <w:tmpl w:val="A8040DD8"/>
    <w:lvl w:ilvl="0" w:tplc="C6E86852">
      <w:start w:val="1"/>
      <w:numFmt w:val="bullet"/>
      <w:lvlText w:val=""/>
      <w:lvlJc w:val="left"/>
      <w:pPr>
        <w:tabs>
          <w:tab w:val="num" w:pos="720"/>
        </w:tabs>
        <w:ind w:left="720" w:hanging="360"/>
      </w:pPr>
      <w:rPr>
        <w:rFonts w:ascii="Symbol" w:hAnsi="Symbol" w:hint="default"/>
        <w:sz w:val="20"/>
      </w:rPr>
    </w:lvl>
    <w:lvl w:ilvl="1" w:tplc="739EE962" w:tentative="1">
      <w:start w:val="1"/>
      <w:numFmt w:val="bullet"/>
      <w:lvlText w:val=""/>
      <w:lvlJc w:val="left"/>
      <w:pPr>
        <w:tabs>
          <w:tab w:val="num" w:pos="1440"/>
        </w:tabs>
        <w:ind w:left="1440" w:hanging="360"/>
      </w:pPr>
      <w:rPr>
        <w:rFonts w:ascii="Symbol" w:hAnsi="Symbol" w:hint="default"/>
        <w:sz w:val="20"/>
      </w:rPr>
    </w:lvl>
    <w:lvl w:ilvl="2" w:tplc="DB70E4E2" w:tentative="1">
      <w:start w:val="1"/>
      <w:numFmt w:val="bullet"/>
      <w:lvlText w:val=""/>
      <w:lvlJc w:val="left"/>
      <w:pPr>
        <w:tabs>
          <w:tab w:val="num" w:pos="2160"/>
        </w:tabs>
        <w:ind w:left="2160" w:hanging="360"/>
      </w:pPr>
      <w:rPr>
        <w:rFonts w:ascii="Symbol" w:hAnsi="Symbol" w:hint="default"/>
        <w:sz w:val="20"/>
      </w:rPr>
    </w:lvl>
    <w:lvl w:ilvl="3" w:tplc="45AAF006" w:tentative="1">
      <w:start w:val="1"/>
      <w:numFmt w:val="bullet"/>
      <w:lvlText w:val=""/>
      <w:lvlJc w:val="left"/>
      <w:pPr>
        <w:tabs>
          <w:tab w:val="num" w:pos="2880"/>
        </w:tabs>
        <w:ind w:left="2880" w:hanging="360"/>
      </w:pPr>
      <w:rPr>
        <w:rFonts w:ascii="Symbol" w:hAnsi="Symbol" w:hint="default"/>
        <w:sz w:val="20"/>
      </w:rPr>
    </w:lvl>
    <w:lvl w:ilvl="4" w:tplc="BD107DD6" w:tentative="1">
      <w:start w:val="1"/>
      <w:numFmt w:val="bullet"/>
      <w:lvlText w:val=""/>
      <w:lvlJc w:val="left"/>
      <w:pPr>
        <w:tabs>
          <w:tab w:val="num" w:pos="3600"/>
        </w:tabs>
        <w:ind w:left="3600" w:hanging="360"/>
      </w:pPr>
      <w:rPr>
        <w:rFonts w:ascii="Symbol" w:hAnsi="Symbol" w:hint="default"/>
        <w:sz w:val="20"/>
      </w:rPr>
    </w:lvl>
    <w:lvl w:ilvl="5" w:tplc="FCC0EBD6" w:tentative="1">
      <w:start w:val="1"/>
      <w:numFmt w:val="bullet"/>
      <w:lvlText w:val=""/>
      <w:lvlJc w:val="left"/>
      <w:pPr>
        <w:tabs>
          <w:tab w:val="num" w:pos="4320"/>
        </w:tabs>
        <w:ind w:left="4320" w:hanging="360"/>
      </w:pPr>
      <w:rPr>
        <w:rFonts w:ascii="Symbol" w:hAnsi="Symbol" w:hint="default"/>
        <w:sz w:val="20"/>
      </w:rPr>
    </w:lvl>
    <w:lvl w:ilvl="6" w:tplc="044A0BA0" w:tentative="1">
      <w:start w:val="1"/>
      <w:numFmt w:val="bullet"/>
      <w:lvlText w:val=""/>
      <w:lvlJc w:val="left"/>
      <w:pPr>
        <w:tabs>
          <w:tab w:val="num" w:pos="5040"/>
        </w:tabs>
        <w:ind w:left="5040" w:hanging="360"/>
      </w:pPr>
      <w:rPr>
        <w:rFonts w:ascii="Symbol" w:hAnsi="Symbol" w:hint="default"/>
        <w:sz w:val="20"/>
      </w:rPr>
    </w:lvl>
    <w:lvl w:ilvl="7" w:tplc="59BACA5E" w:tentative="1">
      <w:start w:val="1"/>
      <w:numFmt w:val="bullet"/>
      <w:lvlText w:val=""/>
      <w:lvlJc w:val="left"/>
      <w:pPr>
        <w:tabs>
          <w:tab w:val="num" w:pos="5760"/>
        </w:tabs>
        <w:ind w:left="5760" w:hanging="360"/>
      </w:pPr>
      <w:rPr>
        <w:rFonts w:ascii="Symbol" w:hAnsi="Symbol" w:hint="default"/>
        <w:sz w:val="20"/>
      </w:rPr>
    </w:lvl>
    <w:lvl w:ilvl="8" w:tplc="221E5FF6"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5E6930FD"/>
    <w:multiLevelType w:val="multilevel"/>
    <w:tmpl w:val="2452C0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1" w15:restartNumberingAfterBreak="0">
    <w:nsid w:val="5EC31D17"/>
    <w:multiLevelType w:val="multilevel"/>
    <w:tmpl w:val="D24059C8"/>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342" w15:restartNumberingAfterBreak="0">
    <w:nsid w:val="5EC97E56"/>
    <w:multiLevelType w:val="hybridMultilevel"/>
    <w:tmpl w:val="0D5A9158"/>
    <w:lvl w:ilvl="0" w:tplc="6F7096F2">
      <w:start w:val="1"/>
      <w:numFmt w:val="lowerLetter"/>
      <w:lvlText w:val="%1)"/>
      <w:lvlJc w:val="left"/>
      <w:pPr>
        <w:ind w:left="1080" w:hanging="360"/>
      </w:pPr>
    </w:lvl>
    <w:lvl w:ilvl="1" w:tplc="30BE71AE">
      <w:start w:val="1"/>
      <w:numFmt w:val="lowerLetter"/>
      <w:lvlText w:val="%2."/>
      <w:lvlJc w:val="left"/>
      <w:pPr>
        <w:ind w:left="1800" w:hanging="360"/>
      </w:pPr>
    </w:lvl>
    <w:lvl w:ilvl="2" w:tplc="B0BC9E0E">
      <w:start w:val="1"/>
      <w:numFmt w:val="lowerRoman"/>
      <w:lvlText w:val="%3."/>
      <w:lvlJc w:val="right"/>
      <w:pPr>
        <w:ind w:left="2520" w:hanging="180"/>
      </w:pPr>
    </w:lvl>
    <w:lvl w:ilvl="3" w:tplc="F7A0513A">
      <w:start w:val="1"/>
      <w:numFmt w:val="decimal"/>
      <w:lvlText w:val="%4."/>
      <w:lvlJc w:val="left"/>
      <w:pPr>
        <w:ind w:left="3240" w:hanging="360"/>
      </w:pPr>
    </w:lvl>
    <w:lvl w:ilvl="4" w:tplc="93C69C74">
      <w:start w:val="1"/>
      <w:numFmt w:val="lowerLetter"/>
      <w:lvlText w:val="%5."/>
      <w:lvlJc w:val="left"/>
      <w:pPr>
        <w:ind w:left="3960" w:hanging="360"/>
      </w:pPr>
    </w:lvl>
    <w:lvl w:ilvl="5" w:tplc="B046208C">
      <w:start w:val="1"/>
      <w:numFmt w:val="lowerRoman"/>
      <w:lvlText w:val="%6."/>
      <w:lvlJc w:val="right"/>
      <w:pPr>
        <w:ind w:left="4680" w:hanging="180"/>
      </w:pPr>
    </w:lvl>
    <w:lvl w:ilvl="6" w:tplc="F656FF1E">
      <w:start w:val="1"/>
      <w:numFmt w:val="decimal"/>
      <w:lvlText w:val="%7."/>
      <w:lvlJc w:val="left"/>
      <w:pPr>
        <w:ind w:left="5400" w:hanging="360"/>
      </w:pPr>
    </w:lvl>
    <w:lvl w:ilvl="7" w:tplc="E9840DDE">
      <w:start w:val="1"/>
      <w:numFmt w:val="lowerLetter"/>
      <w:lvlText w:val="%8."/>
      <w:lvlJc w:val="left"/>
      <w:pPr>
        <w:ind w:left="6120" w:hanging="360"/>
      </w:pPr>
    </w:lvl>
    <w:lvl w:ilvl="8" w:tplc="72C6901A">
      <w:start w:val="1"/>
      <w:numFmt w:val="lowerRoman"/>
      <w:lvlText w:val="%9."/>
      <w:lvlJc w:val="right"/>
      <w:pPr>
        <w:ind w:left="6840" w:hanging="180"/>
      </w:pPr>
    </w:lvl>
  </w:abstractNum>
  <w:abstractNum w:abstractNumId="343" w15:restartNumberingAfterBreak="0">
    <w:nsid w:val="5EFD4DA7"/>
    <w:multiLevelType w:val="hybridMultilevel"/>
    <w:tmpl w:val="AF76C616"/>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44" w15:restartNumberingAfterBreak="0">
    <w:nsid w:val="5F0C14E4"/>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45" w15:restartNumberingAfterBreak="0">
    <w:nsid w:val="5F1F719D"/>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46" w15:restartNumberingAfterBreak="0">
    <w:nsid w:val="5F2B42E7"/>
    <w:multiLevelType w:val="multilevel"/>
    <w:tmpl w:val="9E080C2E"/>
    <w:lvl w:ilvl="0">
      <w:start w:val="12"/>
      <w:numFmt w:val="decimal"/>
      <w:lvlText w:val="%1"/>
      <w:lvlJc w:val="left"/>
      <w:pPr>
        <w:ind w:left="660" w:hanging="660"/>
      </w:pPr>
      <w:rPr>
        <w:rFonts w:eastAsia="Times New Roman" w:hint="default"/>
        <w:color w:val="auto"/>
      </w:rPr>
    </w:lvl>
    <w:lvl w:ilvl="1">
      <w:start w:val="8"/>
      <w:numFmt w:val="decimal"/>
      <w:lvlText w:val="%1.%2"/>
      <w:lvlJc w:val="left"/>
      <w:pPr>
        <w:ind w:left="660" w:hanging="660"/>
      </w:pPr>
      <w:rPr>
        <w:rFonts w:eastAsia="Times New Roman" w:hint="default"/>
        <w:color w:val="auto"/>
      </w:rPr>
    </w:lvl>
    <w:lvl w:ilvl="2">
      <w:start w:val="5"/>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347" w15:restartNumberingAfterBreak="0">
    <w:nsid w:val="5FD65C93"/>
    <w:multiLevelType w:val="hybridMultilevel"/>
    <w:tmpl w:val="3B6AC36E"/>
    <w:lvl w:ilvl="0" w:tplc="E9B433D4">
      <w:start w:val="1"/>
      <w:numFmt w:val="decimal"/>
      <w:lvlText w:val="(%1)"/>
      <w:lvlJc w:val="left"/>
      <w:pPr>
        <w:ind w:left="786" w:hanging="360"/>
      </w:pPr>
      <w:rPr>
        <w:rFonts w:hint="default"/>
        <w:b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48" w15:restartNumberingAfterBreak="0">
    <w:nsid w:val="604175A8"/>
    <w:multiLevelType w:val="hybridMultilevel"/>
    <w:tmpl w:val="080E68AA"/>
    <w:lvl w:ilvl="0" w:tplc="0C090017">
      <w:start w:val="1"/>
      <w:numFmt w:val="lowerLetter"/>
      <w:lvlText w:val="%1)"/>
      <w:lvlJc w:val="left"/>
      <w:pPr>
        <w:ind w:left="1069" w:hanging="360"/>
      </w:pPr>
      <w:rPr>
        <w:rFonts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49" w15:restartNumberingAfterBreak="0">
    <w:nsid w:val="607B073B"/>
    <w:multiLevelType w:val="multilevel"/>
    <w:tmpl w:val="319CA846"/>
    <w:lvl w:ilvl="0">
      <w:start w:val="1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0" w15:restartNumberingAfterBreak="0">
    <w:nsid w:val="60BA18A6"/>
    <w:multiLevelType w:val="hybridMultilevel"/>
    <w:tmpl w:val="0966060A"/>
    <w:lvl w:ilvl="0" w:tplc="0E3A140C">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51"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2" w15:restartNumberingAfterBreak="0">
    <w:nsid w:val="61071C52"/>
    <w:multiLevelType w:val="hybridMultilevel"/>
    <w:tmpl w:val="DEE0E96C"/>
    <w:lvl w:ilvl="0" w:tplc="0C090019">
      <w:start w:val="1"/>
      <w:numFmt w:val="lowerLetter"/>
      <w:lvlText w:val="%1."/>
      <w:lvlJc w:val="left"/>
      <w:pPr>
        <w:ind w:left="1353" w:hanging="360"/>
      </w:pPr>
    </w:lvl>
    <w:lvl w:ilvl="1" w:tplc="0C09001B">
      <w:start w:val="1"/>
      <w:numFmt w:val="lowerRoman"/>
      <w:lvlText w:val="%2."/>
      <w:lvlJc w:val="righ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353" w15:restartNumberingAfterBreak="0">
    <w:nsid w:val="6117076D"/>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54" w15:restartNumberingAfterBreak="0">
    <w:nsid w:val="612803EB"/>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55" w15:restartNumberingAfterBreak="0">
    <w:nsid w:val="62202A64"/>
    <w:multiLevelType w:val="hybridMultilevel"/>
    <w:tmpl w:val="E6FE53A0"/>
    <w:lvl w:ilvl="0" w:tplc="B07E56E2">
      <w:start w:val="1"/>
      <w:numFmt w:val="lowerLetter"/>
      <w:lvlText w:val="%1)"/>
      <w:lvlJc w:val="left"/>
      <w:pPr>
        <w:ind w:left="1080" w:hanging="360"/>
      </w:pPr>
    </w:lvl>
    <w:lvl w:ilvl="1" w:tplc="888041A6">
      <w:start w:val="1"/>
      <w:numFmt w:val="lowerLetter"/>
      <w:lvlText w:val="%2."/>
      <w:lvlJc w:val="left"/>
      <w:pPr>
        <w:ind w:left="1800" w:hanging="360"/>
      </w:pPr>
    </w:lvl>
    <w:lvl w:ilvl="2" w:tplc="DE8A0940">
      <w:start w:val="1"/>
      <w:numFmt w:val="lowerRoman"/>
      <w:lvlText w:val="%3."/>
      <w:lvlJc w:val="right"/>
      <w:pPr>
        <w:ind w:left="2520" w:hanging="180"/>
      </w:pPr>
    </w:lvl>
    <w:lvl w:ilvl="3" w:tplc="3B6C2764">
      <w:start w:val="1"/>
      <w:numFmt w:val="decimal"/>
      <w:lvlText w:val="%4."/>
      <w:lvlJc w:val="left"/>
      <w:pPr>
        <w:ind w:left="3240" w:hanging="360"/>
      </w:pPr>
    </w:lvl>
    <w:lvl w:ilvl="4" w:tplc="9222CB36">
      <w:start w:val="1"/>
      <w:numFmt w:val="lowerLetter"/>
      <w:lvlText w:val="%5."/>
      <w:lvlJc w:val="left"/>
      <w:pPr>
        <w:ind w:left="3960" w:hanging="360"/>
      </w:pPr>
    </w:lvl>
    <w:lvl w:ilvl="5" w:tplc="906C1F32">
      <w:start w:val="1"/>
      <w:numFmt w:val="lowerRoman"/>
      <w:lvlText w:val="%6."/>
      <w:lvlJc w:val="right"/>
      <w:pPr>
        <w:ind w:left="4680" w:hanging="180"/>
      </w:pPr>
    </w:lvl>
    <w:lvl w:ilvl="6" w:tplc="1624B0B6">
      <w:start w:val="1"/>
      <w:numFmt w:val="decimal"/>
      <w:lvlText w:val="%7."/>
      <w:lvlJc w:val="left"/>
      <w:pPr>
        <w:ind w:left="5400" w:hanging="360"/>
      </w:pPr>
    </w:lvl>
    <w:lvl w:ilvl="7" w:tplc="A1EA171E">
      <w:start w:val="1"/>
      <w:numFmt w:val="lowerLetter"/>
      <w:lvlText w:val="%8."/>
      <w:lvlJc w:val="left"/>
      <w:pPr>
        <w:ind w:left="6120" w:hanging="360"/>
      </w:pPr>
    </w:lvl>
    <w:lvl w:ilvl="8" w:tplc="34CE0906">
      <w:start w:val="1"/>
      <w:numFmt w:val="lowerRoman"/>
      <w:lvlText w:val="%9."/>
      <w:lvlJc w:val="right"/>
      <w:pPr>
        <w:ind w:left="6840" w:hanging="180"/>
      </w:pPr>
    </w:lvl>
  </w:abstractNum>
  <w:abstractNum w:abstractNumId="356" w15:restartNumberingAfterBreak="0">
    <w:nsid w:val="6283103F"/>
    <w:multiLevelType w:val="multilevel"/>
    <w:tmpl w:val="CEF056FE"/>
    <w:lvl w:ilvl="0">
      <w:start w:val="10"/>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7" w15:restartNumberingAfterBreak="0">
    <w:nsid w:val="62D00FD1"/>
    <w:multiLevelType w:val="hybridMultilevel"/>
    <w:tmpl w:val="D0283D24"/>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58"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9" w15:restartNumberingAfterBreak="0">
    <w:nsid w:val="6383596B"/>
    <w:multiLevelType w:val="multilevel"/>
    <w:tmpl w:val="3984DB5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0" w15:restartNumberingAfterBreak="0">
    <w:nsid w:val="64085059"/>
    <w:multiLevelType w:val="hybridMultilevel"/>
    <w:tmpl w:val="40B0FDF8"/>
    <w:lvl w:ilvl="0" w:tplc="D4EE4D3A">
      <w:start w:val="1"/>
      <w:numFmt w:val="decimal"/>
      <w:lvlText w:val="(%1)"/>
      <w:lvlJc w:val="left"/>
      <w:pPr>
        <w:ind w:left="786" w:hanging="360"/>
      </w:pPr>
      <w:rPr>
        <w:rFonts w:hint="default"/>
      </w:rPr>
    </w:lvl>
    <w:lvl w:ilvl="1" w:tplc="0C090019">
      <w:start w:val="1"/>
      <w:numFmt w:val="lowerLetter"/>
      <w:lvlText w:val="%2."/>
      <w:lvlJc w:val="left"/>
      <w:pPr>
        <w:ind w:left="1506" w:hanging="360"/>
      </w:pPr>
    </w:lvl>
    <w:lvl w:ilvl="2" w:tplc="0C09001B">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61" w15:restartNumberingAfterBreak="0">
    <w:nsid w:val="64403F42"/>
    <w:multiLevelType w:val="hybridMultilevel"/>
    <w:tmpl w:val="3B6AC36E"/>
    <w:lvl w:ilvl="0" w:tplc="E9B433D4">
      <w:start w:val="1"/>
      <w:numFmt w:val="decimal"/>
      <w:lvlText w:val="(%1)"/>
      <w:lvlJc w:val="left"/>
      <w:pPr>
        <w:ind w:left="786" w:hanging="360"/>
      </w:pPr>
      <w:rPr>
        <w:rFonts w:hint="default"/>
        <w:b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62" w15:restartNumberingAfterBreak="0">
    <w:nsid w:val="64AB4641"/>
    <w:multiLevelType w:val="hybridMultilevel"/>
    <w:tmpl w:val="F01625A6"/>
    <w:lvl w:ilvl="0" w:tplc="1B9A5922">
      <w:start w:val="1"/>
      <w:numFmt w:val="lowerLetter"/>
      <w:lvlText w:val="(%1)"/>
      <w:lvlJc w:val="left"/>
      <w:pPr>
        <w:ind w:left="1571" w:hanging="360"/>
      </w:pPr>
      <w:rPr>
        <w:rFonts w:ascii="HelveticaNeueLT Std Lt" w:eastAsiaTheme="minorHAnsi" w:hAnsi="HelveticaNeueLT Std Lt" w:cs="HelveticaNeueLT Std 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63" w15:restartNumberingAfterBreak="0">
    <w:nsid w:val="65A24FE3"/>
    <w:multiLevelType w:val="hybridMultilevel"/>
    <w:tmpl w:val="B68EE9CC"/>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start w:val="1"/>
      <w:numFmt w:val="bullet"/>
      <w:lvlText w:val=""/>
      <w:lvlJc w:val="left"/>
      <w:pPr>
        <w:ind w:left="3589" w:hanging="360"/>
      </w:pPr>
      <w:rPr>
        <w:rFonts w:ascii="Symbol" w:hAnsi="Symbol" w:hint="default"/>
      </w:rPr>
    </w:lvl>
    <w:lvl w:ilvl="4" w:tplc="0C090003">
      <w:start w:val="1"/>
      <w:numFmt w:val="bullet"/>
      <w:lvlText w:val="o"/>
      <w:lvlJc w:val="left"/>
      <w:pPr>
        <w:ind w:left="4309" w:hanging="360"/>
      </w:pPr>
      <w:rPr>
        <w:rFonts w:ascii="Courier New" w:hAnsi="Courier New" w:cs="Courier New" w:hint="default"/>
      </w:rPr>
    </w:lvl>
    <w:lvl w:ilvl="5" w:tplc="0C090005">
      <w:start w:val="1"/>
      <w:numFmt w:val="bullet"/>
      <w:lvlText w:val=""/>
      <w:lvlJc w:val="left"/>
      <w:pPr>
        <w:ind w:left="5029" w:hanging="360"/>
      </w:pPr>
      <w:rPr>
        <w:rFonts w:ascii="Wingdings" w:hAnsi="Wingdings" w:hint="default"/>
      </w:rPr>
    </w:lvl>
    <w:lvl w:ilvl="6" w:tplc="0C090001">
      <w:start w:val="1"/>
      <w:numFmt w:val="bullet"/>
      <w:lvlText w:val=""/>
      <w:lvlJc w:val="left"/>
      <w:pPr>
        <w:ind w:left="5749" w:hanging="360"/>
      </w:pPr>
      <w:rPr>
        <w:rFonts w:ascii="Symbol" w:hAnsi="Symbol" w:hint="default"/>
      </w:rPr>
    </w:lvl>
    <w:lvl w:ilvl="7" w:tplc="0C090003">
      <w:start w:val="1"/>
      <w:numFmt w:val="bullet"/>
      <w:lvlText w:val="o"/>
      <w:lvlJc w:val="left"/>
      <w:pPr>
        <w:ind w:left="6469" w:hanging="360"/>
      </w:pPr>
      <w:rPr>
        <w:rFonts w:ascii="Courier New" w:hAnsi="Courier New" w:cs="Courier New" w:hint="default"/>
      </w:rPr>
    </w:lvl>
    <w:lvl w:ilvl="8" w:tplc="0C090005">
      <w:start w:val="1"/>
      <w:numFmt w:val="bullet"/>
      <w:lvlText w:val=""/>
      <w:lvlJc w:val="left"/>
      <w:pPr>
        <w:ind w:left="7189" w:hanging="360"/>
      </w:pPr>
      <w:rPr>
        <w:rFonts w:ascii="Wingdings" w:hAnsi="Wingdings" w:hint="default"/>
      </w:rPr>
    </w:lvl>
  </w:abstractNum>
  <w:abstractNum w:abstractNumId="364" w15:restartNumberingAfterBreak="0">
    <w:nsid w:val="662277EA"/>
    <w:multiLevelType w:val="multilevel"/>
    <w:tmpl w:val="C5225E88"/>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365" w15:restartNumberingAfterBreak="0">
    <w:nsid w:val="67090E13"/>
    <w:multiLevelType w:val="multilevel"/>
    <w:tmpl w:val="2D3CC4E8"/>
    <w:lvl w:ilvl="0">
      <w:start w:val="9"/>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6" w15:restartNumberingAfterBreak="0">
    <w:nsid w:val="677D74BE"/>
    <w:multiLevelType w:val="hybridMultilevel"/>
    <w:tmpl w:val="FBFC9042"/>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67" w15:restartNumberingAfterBreak="0">
    <w:nsid w:val="677E1417"/>
    <w:multiLevelType w:val="multilevel"/>
    <w:tmpl w:val="EA94D594"/>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368" w15:restartNumberingAfterBreak="0">
    <w:nsid w:val="67916C3A"/>
    <w:multiLevelType w:val="hybridMultilevel"/>
    <w:tmpl w:val="C1045C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9" w15:restartNumberingAfterBreak="0">
    <w:nsid w:val="67EC1D89"/>
    <w:multiLevelType w:val="hybridMultilevel"/>
    <w:tmpl w:val="19B6B168"/>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70" w15:restartNumberingAfterBreak="0">
    <w:nsid w:val="68346971"/>
    <w:multiLevelType w:val="hybridMultilevel"/>
    <w:tmpl w:val="5456F64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1" w15:restartNumberingAfterBreak="0">
    <w:nsid w:val="690E0B2A"/>
    <w:multiLevelType w:val="hybridMultilevel"/>
    <w:tmpl w:val="D0920A1C"/>
    <w:lvl w:ilvl="0" w:tplc="7814266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2" w15:restartNumberingAfterBreak="0">
    <w:nsid w:val="691B70D7"/>
    <w:multiLevelType w:val="multilevel"/>
    <w:tmpl w:val="A1723E8A"/>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ascii="Calibri" w:hAnsi="Calibri" w:cs="Times New Roman" w:hint="default"/>
        <w:b w:val="0"/>
        <w:i w:val="0"/>
        <w:sz w:val="24"/>
      </w:rPr>
    </w:lvl>
    <w:lvl w:ilvl="3">
      <w:start w:val="1"/>
      <w:numFmt w:val="lowerRoman"/>
      <w:lvlText w:val="%4."/>
      <w:lvlJc w:val="right"/>
      <w:pPr>
        <w:ind w:left="2268" w:hanging="567"/>
      </w:pPr>
      <w:rPr>
        <w:rFonts w:hint="default"/>
        <w:b w:val="0"/>
        <w:i w:val="0"/>
        <w:sz w:val="17"/>
        <w:szCs w:val="17"/>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373" w15:restartNumberingAfterBreak="0">
    <w:nsid w:val="695E05BF"/>
    <w:multiLevelType w:val="hybridMultilevel"/>
    <w:tmpl w:val="3ACAB56A"/>
    <w:lvl w:ilvl="0" w:tplc="271CC79E">
      <w:start w:val="1"/>
      <w:numFmt w:val="lowerLetter"/>
      <w:lvlText w:val="(%1)"/>
      <w:lvlJc w:val="left"/>
      <w:pPr>
        <w:ind w:left="1211" w:hanging="360"/>
      </w:pPr>
      <w:rPr>
        <w:rFonts w:hint="default"/>
        <w:b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74" w15:restartNumberingAfterBreak="0">
    <w:nsid w:val="698F637D"/>
    <w:multiLevelType w:val="multilevel"/>
    <w:tmpl w:val="1CCACECC"/>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5" w15:restartNumberingAfterBreak="0">
    <w:nsid w:val="69B3352C"/>
    <w:multiLevelType w:val="hybridMultilevel"/>
    <w:tmpl w:val="85883EEC"/>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76" w15:restartNumberingAfterBreak="0">
    <w:nsid w:val="69F10165"/>
    <w:multiLevelType w:val="hybridMultilevel"/>
    <w:tmpl w:val="7B84DC68"/>
    <w:lvl w:ilvl="0" w:tplc="171603F4">
      <w:start w:val="1"/>
      <w:numFmt w:val="lowerLetter"/>
      <w:lvlText w:val="%1)"/>
      <w:lvlJc w:val="left"/>
      <w:pPr>
        <w:ind w:left="1080" w:hanging="360"/>
      </w:pPr>
    </w:lvl>
    <w:lvl w:ilvl="1" w:tplc="E196BE30">
      <w:start w:val="1"/>
      <w:numFmt w:val="lowerLetter"/>
      <w:lvlText w:val="%2."/>
      <w:lvlJc w:val="left"/>
      <w:pPr>
        <w:ind w:left="1800" w:hanging="360"/>
      </w:pPr>
    </w:lvl>
    <w:lvl w:ilvl="2" w:tplc="D5E0910E">
      <w:start w:val="1"/>
      <w:numFmt w:val="lowerRoman"/>
      <w:lvlText w:val="%3."/>
      <w:lvlJc w:val="right"/>
      <w:pPr>
        <w:ind w:left="2520" w:hanging="180"/>
      </w:pPr>
    </w:lvl>
    <w:lvl w:ilvl="3" w:tplc="29AAE4CC">
      <w:start w:val="1"/>
      <w:numFmt w:val="decimal"/>
      <w:lvlText w:val="%4."/>
      <w:lvlJc w:val="left"/>
      <w:pPr>
        <w:ind w:left="3240" w:hanging="360"/>
      </w:pPr>
    </w:lvl>
    <w:lvl w:ilvl="4" w:tplc="FF9EDC3A">
      <w:start w:val="1"/>
      <w:numFmt w:val="lowerLetter"/>
      <w:lvlText w:val="%5."/>
      <w:lvlJc w:val="left"/>
      <w:pPr>
        <w:ind w:left="3960" w:hanging="360"/>
      </w:pPr>
    </w:lvl>
    <w:lvl w:ilvl="5" w:tplc="3C4A4AFE">
      <w:start w:val="1"/>
      <w:numFmt w:val="lowerRoman"/>
      <w:lvlText w:val="%6."/>
      <w:lvlJc w:val="right"/>
      <w:pPr>
        <w:ind w:left="4680" w:hanging="180"/>
      </w:pPr>
    </w:lvl>
    <w:lvl w:ilvl="6" w:tplc="4C860994">
      <w:start w:val="1"/>
      <w:numFmt w:val="decimal"/>
      <w:lvlText w:val="%7."/>
      <w:lvlJc w:val="left"/>
      <w:pPr>
        <w:ind w:left="5400" w:hanging="360"/>
      </w:pPr>
    </w:lvl>
    <w:lvl w:ilvl="7" w:tplc="F77873D4">
      <w:start w:val="1"/>
      <w:numFmt w:val="lowerLetter"/>
      <w:lvlText w:val="%8."/>
      <w:lvlJc w:val="left"/>
      <w:pPr>
        <w:ind w:left="6120" w:hanging="360"/>
      </w:pPr>
    </w:lvl>
    <w:lvl w:ilvl="8" w:tplc="E55472FE">
      <w:start w:val="1"/>
      <w:numFmt w:val="lowerRoman"/>
      <w:lvlText w:val="%9."/>
      <w:lvlJc w:val="right"/>
      <w:pPr>
        <w:ind w:left="6840" w:hanging="180"/>
      </w:pPr>
    </w:lvl>
  </w:abstractNum>
  <w:abstractNum w:abstractNumId="377" w15:restartNumberingAfterBreak="0">
    <w:nsid w:val="6A227480"/>
    <w:multiLevelType w:val="hybridMultilevel"/>
    <w:tmpl w:val="55D41D4C"/>
    <w:lvl w:ilvl="0" w:tplc="896695BE">
      <w:start w:val="1"/>
      <w:numFmt w:val="lowerLetter"/>
      <w:lvlText w:val="(%1)"/>
      <w:lvlJc w:val="left"/>
      <w:pPr>
        <w:ind w:left="720" w:hanging="360"/>
      </w:pPr>
      <w:rPr>
        <w:rFonts w:ascii="Arial" w:eastAsiaTheme="minorHAnsi" w:hAnsi="Arial" w:cs="Arial"/>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8" w15:restartNumberingAfterBreak="0">
    <w:nsid w:val="6ABF656E"/>
    <w:multiLevelType w:val="hybridMultilevel"/>
    <w:tmpl w:val="EDA687AE"/>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79" w15:restartNumberingAfterBreak="0">
    <w:nsid w:val="6AC022B0"/>
    <w:multiLevelType w:val="multilevel"/>
    <w:tmpl w:val="FEF46BEA"/>
    <w:lvl w:ilvl="0">
      <w:start w:val="7"/>
      <w:numFmt w:val="decimal"/>
      <w:lvlText w:val="%1"/>
      <w:lvlJc w:val="left"/>
      <w:pPr>
        <w:ind w:left="360" w:hanging="360"/>
      </w:pPr>
      <w:rPr>
        <w:rFonts w:hint="default"/>
        <w:color w:val="auto"/>
      </w:rPr>
    </w:lvl>
    <w:lvl w:ilvl="1">
      <w:start w:val="1"/>
      <w:numFmt w:val="decimal"/>
      <w:lvlText w:val="%1.%2"/>
      <w:lvlJc w:val="left"/>
      <w:pPr>
        <w:ind w:left="644" w:hanging="360"/>
      </w:pPr>
      <w:rPr>
        <w:rFonts w:hint="default"/>
        <w:b/>
        <w:bCs/>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072" w:hanging="1800"/>
      </w:pPr>
      <w:rPr>
        <w:rFonts w:hint="default"/>
        <w:color w:val="auto"/>
      </w:rPr>
    </w:lvl>
  </w:abstractNum>
  <w:abstractNum w:abstractNumId="380" w15:restartNumberingAfterBreak="0">
    <w:nsid w:val="6ADC4915"/>
    <w:multiLevelType w:val="multilevel"/>
    <w:tmpl w:val="C8085B7A"/>
    <w:lvl w:ilvl="0">
      <w:start w:val="10"/>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1" w15:restartNumberingAfterBreak="0">
    <w:nsid w:val="6AE643AF"/>
    <w:multiLevelType w:val="hybridMultilevel"/>
    <w:tmpl w:val="85883EEC"/>
    <w:lvl w:ilvl="0" w:tplc="0C090017">
      <w:start w:val="1"/>
      <w:numFmt w:val="lowerLetter"/>
      <w:lvlText w:val="%1)"/>
      <w:lvlJc w:val="left"/>
      <w:pPr>
        <w:ind w:left="1287" w:hanging="360"/>
      </w:p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82" w15:restartNumberingAfterBreak="0">
    <w:nsid w:val="6B667CEA"/>
    <w:multiLevelType w:val="hybridMultilevel"/>
    <w:tmpl w:val="C3787A7E"/>
    <w:lvl w:ilvl="0" w:tplc="7AB60744">
      <w:start w:val="1"/>
      <w:numFmt w:val="bullet"/>
      <w:lvlText w:val=""/>
      <w:lvlJc w:val="left"/>
      <w:pPr>
        <w:tabs>
          <w:tab w:val="num" w:pos="720"/>
        </w:tabs>
        <w:ind w:left="720" w:hanging="360"/>
      </w:pPr>
      <w:rPr>
        <w:rFonts w:ascii="Symbol" w:hAnsi="Symbol" w:hint="default"/>
        <w:sz w:val="20"/>
      </w:rPr>
    </w:lvl>
    <w:lvl w:ilvl="1" w:tplc="1AB64296" w:tentative="1">
      <w:start w:val="1"/>
      <w:numFmt w:val="bullet"/>
      <w:lvlText w:val=""/>
      <w:lvlJc w:val="left"/>
      <w:pPr>
        <w:tabs>
          <w:tab w:val="num" w:pos="1440"/>
        </w:tabs>
        <w:ind w:left="1440" w:hanging="360"/>
      </w:pPr>
      <w:rPr>
        <w:rFonts w:ascii="Symbol" w:hAnsi="Symbol" w:hint="default"/>
        <w:sz w:val="20"/>
      </w:rPr>
    </w:lvl>
    <w:lvl w:ilvl="2" w:tplc="03149714" w:tentative="1">
      <w:start w:val="1"/>
      <w:numFmt w:val="bullet"/>
      <w:lvlText w:val=""/>
      <w:lvlJc w:val="left"/>
      <w:pPr>
        <w:tabs>
          <w:tab w:val="num" w:pos="2160"/>
        </w:tabs>
        <w:ind w:left="2160" w:hanging="360"/>
      </w:pPr>
      <w:rPr>
        <w:rFonts w:ascii="Symbol" w:hAnsi="Symbol" w:hint="default"/>
        <w:sz w:val="20"/>
      </w:rPr>
    </w:lvl>
    <w:lvl w:ilvl="3" w:tplc="4E72D33C" w:tentative="1">
      <w:start w:val="1"/>
      <w:numFmt w:val="bullet"/>
      <w:lvlText w:val=""/>
      <w:lvlJc w:val="left"/>
      <w:pPr>
        <w:tabs>
          <w:tab w:val="num" w:pos="2880"/>
        </w:tabs>
        <w:ind w:left="2880" w:hanging="360"/>
      </w:pPr>
      <w:rPr>
        <w:rFonts w:ascii="Symbol" w:hAnsi="Symbol" w:hint="default"/>
        <w:sz w:val="20"/>
      </w:rPr>
    </w:lvl>
    <w:lvl w:ilvl="4" w:tplc="29F279E6" w:tentative="1">
      <w:start w:val="1"/>
      <w:numFmt w:val="bullet"/>
      <w:lvlText w:val=""/>
      <w:lvlJc w:val="left"/>
      <w:pPr>
        <w:tabs>
          <w:tab w:val="num" w:pos="3600"/>
        </w:tabs>
        <w:ind w:left="3600" w:hanging="360"/>
      </w:pPr>
      <w:rPr>
        <w:rFonts w:ascii="Symbol" w:hAnsi="Symbol" w:hint="default"/>
        <w:sz w:val="20"/>
      </w:rPr>
    </w:lvl>
    <w:lvl w:ilvl="5" w:tplc="DD24628C" w:tentative="1">
      <w:start w:val="1"/>
      <w:numFmt w:val="bullet"/>
      <w:lvlText w:val=""/>
      <w:lvlJc w:val="left"/>
      <w:pPr>
        <w:tabs>
          <w:tab w:val="num" w:pos="4320"/>
        </w:tabs>
        <w:ind w:left="4320" w:hanging="360"/>
      </w:pPr>
      <w:rPr>
        <w:rFonts w:ascii="Symbol" w:hAnsi="Symbol" w:hint="default"/>
        <w:sz w:val="20"/>
      </w:rPr>
    </w:lvl>
    <w:lvl w:ilvl="6" w:tplc="1EE6E06A" w:tentative="1">
      <w:start w:val="1"/>
      <w:numFmt w:val="bullet"/>
      <w:lvlText w:val=""/>
      <w:lvlJc w:val="left"/>
      <w:pPr>
        <w:tabs>
          <w:tab w:val="num" w:pos="5040"/>
        </w:tabs>
        <w:ind w:left="5040" w:hanging="360"/>
      </w:pPr>
      <w:rPr>
        <w:rFonts w:ascii="Symbol" w:hAnsi="Symbol" w:hint="default"/>
        <w:sz w:val="20"/>
      </w:rPr>
    </w:lvl>
    <w:lvl w:ilvl="7" w:tplc="EEEEC3A8" w:tentative="1">
      <w:start w:val="1"/>
      <w:numFmt w:val="bullet"/>
      <w:lvlText w:val=""/>
      <w:lvlJc w:val="left"/>
      <w:pPr>
        <w:tabs>
          <w:tab w:val="num" w:pos="5760"/>
        </w:tabs>
        <w:ind w:left="5760" w:hanging="360"/>
      </w:pPr>
      <w:rPr>
        <w:rFonts w:ascii="Symbol" w:hAnsi="Symbol" w:hint="default"/>
        <w:sz w:val="20"/>
      </w:rPr>
    </w:lvl>
    <w:lvl w:ilvl="8" w:tplc="AA202716"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6B7A0795"/>
    <w:multiLevelType w:val="hybridMultilevel"/>
    <w:tmpl w:val="067E80F4"/>
    <w:lvl w:ilvl="0" w:tplc="1B9A5922">
      <w:start w:val="1"/>
      <w:numFmt w:val="lowerLetter"/>
      <w:lvlText w:val="(%1)"/>
      <w:lvlJc w:val="left"/>
      <w:pPr>
        <w:ind w:left="720" w:hanging="360"/>
      </w:pPr>
      <w:rPr>
        <w:rFonts w:ascii="HelveticaNeueLT Std Lt" w:eastAsiaTheme="minorHAnsi" w:hAnsi="HelveticaNeueLT Std Lt" w:cs="HelveticaNeueLT Std 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4" w15:restartNumberingAfterBreak="0">
    <w:nsid w:val="6B9C0492"/>
    <w:multiLevelType w:val="multilevel"/>
    <w:tmpl w:val="7C6841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5" w15:restartNumberingAfterBreak="0">
    <w:nsid w:val="6BC703F7"/>
    <w:multiLevelType w:val="hybridMultilevel"/>
    <w:tmpl w:val="40B0FDF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86" w15:restartNumberingAfterBreak="0">
    <w:nsid w:val="6C16687C"/>
    <w:multiLevelType w:val="multilevel"/>
    <w:tmpl w:val="CAD257F0"/>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387" w15:restartNumberingAfterBreak="0">
    <w:nsid w:val="6CF82E05"/>
    <w:multiLevelType w:val="hybridMultilevel"/>
    <w:tmpl w:val="53565E24"/>
    <w:lvl w:ilvl="0" w:tplc="EF121C40">
      <w:start w:val="1"/>
      <w:numFmt w:val="lowerLetter"/>
      <w:lvlText w:val="%1)"/>
      <w:lvlJc w:val="left"/>
      <w:pPr>
        <w:ind w:left="1080" w:hanging="360"/>
      </w:pPr>
    </w:lvl>
    <w:lvl w:ilvl="1" w:tplc="2E840B08">
      <w:start w:val="1"/>
      <w:numFmt w:val="lowerLetter"/>
      <w:lvlText w:val="%2."/>
      <w:lvlJc w:val="left"/>
      <w:pPr>
        <w:ind w:left="1800" w:hanging="360"/>
      </w:pPr>
    </w:lvl>
    <w:lvl w:ilvl="2" w:tplc="A22AA238">
      <w:start w:val="1"/>
      <w:numFmt w:val="lowerRoman"/>
      <w:lvlText w:val="%3."/>
      <w:lvlJc w:val="right"/>
      <w:pPr>
        <w:ind w:left="2520" w:hanging="180"/>
      </w:pPr>
    </w:lvl>
    <w:lvl w:ilvl="3" w:tplc="BE10F2C8">
      <w:start w:val="1"/>
      <w:numFmt w:val="decimal"/>
      <w:lvlText w:val="%4."/>
      <w:lvlJc w:val="left"/>
      <w:pPr>
        <w:ind w:left="3240" w:hanging="360"/>
      </w:pPr>
    </w:lvl>
    <w:lvl w:ilvl="4" w:tplc="9E38704C">
      <w:start w:val="1"/>
      <w:numFmt w:val="lowerLetter"/>
      <w:lvlText w:val="%5."/>
      <w:lvlJc w:val="left"/>
      <w:pPr>
        <w:ind w:left="3960" w:hanging="360"/>
      </w:pPr>
    </w:lvl>
    <w:lvl w:ilvl="5" w:tplc="7D08029A">
      <w:start w:val="1"/>
      <w:numFmt w:val="lowerRoman"/>
      <w:lvlText w:val="%6."/>
      <w:lvlJc w:val="right"/>
      <w:pPr>
        <w:ind w:left="4680" w:hanging="180"/>
      </w:pPr>
    </w:lvl>
    <w:lvl w:ilvl="6" w:tplc="1D7A2244">
      <w:start w:val="1"/>
      <w:numFmt w:val="decimal"/>
      <w:lvlText w:val="%7."/>
      <w:lvlJc w:val="left"/>
      <w:pPr>
        <w:ind w:left="5400" w:hanging="360"/>
      </w:pPr>
    </w:lvl>
    <w:lvl w:ilvl="7" w:tplc="E8A2110C">
      <w:start w:val="1"/>
      <w:numFmt w:val="lowerLetter"/>
      <w:lvlText w:val="%8."/>
      <w:lvlJc w:val="left"/>
      <w:pPr>
        <w:ind w:left="6120" w:hanging="360"/>
      </w:pPr>
    </w:lvl>
    <w:lvl w:ilvl="8" w:tplc="5316039E">
      <w:start w:val="1"/>
      <w:numFmt w:val="lowerRoman"/>
      <w:lvlText w:val="%9."/>
      <w:lvlJc w:val="right"/>
      <w:pPr>
        <w:ind w:left="6840" w:hanging="180"/>
      </w:pPr>
    </w:lvl>
  </w:abstractNum>
  <w:abstractNum w:abstractNumId="388" w15:restartNumberingAfterBreak="0">
    <w:nsid w:val="6D3841C0"/>
    <w:multiLevelType w:val="hybridMultilevel"/>
    <w:tmpl w:val="2E18DA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9" w15:restartNumberingAfterBreak="0">
    <w:nsid w:val="6D470DFC"/>
    <w:multiLevelType w:val="hybridMultilevel"/>
    <w:tmpl w:val="8D36B4B2"/>
    <w:lvl w:ilvl="0" w:tplc="9DF2F97A">
      <w:start w:val="1"/>
      <w:numFmt w:val="lowerLetter"/>
      <w:lvlText w:val="%1)"/>
      <w:lvlJc w:val="left"/>
      <w:pPr>
        <w:ind w:left="1069" w:hanging="360"/>
      </w:pPr>
      <w:rPr>
        <w:i w:val="0"/>
        <w:iCs w:val="0"/>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90" w15:restartNumberingAfterBreak="0">
    <w:nsid w:val="6D7B4C34"/>
    <w:multiLevelType w:val="hybridMultilevel"/>
    <w:tmpl w:val="511868AC"/>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91" w15:restartNumberingAfterBreak="0">
    <w:nsid w:val="6D9079C7"/>
    <w:multiLevelType w:val="multilevel"/>
    <w:tmpl w:val="B78C23CC"/>
    <w:lvl w:ilvl="0">
      <w:start w:val="10"/>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2" w15:restartNumberingAfterBreak="0">
    <w:nsid w:val="6E700399"/>
    <w:multiLevelType w:val="hybridMultilevel"/>
    <w:tmpl w:val="4DF40424"/>
    <w:lvl w:ilvl="0" w:tplc="451C9AB0">
      <w:start w:val="1"/>
      <w:numFmt w:val="lowerLetter"/>
      <w:lvlText w:val="%1)"/>
      <w:lvlJc w:val="left"/>
      <w:pPr>
        <w:ind w:left="1080" w:hanging="360"/>
      </w:pPr>
    </w:lvl>
    <w:lvl w:ilvl="1" w:tplc="00228B60">
      <w:start w:val="1"/>
      <w:numFmt w:val="lowerLetter"/>
      <w:lvlText w:val="%2."/>
      <w:lvlJc w:val="left"/>
      <w:pPr>
        <w:ind w:left="1800" w:hanging="360"/>
      </w:pPr>
    </w:lvl>
    <w:lvl w:ilvl="2" w:tplc="5A84DA96">
      <w:start w:val="1"/>
      <w:numFmt w:val="lowerRoman"/>
      <w:lvlText w:val="%3."/>
      <w:lvlJc w:val="right"/>
      <w:pPr>
        <w:ind w:left="2520" w:hanging="180"/>
      </w:pPr>
    </w:lvl>
    <w:lvl w:ilvl="3" w:tplc="6B505C7C">
      <w:start w:val="1"/>
      <w:numFmt w:val="decimal"/>
      <w:lvlText w:val="%4."/>
      <w:lvlJc w:val="left"/>
      <w:pPr>
        <w:ind w:left="3240" w:hanging="360"/>
      </w:pPr>
    </w:lvl>
    <w:lvl w:ilvl="4" w:tplc="55AC2CD0">
      <w:start w:val="1"/>
      <w:numFmt w:val="lowerLetter"/>
      <w:lvlText w:val="%5."/>
      <w:lvlJc w:val="left"/>
      <w:pPr>
        <w:ind w:left="3960" w:hanging="360"/>
      </w:pPr>
    </w:lvl>
    <w:lvl w:ilvl="5" w:tplc="83664B82">
      <w:start w:val="1"/>
      <w:numFmt w:val="lowerRoman"/>
      <w:lvlText w:val="%6."/>
      <w:lvlJc w:val="right"/>
      <w:pPr>
        <w:ind w:left="4680" w:hanging="180"/>
      </w:pPr>
    </w:lvl>
    <w:lvl w:ilvl="6" w:tplc="285A637E">
      <w:start w:val="1"/>
      <w:numFmt w:val="decimal"/>
      <w:lvlText w:val="%7."/>
      <w:lvlJc w:val="left"/>
      <w:pPr>
        <w:ind w:left="5400" w:hanging="360"/>
      </w:pPr>
    </w:lvl>
    <w:lvl w:ilvl="7" w:tplc="6BB2ED1E">
      <w:start w:val="1"/>
      <w:numFmt w:val="lowerLetter"/>
      <w:lvlText w:val="%8."/>
      <w:lvlJc w:val="left"/>
      <w:pPr>
        <w:ind w:left="6120" w:hanging="360"/>
      </w:pPr>
    </w:lvl>
    <w:lvl w:ilvl="8" w:tplc="3E2CA3FA">
      <w:start w:val="1"/>
      <w:numFmt w:val="lowerRoman"/>
      <w:lvlText w:val="%9."/>
      <w:lvlJc w:val="right"/>
      <w:pPr>
        <w:ind w:left="6840" w:hanging="180"/>
      </w:pPr>
    </w:lvl>
  </w:abstractNum>
  <w:abstractNum w:abstractNumId="393" w15:restartNumberingAfterBreak="0">
    <w:nsid w:val="6E767504"/>
    <w:multiLevelType w:val="multilevel"/>
    <w:tmpl w:val="FAF2DF5E"/>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4" w15:restartNumberingAfterBreak="0">
    <w:nsid w:val="6EA20343"/>
    <w:multiLevelType w:val="hybridMultilevel"/>
    <w:tmpl w:val="91501CFC"/>
    <w:lvl w:ilvl="0" w:tplc="B5949A1A">
      <w:start w:val="5"/>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5" w15:restartNumberingAfterBreak="0">
    <w:nsid w:val="6EA56F62"/>
    <w:multiLevelType w:val="hybridMultilevel"/>
    <w:tmpl w:val="C1045C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6" w15:restartNumberingAfterBreak="0">
    <w:nsid w:val="6EAB672F"/>
    <w:multiLevelType w:val="multilevel"/>
    <w:tmpl w:val="7242DD5A"/>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397" w15:restartNumberingAfterBreak="0">
    <w:nsid w:val="6ECD6E14"/>
    <w:multiLevelType w:val="hybridMultilevel"/>
    <w:tmpl w:val="FAC84BF6"/>
    <w:lvl w:ilvl="0" w:tplc="AF10A998">
      <w:start w:val="1"/>
      <w:numFmt w:val="lowerLetter"/>
      <w:lvlText w:val="(%1)"/>
      <w:lvlJc w:val="left"/>
      <w:pPr>
        <w:ind w:left="1211" w:hanging="360"/>
      </w:pPr>
      <w:rPr>
        <w:rFonts w:hint="default"/>
        <w:b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98" w15:restartNumberingAfterBreak="0">
    <w:nsid w:val="6FE85E41"/>
    <w:multiLevelType w:val="hybridMultilevel"/>
    <w:tmpl w:val="84CAC866"/>
    <w:lvl w:ilvl="0" w:tplc="D4EE4D3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9" w15:restartNumberingAfterBreak="0">
    <w:nsid w:val="70F70B27"/>
    <w:multiLevelType w:val="hybridMultilevel"/>
    <w:tmpl w:val="01965674"/>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1">
      <w:start w:val="1"/>
      <w:numFmt w:val="bullet"/>
      <w:lvlText w:val=""/>
      <w:lvlJc w:val="left"/>
      <w:pPr>
        <w:ind w:left="5301" w:hanging="360"/>
      </w:pPr>
      <w:rPr>
        <w:rFonts w:ascii="Symbol" w:hAnsi="Symbol"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400" w15:restartNumberingAfterBreak="0">
    <w:nsid w:val="71331230"/>
    <w:multiLevelType w:val="hybridMultilevel"/>
    <w:tmpl w:val="E9A28C56"/>
    <w:lvl w:ilvl="0" w:tplc="491E84D8">
      <w:start w:val="1"/>
      <w:numFmt w:val="lowerLetter"/>
      <w:lvlText w:val="%1)"/>
      <w:lvlJc w:val="left"/>
      <w:pPr>
        <w:ind w:left="1080" w:hanging="360"/>
      </w:pPr>
    </w:lvl>
    <w:lvl w:ilvl="1" w:tplc="DB864052">
      <w:start w:val="1"/>
      <w:numFmt w:val="lowerLetter"/>
      <w:lvlText w:val="%2."/>
      <w:lvlJc w:val="left"/>
      <w:pPr>
        <w:ind w:left="1800" w:hanging="360"/>
      </w:pPr>
    </w:lvl>
    <w:lvl w:ilvl="2" w:tplc="E17AB1D8">
      <w:start w:val="1"/>
      <w:numFmt w:val="lowerRoman"/>
      <w:lvlText w:val="%3."/>
      <w:lvlJc w:val="right"/>
      <w:pPr>
        <w:ind w:left="2520" w:hanging="180"/>
      </w:pPr>
    </w:lvl>
    <w:lvl w:ilvl="3" w:tplc="4C9681D6">
      <w:start w:val="1"/>
      <w:numFmt w:val="decimal"/>
      <w:lvlText w:val="%4."/>
      <w:lvlJc w:val="left"/>
      <w:pPr>
        <w:ind w:left="3240" w:hanging="360"/>
      </w:pPr>
    </w:lvl>
    <w:lvl w:ilvl="4" w:tplc="5CF0FE62">
      <w:start w:val="1"/>
      <w:numFmt w:val="lowerLetter"/>
      <w:lvlText w:val="%5."/>
      <w:lvlJc w:val="left"/>
      <w:pPr>
        <w:ind w:left="3960" w:hanging="360"/>
      </w:pPr>
    </w:lvl>
    <w:lvl w:ilvl="5" w:tplc="9A58ADF2">
      <w:start w:val="1"/>
      <w:numFmt w:val="lowerRoman"/>
      <w:lvlText w:val="%6."/>
      <w:lvlJc w:val="right"/>
      <w:pPr>
        <w:ind w:left="4680" w:hanging="180"/>
      </w:pPr>
    </w:lvl>
    <w:lvl w:ilvl="6" w:tplc="D07CD9B6">
      <w:start w:val="1"/>
      <w:numFmt w:val="decimal"/>
      <w:lvlText w:val="%7."/>
      <w:lvlJc w:val="left"/>
      <w:pPr>
        <w:ind w:left="5400" w:hanging="360"/>
      </w:pPr>
    </w:lvl>
    <w:lvl w:ilvl="7" w:tplc="96B87ABE">
      <w:start w:val="1"/>
      <w:numFmt w:val="lowerLetter"/>
      <w:lvlText w:val="%8."/>
      <w:lvlJc w:val="left"/>
      <w:pPr>
        <w:ind w:left="6120" w:hanging="360"/>
      </w:pPr>
    </w:lvl>
    <w:lvl w:ilvl="8" w:tplc="6A166FB4">
      <w:start w:val="1"/>
      <w:numFmt w:val="lowerRoman"/>
      <w:lvlText w:val="%9."/>
      <w:lvlJc w:val="right"/>
      <w:pPr>
        <w:ind w:left="6840" w:hanging="180"/>
      </w:pPr>
    </w:lvl>
  </w:abstractNum>
  <w:abstractNum w:abstractNumId="401" w15:restartNumberingAfterBreak="0">
    <w:nsid w:val="713B26DF"/>
    <w:multiLevelType w:val="hybridMultilevel"/>
    <w:tmpl w:val="D99E24FE"/>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2" w15:restartNumberingAfterBreak="0">
    <w:nsid w:val="720C1756"/>
    <w:multiLevelType w:val="hybridMultilevel"/>
    <w:tmpl w:val="F2B0E040"/>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03" w15:restartNumberingAfterBreak="0">
    <w:nsid w:val="72267932"/>
    <w:multiLevelType w:val="hybridMultilevel"/>
    <w:tmpl w:val="2FEE4DAE"/>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404" w15:restartNumberingAfterBreak="0">
    <w:nsid w:val="72515240"/>
    <w:multiLevelType w:val="multilevel"/>
    <w:tmpl w:val="8FE83166"/>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405" w15:restartNumberingAfterBreak="0">
    <w:nsid w:val="72D93FC0"/>
    <w:multiLevelType w:val="hybridMultilevel"/>
    <w:tmpl w:val="18143078"/>
    <w:lvl w:ilvl="0" w:tplc="F0385C04">
      <w:start w:val="1"/>
      <w:numFmt w:val="lowerLetter"/>
      <w:lvlText w:val="(%1)"/>
      <w:lvlJc w:val="left"/>
      <w:pPr>
        <w:ind w:left="1211" w:hanging="360"/>
      </w:pPr>
      <w:rPr>
        <w:rFonts w:hint="default"/>
        <w:b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06" w15:restartNumberingAfterBreak="0">
    <w:nsid w:val="734200A4"/>
    <w:multiLevelType w:val="hybridMultilevel"/>
    <w:tmpl w:val="3E18A80C"/>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07" w15:restartNumberingAfterBreak="0">
    <w:nsid w:val="738D3964"/>
    <w:multiLevelType w:val="multilevel"/>
    <w:tmpl w:val="994EF3AE"/>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408" w15:restartNumberingAfterBreak="0">
    <w:nsid w:val="73A54BE9"/>
    <w:multiLevelType w:val="hybridMultilevel"/>
    <w:tmpl w:val="3E18A80C"/>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09" w15:restartNumberingAfterBreak="0">
    <w:nsid w:val="73AA0CBD"/>
    <w:multiLevelType w:val="hybridMultilevel"/>
    <w:tmpl w:val="FFFFFFFF"/>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410" w15:restartNumberingAfterBreak="0">
    <w:nsid w:val="73CD42D9"/>
    <w:multiLevelType w:val="hybridMultilevel"/>
    <w:tmpl w:val="8E0AAC3C"/>
    <w:lvl w:ilvl="0" w:tplc="C7A22D46">
      <w:start w:val="1"/>
      <w:numFmt w:val="lowerLetter"/>
      <w:lvlText w:val="%1)"/>
      <w:lvlJc w:val="left"/>
      <w:pPr>
        <w:ind w:left="1374" w:hanging="360"/>
      </w:pPr>
    </w:lvl>
    <w:lvl w:ilvl="1" w:tplc="560682A8" w:tentative="1">
      <w:start w:val="1"/>
      <w:numFmt w:val="lowerLetter"/>
      <w:lvlText w:val="%2."/>
      <w:lvlJc w:val="left"/>
      <w:pPr>
        <w:ind w:left="2094" w:hanging="360"/>
      </w:pPr>
    </w:lvl>
    <w:lvl w:ilvl="2" w:tplc="E186980A" w:tentative="1">
      <w:start w:val="1"/>
      <w:numFmt w:val="lowerRoman"/>
      <w:lvlText w:val="%3."/>
      <w:lvlJc w:val="right"/>
      <w:pPr>
        <w:ind w:left="2814" w:hanging="180"/>
      </w:pPr>
    </w:lvl>
    <w:lvl w:ilvl="3" w:tplc="57921068" w:tentative="1">
      <w:start w:val="1"/>
      <w:numFmt w:val="decimal"/>
      <w:lvlText w:val="%4."/>
      <w:lvlJc w:val="left"/>
      <w:pPr>
        <w:ind w:left="3534" w:hanging="360"/>
      </w:pPr>
    </w:lvl>
    <w:lvl w:ilvl="4" w:tplc="BD260DF4" w:tentative="1">
      <w:start w:val="1"/>
      <w:numFmt w:val="lowerLetter"/>
      <w:lvlText w:val="%5."/>
      <w:lvlJc w:val="left"/>
      <w:pPr>
        <w:ind w:left="4254" w:hanging="360"/>
      </w:pPr>
    </w:lvl>
    <w:lvl w:ilvl="5" w:tplc="93D275AC" w:tentative="1">
      <w:start w:val="1"/>
      <w:numFmt w:val="lowerRoman"/>
      <w:lvlText w:val="%6."/>
      <w:lvlJc w:val="right"/>
      <w:pPr>
        <w:ind w:left="4974" w:hanging="180"/>
      </w:pPr>
    </w:lvl>
    <w:lvl w:ilvl="6" w:tplc="D4F445F6" w:tentative="1">
      <w:start w:val="1"/>
      <w:numFmt w:val="decimal"/>
      <w:lvlText w:val="%7."/>
      <w:lvlJc w:val="left"/>
      <w:pPr>
        <w:ind w:left="5694" w:hanging="360"/>
      </w:pPr>
    </w:lvl>
    <w:lvl w:ilvl="7" w:tplc="3A5C3F58" w:tentative="1">
      <w:start w:val="1"/>
      <w:numFmt w:val="lowerLetter"/>
      <w:lvlText w:val="%8."/>
      <w:lvlJc w:val="left"/>
      <w:pPr>
        <w:ind w:left="6414" w:hanging="360"/>
      </w:pPr>
    </w:lvl>
    <w:lvl w:ilvl="8" w:tplc="6366AA8C" w:tentative="1">
      <w:start w:val="1"/>
      <w:numFmt w:val="lowerRoman"/>
      <w:lvlText w:val="%9."/>
      <w:lvlJc w:val="right"/>
      <w:pPr>
        <w:ind w:left="7134" w:hanging="180"/>
      </w:pPr>
    </w:lvl>
  </w:abstractNum>
  <w:abstractNum w:abstractNumId="411" w15:restartNumberingAfterBreak="0">
    <w:nsid w:val="743A1728"/>
    <w:multiLevelType w:val="hybridMultilevel"/>
    <w:tmpl w:val="3586C08E"/>
    <w:lvl w:ilvl="0" w:tplc="B396321E">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12" w15:restartNumberingAfterBreak="0">
    <w:nsid w:val="746772C3"/>
    <w:multiLevelType w:val="hybridMultilevel"/>
    <w:tmpl w:val="AF76C616"/>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13" w15:restartNumberingAfterBreak="0">
    <w:nsid w:val="746E6F3D"/>
    <w:multiLevelType w:val="multilevel"/>
    <w:tmpl w:val="BF3AB51E"/>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414" w15:restartNumberingAfterBreak="0">
    <w:nsid w:val="748572DE"/>
    <w:multiLevelType w:val="multilevel"/>
    <w:tmpl w:val="C11CD1D4"/>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415" w15:restartNumberingAfterBreak="0">
    <w:nsid w:val="74D30853"/>
    <w:multiLevelType w:val="hybridMultilevel"/>
    <w:tmpl w:val="81E6BE20"/>
    <w:lvl w:ilvl="0" w:tplc="680854A0">
      <w:start w:val="1"/>
      <w:numFmt w:val="lowerLetter"/>
      <w:lvlText w:val="%1)"/>
      <w:lvlJc w:val="left"/>
      <w:pPr>
        <w:ind w:left="720" w:hanging="360"/>
      </w:pPr>
      <w:rPr>
        <w:rFonts w:ascii="Times New Roman" w:eastAsiaTheme="minorHAnsi" w:hAnsi="Times New Roman" w:cs="Times New Roman" w:hint="default"/>
      </w:rPr>
    </w:lvl>
    <w:lvl w:ilvl="1" w:tplc="578E7AD4">
      <w:start w:val="1"/>
      <w:numFmt w:val="bullet"/>
      <w:lvlText w:val="o"/>
      <w:lvlJc w:val="left"/>
      <w:pPr>
        <w:ind w:left="1440" w:hanging="360"/>
      </w:pPr>
      <w:rPr>
        <w:rFonts w:ascii="Courier New" w:hAnsi="Courier New" w:hint="default"/>
      </w:rPr>
    </w:lvl>
    <w:lvl w:ilvl="2" w:tplc="A120B9C8">
      <w:start w:val="1"/>
      <w:numFmt w:val="bullet"/>
      <w:lvlText w:val=""/>
      <w:lvlJc w:val="left"/>
      <w:pPr>
        <w:ind w:left="2160" w:hanging="360"/>
      </w:pPr>
      <w:rPr>
        <w:rFonts w:ascii="Wingdings" w:hAnsi="Wingdings" w:hint="default"/>
      </w:rPr>
    </w:lvl>
    <w:lvl w:ilvl="3" w:tplc="C6148B1E">
      <w:start w:val="1"/>
      <w:numFmt w:val="bullet"/>
      <w:lvlText w:val=""/>
      <w:lvlJc w:val="left"/>
      <w:pPr>
        <w:ind w:left="2880" w:hanging="360"/>
      </w:pPr>
      <w:rPr>
        <w:rFonts w:ascii="Symbol" w:hAnsi="Symbol" w:hint="default"/>
      </w:rPr>
    </w:lvl>
    <w:lvl w:ilvl="4" w:tplc="80EEB9E4">
      <w:start w:val="1"/>
      <w:numFmt w:val="bullet"/>
      <w:lvlText w:val="o"/>
      <w:lvlJc w:val="left"/>
      <w:pPr>
        <w:ind w:left="3600" w:hanging="360"/>
      </w:pPr>
      <w:rPr>
        <w:rFonts w:ascii="Courier New" w:hAnsi="Courier New" w:hint="default"/>
      </w:rPr>
    </w:lvl>
    <w:lvl w:ilvl="5" w:tplc="D7520354">
      <w:start w:val="1"/>
      <w:numFmt w:val="bullet"/>
      <w:lvlText w:val=""/>
      <w:lvlJc w:val="left"/>
      <w:pPr>
        <w:ind w:left="4320" w:hanging="360"/>
      </w:pPr>
      <w:rPr>
        <w:rFonts w:ascii="Wingdings" w:hAnsi="Wingdings" w:hint="default"/>
      </w:rPr>
    </w:lvl>
    <w:lvl w:ilvl="6" w:tplc="0E66BEFC">
      <w:start w:val="1"/>
      <w:numFmt w:val="bullet"/>
      <w:lvlText w:val=""/>
      <w:lvlJc w:val="left"/>
      <w:pPr>
        <w:ind w:left="5040" w:hanging="360"/>
      </w:pPr>
      <w:rPr>
        <w:rFonts w:ascii="Symbol" w:hAnsi="Symbol" w:hint="default"/>
      </w:rPr>
    </w:lvl>
    <w:lvl w:ilvl="7" w:tplc="7C0A1252">
      <w:start w:val="1"/>
      <w:numFmt w:val="bullet"/>
      <w:lvlText w:val="o"/>
      <w:lvlJc w:val="left"/>
      <w:pPr>
        <w:ind w:left="5760" w:hanging="360"/>
      </w:pPr>
      <w:rPr>
        <w:rFonts w:ascii="Courier New" w:hAnsi="Courier New" w:hint="default"/>
      </w:rPr>
    </w:lvl>
    <w:lvl w:ilvl="8" w:tplc="57FE182A">
      <w:start w:val="1"/>
      <w:numFmt w:val="bullet"/>
      <w:lvlText w:val=""/>
      <w:lvlJc w:val="left"/>
      <w:pPr>
        <w:ind w:left="6480" w:hanging="360"/>
      </w:pPr>
      <w:rPr>
        <w:rFonts w:ascii="Wingdings" w:hAnsi="Wingdings" w:hint="default"/>
      </w:rPr>
    </w:lvl>
  </w:abstractNum>
  <w:abstractNum w:abstractNumId="416" w15:restartNumberingAfterBreak="0">
    <w:nsid w:val="75411BAF"/>
    <w:multiLevelType w:val="hybridMultilevel"/>
    <w:tmpl w:val="1D209986"/>
    <w:lvl w:ilvl="0" w:tplc="4F3AD2E4">
      <w:start w:val="1"/>
      <w:numFmt w:val="decimal"/>
      <w:lvlText w:val="%1."/>
      <w:lvlJc w:val="left"/>
      <w:pPr>
        <w:ind w:left="861" w:hanging="435"/>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17"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8" w15:restartNumberingAfterBreak="0">
    <w:nsid w:val="75970104"/>
    <w:multiLevelType w:val="hybridMultilevel"/>
    <w:tmpl w:val="B12445B0"/>
    <w:lvl w:ilvl="0" w:tplc="CAB86DDC">
      <w:start w:val="1"/>
      <w:numFmt w:val="lowerLetter"/>
      <w:lvlText w:val="%1)"/>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9" w15:restartNumberingAfterBreak="0">
    <w:nsid w:val="75C31920"/>
    <w:multiLevelType w:val="multilevel"/>
    <w:tmpl w:val="0EECDB72"/>
    <w:lvl w:ilvl="0">
      <w:start w:val="9"/>
      <w:numFmt w:val="decimal"/>
      <w:lvlText w:val="%1"/>
      <w:lvlJc w:val="left"/>
      <w:pPr>
        <w:ind w:left="525" w:hanging="525"/>
      </w:pPr>
      <w:rPr>
        <w:rFonts w:hint="default"/>
      </w:rPr>
    </w:lvl>
    <w:lvl w:ilvl="1">
      <w:start w:val="9"/>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0" w15:restartNumberingAfterBreak="0">
    <w:nsid w:val="7617344A"/>
    <w:multiLevelType w:val="hybridMultilevel"/>
    <w:tmpl w:val="2FEE4DAE"/>
    <w:lvl w:ilvl="0" w:tplc="7212BD74">
      <w:start w:val="1"/>
      <w:numFmt w:val="lowerLetter"/>
      <w:lvlText w:val="%1)"/>
      <w:lvlJc w:val="left"/>
      <w:pPr>
        <w:ind w:left="1080" w:hanging="360"/>
      </w:pPr>
    </w:lvl>
    <w:lvl w:ilvl="1" w:tplc="BC6C3098">
      <w:start w:val="1"/>
      <w:numFmt w:val="lowerLetter"/>
      <w:lvlText w:val="%2."/>
      <w:lvlJc w:val="left"/>
      <w:pPr>
        <w:ind w:left="1800" w:hanging="360"/>
      </w:pPr>
    </w:lvl>
    <w:lvl w:ilvl="2" w:tplc="A5786E6A">
      <w:start w:val="1"/>
      <w:numFmt w:val="lowerRoman"/>
      <w:lvlText w:val="%3."/>
      <w:lvlJc w:val="right"/>
      <w:pPr>
        <w:ind w:left="2520" w:hanging="180"/>
      </w:pPr>
    </w:lvl>
    <w:lvl w:ilvl="3" w:tplc="42DC854A">
      <w:start w:val="1"/>
      <w:numFmt w:val="decimal"/>
      <w:lvlText w:val="%4."/>
      <w:lvlJc w:val="left"/>
      <w:pPr>
        <w:ind w:left="3240" w:hanging="360"/>
      </w:pPr>
    </w:lvl>
    <w:lvl w:ilvl="4" w:tplc="0256EA38">
      <w:start w:val="1"/>
      <w:numFmt w:val="lowerLetter"/>
      <w:lvlText w:val="%5."/>
      <w:lvlJc w:val="left"/>
      <w:pPr>
        <w:ind w:left="3960" w:hanging="360"/>
      </w:pPr>
    </w:lvl>
    <w:lvl w:ilvl="5" w:tplc="1DF817FA">
      <w:start w:val="1"/>
      <w:numFmt w:val="lowerRoman"/>
      <w:lvlText w:val="%6."/>
      <w:lvlJc w:val="right"/>
      <w:pPr>
        <w:ind w:left="4680" w:hanging="180"/>
      </w:pPr>
    </w:lvl>
    <w:lvl w:ilvl="6" w:tplc="5ABC39FC">
      <w:start w:val="1"/>
      <w:numFmt w:val="decimal"/>
      <w:lvlText w:val="%7."/>
      <w:lvlJc w:val="left"/>
      <w:pPr>
        <w:ind w:left="5400" w:hanging="360"/>
      </w:pPr>
    </w:lvl>
    <w:lvl w:ilvl="7" w:tplc="EF3C5ED8">
      <w:start w:val="1"/>
      <w:numFmt w:val="lowerLetter"/>
      <w:lvlText w:val="%8."/>
      <w:lvlJc w:val="left"/>
      <w:pPr>
        <w:ind w:left="6120" w:hanging="360"/>
      </w:pPr>
    </w:lvl>
    <w:lvl w:ilvl="8" w:tplc="171A9D14">
      <w:start w:val="1"/>
      <w:numFmt w:val="lowerRoman"/>
      <w:lvlText w:val="%9."/>
      <w:lvlJc w:val="right"/>
      <w:pPr>
        <w:ind w:left="6840" w:hanging="180"/>
      </w:pPr>
    </w:lvl>
  </w:abstractNum>
  <w:abstractNum w:abstractNumId="421" w15:restartNumberingAfterBreak="0">
    <w:nsid w:val="7639382F"/>
    <w:multiLevelType w:val="hybridMultilevel"/>
    <w:tmpl w:val="46500030"/>
    <w:lvl w:ilvl="0" w:tplc="6A942A06">
      <w:start w:val="1"/>
      <w:numFmt w:val="lowerLetter"/>
      <w:lvlText w:val="%1)"/>
      <w:lvlJc w:val="left"/>
      <w:pPr>
        <w:ind w:left="1080" w:hanging="360"/>
      </w:pPr>
    </w:lvl>
    <w:lvl w:ilvl="1" w:tplc="7E4EE504">
      <w:start w:val="1"/>
      <w:numFmt w:val="lowerLetter"/>
      <w:lvlText w:val="%2."/>
      <w:lvlJc w:val="left"/>
      <w:pPr>
        <w:ind w:left="1800" w:hanging="360"/>
      </w:pPr>
    </w:lvl>
    <w:lvl w:ilvl="2" w:tplc="5F501214">
      <w:start w:val="1"/>
      <w:numFmt w:val="lowerRoman"/>
      <w:lvlText w:val="%3."/>
      <w:lvlJc w:val="right"/>
      <w:pPr>
        <w:ind w:left="2520" w:hanging="180"/>
      </w:pPr>
    </w:lvl>
    <w:lvl w:ilvl="3" w:tplc="E1C02C44">
      <w:start w:val="1"/>
      <w:numFmt w:val="decimal"/>
      <w:lvlText w:val="%4."/>
      <w:lvlJc w:val="left"/>
      <w:pPr>
        <w:ind w:left="3240" w:hanging="360"/>
      </w:pPr>
    </w:lvl>
    <w:lvl w:ilvl="4" w:tplc="8BEEC3FE">
      <w:start w:val="1"/>
      <w:numFmt w:val="lowerLetter"/>
      <w:lvlText w:val="%5."/>
      <w:lvlJc w:val="left"/>
      <w:pPr>
        <w:ind w:left="3960" w:hanging="360"/>
      </w:pPr>
    </w:lvl>
    <w:lvl w:ilvl="5" w:tplc="6758299A">
      <w:start w:val="1"/>
      <w:numFmt w:val="lowerRoman"/>
      <w:lvlText w:val="%6."/>
      <w:lvlJc w:val="right"/>
      <w:pPr>
        <w:ind w:left="4680" w:hanging="180"/>
      </w:pPr>
    </w:lvl>
    <w:lvl w:ilvl="6" w:tplc="73E8F7D6">
      <w:start w:val="1"/>
      <w:numFmt w:val="decimal"/>
      <w:lvlText w:val="%7."/>
      <w:lvlJc w:val="left"/>
      <w:pPr>
        <w:ind w:left="5400" w:hanging="360"/>
      </w:pPr>
    </w:lvl>
    <w:lvl w:ilvl="7" w:tplc="6010B1E0">
      <w:start w:val="1"/>
      <w:numFmt w:val="lowerLetter"/>
      <w:lvlText w:val="%8."/>
      <w:lvlJc w:val="left"/>
      <w:pPr>
        <w:ind w:left="6120" w:hanging="360"/>
      </w:pPr>
    </w:lvl>
    <w:lvl w:ilvl="8" w:tplc="79FAE56A">
      <w:start w:val="1"/>
      <w:numFmt w:val="lowerRoman"/>
      <w:lvlText w:val="%9."/>
      <w:lvlJc w:val="right"/>
      <w:pPr>
        <w:ind w:left="6840" w:hanging="180"/>
      </w:pPr>
    </w:lvl>
  </w:abstractNum>
  <w:abstractNum w:abstractNumId="422" w15:restartNumberingAfterBreak="0">
    <w:nsid w:val="76433C15"/>
    <w:multiLevelType w:val="hybridMultilevel"/>
    <w:tmpl w:val="D3F85FD6"/>
    <w:lvl w:ilvl="0" w:tplc="D4EE4D3A">
      <w:start w:val="1"/>
      <w:numFmt w:val="decimal"/>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23" w15:restartNumberingAfterBreak="0">
    <w:nsid w:val="76724DAE"/>
    <w:multiLevelType w:val="multilevel"/>
    <w:tmpl w:val="ECCE45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heme="minorHAns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4" w15:restartNumberingAfterBreak="0">
    <w:nsid w:val="76C706DA"/>
    <w:multiLevelType w:val="hybridMultilevel"/>
    <w:tmpl w:val="FC82D4DE"/>
    <w:lvl w:ilvl="0" w:tplc="A0322D94">
      <w:start w:val="1"/>
      <w:numFmt w:val="decimal"/>
      <w:lvlText w:val="%1)"/>
      <w:lvlJc w:val="left"/>
      <w:pPr>
        <w:ind w:left="360" w:hanging="360"/>
      </w:pPr>
      <w:rPr>
        <w:rFonts w:hint="default"/>
      </w:rPr>
    </w:lvl>
    <w:lvl w:ilvl="1" w:tplc="CEA41844">
      <w:start w:val="1"/>
      <w:numFmt w:val="lowerLetter"/>
      <w:lvlText w:val="%2)"/>
      <w:lvlJc w:val="left"/>
      <w:pPr>
        <w:ind w:left="720" w:hanging="360"/>
      </w:pPr>
      <w:rPr>
        <w:rFonts w:hint="default"/>
      </w:rPr>
    </w:lvl>
    <w:lvl w:ilvl="2" w:tplc="4F9478E6">
      <w:start w:val="1"/>
      <w:numFmt w:val="lowerLetter"/>
      <w:lvlText w:val="%3)"/>
      <w:lvlJc w:val="left"/>
      <w:pPr>
        <w:ind w:left="928" w:hanging="360"/>
      </w:pPr>
      <w:rPr>
        <w:rFonts w:ascii="Arial" w:eastAsiaTheme="minorHAnsi" w:hAnsi="Arial" w:cs="Arial" w:hint="default"/>
      </w:rPr>
    </w:lvl>
    <w:lvl w:ilvl="3" w:tplc="0C09001B">
      <w:start w:val="1"/>
      <w:numFmt w:val="lowerRoman"/>
      <w:lvlText w:val="%4."/>
      <w:lvlJc w:val="right"/>
      <w:pPr>
        <w:ind w:left="1440" w:hanging="360"/>
      </w:pPr>
    </w:lvl>
    <w:lvl w:ilvl="4" w:tplc="7EA040E4">
      <w:start w:val="1"/>
      <w:numFmt w:val="lowerLetter"/>
      <w:lvlText w:val="(%5)"/>
      <w:lvlJc w:val="left"/>
      <w:pPr>
        <w:ind w:left="1800" w:hanging="360"/>
      </w:pPr>
      <w:rPr>
        <w:rFonts w:hint="default"/>
      </w:rPr>
    </w:lvl>
    <w:lvl w:ilvl="5" w:tplc="B8646A28">
      <w:start w:val="1"/>
      <w:numFmt w:val="lowerRoman"/>
      <w:lvlText w:val="(%6)"/>
      <w:lvlJc w:val="left"/>
      <w:pPr>
        <w:ind w:left="2160" w:hanging="360"/>
      </w:pPr>
      <w:rPr>
        <w:rFonts w:hint="default"/>
      </w:rPr>
    </w:lvl>
    <w:lvl w:ilvl="6" w:tplc="D6E2468E">
      <w:start w:val="1"/>
      <w:numFmt w:val="decimal"/>
      <w:lvlText w:val="%7."/>
      <w:lvlJc w:val="left"/>
      <w:pPr>
        <w:ind w:left="2520" w:hanging="360"/>
      </w:pPr>
      <w:rPr>
        <w:rFonts w:hint="default"/>
      </w:rPr>
    </w:lvl>
    <w:lvl w:ilvl="7" w:tplc="3578A8C8">
      <w:start w:val="1"/>
      <w:numFmt w:val="lowerLetter"/>
      <w:lvlText w:val="%8."/>
      <w:lvlJc w:val="left"/>
      <w:pPr>
        <w:ind w:left="2880" w:hanging="360"/>
      </w:pPr>
      <w:rPr>
        <w:rFonts w:hint="default"/>
      </w:rPr>
    </w:lvl>
    <w:lvl w:ilvl="8" w:tplc="B1382DD4">
      <w:start w:val="1"/>
      <w:numFmt w:val="lowerRoman"/>
      <w:lvlText w:val="%9."/>
      <w:lvlJc w:val="left"/>
      <w:pPr>
        <w:ind w:left="3240" w:hanging="360"/>
      </w:pPr>
      <w:rPr>
        <w:rFonts w:hint="default"/>
      </w:rPr>
    </w:lvl>
  </w:abstractNum>
  <w:abstractNum w:abstractNumId="425" w15:restartNumberingAfterBreak="0">
    <w:nsid w:val="76F01EB9"/>
    <w:multiLevelType w:val="hybridMultilevel"/>
    <w:tmpl w:val="A8CC37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6" w15:restartNumberingAfterBreak="0">
    <w:nsid w:val="77401531"/>
    <w:multiLevelType w:val="hybridMultilevel"/>
    <w:tmpl w:val="6AE2F526"/>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27" w15:restartNumberingAfterBreak="0">
    <w:nsid w:val="7765227E"/>
    <w:multiLevelType w:val="hybridMultilevel"/>
    <w:tmpl w:val="C1045C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8" w15:restartNumberingAfterBreak="0">
    <w:nsid w:val="77AA0A9A"/>
    <w:multiLevelType w:val="hybridMultilevel"/>
    <w:tmpl w:val="B35694C0"/>
    <w:lvl w:ilvl="0" w:tplc="B7445796">
      <w:start w:val="1"/>
      <w:numFmt w:val="lowerLetter"/>
      <w:lvlText w:val="%1)"/>
      <w:lvlJc w:val="left"/>
      <w:pPr>
        <w:ind w:left="1080" w:hanging="360"/>
      </w:pPr>
    </w:lvl>
    <w:lvl w:ilvl="1" w:tplc="989C1D66">
      <w:start w:val="1"/>
      <w:numFmt w:val="lowerLetter"/>
      <w:lvlText w:val="%2."/>
      <w:lvlJc w:val="left"/>
      <w:pPr>
        <w:ind w:left="1800" w:hanging="360"/>
      </w:pPr>
    </w:lvl>
    <w:lvl w:ilvl="2" w:tplc="49EC4FCE">
      <w:start w:val="1"/>
      <w:numFmt w:val="lowerRoman"/>
      <w:lvlText w:val="%3."/>
      <w:lvlJc w:val="right"/>
      <w:pPr>
        <w:ind w:left="2520" w:hanging="180"/>
      </w:pPr>
    </w:lvl>
    <w:lvl w:ilvl="3" w:tplc="F3DE234C">
      <w:start w:val="1"/>
      <w:numFmt w:val="decimal"/>
      <w:lvlText w:val="%4."/>
      <w:lvlJc w:val="left"/>
      <w:pPr>
        <w:ind w:left="3240" w:hanging="360"/>
      </w:pPr>
    </w:lvl>
    <w:lvl w:ilvl="4" w:tplc="78BC6880">
      <w:start w:val="1"/>
      <w:numFmt w:val="lowerLetter"/>
      <w:lvlText w:val="%5."/>
      <w:lvlJc w:val="left"/>
      <w:pPr>
        <w:ind w:left="3960" w:hanging="360"/>
      </w:pPr>
    </w:lvl>
    <w:lvl w:ilvl="5" w:tplc="6EBA6F44">
      <w:start w:val="1"/>
      <w:numFmt w:val="lowerRoman"/>
      <w:lvlText w:val="%6."/>
      <w:lvlJc w:val="right"/>
      <w:pPr>
        <w:ind w:left="4680" w:hanging="180"/>
      </w:pPr>
    </w:lvl>
    <w:lvl w:ilvl="6" w:tplc="1D62A8F6">
      <w:start w:val="1"/>
      <w:numFmt w:val="decimal"/>
      <w:lvlText w:val="%7."/>
      <w:lvlJc w:val="left"/>
      <w:pPr>
        <w:ind w:left="5400" w:hanging="360"/>
      </w:pPr>
    </w:lvl>
    <w:lvl w:ilvl="7" w:tplc="7C96FA6C">
      <w:start w:val="1"/>
      <w:numFmt w:val="lowerLetter"/>
      <w:lvlText w:val="%8."/>
      <w:lvlJc w:val="left"/>
      <w:pPr>
        <w:ind w:left="6120" w:hanging="360"/>
      </w:pPr>
    </w:lvl>
    <w:lvl w:ilvl="8" w:tplc="B3EE4068">
      <w:start w:val="1"/>
      <w:numFmt w:val="lowerRoman"/>
      <w:lvlText w:val="%9."/>
      <w:lvlJc w:val="right"/>
      <w:pPr>
        <w:ind w:left="6840" w:hanging="180"/>
      </w:pPr>
    </w:lvl>
  </w:abstractNum>
  <w:abstractNum w:abstractNumId="429" w15:restartNumberingAfterBreak="0">
    <w:nsid w:val="78300CBB"/>
    <w:multiLevelType w:val="hybridMultilevel"/>
    <w:tmpl w:val="01C6417E"/>
    <w:lvl w:ilvl="0" w:tplc="03EE32B4">
      <w:start w:val="1"/>
      <w:numFmt w:val="lowerLetter"/>
      <w:lvlText w:val="%1)"/>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0" w15:restartNumberingAfterBreak="0">
    <w:nsid w:val="78800C44"/>
    <w:multiLevelType w:val="hybridMultilevel"/>
    <w:tmpl w:val="2A58E068"/>
    <w:lvl w:ilvl="0" w:tplc="D4EE4D3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1" w15:restartNumberingAfterBreak="0">
    <w:nsid w:val="788B2C15"/>
    <w:multiLevelType w:val="multilevel"/>
    <w:tmpl w:val="EAE86530"/>
    <w:lvl w:ilvl="0">
      <w:start w:val="9"/>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2" w15:restartNumberingAfterBreak="0">
    <w:nsid w:val="78D006E3"/>
    <w:multiLevelType w:val="hybridMultilevel"/>
    <w:tmpl w:val="A3BC0ED8"/>
    <w:lvl w:ilvl="0" w:tplc="0C090017">
      <w:start w:val="1"/>
      <w:numFmt w:val="lowerLetter"/>
      <w:lvlText w:val="%1)"/>
      <w:lvlJc w:val="left"/>
      <w:pPr>
        <w:ind w:left="720" w:hanging="360"/>
      </w:p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3" w15:restartNumberingAfterBreak="0">
    <w:nsid w:val="78D01770"/>
    <w:multiLevelType w:val="hybridMultilevel"/>
    <w:tmpl w:val="0966060A"/>
    <w:lvl w:ilvl="0" w:tplc="0E3A140C">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34" w15:restartNumberingAfterBreak="0">
    <w:nsid w:val="792F6211"/>
    <w:multiLevelType w:val="hybridMultilevel"/>
    <w:tmpl w:val="EDA687AE"/>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35" w15:restartNumberingAfterBreak="0">
    <w:nsid w:val="797E20BC"/>
    <w:multiLevelType w:val="hybridMultilevel"/>
    <w:tmpl w:val="29482FD8"/>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36" w15:restartNumberingAfterBreak="0">
    <w:nsid w:val="79D47E82"/>
    <w:multiLevelType w:val="hybridMultilevel"/>
    <w:tmpl w:val="1B8E6D7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7" w15:restartNumberingAfterBreak="0">
    <w:nsid w:val="7A0E4C7E"/>
    <w:multiLevelType w:val="hybridMultilevel"/>
    <w:tmpl w:val="3B6AC36E"/>
    <w:lvl w:ilvl="0" w:tplc="E9B433D4">
      <w:start w:val="1"/>
      <w:numFmt w:val="decimal"/>
      <w:lvlText w:val="(%1)"/>
      <w:lvlJc w:val="left"/>
      <w:pPr>
        <w:ind w:left="786" w:hanging="360"/>
      </w:pPr>
      <w:rPr>
        <w:rFonts w:hint="default"/>
        <w:b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38" w15:restartNumberingAfterBreak="0">
    <w:nsid w:val="7A4E4F8D"/>
    <w:multiLevelType w:val="hybridMultilevel"/>
    <w:tmpl w:val="D0920A1C"/>
    <w:lvl w:ilvl="0" w:tplc="7814266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9" w15:restartNumberingAfterBreak="0">
    <w:nsid w:val="7A6F527B"/>
    <w:multiLevelType w:val="hybridMultilevel"/>
    <w:tmpl w:val="19B6B168"/>
    <w:lvl w:ilvl="0" w:tplc="CEA4E4F0">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40" w15:restartNumberingAfterBreak="0">
    <w:nsid w:val="7ADC1DCF"/>
    <w:multiLevelType w:val="hybridMultilevel"/>
    <w:tmpl w:val="3E18A80C"/>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41" w15:restartNumberingAfterBreak="0">
    <w:nsid w:val="7B08364B"/>
    <w:multiLevelType w:val="hybridMultilevel"/>
    <w:tmpl w:val="3586C08E"/>
    <w:lvl w:ilvl="0" w:tplc="B396321E">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42" w15:restartNumberingAfterBreak="0">
    <w:nsid w:val="7B1112C7"/>
    <w:multiLevelType w:val="hybridMultilevel"/>
    <w:tmpl w:val="252EB0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3"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4" w15:restartNumberingAfterBreak="0">
    <w:nsid w:val="7C065449"/>
    <w:multiLevelType w:val="hybridMultilevel"/>
    <w:tmpl w:val="6832B50C"/>
    <w:lvl w:ilvl="0" w:tplc="BC267522">
      <w:start w:val="5"/>
      <w:numFmt w:val="bullet"/>
      <w:lvlText w:val=""/>
      <w:lvlJc w:val="left"/>
      <w:pPr>
        <w:ind w:left="720" w:hanging="360"/>
      </w:pPr>
      <w:rPr>
        <w:rFonts w:ascii="Symbol" w:eastAsiaTheme="minorHAnsi" w:hAnsi="Symbol" w:cs="Arial" w:hint="default"/>
      </w:rPr>
    </w:lvl>
    <w:lvl w:ilvl="1" w:tplc="0C090013">
      <w:start w:val="1"/>
      <w:numFmt w:val="upperRoman"/>
      <w:lvlText w:val="%2."/>
      <w:lvlJc w:val="right"/>
      <w:pPr>
        <w:ind w:left="1440" w:hanging="360"/>
      </w:pPr>
      <w:rPr>
        <w:rFonts w:hint="default"/>
      </w:rPr>
    </w:lvl>
    <w:lvl w:ilvl="2" w:tplc="0C090017">
      <w:start w:val="1"/>
      <w:numFmt w:val="lowerLetter"/>
      <w:lvlText w:val="%3)"/>
      <w:lvlJc w:val="left"/>
      <w:pPr>
        <w:ind w:left="2160" w:hanging="360"/>
      </w:pPr>
      <w:rPr>
        <w:rFonts w:hint="default"/>
      </w:rPr>
    </w:lvl>
    <w:lvl w:ilvl="3" w:tplc="BF84DDF4">
      <w:start w:val="2"/>
      <w:numFmt w:val="decimal"/>
      <w:lvlText w:val="%4."/>
      <w:lvlJc w:val="left"/>
      <w:pPr>
        <w:ind w:left="2880" w:hanging="360"/>
      </w:pPr>
      <w:rPr>
        <w:rFonts w:hint="default"/>
      </w:rPr>
    </w:lvl>
    <w:lvl w:ilvl="4" w:tplc="21C4CB8A">
      <w:start w:val="1"/>
      <w:numFmt w:val="lowerLetter"/>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5"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46" w15:restartNumberingAfterBreak="0">
    <w:nsid w:val="7C6E610D"/>
    <w:multiLevelType w:val="hybridMultilevel"/>
    <w:tmpl w:val="0AF82F5C"/>
    <w:lvl w:ilvl="0" w:tplc="1124103C">
      <w:start w:val="1"/>
      <w:numFmt w:val="lowerLetter"/>
      <w:lvlText w:val="%1)"/>
      <w:lvlJc w:val="left"/>
      <w:pPr>
        <w:ind w:left="1080" w:hanging="360"/>
      </w:pPr>
    </w:lvl>
    <w:lvl w:ilvl="1" w:tplc="387A28E8">
      <w:start w:val="1"/>
      <w:numFmt w:val="lowerLetter"/>
      <w:lvlText w:val="%2."/>
      <w:lvlJc w:val="left"/>
      <w:pPr>
        <w:ind w:left="1800" w:hanging="360"/>
      </w:pPr>
    </w:lvl>
    <w:lvl w:ilvl="2" w:tplc="CA048D10">
      <w:start w:val="1"/>
      <w:numFmt w:val="lowerRoman"/>
      <w:lvlText w:val="%3."/>
      <w:lvlJc w:val="right"/>
      <w:pPr>
        <w:ind w:left="2520" w:hanging="180"/>
      </w:pPr>
    </w:lvl>
    <w:lvl w:ilvl="3" w:tplc="109EE82C">
      <w:start w:val="1"/>
      <w:numFmt w:val="decimal"/>
      <w:lvlText w:val="%4."/>
      <w:lvlJc w:val="left"/>
      <w:pPr>
        <w:ind w:left="3240" w:hanging="360"/>
      </w:pPr>
    </w:lvl>
    <w:lvl w:ilvl="4" w:tplc="628C1652">
      <w:start w:val="1"/>
      <w:numFmt w:val="lowerLetter"/>
      <w:lvlText w:val="%5."/>
      <w:lvlJc w:val="left"/>
      <w:pPr>
        <w:ind w:left="3960" w:hanging="360"/>
      </w:pPr>
    </w:lvl>
    <w:lvl w:ilvl="5" w:tplc="C8CA94CC">
      <w:start w:val="1"/>
      <w:numFmt w:val="lowerRoman"/>
      <w:lvlText w:val="%6."/>
      <w:lvlJc w:val="right"/>
      <w:pPr>
        <w:ind w:left="4680" w:hanging="180"/>
      </w:pPr>
    </w:lvl>
    <w:lvl w:ilvl="6" w:tplc="DE6C65A8">
      <w:start w:val="1"/>
      <w:numFmt w:val="decimal"/>
      <w:lvlText w:val="%7."/>
      <w:lvlJc w:val="left"/>
      <w:pPr>
        <w:ind w:left="5400" w:hanging="360"/>
      </w:pPr>
    </w:lvl>
    <w:lvl w:ilvl="7" w:tplc="5210B1B6">
      <w:start w:val="1"/>
      <w:numFmt w:val="lowerLetter"/>
      <w:lvlText w:val="%8."/>
      <w:lvlJc w:val="left"/>
      <w:pPr>
        <w:ind w:left="6120" w:hanging="360"/>
      </w:pPr>
    </w:lvl>
    <w:lvl w:ilvl="8" w:tplc="37E82694">
      <w:start w:val="1"/>
      <w:numFmt w:val="lowerRoman"/>
      <w:lvlText w:val="%9."/>
      <w:lvlJc w:val="right"/>
      <w:pPr>
        <w:ind w:left="6840" w:hanging="180"/>
      </w:pPr>
    </w:lvl>
  </w:abstractNum>
  <w:abstractNum w:abstractNumId="447" w15:restartNumberingAfterBreak="0">
    <w:nsid w:val="7CA93934"/>
    <w:multiLevelType w:val="hybridMultilevel"/>
    <w:tmpl w:val="971A49D0"/>
    <w:lvl w:ilvl="0" w:tplc="2BC46C6C">
      <w:start w:val="1"/>
      <w:numFmt w:val="bullet"/>
      <w:lvlText w:val=""/>
      <w:lvlJc w:val="left"/>
      <w:pPr>
        <w:tabs>
          <w:tab w:val="num" w:pos="720"/>
        </w:tabs>
        <w:ind w:left="720" w:hanging="360"/>
      </w:pPr>
      <w:rPr>
        <w:rFonts w:ascii="Symbol" w:hAnsi="Symbol" w:hint="default"/>
        <w:sz w:val="20"/>
      </w:rPr>
    </w:lvl>
    <w:lvl w:ilvl="1" w:tplc="E6249B88" w:tentative="1">
      <w:start w:val="1"/>
      <w:numFmt w:val="bullet"/>
      <w:lvlText w:val=""/>
      <w:lvlJc w:val="left"/>
      <w:pPr>
        <w:tabs>
          <w:tab w:val="num" w:pos="1440"/>
        </w:tabs>
        <w:ind w:left="1440" w:hanging="360"/>
      </w:pPr>
      <w:rPr>
        <w:rFonts w:ascii="Symbol" w:hAnsi="Symbol" w:hint="default"/>
        <w:sz w:val="20"/>
      </w:rPr>
    </w:lvl>
    <w:lvl w:ilvl="2" w:tplc="38F43ABE" w:tentative="1">
      <w:start w:val="1"/>
      <w:numFmt w:val="bullet"/>
      <w:lvlText w:val=""/>
      <w:lvlJc w:val="left"/>
      <w:pPr>
        <w:tabs>
          <w:tab w:val="num" w:pos="2160"/>
        </w:tabs>
        <w:ind w:left="2160" w:hanging="360"/>
      </w:pPr>
      <w:rPr>
        <w:rFonts w:ascii="Symbol" w:hAnsi="Symbol" w:hint="default"/>
        <w:sz w:val="20"/>
      </w:rPr>
    </w:lvl>
    <w:lvl w:ilvl="3" w:tplc="120255CA" w:tentative="1">
      <w:start w:val="1"/>
      <w:numFmt w:val="bullet"/>
      <w:lvlText w:val=""/>
      <w:lvlJc w:val="left"/>
      <w:pPr>
        <w:tabs>
          <w:tab w:val="num" w:pos="2880"/>
        </w:tabs>
        <w:ind w:left="2880" w:hanging="360"/>
      </w:pPr>
      <w:rPr>
        <w:rFonts w:ascii="Symbol" w:hAnsi="Symbol" w:hint="default"/>
        <w:sz w:val="20"/>
      </w:rPr>
    </w:lvl>
    <w:lvl w:ilvl="4" w:tplc="A896EEB8" w:tentative="1">
      <w:start w:val="1"/>
      <w:numFmt w:val="bullet"/>
      <w:lvlText w:val=""/>
      <w:lvlJc w:val="left"/>
      <w:pPr>
        <w:tabs>
          <w:tab w:val="num" w:pos="3600"/>
        </w:tabs>
        <w:ind w:left="3600" w:hanging="360"/>
      </w:pPr>
      <w:rPr>
        <w:rFonts w:ascii="Symbol" w:hAnsi="Symbol" w:hint="default"/>
        <w:sz w:val="20"/>
      </w:rPr>
    </w:lvl>
    <w:lvl w:ilvl="5" w:tplc="B016BE96" w:tentative="1">
      <w:start w:val="1"/>
      <w:numFmt w:val="bullet"/>
      <w:lvlText w:val=""/>
      <w:lvlJc w:val="left"/>
      <w:pPr>
        <w:tabs>
          <w:tab w:val="num" w:pos="4320"/>
        </w:tabs>
        <w:ind w:left="4320" w:hanging="360"/>
      </w:pPr>
      <w:rPr>
        <w:rFonts w:ascii="Symbol" w:hAnsi="Symbol" w:hint="default"/>
        <w:sz w:val="20"/>
      </w:rPr>
    </w:lvl>
    <w:lvl w:ilvl="6" w:tplc="F24A9AB2" w:tentative="1">
      <w:start w:val="1"/>
      <w:numFmt w:val="bullet"/>
      <w:lvlText w:val=""/>
      <w:lvlJc w:val="left"/>
      <w:pPr>
        <w:tabs>
          <w:tab w:val="num" w:pos="5040"/>
        </w:tabs>
        <w:ind w:left="5040" w:hanging="360"/>
      </w:pPr>
      <w:rPr>
        <w:rFonts w:ascii="Symbol" w:hAnsi="Symbol" w:hint="default"/>
        <w:sz w:val="20"/>
      </w:rPr>
    </w:lvl>
    <w:lvl w:ilvl="7" w:tplc="1AEE5E92" w:tentative="1">
      <w:start w:val="1"/>
      <w:numFmt w:val="bullet"/>
      <w:lvlText w:val=""/>
      <w:lvlJc w:val="left"/>
      <w:pPr>
        <w:tabs>
          <w:tab w:val="num" w:pos="5760"/>
        </w:tabs>
        <w:ind w:left="5760" w:hanging="360"/>
      </w:pPr>
      <w:rPr>
        <w:rFonts w:ascii="Symbol" w:hAnsi="Symbol" w:hint="default"/>
        <w:sz w:val="20"/>
      </w:rPr>
    </w:lvl>
    <w:lvl w:ilvl="8" w:tplc="71369150"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7CDC4486"/>
    <w:multiLevelType w:val="hybridMultilevel"/>
    <w:tmpl w:val="88E2C2B8"/>
    <w:lvl w:ilvl="0" w:tplc="9B768396">
      <w:start w:val="1"/>
      <w:numFmt w:val="lowerLetter"/>
      <w:lvlText w:val="%1)"/>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9" w15:restartNumberingAfterBreak="0">
    <w:nsid w:val="7D5D2714"/>
    <w:multiLevelType w:val="hybridMultilevel"/>
    <w:tmpl w:val="D0920A1C"/>
    <w:lvl w:ilvl="0" w:tplc="7814266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0" w15:restartNumberingAfterBreak="0">
    <w:nsid w:val="7D671A20"/>
    <w:multiLevelType w:val="multilevel"/>
    <w:tmpl w:val="CC6CD478"/>
    <w:lvl w:ilvl="0">
      <w:start w:val="5"/>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1" w15:restartNumberingAfterBreak="0">
    <w:nsid w:val="7D9B770C"/>
    <w:multiLevelType w:val="multilevel"/>
    <w:tmpl w:val="27CE8310"/>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452" w15:restartNumberingAfterBreak="0">
    <w:nsid w:val="7EE1646D"/>
    <w:multiLevelType w:val="hybridMultilevel"/>
    <w:tmpl w:val="8818A5AC"/>
    <w:lvl w:ilvl="0" w:tplc="36328644">
      <w:start w:val="1"/>
      <w:numFmt w:val="decimal"/>
      <w:lvlText w:val="%1."/>
      <w:lvlJc w:val="left"/>
      <w:pPr>
        <w:ind w:left="520" w:hanging="360"/>
      </w:pPr>
      <w:rPr>
        <w:rFonts w:hint="default"/>
      </w:rPr>
    </w:lvl>
    <w:lvl w:ilvl="1" w:tplc="0C090019">
      <w:start w:val="1"/>
      <w:numFmt w:val="lowerLetter"/>
      <w:lvlText w:val="%2."/>
      <w:lvlJc w:val="left"/>
      <w:pPr>
        <w:ind w:left="1240" w:hanging="360"/>
      </w:pPr>
    </w:lvl>
    <w:lvl w:ilvl="2" w:tplc="0C09001B" w:tentative="1">
      <w:start w:val="1"/>
      <w:numFmt w:val="lowerRoman"/>
      <w:lvlText w:val="%3."/>
      <w:lvlJc w:val="right"/>
      <w:pPr>
        <w:ind w:left="1960" w:hanging="180"/>
      </w:pPr>
    </w:lvl>
    <w:lvl w:ilvl="3" w:tplc="0C09000F" w:tentative="1">
      <w:start w:val="1"/>
      <w:numFmt w:val="decimal"/>
      <w:lvlText w:val="%4."/>
      <w:lvlJc w:val="left"/>
      <w:pPr>
        <w:ind w:left="2680" w:hanging="360"/>
      </w:pPr>
    </w:lvl>
    <w:lvl w:ilvl="4" w:tplc="0C090019" w:tentative="1">
      <w:start w:val="1"/>
      <w:numFmt w:val="lowerLetter"/>
      <w:lvlText w:val="%5."/>
      <w:lvlJc w:val="left"/>
      <w:pPr>
        <w:ind w:left="3400" w:hanging="360"/>
      </w:pPr>
    </w:lvl>
    <w:lvl w:ilvl="5" w:tplc="0C09001B" w:tentative="1">
      <w:start w:val="1"/>
      <w:numFmt w:val="lowerRoman"/>
      <w:lvlText w:val="%6."/>
      <w:lvlJc w:val="right"/>
      <w:pPr>
        <w:ind w:left="4120" w:hanging="180"/>
      </w:pPr>
    </w:lvl>
    <w:lvl w:ilvl="6" w:tplc="0C09000F" w:tentative="1">
      <w:start w:val="1"/>
      <w:numFmt w:val="decimal"/>
      <w:lvlText w:val="%7."/>
      <w:lvlJc w:val="left"/>
      <w:pPr>
        <w:ind w:left="4840" w:hanging="360"/>
      </w:pPr>
    </w:lvl>
    <w:lvl w:ilvl="7" w:tplc="0C090019" w:tentative="1">
      <w:start w:val="1"/>
      <w:numFmt w:val="lowerLetter"/>
      <w:lvlText w:val="%8."/>
      <w:lvlJc w:val="left"/>
      <w:pPr>
        <w:ind w:left="5560" w:hanging="360"/>
      </w:pPr>
    </w:lvl>
    <w:lvl w:ilvl="8" w:tplc="0C09001B" w:tentative="1">
      <w:start w:val="1"/>
      <w:numFmt w:val="lowerRoman"/>
      <w:lvlText w:val="%9."/>
      <w:lvlJc w:val="right"/>
      <w:pPr>
        <w:ind w:left="6280" w:hanging="180"/>
      </w:pPr>
    </w:lvl>
  </w:abstractNum>
  <w:abstractNum w:abstractNumId="453" w15:restartNumberingAfterBreak="0">
    <w:nsid w:val="7EEB4334"/>
    <w:multiLevelType w:val="hybridMultilevel"/>
    <w:tmpl w:val="FBFC9042"/>
    <w:lvl w:ilvl="0" w:tplc="D4EE4D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54"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55" w15:restartNumberingAfterBreak="0">
    <w:nsid w:val="7F1C3307"/>
    <w:multiLevelType w:val="hybridMultilevel"/>
    <w:tmpl w:val="9BF8FBA4"/>
    <w:lvl w:ilvl="0" w:tplc="48288992">
      <w:start w:val="1"/>
      <w:numFmt w:val="bullet"/>
      <w:pStyle w:val="BULLETPOIN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6" w15:restartNumberingAfterBreak="0">
    <w:nsid w:val="7F937E97"/>
    <w:multiLevelType w:val="hybridMultilevel"/>
    <w:tmpl w:val="3B6AC36E"/>
    <w:lvl w:ilvl="0" w:tplc="E9B433D4">
      <w:start w:val="1"/>
      <w:numFmt w:val="decimal"/>
      <w:lvlText w:val="(%1)"/>
      <w:lvlJc w:val="left"/>
      <w:pPr>
        <w:ind w:left="786" w:hanging="360"/>
      </w:pPr>
      <w:rPr>
        <w:rFonts w:hint="default"/>
        <w:b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57" w15:restartNumberingAfterBreak="0">
    <w:nsid w:val="7FA36052"/>
    <w:multiLevelType w:val="hybridMultilevel"/>
    <w:tmpl w:val="0966060A"/>
    <w:lvl w:ilvl="0" w:tplc="0E3A140C">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58" w15:restartNumberingAfterBreak="0">
    <w:nsid w:val="7FCF7B07"/>
    <w:multiLevelType w:val="multilevel"/>
    <w:tmpl w:val="83048F9E"/>
    <w:lvl w:ilvl="0">
      <w:start w:val="1"/>
      <w:numFmt w:val="decimal"/>
      <w:lvlText w:val="%1."/>
      <w:lvlJc w:val="left"/>
      <w:pPr>
        <w:ind w:left="567" w:hanging="567"/>
      </w:pPr>
      <w:rPr>
        <w:rFonts w:ascii="Calibri" w:hAnsi="Calibri" w:cs="Times New Roman" w:hint="default"/>
        <w:b/>
        <w:i w:val="0"/>
        <w:caps/>
        <w:smallCaps w:val="0"/>
        <w:sz w:val="24"/>
      </w:rPr>
    </w:lvl>
    <w:lvl w:ilvl="1">
      <w:start w:val="1"/>
      <w:numFmt w:val="decimal"/>
      <w:lvlText w:val="%1.%2"/>
      <w:lvlJc w:val="left"/>
      <w:pPr>
        <w:ind w:left="1134" w:hanging="567"/>
      </w:pPr>
      <w:rPr>
        <w:rFonts w:ascii="Calibri" w:hAnsi="Calibri" w:cs="Times New Roman" w:hint="default"/>
        <w:b w:val="0"/>
        <w:i w:val="0"/>
        <w:sz w:val="24"/>
      </w:rPr>
    </w:lvl>
    <w:lvl w:ilvl="2">
      <w:start w:val="1"/>
      <w:numFmt w:val="lowerLetter"/>
      <w:lvlText w:val="%3)"/>
      <w:lvlJc w:val="left"/>
      <w:pPr>
        <w:ind w:left="1701" w:hanging="567"/>
      </w:pPr>
      <w:rPr>
        <w:rFonts w:hint="default"/>
        <w:b w:val="0"/>
        <w:i w:val="0"/>
        <w:sz w:val="17"/>
        <w:szCs w:val="17"/>
      </w:rPr>
    </w:lvl>
    <w:lvl w:ilvl="3">
      <w:start w:val="1"/>
      <w:numFmt w:val="lowerRoman"/>
      <w:lvlText w:val="(%4)"/>
      <w:lvlJc w:val="left"/>
      <w:pPr>
        <w:ind w:left="2268" w:hanging="567"/>
      </w:pPr>
      <w:rPr>
        <w:rFonts w:ascii="Calibri" w:hAnsi="Calibri" w:cs="Times New Roman" w:hint="default"/>
        <w:b w:val="0"/>
        <w:i w:val="0"/>
        <w:sz w:val="24"/>
      </w:r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num w:numId="1">
    <w:abstractNumId w:val="358"/>
  </w:num>
  <w:num w:numId="2">
    <w:abstractNumId w:val="445"/>
  </w:num>
  <w:num w:numId="3">
    <w:abstractNumId w:val="351"/>
  </w:num>
  <w:num w:numId="4">
    <w:abstractNumId w:val="291"/>
  </w:num>
  <w:num w:numId="5">
    <w:abstractNumId w:val="6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21"/>
  </w:num>
  <w:num w:numId="17">
    <w:abstractNumId w:val="337"/>
  </w:num>
  <w:num w:numId="18">
    <w:abstractNumId w:val="89"/>
  </w:num>
  <w:num w:numId="19">
    <w:abstractNumId w:val="163"/>
  </w:num>
  <w:num w:numId="20">
    <w:abstractNumId w:val="78"/>
  </w:num>
  <w:num w:numId="21">
    <w:abstractNumId w:val="454"/>
  </w:num>
  <w:num w:numId="22">
    <w:abstractNumId w:val="226"/>
  </w:num>
  <w:num w:numId="23">
    <w:abstractNumId w:val="180"/>
  </w:num>
  <w:num w:numId="24">
    <w:abstractNumId w:val="417"/>
  </w:num>
  <w:num w:numId="25">
    <w:abstractNumId w:val="215"/>
  </w:num>
  <w:num w:numId="26">
    <w:abstractNumId w:val="20"/>
    <w:lvlOverride w:ilvl="0">
      <w:lvl w:ilvl="0">
        <w:start w:val="1"/>
        <w:numFmt w:val="decimal"/>
        <w:lvlText w:val="%1."/>
        <w:lvlJc w:val="left"/>
        <w:pPr>
          <w:ind w:left="567" w:hanging="567"/>
        </w:pPr>
        <w:rPr>
          <w:rFonts w:ascii="Times New Roman" w:hAnsi="Times New Roman" w:cs="Times New Roman" w:hint="default"/>
          <w:b/>
          <w:i w:val="0"/>
          <w:caps/>
          <w:smallCaps w:val="0"/>
          <w:sz w:val="17"/>
          <w:szCs w:val="17"/>
        </w:rPr>
      </w:lvl>
    </w:lvlOverride>
    <w:lvlOverride w:ilvl="1">
      <w:lvl w:ilvl="1">
        <w:start w:val="1"/>
        <w:numFmt w:val="decimal"/>
        <w:pStyle w:val="Stylelevel2BodyCalibri12ptBefore0ptAfter0pt"/>
        <w:lvlText w:val="%1.%2"/>
        <w:lvlJc w:val="left"/>
        <w:pPr>
          <w:ind w:left="1134" w:hanging="567"/>
        </w:pPr>
        <w:rPr>
          <w:rFonts w:ascii="Times New Roman" w:hAnsi="Times New Roman" w:cs="Times New Roman" w:hint="default"/>
          <w:b w:val="0"/>
          <w:i w:val="0"/>
          <w:sz w:val="17"/>
          <w:szCs w:val="17"/>
        </w:rPr>
      </w:lvl>
    </w:lvlOverride>
    <w:lvlOverride w:ilvl="2">
      <w:lvl w:ilvl="2">
        <w:start w:val="1"/>
        <w:numFmt w:val="decimal"/>
        <w:pStyle w:val="Stylelevel3BodyCalibri12ptBefore0ptAfter0pt"/>
        <w:lvlText w:val="(%3)"/>
        <w:lvlJc w:val="left"/>
        <w:pPr>
          <w:ind w:left="1701" w:hanging="567"/>
        </w:pPr>
        <w:rPr>
          <w:rFonts w:ascii="Times New Roman" w:hAnsi="Times New Roman" w:cs="Times New Roman" w:hint="default"/>
          <w:b w:val="0"/>
          <w:i w:val="0"/>
          <w:sz w:val="17"/>
          <w:szCs w:val="17"/>
        </w:rPr>
      </w:lvl>
    </w:lvlOverride>
    <w:lvlOverride w:ilvl="3">
      <w:lvl w:ilvl="3">
        <w:start w:val="1"/>
        <w:numFmt w:val="decimal"/>
        <w:lvlText w:val="(%4)"/>
        <w:lvlJc w:val="left"/>
        <w:pPr>
          <w:ind w:left="2268" w:hanging="567"/>
        </w:pPr>
        <w:rPr>
          <w:rFonts w:ascii="Times New Roman" w:hAnsi="Times New Roman" w:cs="Times New Roman" w:hint="default"/>
          <w:b w:val="0"/>
          <w:i w:val="0"/>
          <w:sz w:val="17"/>
          <w:szCs w:val="17"/>
        </w:rPr>
      </w:lvl>
    </w:lvlOverride>
    <w:lvlOverride w:ilvl="4">
      <w:lvl w:ilvl="4">
        <w:start w:val="1"/>
        <w:numFmt w:val="decimal"/>
        <w:lvlText w:val="(%5)"/>
        <w:lvlJc w:val="left"/>
        <w:pPr>
          <w:ind w:left="2835" w:hanging="567"/>
        </w:pPr>
      </w:lvl>
    </w:lvlOverride>
    <w:lvlOverride w:ilvl="5">
      <w:lvl w:ilvl="5">
        <w:start w:val="1"/>
        <w:numFmt w:val="decimal"/>
        <w:lvlText w:val="(%6)"/>
        <w:lvlJc w:val="left"/>
        <w:pPr>
          <w:ind w:left="3402" w:hanging="567"/>
        </w:pPr>
      </w:lvl>
    </w:lvlOverride>
    <w:lvlOverride w:ilvl="6">
      <w:lvl w:ilvl="6">
        <w:start w:val="1"/>
        <w:numFmt w:val="decimal"/>
        <w:lvlText w:val="%7."/>
        <w:lvlJc w:val="left"/>
        <w:pPr>
          <w:ind w:left="3969" w:hanging="567"/>
        </w:pPr>
      </w:lvl>
    </w:lvlOverride>
    <w:lvlOverride w:ilvl="7">
      <w:lvl w:ilvl="7">
        <w:start w:val="1"/>
        <w:numFmt w:val="decimal"/>
        <w:lvlText w:val="%8."/>
        <w:lvlJc w:val="left"/>
        <w:pPr>
          <w:ind w:left="4536" w:hanging="567"/>
        </w:pPr>
      </w:lvl>
    </w:lvlOverride>
    <w:lvlOverride w:ilvl="8">
      <w:lvl w:ilvl="8">
        <w:start w:val="1"/>
        <w:numFmt w:val="decimal"/>
        <w:lvlText w:val="%9."/>
        <w:lvlJc w:val="left"/>
        <w:pPr>
          <w:ind w:left="5103" w:hanging="567"/>
        </w:pPr>
      </w:lvl>
    </w:lvlOverride>
  </w:num>
  <w:num w:numId="27">
    <w:abstractNumId w:val="407"/>
  </w:num>
  <w:num w:numId="28">
    <w:abstractNumId w:val="34"/>
  </w:num>
  <w:num w:numId="29">
    <w:abstractNumId w:val="451"/>
  </w:num>
  <w:num w:numId="30">
    <w:abstractNumId w:val="266"/>
  </w:num>
  <w:num w:numId="31">
    <w:abstractNumId w:val="386"/>
  </w:num>
  <w:num w:numId="32">
    <w:abstractNumId w:val="33"/>
  </w:num>
  <w:num w:numId="33">
    <w:abstractNumId w:val="116"/>
  </w:num>
  <w:num w:numId="34">
    <w:abstractNumId w:val="117"/>
  </w:num>
  <w:num w:numId="35">
    <w:abstractNumId w:val="396"/>
  </w:num>
  <w:num w:numId="36">
    <w:abstractNumId w:val="104"/>
  </w:num>
  <w:num w:numId="37">
    <w:abstractNumId w:val="214"/>
  </w:num>
  <w:num w:numId="38">
    <w:abstractNumId w:val="127"/>
  </w:num>
  <w:num w:numId="39">
    <w:abstractNumId w:val="414"/>
  </w:num>
  <w:num w:numId="40">
    <w:abstractNumId w:val="335"/>
  </w:num>
  <w:num w:numId="41">
    <w:abstractNumId w:val="59"/>
  </w:num>
  <w:num w:numId="42">
    <w:abstractNumId w:val="68"/>
  </w:num>
  <w:num w:numId="43">
    <w:abstractNumId w:val="367"/>
  </w:num>
  <w:num w:numId="44">
    <w:abstractNumId w:val="27"/>
  </w:num>
  <w:num w:numId="45">
    <w:abstractNumId w:val="404"/>
  </w:num>
  <w:num w:numId="46">
    <w:abstractNumId w:val="341"/>
  </w:num>
  <w:num w:numId="47">
    <w:abstractNumId w:val="263"/>
  </w:num>
  <w:num w:numId="48">
    <w:abstractNumId w:val="88"/>
  </w:num>
  <w:num w:numId="49">
    <w:abstractNumId w:val="124"/>
  </w:num>
  <w:num w:numId="50">
    <w:abstractNumId w:val="324"/>
  </w:num>
  <w:num w:numId="51">
    <w:abstractNumId w:val="114"/>
  </w:num>
  <w:num w:numId="52">
    <w:abstractNumId w:val="413"/>
  </w:num>
  <w:num w:numId="53">
    <w:abstractNumId w:val="73"/>
  </w:num>
  <w:num w:numId="54">
    <w:abstractNumId w:val="364"/>
  </w:num>
  <w:num w:numId="55">
    <w:abstractNumId w:val="98"/>
  </w:num>
  <w:num w:numId="56">
    <w:abstractNumId w:val="235"/>
  </w:num>
  <w:num w:numId="57">
    <w:abstractNumId w:val="277"/>
  </w:num>
  <w:num w:numId="58">
    <w:abstractNumId w:val="193"/>
  </w:num>
  <w:num w:numId="59">
    <w:abstractNumId w:val="284"/>
  </w:num>
  <w:num w:numId="60">
    <w:abstractNumId w:val="372"/>
  </w:num>
  <w:num w:numId="61">
    <w:abstractNumId w:val="10"/>
  </w:num>
  <w:num w:numId="62">
    <w:abstractNumId w:val="76"/>
  </w:num>
  <w:num w:numId="63">
    <w:abstractNumId w:val="332"/>
  </w:num>
  <w:num w:numId="64">
    <w:abstractNumId w:val="204"/>
  </w:num>
  <w:num w:numId="65">
    <w:abstractNumId w:val="258"/>
  </w:num>
  <w:num w:numId="66">
    <w:abstractNumId w:val="254"/>
  </w:num>
  <w:num w:numId="67">
    <w:abstractNumId w:val="458"/>
  </w:num>
  <w:num w:numId="68">
    <w:abstractNumId w:val="130"/>
  </w:num>
  <w:num w:numId="69">
    <w:abstractNumId w:val="388"/>
  </w:num>
  <w:num w:numId="70">
    <w:abstractNumId w:val="274"/>
  </w:num>
  <w:num w:numId="71">
    <w:abstractNumId w:val="47"/>
  </w:num>
  <w:num w:numId="72">
    <w:abstractNumId w:val="41"/>
    <w:lvlOverride w:ilvl="0">
      <w:startOverride w:val="1"/>
    </w:lvlOverride>
  </w:num>
  <w:num w:numId="73">
    <w:abstractNumId w:val="45"/>
  </w:num>
  <w:num w:numId="74">
    <w:abstractNumId w:val="41"/>
  </w:num>
  <w:num w:numId="75">
    <w:abstractNumId w:val="151"/>
  </w:num>
  <w:num w:numId="76">
    <w:abstractNumId w:val="282"/>
  </w:num>
  <w:num w:numId="77">
    <w:abstractNumId w:val="140"/>
  </w:num>
  <w:num w:numId="78">
    <w:abstractNumId w:val="123"/>
  </w:num>
  <w:num w:numId="79">
    <w:abstractNumId w:val="144"/>
  </w:num>
  <w:num w:numId="80">
    <w:abstractNumId w:val="143"/>
  </w:num>
  <w:num w:numId="81">
    <w:abstractNumId w:val="436"/>
  </w:num>
  <w:num w:numId="82">
    <w:abstractNumId w:val="363"/>
  </w:num>
  <w:num w:numId="83">
    <w:abstractNumId w:val="240"/>
  </w:num>
  <w:num w:numId="84">
    <w:abstractNumId w:val="336"/>
  </w:num>
  <w:num w:numId="85">
    <w:abstractNumId w:val="238"/>
  </w:num>
  <w:num w:numId="86">
    <w:abstractNumId w:val="169"/>
  </w:num>
  <w:num w:numId="87">
    <w:abstractNumId w:val="238"/>
  </w:num>
  <w:num w:numId="88">
    <w:abstractNumId w:val="238"/>
    <w:lvlOverride w:ilvl="0">
      <w:startOverride w:val="1"/>
    </w:lvlOverride>
  </w:num>
  <w:num w:numId="89">
    <w:abstractNumId w:val="238"/>
    <w:lvlOverride w:ilvl="0">
      <w:startOverride w:val="1"/>
    </w:lvlOverride>
  </w:num>
  <w:num w:numId="90">
    <w:abstractNumId w:val="36"/>
  </w:num>
  <w:num w:numId="91">
    <w:abstractNumId w:val="238"/>
    <w:lvlOverride w:ilvl="0">
      <w:startOverride w:val="1"/>
    </w:lvlOverride>
  </w:num>
  <w:num w:numId="92">
    <w:abstractNumId w:val="238"/>
    <w:lvlOverride w:ilvl="0">
      <w:startOverride w:val="1"/>
    </w:lvlOverride>
  </w:num>
  <w:num w:numId="93">
    <w:abstractNumId w:val="238"/>
    <w:lvlOverride w:ilvl="0">
      <w:startOverride w:val="1"/>
    </w:lvlOverride>
  </w:num>
  <w:num w:numId="94">
    <w:abstractNumId w:val="111"/>
  </w:num>
  <w:num w:numId="95">
    <w:abstractNumId w:val="178"/>
  </w:num>
  <w:num w:numId="96">
    <w:abstractNumId w:val="29"/>
  </w:num>
  <w:num w:numId="97">
    <w:abstractNumId w:val="197"/>
  </w:num>
  <w:num w:numId="98">
    <w:abstractNumId w:val="385"/>
  </w:num>
  <w:num w:numId="99">
    <w:abstractNumId w:val="53"/>
  </w:num>
  <w:num w:numId="100">
    <w:abstractNumId w:val="164"/>
  </w:num>
  <w:num w:numId="101">
    <w:abstractNumId w:val="333"/>
  </w:num>
  <w:num w:numId="102">
    <w:abstractNumId w:val="287"/>
  </w:num>
  <w:num w:numId="103">
    <w:abstractNumId w:val="249"/>
  </w:num>
  <w:num w:numId="104">
    <w:abstractNumId w:val="357"/>
  </w:num>
  <w:num w:numId="105">
    <w:abstractNumId w:val="455"/>
  </w:num>
  <w:num w:numId="106">
    <w:abstractNumId w:val="60"/>
  </w:num>
  <w:num w:numId="107">
    <w:abstractNumId w:val="439"/>
  </w:num>
  <w:num w:numId="108">
    <w:abstractNumId w:val="77"/>
  </w:num>
  <w:num w:numId="109">
    <w:abstractNumId w:val="297"/>
  </w:num>
  <w:num w:numId="110">
    <w:abstractNumId w:val="313"/>
  </w:num>
  <w:num w:numId="111">
    <w:abstractNumId w:val="194"/>
  </w:num>
  <w:num w:numId="112">
    <w:abstractNumId w:val="426"/>
  </w:num>
  <w:num w:numId="113">
    <w:abstractNumId w:val="326"/>
  </w:num>
  <w:num w:numId="114">
    <w:abstractNumId w:val="208"/>
  </w:num>
  <w:num w:numId="115">
    <w:abstractNumId w:val="435"/>
  </w:num>
  <w:num w:numId="116">
    <w:abstractNumId w:val="318"/>
  </w:num>
  <w:num w:numId="117">
    <w:abstractNumId w:val="200"/>
  </w:num>
  <w:num w:numId="118">
    <w:abstractNumId w:val="121"/>
  </w:num>
  <w:num w:numId="119">
    <w:abstractNumId w:val="52"/>
  </w:num>
  <w:num w:numId="120">
    <w:abstractNumId w:val="24"/>
  </w:num>
  <w:num w:numId="121">
    <w:abstractNumId w:val="366"/>
  </w:num>
  <w:num w:numId="122">
    <w:abstractNumId w:val="134"/>
  </w:num>
  <w:num w:numId="123">
    <w:abstractNumId w:val="74"/>
  </w:num>
  <w:num w:numId="124">
    <w:abstractNumId w:val="343"/>
  </w:num>
  <w:num w:numId="125">
    <w:abstractNumId w:val="406"/>
  </w:num>
  <w:num w:numId="126">
    <w:abstractNumId w:val="126"/>
  </w:num>
  <w:num w:numId="127">
    <w:abstractNumId w:val="15"/>
  </w:num>
  <w:num w:numId="128">
    <w:abstractNumId w:val="101"/>
  </w:num>
  <w:num w:numId="129">
    <w:abstractNumId w:val="315"/>
  </w:num>
  <w:num w:numId="130">
    <w:abstractNumId w:val="298"/>
  </w:num>
  <w:num w:numId="131">
    <w:abstractNumId w:val="244"/>
  </w:num>
  <w:num w:numId="132">
    <w:abstractNumId w:val="223"/>
  </w:num>
  <w:num w:numId="133">
    <w:abstractNumId w:val="12"/>
  </w:num>
  <w:num w:numId="134">
    <w:abstractNumId w:val="256"/>
  </w:num>
  <w:num w:numId="135">
    <w:abstractNumId w:val="354"/>
  </w:num>
  <w:num w:numId="136">
    <w:abstractNumId w:val="261"/>
  </w:num>
  <w:num w:numId="137">
    <w:abstractNumId w:val="216"/>
  </w:num>
  <w:num w:numId="138">
    <w:abstractNumId w:val="238"/>
    <w:lvlOverride w:ilvl="0">
      <w:startOverride w:val="1"/>
    </w:lvlOverride>
  </w:num>
  <w:num w:numId="139">
    <w:abstractNumId w:val="238"/>
    <w:lvlOverride w:ilvl="0">
      <w:startOverride w:val="1"/>
    </w:lvlOverride>
  </w:num>
  <w:num w:numId="140">
    <w:abstractNumId w:val="245"/>
  </w:num>
  <w:num w:numId="141">
    <w:abstractNumId w:val="69"/>
  </w:num>
  <w:num w:numId="142">
    <w:abstractNumId w:val="198"/>
  </w:num>
  <w:num w:numId="143">
    <w:abstractNumId w:val="97"/>
  </w:num>
  <w:num w:numId="144">
    <w:abstractNumId w:val="62"/>
  </w:num>
  <w:num w:numId="145">
    <w:abstractNumId w:val="57"/>
  </w:num>
  <w:num w:numId="146">
    <w:abstractNumId w:val="138"/>
  </w:num>
  <w:num w:numId="147">
    <w:abstractNumId w:val="279"/>
  </w:num>
  <w:num w:numId="148">
    <w:abstractNumId w:val="457"/>
  </w:num>
  <w:num w:numId="149">
    <w:abstractNumId w:val="433"/>
  </w:num>
  <w:num w:numId="150">
    <w:abstractNumId w:val="136"/>
  </w:num>
  <w:num w:numId="151">
    <w:abstractNumId w:val="350"/>
  </w:num>
  <w:num w:numId="152">
    <w:abstractNumId w:val="65"/>
  </w:num>
  <w:num w:numId="153">
    <w:abstractNumId w:val="191"/>
  </w:num>
  <w:num w:numId="154">
    <w:abstractNumId w:val="308"/>
  </w:num>
  <w:num w:numId="155">
    <w:abstractNumId w:val="205"/>
  </w:num>
  <w:num w:numId="156">
    <w:abstractNumId w:val="278"/>
  </w:num>
  <w:num w:numId="157">
    <w:abstractNumId w:val="125"/>
  </w:num>
  <w:num w:numId="158">
    <w:abstractNumId w:val="131"/>
  </w:num>
  <w:num w:numId="159">
    <w:abstractNumId w:val="437"/>
  </w:num>
  <w:num w:numId="160">
    <w:abstractNumId w:val="267"/>
  </w:num>
  <w:num w:numId="161">
    <w:abstractNumId w:val="422"/>
  </w:num>
  <w:num w:numId="162">
    <w:abstractNumId w:val="286"/>
  </w:num>
  <w:num w:numId="163">
    <w:abstractNumId w:val="112"/>
  </w:num>
  <w:num w:numId="164">
    <w:abstractNumId w:val="316"/>
  </w:num>
  <w:num w:numId="165">
    <w:abstractNumId w:val="211"/>
  </w:num>
  <w:num w:numId="166">
    <w:abstractNumId w:val="373"/>
  </w:num>
  <w:num w:numId="167">
    <w:abstractNumId w:val="441"/>
  </w:num>
  <w:num w:numId="168">
    <w:abstractNumId w:val="361"/>
  </w:num>
  <w:num w:numId="169">
    <w:abstractNumId w:val="67"/>
  </w:num>
  <w:num w:numId="170">
    <w:abstractNumId w:val="347"/>
  </w:num>
  <w:num w:numId="171">
    <w:abstractNumId w:val="28"/>
  </w:num>
  <w:num w:numId="172">
    <w:abstractNumId w:val="99"/>
  </w:num>
  <w:num w:numId="173">
    <w:abstractNumId w:val="17"/>
  </w:num>
  <w:num w:numId="174">
    <w:abstractNumId w:val="132"/>
  </w:num>
  <w:num w:numId="175">
    <w:abstractNumId w:val="307"/>
  </w:num>
  <w:num w:numId="176">
    <w:abstractNumId w:val="268"/>
  </w:num>
  <w:num w:numId="177">
    <w:abstractNumId w:val="181"/>
  </w:num>
  <w:num w:numId="178">
    <w:abstractNumId w:val="411"/>
  </w:num>
  <w:num w:numId="179">
    <w:abstractNumId w:val="456"/>
  </w:num>
  <w:num w:numId="180">
    <w:abstractNumId w:val="71"/>
  </w:num>
  <w:num w:numId="181">
    <w:abstractNumId w:val="264"/>
  </w:num>
  <w:num w:numId="182">
    <w:abstractNumId w:val="430"/>
  </w:num>
  <w:num w:numId="183">
    <w:abstractNumId w:val="166"/>
  </w:num>
  <w:num w:numId="184">
    <w:abstractNumId w:val="273"/>
  </w:num>
  <w:num w:numId="185">
    <w:abstractNumId w:val="270"/>
  </w:num>
  <w:num w:numId="186">
    <w:abstractNumId w:val="449"/>
  </w:num>
  <w:num w:numId="187">
    <w:abstractNumId w:val="11"/>
  </w:num>
  <w:num w:numId="188">
    <w:abstractNumId w:val="283"/>
  </w:num>
  <w:num w:numId="189">
    <w:abstractNumId w:val="438"/>
  </w:num>
  <w:num w:numId="190">
    <w:abstractNumId w:val="371"/>
  </w:num>
  <w:num w:numId="191">
    <w:abstractNumId w:val="128"/>
  </w:num>
  <w:num w:numId="192">
    <w:abstractNumId w:val="237"/>
  </w:num>
  <w:num w:numId="193">
    <w:abstractNumId w:val="231"/>
  </w:num>
  <w:num w:numId="194">
    <w:abstractNumId w:val="442"/>
  </w:num>
  <w:num w:numId="195">
    <w:abstractNumId w:val="232"/>
  </w:num>
  <w:num w:numId="196">
    <w:abstractNumId w:val="169"/>
    <w:lvlOverride w:ilvl="0">
      <w:startOverride w:val="1"/>
    </w:lvlOverride>
  </w:num>
  <w:num w:numId="197">
    <w:abstractNumId w:val="360"/>
  </w:num>
  <w:num w:numId="198">
    <w:abstractNumId w:val="109"/>
  </w:num>
  <w:num w:numId="199">
    <w:abstractNumId w:val="408"/>
  </w:num>
  <w:num w:numId="200">
    <w:abstractNumId w:val="202"/>
  </w:num>
  <w:num w:numId="201">
    <w:abstractNumId w:val="440"/>
  </w:num>
  <w:num w:numId="202">
    <w:abstractNumId w:val="129"/>
  </w:num>
  <w:num w:numId="203">
    <w:abstractNumId w:val="288"/>
  </w:num>
  <w:num w:numId="204">
    <w:abstractNumId w:val="224"/>
  </w:num>
  <w:num w:numId="205">
    <w:abstractNumId w:val="230"/>
  </w:num>
  <w:num w:numId="206">
    <w:abstractNumId w:val="265"/>
  </w:num>
  <w:num w:numId="207">
    <w:abstractNumId w:val="13"/>
  </w:num>
  <w:num w:numId="208">
    <w:abstractNumId w:val="46"/>
  </w:num>
  <w:num w:numId="209">
    <w:abstractNumId w:val="37"/>
  </w:num>
  <w:num w:numId="210">
    <w:abstractNumId w:val="434"/>
  </w:num>
  <w:num w:numId="211">
    <w:abstractNumId w:val="327"/>
  </w:num>
  <w:num w:numId="212">
    <w:abstractNumId w:val="378"/>
  </w:num>
  <w:num w:numId="213">
    <w:abstractNumId w:val="353"/>
  </w:num>
  <w:num w:numId="214">
    <w:abstractNumId w:val="174"/>
  </w:num>
  <w:num w:numId="215">
    <w:abstractNumId w:val="115"/>
  </w:num>
  <w:num w:numId="216">
    <w:abstractNumId w:val="94"/>
  </w:num>
  <w:num w:numId="217">
    <w:abstractNumId w:val="171"/>
  </w:num>
  <w:num w:numId="218">
    <w:abstractNumId w:val="452"/>
  </w:num>
  <w:num w:numId="219">
    <w:abstractNumId w:val="93"/>
  </w:num>
  <w:num w:numId="220">
    <w:abstractNumId w:val="352"/>
  </w:num>
  <w:num w:numId="221">
    <w:abstractNumId w:val="416"/>
  </w:num>
  <w:num w:numId="222">
    <w:abstractNumId w:val="443"/>
  </w:num>
  <w:num w:numId="223">
    <w:abstractNumId w:val="157"/>
  </w:num>
  <w:num w:numId="224">
    <w:abstractNumId w:val="281"/>
  </w:num>
  <w:num w:numId="225">
    <w:abstractNumId w:val="32"/>
  </w:num>
  <w:num w:numId="226">
    <w:abstractNumId w:val="51"/>
  </w:num>
  <w:num w:numId="227">
    <w:abstractNumId w:val="75"/>
  </w:num>
  <w:num w:numId="228">
    <w:abstractNumId w:val="196"/>
  </w:num>
  <w:num w:numId="229">
    <w:abstractNumId w:val="161"/>
  </w:num>
  <w:num w:numId="230">
    <w:abstractNumId w:val="225"/>
  </w:num>
  <w:num w:numId="231">
    <w:abstractNumId w:val="168"/>
  </w:num>
  <w:num w:numId="232">
    <w:abstractNumId w:val="39"/>
  </w:num>
  <w:num w:numId="233">
    <w:abstractNumId w:val="14"/>
  </w:num>
  <w:num w:numId="234">
    <w:abstractNumId w:val="183"/>
  </w:num>
  <w:num w:numId="235">
    <w:abstractNumId w:val="228"/>
  </w:num>
  <w:num w:numId="236">
    <w:abstractNumId w:val="428"/>
  </w:num>
  <w:num w:numId="237">
    <w:abstractNumId w:val="148"/>
  </w:num>
  <w:num w:numId="238">
    <w:abstractNumId w:val="199"/>
  </w:num>
  <w:num w:numId="239">
    <w:abstractNumId w:val="376"/>
  </w:num>
  <w:num w:numId="240">
    <w:abstractNumId w:val="135"/>
  </w:num>
  <w:num w:numId="241">
    <w:abstractNumId w:val="446"/>
  </w:num>
  <w:num w:numId="242">
    <w:abstractNumId w:val="118"/>
  </w:num>
  <w:num w:numId="243">
    <w:abstractNumId w:val="355"/>
  </w:num>
  <w:num w:numId="244">
    <w:abstractNumId w:val="21"/>
  </w:num>
  <w:num w:numId="245">
    <w:abstractNumId w:val="275"/>
  </w:num>
  <w:num w:numId="246">
    <w:abstractNumId w:val="222"/>
  </w:num>
  <w:num w:numId="247">
    <w:abstractNumId w:val="247"/>
  </w:num>
  <w:num w:numId="248">
    <w:abstractNumId w:val="370"/>
  </w:num>
  <w:num w:numId="249">
    <w:abstractNumId w:val="139"/>
  </w:num>
  <w:num w:numId="250">
    <w:abstractNumId w:val="209"/>
  </w:num>
  <w:num w:numId="251">
    <w:abstractNumId w:val="63"/>
  </w:num>
  <w:num w:numId="252">
    <w:abstractNumId w:val="329"/>
  </w:num>
  <w:num w:numId="253">
    <w:abstractNumId w:val="227"/>
  </w:num>
  <w:num w:numId="254">
    <w:abstractNumId w:val="321"/>
  </w:num>
  <w:num w:numId="255">
    <w:abstractNumId w:val="272"/>
  </w:num>
  <w:num w:numId="256">
    <w:abstractNumId w:val="410"/>
  </w:num>
  <w:num w:numId="257">
    <w:abstractNumId w:val="103"/>
  </w:num>
  <w:num w:numId="258">
    <w:abstractNumId w:val="305"/>
  </w:num>
  <w:num w:numId="259">
    <w:abstractNumId w:val="302"/>
  </w:num>
  <w:num w:numId="260">
    <w:abstractNumId w:val="260"/>
  </w:num>
  <w:num w:numId="261">
    <w:abstractNumId w:val="107"/>
  </w:num>
  <w:num w:numId="262">
    <w:abstractNumId w:val="389"/>
  </w:num>
  <w:num w:numId="263">
    <w:abstractNumId w:val="348"/>
  </w:num>
  <w:num w:numId="264">
    <w:abstractNumId w:val="300"/>
  </w:num>
  <w:num w:numId="265">
    <w:abstractNumId w:val="22"/>
  </w:num>
  <w:num w:numId="266">
    <w:abstractNumId w:val="105"/>
  </w:num>
  <w:num w:numId="267">
    <w:abstractNumId w:val="90"/>
  </w:num>
  <w:num w:numId="268">
    <w:abstractNumId w:val="85"/>
  </w:num>
  <w:num w:numId="269">
    <w:abstractNumId w:val="102"/>
  </w:num>
  <w:num w:numId="270">
    <w:abstractNumId w:val="280"/>
  </w:num>
  <w:num w:numId="271">
    <w:abstractNumId w:val="259"/>
  </w:num>
  <w:num w:numId="272">
    <w:abstractNumId w:val="338"/>
  </w:num>
  <w:num w:numId="273">
    <w:abstractNumId w:val="409"/>
  </w:num>
  <w:num w:numId="274">
    <w:abstractNumId w:val="217"/>
  </w:num>
  <w:num w:numId="275">
    <w:abstractNumId w:val="330"/>
  </w:num>
  <w:num w:numId="276">
    <w:abstractNumId w:val="106"/>
  </w:num>
  <w:num w:numId="277">
    <w:abstractNumId w:val="92"/>
  </w:num>
  <w:num w:numId="278">
    <w:abstractNumId w:val="195"/>
  </w:num>
  <w:num w:numId="279">
    <w:abstractNumId w:val="403"/>
  </w:num>
  <w:num w:numId="280">
    <w:abstractNumId w:val="175"/>
  </w:num>
  <w:num w:numId="281">
    <w:abstractNumId w:val="323"/>
  </w:num>
  <w:num w:numId="282">
    <w:abstractNumId w:val="137"/>
  </w:num>
  <w:num w:numId="283">
    <w:abstractNumId w:val="420"/>
  </w:num>
  <w:num w:numId="284">
    <w:abstractNumId w:val="342"/>
  </w:num>
  <w:num w:numId="285">
    <w:abstractNumId w:val="392"/>
  </w:num>
  <w:num w:numId="286">
    <w:abstractNumId w:val="162"/>
  </w:num>
  <w:num w:numId="287">
    <w:abstractNumId w:val="213"/>
  </w:num>
  <w:num w:numId="288">
    <w:abstractNumId w:val="421"/>
  </w:num>
  <w:num w:numId="289">
    <w:abstractNumId w:val="400"/>
  </w:num>
  <w:num w:numId="290">
    <w:abstractNumId w:val="312"/>
  </w:num>
  <w:num w:numId="291">
    <w:abstractNumId w:val="147"/>
  </w:num>
  <w:num w:numId="292">
    <w:abstractNumId w:val="86"/>
  </w:num>
  <w:num w:numId="293">
    <w:abstractNumId w:val="387"/>
  </w:num>
  <w:num w:numId="294">
    <w:abstractNumId w:val="253"/>
  </w:num>
  <w:num w:numId="295">
    <w:abstractNumId w:val="251"/>
  </w:num>
  <w:num w:numId="296">
    <w:abstractNumId w:val="44"/>
  </w:num>
  <w:num w:numId="297">
    <w:abstractNumId w:val="401"/>
  </w:num>
  <w:num w:numId="298">
    <w:abstractNumId w:val="325"/>
  </w:num>
  <w:num w:numId="299">
    <w:abstractNumId w:val="110"/>
  </w:num>
  <w:num w:numId="300">
    <w:abstractNumId w:val="248"/>
  </w:num>
  <w:num w:numId="301">
    <w:abstractNumId w:val="189"/>
  </w:num>
  <w:num w:numId="302">
    <w:abstractNumId w:val="25"/>
  </w:num>
  <w:num w:numId="303">
    <w:abstractNumId w:val="155"/>
  </w:num>
  <w:num w:numId="304">
    <w:abstractNumId w:val="108"/>
  </w:num>
  <w:num w:numId="305">
    <w:abstractNumId w:val="219"/>
  </w:num>
  <w:num w:numId="306">
    <w:abstractNumId w:val="160"/>
  </w:num>
  <w:num w:numId="307">
    <w:abstractNumId w:val="55"/>
  </w:num>
  <w:num w:numId="308">
    <w:abstractNumId w:val="201"/>
  </w:num>
  <w:num w:numId="309">
    <w:abstractNumId w:val="394"/>
  </w:num>
  <w:num w:numId="310">
    <w:abstractNumId w:val="418"/>
  </w:num>
  <w:num w:numId="311">
    <w:abstractNumId w:val="429"/>
  </w:num>
  <w:num w:numId="312">
    <w:abstractNumId w:val="16"/>
  </w:num>
  <w:num w:numId="313">
    <w:abstractNumId w:val="432"/>
  </w:num>
  <w:num w:numId="314">
    <w:abstractNumId w:val="306"/>
  </w:num>
  <w:num w:numId="315">
    <w:abstractNumId w:val="448"/>
  </w:num>
  <w:num w:numId="316">
    <w:abstractNumId w:val="415"/>
  </w:num>
  <w:num w:numId="317">
    <w:abstractNumId w:val="320"/>
  </w:num>
  <w:num w:numId="318">
    <w:abstractNumId w:val="229"/>
  </w:num>
  <w:num w:numId="319">
    <w:abstractNumId w:val="72"/>
  </w:num>
  <w:num w:numId="320">
    <w:abstractNumId w:val="309"/>
  </w:num>
  <w:num w:numId="321">
    <w:abstractNumId w:val="122"/>
  </w:num>
  <w:num w:numId="322">
    <w:abstractNumId w:val="243"/>
  </w:num>
  <w:num w:numId="323">
    <w:abstractNumId w:val="40"/>
  </w:num>
  <w:num w:numId="324">
    <w:abstractNumId w:val="145"/>
  </w:num>
  <w:num w:numId="325">
    <w:abstractNumId w:val="82"/>
  </w:num>
  <w:num w:numId="326">
    <w:abstractNumId w:val="152"/>
  </w:num>
  <w:num w:numId="327">
    <w:abstractNumId w:val="262"/>
  </w:num>
  <w:num w:numId="328">
    <w:abstractNumId w:val="49"/>
  </w:num>
  <w:num w:numId="329">
    <w:abstractNumId w:val="210"/>
  </w:num>
  <w:num w:numId="330">
    <w:abstractNumId w:val="212"/>
  </w:num>
  <w:num w:numId="331">
    <w:abstractNumId w:val="150"/>
  </w:num>
  <w:num w:numId="332">
    <w:abstractNumId w:val="311"/>
  </w:num>
  <w:num w:numId="333">
    <w:abstractNumId w:val="295"/>
  </w:num>
  <w:num w:numId="334">
    <w:abstractNumId w:val="339"/>
  </w:num>
  <w:num w:numId="335">
    <w:abstractNumId w:val="447"/>
  </w:num>
  <w:num w:numId="336">
    <w:abstractNumId w:val="186"/>
  </w:num>
  <w:num w:numId="337">
    <w:abstractNumId w:val="250"/>
  </w:num>
  <w:num w:numId="338">
    <w:abstractNumId w:val="423"/>
  </w:num>
  <w:num w:numId="339">
    <w:abstractNumId w:val="246"/>
  </w:num>
  <w:num w:numId="340">
    <w:abstractNumId w:val="399"/>
  </w:num>
  <w:num w:numId="341">
    <w:abstractNumId w:val="299"/>
  </w:num>
  <w:num w:numId="342">
    <w:abstractNumId w:val="382"/>
  </w:num>
  <w:num w:numId="343">
    <w:abstractNumId w:val="177"/>
  </w:num>
  <w:num w:numId="344">
    <w:abstractNumId w:val="252"/>
  </w:num>
  <w:num w:numId="345">
    <w:abstractNumId w:val="425"/>
  </w:num>
  <w:num w:numId="346">
    <w:abstractNumId w:val="141"/>
  </w:num>
  <w:num w:numId="347">
    <w:abstractNumId w:val="289"/>
  </w:num>
  <w:num w:numId="348">
    <w:abstractNumId w:val="340"/>
  </w:num>
  <w:num w:numId="349">
    <w:abstractNumId w:val="374"/>
  </w:num>
  <w:num w:numId="350">
    <w:abstractNumId w:val="38"/>
  </w:num>
  <w:num w:numId="351">
    <w:abstractNumId w:val="153"/>
  </w:num>
  <w:num w:numId="352">
    <w:abstractNumId w:val="359"/>
  </w:num>
  <w:num w:numId="353">
    <w:abstractNumId w:val="384"/>
  </w:num>
  <w:num w:numId="354">
    <w:abstractNumId w:val="95"/>
  </w:num>
  <w:num w:numId="355">
    <w:abstractNumId w:val="120"/>
  </w:num>
  <w:num w:numId="356">
    <w:abstractNumId w:val="444"/>
  </w:num>
  <w:num w:numId="357">
    <w:abstractNumId w:val="159"/>
  </w:num>
  <w:num w:numId="358">
    <w:abstractNumId w:val="381"/>
  </w:num>
  <w:num w:numId="359">
    <w:abstractNumId w:val="450"/>
  </w:num>
  <w:num w:numId="360">
    <w:abstractNumId w:val="331"/>
  </w:num>
  <w:num w:numId="361">
    <w:abstractNumId w:val="424"/>
  </w:num>
  <w:num w:numId="362">
    <w:abstractNumId w:val="334"/>
  </w:num>
  <w:num w:numId="363">
    <w:abstractNumId w:val="31"/>
  </w:num>
  <w:num w:numId="364">
    <w:abstractNumId w:val="296"/>
  </w:num>
  <w:num w:numId="365">
    <w:abstractNumId w:val="255"/>
  </w:num>
  <w:num w:numId="366">
    <w:abstractNumId w:val="379"/>
  </w:num>
  <w:num w:numId="367">
    <w:abstractNumId w:val="81"/>
  </w:num>
  <w:num w:numId="368">
    <w:abstractNumId w:val="167"/>
  </w:num>
  <w:num w:numId="369">
    <w:abstractNumId w:val="377"/>
  </w:num>
  <w:num w:numId="370">
    <w:abstractNumId w:val="19"/>
  </w:num>
  <w:num w:numId="371">
    <w:abstractNumId w:val="303"/>
  </w:num>
  <w:num w:numId="372">
    <w:abstractNumId w:val="172"/>
  </w:num>
  <w:num w:numId="373">
    <w:abstractNumId w:val="176"/>
  </w:num>
  <w:num w:numId="374">
    <w:abstractNumId w:val="179"/>
  </w:num>
  <w:num w:numId="375">
    <w:abstractNumId w:val="419"/>
  </w:num>
  <w:num w:numId="376">
    <w:abstractNumId w:val="431"/>
  </w:num>
  <w:num w:numId="377">
    <w:abstractNumId w:val="365"/>
  </w:num>
  <w:num w:numId="378">
    <w:abstractNumId w:val="66"/>
  </w:num>
  <w:num w:numId="379">
    <w:abstractNumId w:val="293"/>
  </w:num>
  <w:num w:numId="380">
    <w:abstractNumId w:val="356"/>
  </w:num>
  <w:num w:numId="381">
    <w:abstractNumId w:val="380"/>
  </w:num>
  <w:num w:numId="382">
    <w:abstractNumId w:val="328"/>
  </w:num>
  <w:num w:numId="383">
    <w:abstractNumId w:val="349"/>
  </w:num>
  <w:num w:numId="384">
    <w:abstractNumId w:val="393"/>
  </w:num>
  <w:num w:numId="385">
    <w:abstractNumId w:val="26"/>
  </w:num>
  <w:num w:numId="386">
    <w:abstractNumId w:val="170"/>
  </w:num>
  <w:num w:numId="387">
    <w:abstractNumId w:val="346"/>
  </w:num>
  <w:num w:numId="388">
    <w:abstractNumId w:val="317"/>
  </w:num>
  <w:num w:numId="389">
    <w:abstractNumId w:val="402"/>
  </w:num>
  <w:num w:numId="390">
    <w:abstractNumId w:val="319"/>
  </w:num>
  <w:num w:numId="391">
    <w:abstractNumId w:val="390"/>
  </w:num>
  <w:num w:numId="392">
    <w:abstractNumId w:val="304"/>
  </w:num>
  <w:num w:numId="393">
    <w:abstractNumId w:val="100"/>
  </w:num>
  <w:num w:numId="394">
    <w:abstractNumId w:val="61"/>
  </w:num>
  <w:num w:numId="395">
    <w:abstractNumId w:val="206"/>
  </w:num>
  <w:num w:numId="396">
    <w:abstractNumId w:val="234"/>
  </w:num>
  <w:num w:numId="397">
    <w:abstractNumId w:val="113"/>
  </w:num>
  <w:num w:numId="398">
    <w:abstractNumId w:val="187"/>
  </w:num>
  <w:num w:numId="399">
    <w:abstractNumId w:val="35"/>
  </w:num>
  <w:num w:numId="400">
    <w:abstractNumId w:val="173"/>
  </w:num>
  <w:num w:numId="401">
    <w:abstractNumId w:val="269"/>
  </w:num>
  <w:num w:numId="402">
    <w:abstractNumId w:val="56"/>
  </w:num>
  <w:num w:numId="403">
    <w:abstractNumId w:val="149"/>
  </w:num>
  <w:num w:numId="404">
    <w:abstractNumId w:val="83"/>
  </w:num>
  <w:num w:numId="405">
    <w:abstractNumId w:val="146"/>
  </w:num>
  <w:num w:numId="406">
    <w:abstractNumId w:val="294"/>
  </w:num>
  <w:num w:numId="407">
    <w:abstractNumId w:val="391"/>
  </w:num>
  <w:num w:numId="408">
    <w:abstractNumId w:val="87"/>
  </w:num>
  <w:num w:numId="409">
    <w:abstractNumId w:val="43"/>
  </w:num>
  <w:num w:numId="410">
    <w:abstractNumId w:val="375"/>
  </w:num>
  <w:num w:numId="411">
    <w:abstractNumId w:val="42"/>
  </w:num>
  <w:num w:numId="412">
    <w:abstractNumId w:val="207"/>
  </w:num>
  <w:num w:numId="413">
    <w:abstractNumId w:val="310"/>
  </w:num>
  <w:num w:numId="414">
    <w:abstractNumId w:val="133"/>
  </w:num>
  <w:num w:numId="415">
    <w:abstractNumId w:val="119"/>
  </w:num>
  <w:num w:numId="416">
    <w:abstractNumId w:val="54"/>
  </w:num>
  <w:num w:numId="417">
    <w:abstractNumId w:val="154"/>
  </w:num>
  <w:num w:numId="418">
    <w:abstractNumId w:val="271"/>
  </w:num>
  <w:num w:numId="419">
    <w:abstractNumId w:val="142"/>
  </w:num>
  <w:num w:numId="420">
    <w:abstractNumId w:val="80"/>
  </w:num>
  <w:num w:numId="421">
    <w:abstractNumId w:val="412"/>
  </w:num>
  <w:num w:numId="422">
    <w:abstractNumId w:val="405"/>
  </w:num>
  <w:num w:numId="423">
    <w:abstractNumId w:val="397"/>
  </w:num>
  <w:num w:numId="424">
    <w:abstractNumId w:val="257"/>
  </w:num>
  <w:num w:numId="425">
    <w:abstractNumId w:val="30"/>
  </w:num>
  <w:num w:numId="426">
    <w:abstractNumId w:val="188"/>
  </w:num>
  <w:num w:numId="427">
    <w:abstractNumId w:val="314"/>
  </w:num>
  <w:num w:numId="428">
    <w:abstractNumId w:val="398"/>
  </w:num>
  <w:num w:numId="429">
    <w:abstractNumId w:val="236"/>
  </w:num>
  <w:num w:numId="430">
    <w:abstractNumId w:val="285"/>
  </w:num>
  <w:num w:numId="431">
    <w:abstractNumId w:val="218"/>
  </w:num>
  <w:num w:numId="432">
    <w:abstractNumId w:val="233"/>
  </w:num>
  <w:num w:numId="433">
    <w:abstractNumId w:val="238"/>
    <w:lvlOverride w:ilvl="0">
      <w:startOverride w:val="1"/>
    </w:lvlOverride>
  </w:num>
  <w:num w:numId="434">
    <w:abstractNumId w:val="238"/>
    <w:lvlOverride w:ilvl="0">
      <w:startOverride w:val="1"/>
    </w:lvlOverride>
  </w:num>
  <w:num w:numId="435">
    <w:abstractNumId w:val="238"/>
    <w:lvlOverride w:ilvl="0">
      <w:startOverride w:val="1"/>
    </w:lvlOverride>
  </w:num>
  <w:num w:numId="436">
    <w:abstractNumId w:val="84"/>
  </w:num>
  <w:num w:numId="437">
    <w:abstractNumId w:val="238"/>
    <w:lvlOverride w:ilvl="0">
      <w:startOverride w:val="1"/>
    </w:lvlOverride>
  </w:num>
  <w:num w:numId="438">
    <w:abstractNumId w:val="238"/>
    <w:lvlOverride w:ilvl="0">
      <w:startOverride w:val="1"/>
    </w:lvlOverride>
  </w:num>
  <w:num w:numId="439">
    <w:abstractNumId w:val="238"/>
    <w:lvlOverride w:ilvl="0">
      <w:startOverride w:val="1"/>
    </w:lvlOverride>
  </w:num>
  <w:num w:numId="440">
    <w:abstractNumId w:val="238"/>
    <w:lvlOverride w:ilvl="0">
      <w:startOverride w:val="1"/>
    </w:lvlOverride>
  </w:num>
  <w:num w:numId="441">
    <w:abstractNumId w:val="18"/>
  </w:num>
  <w:num w:numId="442">
    <w:abstractNumId w:val="369"/>
  </w:num>
  <w:num w:numId="443">
    <w:abstractNumId w:val="276"/>
  </w:num>
  <w:num w:numId="444">
    <w:abstractNumId w:val="322"/>
  </w:num>
  <w:num w:numId="445">
    <w:abstractNumId w:val="58"/>
  </w:num>
  <w:num w:numId="446">
    <w:abstractNumId w:val="241"/>
  </w:num>
  <w:num w:numId="447">
    <w:abstractNumId w:val="158"/>
  </w:num>
  <w:num w:numId="448">
    <w:abstractNumId w:val="48"/>
  </w:num>
  <w:num w:numId="449">
    <w:abstractNumId w:val="427"/>
  </w:num>
  <w:num w:numId="450">
    <w:abstractNumId w:val="184"/>
  </w:num>
  <w:num w:numId="451">
    <w:abstractNumId w:val="290"/>
  </w:num>
  <w:num w:numId="452">
    <w:abstractNumId w:val="190"/>
  </w:num>
  <w:num w:numId="453">
    <w:abstractNumId w:val="156"/>
  </w:num>
  <w:num w:numId="454">
    <w:abstractNumId w:val="453"/>
  </w:num>
  <w:num w:numId="455">
    <w:abstractNumId w:val="185"/>
  </w:num>
  <w:num w:numId="456">
    <w:abstractNumId w:val="242"/>
  </w:num>
  <w:num w:numId="457">
    <w:abstractNumId w:val="239"/>
  </w:num>
  <w:num w:numId="458">
    <w:abstractNumId w:val="301"/>
  </w:num>
  <w:num w:numId="459">
    <w:abstractNumId w:val="91"/>
  </w:num>
  <w:num w:numId="460">
    <w:abstractNumId w:val="96"/>
  </w:num>
  <w:num w:numId="461">
    <w:abstractNumId w:val="192"/>
  </w:num>
  <w:num w:numId="462">
    <w:abstractNumId w:val="345"/>
  </w:num>
  <w:num w:numId="463">
    <w:abstractNumId w:val="344"/>
  </w:num>
  <w:num w:numId="464">
    <w:abstractNumId w:val="165"/>
  </w:num>
  <w:num w:numId="465">
    <w:abstractNumId w:val="70"/>
  </w:num>
  <w:num w:numId="466">
    <w:abstractNumId w:val="292"/>
  </w:num>
  <w:num w:numId="467">
    <w:abstractNumId w:val="220"/>
  </w:num>
  <w:num w:numId="468">
    <w:abstractNumId w:val="23"/>
  </w:num>
  <w:num w:numId="469">
    <w:abstractNumId w:val="50"/>
  </w:num>
  <w:num w:numId="470">
    <w:abstractNumId w:val="395"/>
  </w:num>
  <w:num w:numId="471">
    <w:abstractNumId w:val="203"/>
  </w:num>
  <w:num w:numId="472">
    <w:abstractNumId w:val="79"/>
  </w:num>
  <w:num w:numId="473">
    <w:abstractNumId w:val="368"/>
  </w:num>
  <w:num w:numId="474">
    <w:abstractNumId w:val="362"/>
  </w:num>
  <w:num w:numId="475">
    <w:abstractNumId w:val="182"/>
  </w:num>
  <w:num w:numId="476">
    <w:abstractNumId w:val="383"/>
  </w:num>
  <w:num w:numId="477">
    <w:abstractNumId w:val="238"/>
    <w:lvlOverride w:ilvl="0">
      <w:startOverride w:val="1"/>
    </w:lvlOverride>
  </w:num>
  <w:numIdMacAtCleanup w:val="4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64E"/>
    <w:rsid w:val="00004729"/>
    <w:rsid w:val="000100A7"/>
    <w:rsid w:val="00010B55"/>
    <w:rsid w:val="000146C1"/>
    <w:rsid w:val="0002085F"/>
    <w:rsid w:val="00020874"/>
    <w:rsid w:val="00021D11"/>
    <w:rsid w:val="000247F7"/>
    <w:rsid w:val="00024B20"/>
    <w:rsid w:val="00024C56"/>
    <w:rsid w:val="0002537B"/>
    <w:rsid w:val="000257EB"/>
    <w:rsid w:val="0003161E"/>
    <w:rsid w:val="000429BE"/>
    <w:rsid w:val="0004369E"/>
    <w:rsid w:val="000463F8"/>
    <w:rsid w:val="00050A2F"/>
    <w:rsid w:val="000577DB"/>
    <w:rsid w:val="000620AF"/>
    <w:rsid w:val="00063ABC"/>
    <w:rsid w:val="00063D6D"/>
    <w:rsid w:val="00064AAC"/>
    <w:rsid w:val="00070E37"/>
    <w:rsid w:val="000759D5"/>
    <w:rsid w:val="00077609"/>
    <w:rsid w:val="00081074"/>
    <w:rsid w:val="0008545B"/>
    <w:rsid w:val="0008600A"/>
    <w:rsid w:val="000A245F"/>
    <w:rsid w:val="000B0640"/>
    <w:rsid w:val="000B3572"/>
    <w:rsid w:val="000B4922"/>
    <w:rsid w:val="000B7B5F"/>
    <w:rsid w:val="000C5D06"/>
    <w:rsid w:val="000C61B8"/>
    <w:rsid w:val="000D34A3"/>
    <w:rsid w:val="000D44E7"/>
    <w:rsid w:val="000D64E6"/>
    <w:rsid w:val="000E2BA0"/>
    <w:rsid w:val="000E2F18"/>
    <w:rsid w:val="000E45A0"/>
    <w:rsid w:val="000E655C"/>
    <w:rsid w:val="000F0543"/>
    <w:rsid w:val="000F0B45"/>
    <w:rsid w:val="000F2CEA"/>
    <w:rsid w:val="000F3911"/>
    <w:rsid w:val="00104536"/>
    <w:rsid w:val="00111C2E"/>
    <w:rsid w:val="00114EE2"/>
    <w:rsid w:val="001157A3"/>
    <w:rsid w:val="00124474"/>
    <w:rsid w:val="00130B02"/>
    <w:rsid w:val="00132D9A"/>
    <w:rsid w:val="0013574B"/>
    <w:rsid w:val="0014092E"/>
    <w:rsid w:val="00140C58"/>
    <w:rsid w:val="00141952"/>
    <w:rsid w:val="001460F7"/>
    <w:rsid w:val="00147592"/>
    <w:rsid w:val="00147923"/>
    <w:rsid w:val="00153708"/>
    <w:rsid w:val="00153834"/>
    <w:rsid w:val="00154729"/>
    <w:rsid w:val="001572AD"/>
    <w:rsid w:val="001576DB"/>
    <w:rsid w:val="00160CDB"/>
    <w:rsid w:val="00164C3B"/>
    <w:rsid w:val="00170651"/>
    <w:rsid w:val="00173DBA"/>
    <w:rsid w:val="0017447E"/>
    <w:rsid w:val="00180625"/>
    <w:rsid w:val="00184B55"/>
    <w:rsid w:val="00186AD3"/>
    <w:rsid w:val="00186E91"/>
    <w:rsid w:val="0019273F"/>
    <w:rsid w:val="0019539C"/>
    <w:rsid w:val="001966A7"/>
    <w:rsid w:val="00196D44"/>
    <w:rsid w:val="00197528"/>
    <w:rsid w:val="001B3509"/>
    <w:rsid w:val="001B62DE"/>
    <w:rsid w:val="001B7138"/>
    <w:rsid w:val="001C09DA"/>
    <w:rsid w:val="001C78FB"/>
    <w:rsid w:val="001D3B97"/>
    <w:rsid w:val="001D4C9A"/>
    <w:rsid w:val="001D663C"/>
    <w:rsid w:val="001E317B"/>
    <w:rsid w:val="001E751E"/>
    <w:rsid w:val="001F0322"/>
    <w:rsid w:val="001F3243"/>
    <w:rsid w:val="00201E08"/>
    <w:rsid w:val="00204C2A"/>
    <w:rsid w:val="00206166"/>
    <w:rsid w:val="00214B74"/>
    <w:rsid w:val="0021587D"/>
    <w:rsid w:val="0021719E"/>
    <w:rsid w:val="00222805"/>
    <w:rsid w:val="0022642E"/>
    <w:rsid w:val="0023074B"/>
    <w:rsid w:val="00231EAF"/>
    <w:rsid w:val="002320C1"/>
    <w:rsid w:val="00240BF2"/>
    <w:rsid w:val="0025192F"/>
    <w:rsid w:val="002552B2"/>
    <w:rsid w:val="00256DA2"/>
    <w:rsid w:val="00257337"/>
    <w:rsid w:val="00262700"/>
    <w:rsid w:val="0026673E"/>
    <w:rsid w:val="00272A35"/>
    <w:rsid w:val="0027531F"/>
    <w:rsid w:val="00275CB6"/>
    <w:rsid w:val="00293256"/>
    <w:rsid w:val="0029410F"/>
    <w:rsid w:val="002977EE"/>
    <w:rsid w:val="002A24B1"/>
    <w:rsid w:val="002A4530"/>
    <w:rsid w:val="002A6CE5"/>
    <w:rsid w:val="002A6DE4"/>
    <w:rsid w:val="002B2F50"/>
    <w:rsid w:val="002B5B69"/>
    <w:rsid w:val="002C280C"/>
    <w:rsid w:val="002C29E8"/>
    <w:rsid w:val="002C2B7C"/>
    <w:rsid w:val="002C2E97"/>
    <w:rsid w:val="002C4A06"/>
    <w:rsid w:val="002C57CC"/>
    <w:rsid w:val="002D4754"/>
    <w:rsid w:val="002E6ACC"/>
    <w:rsid w:val="002F3937"/>
    <w:rsid w:val="002F50FE"/>
    <w:rsid w:val="0030022F"/>
    <w:rsid w:val="00301AC7"/>
    <w:rsid w:val="00301E5B"/>
    <w:rsid w:val="00313AC1"/>
    <w:rsid w:val="00315D0F"/>
    <w:rsid w:val="003253BE"/>
    <w:rsid w:val="003258B5"/>
    <w:rsid w:val="003343FC"/>
    <w:rsid w:val="0034074D"/>
    <w:rsid w:val="003471CD"/>
    <w:rsid w:val="00347D54"/>
    <w:rsid w:val="00351A85"/>
    <w:rsid w:val="00351ACF"/>
    <w:rsid w:val="00355CE8"/>
    <w:rsid w:val="00356830"/>
    <w:rsid w:val="00362C85"/>
    <w:rsid w:val="00363E3C"/>
    <w:rsid w:val="0036689F"/>
    <w:rsid w:val="003670C9"/>
    <w:rsid w:val="00371B40"/>
    <w:rsid w:val="00372218"/>
    <w:rsid w:val="00372CA3"/>
    <w:rsid w:val="0037326A"/>
    <w:rsid w:val="00381816"/>
    <w:rsid w:val="00382CFF"/>
    <w:rsid w:val="00386A74"/>
    <w:rsid w:val="00387ED4"/>
    <w:rsid w:val="00394729"/>
    <w:rsid w:val="00395519"/>
    <w:rsid w:val="003967FE"/>
    <w:rsid w:val="00396D20"/>
    <w:rsid w:val="003A0231"/>
    <w:rsid w:val="003A0AC9"/>
    <w:rsid w:val="003B4A7B"/>
    <w:rsid w:val="003B5EF1"/>
    <w:rsid w:val="003B664E"/>
    <w:rsid w:val="003C1800"/>
    <w:rsid w:val="003D2332"/>
    <w:rsid w:val="003D6275"/>
    <w:rsid w:val="003D6A2F"/>
    <w:rsid w:val="003E3565"/>
    <w:rsid w:val="003E4DC6"/>
    <w:rsid w:val="003E6384"/>
    <w:rsid w:val="003E70F0"/>
    <w:rsid w:val="003E77A1"/>
    <w:rsid w:val="003F0997"/>
    <w:rsid w:val="003F4067"/>
    <w:rsid w:val="003F6A82"/>
    <w:rsid w:val="00403A5F"/>
    <w:rsid w:val="00404DF3"/>
    <w:rsid w:val="00412942"/>
    <w:rsid w:val="00415C6A"/>
    <w:rsid w:val="00420A51"/>
    <w:rsid w:val="0042134D"/>
    <w:rsid w:val="00421804"/>
    <w:rsid w:val="00422881"/>
    <w:rsid w:val="0042678B"/>
    <w:rsid w:val="00431009"/>
    <w:rsid w:val="0043387B"/>
    <w:rsid w:val="00433BF5"/>
    <w:rsid w:val="00435ECE"/>
    <w:rsid w:val="00450A85"/>
    <w:rsid w:val="0045195E"/>
    <w:rsid w:val="004535E8"/>
    <w:rsid w:val="00454181"/>
    <w:rsid w:val="004660EA"/>
    <w:rsid w:val="00471419"/>
    <w:rsid w:val="00474D54"/>
    <w:rsid w:val="004872C1"/>
    <w:rsid w:val="00491D21"/>
    <w:rsid w:val="004970C3"/>
    <w:rsid w:val="004A16B7"/>
    <w:rsid w:val="004A27C7"/>
    <w:rsid w:val="004A79F0"/>
    <w:rsid w:val="004B1B9B"/>
    <w:rsid w:val="004B32C1"/>
    <w:rsid w:val="004B3DD0"/>
    <w:rsid w:val="004B76DC"/>
    <w:rsid w:val="004C1A9E"/>
    <w:rsid w:val="004C24FC"/>
    <w:rsid w:val="004C2558"/>
    <w:rsid w:val="004C3C8B"/>
    <w:rsid w:val="004C43C7"/>
    <w:rsid w:val="004D295B"/>
    <w:rsid w:val="004D3DE4"/>
    <w:rsid w:val="004D6030"/>
    <w:rsid w:val="004E4088"/>
    <w:rsid w:val="004E545F"/>
    <w:rsid w:val="00503243"/>
    <w:rsid w:val="00505CB3"/>
    <w:rsid w:val="00511463"/>
    <w:rsid w:val="005115D3"/>
    <w:rsid w:val="00513929"/>
    <w:rsid w:val="00516953"/>
    <w:rsid w:val="00520B71"/>
    <w:rsid w:val="005340CC"/>
    <w:rsid w:val="005403C4"/>
    <w:rsid w:val="00540493"/>
    <w:rsid w:val="00541253"/>
    <w:rsid w:val="0054338C"/>
    <w:rsid w:val="00550FC5"/>
    <w:rsid w:val="00551389"/>
    <w:rsid w:val="00552C29"/>
    <w:rsid w:val="005551DA"/>
    <w:rsid w:val="00555C1B"/>
    <w:rsid w:val="00567B3E"/>
    <w:rsid w:val="00570001"/>
    <w:rsid w:val="00571C05"/>
    <w:rsid w:val="0057525E"/>
    <w:rsid w:val="00575614"/>
    <w:rsid w:val="00576D3B"/>
    <w:rsid w:val="005821FE"/>
    <w:rsid w:val="00582BEE"/>
    <w:rsid w:val="00584100"/>
    <w:rsid w:val="00584FFB"/>
    <w:rsid w:val="00591DC1"/>
    <w:rsid w:val="005A3459"/>
    <w:rsid w:val="005A3A1B"/>
    <w:rsid w:val="005B075D"/>
    <w:rsid w:val="005B17A6"/>
    <w:rsid w:val="005B4E55"/>
    <w:rsid w:val="005B69B3"/>
    <w:rsid w:val="005C6C9D"/>
    <w:rsid w:val="005C78B1"/>
    <w:rsid w:val="005D24AC"/>
    <w:rsid w:val="005D36A0"/>
    <w:rsid w:val="005D6CDE"/>
    <w:rsid w:val="005D7850"/>
    <w:rsid w:val="005E019D"/>
    <w:rsid w:val="005E20D2"/>
    <w:rsid w:val="005E2F0F"/>
    <w:rsid w:val="005E40BF"/>
    <w:rsid w:val="005E53D7"/>
    <w:rsid w:val="005E7D95"/>
    <w:rsid w:val="005F039C"/>
    <w:rsid w:val="005F4618"/>
    <w:rsid w:val="005F5395"/>
    <w:rsid w:val="005F63C8"/>
    <w:rsid w:val="005F6C19"/>
    <w:rsid w:val="00602EAC"/>
    <w:rsid w:val="00604E10"/>
    <w:rsid w:val="00611716"/>
    <w:rsid w:val="00612978"/>
    <w:rsid w:val="006167DB"/>
    <w:rsid w:val="006175DA"/>
    <w:rsid w:val="0061764B"/>
    <w:rsid w:val="00617F38"/>
    <w:rsid w:val="00622031"/>
    <w:rsid w:val="00627175"/>
    <w:rsid w:val="006371CB"/>
    <w:rsid w:val="00646E85"/>
    <w:rsid w:val="006572DF"/>
    <w:rsid w:val="00665367"/>
    <w:rsid w:val="00671783"/>
    <w:rsid w:val="0067446C"/>
    <w:rsid w:val="006811DE"/>
    <w:rsid w:val="0068145F"/>
    <w:rsid w:val="00684600"/>
    <w:rsid w:val="00691EA2"/>
    <w:rsid w:val="006934CB"/>
    <w:rsid w:val="00693DF1"/>
    <w:rsid w:val="006A0F5D"/>
    <w:rsid w:val="006A5FD4"/>
    <w:rsid w:val="006B03D7"/>
    <w:rsid w:val="006B14B5"/>
    <w:rsid w:val="006B561D"/>
    <w:rsid w:val="006B5B96"/>
    <w:rsid w:val="006C10DB"/>
    <w:rsid w:val="006C2F10"/>
    <w:rsid w:val="006C410A"/>
    <w:rsid w:val="006C4BD1"/>
    <w:rsid w:val="006D1645"/>
    <w:rsid w:val="006D3A5E"/>
    <w:rsid w:val="006D7ABF"/>
    <w:rsid w:val="006E0C7D"/>
    <w:rsid w:val="006E53EF"/>
    <w:rsid w:val="006E60D6"/>
    <w:rsid w:val="006F00BC"/>
    <w:rsid w:val="006F062C"/>
    <w:rsid w:val="006F2D78"/>
    <w:rsid w:val="006F34FE"/>
    <w:rsid w:val="00703D70"/>
    <w:rsid w:val="00703F8C"/>
    <w:rsid w:val="00710664"/>
    <w:rsid w:val="00720680"/>
    <w:rsid w:val="007215DC"/>
    <w:rsid w:val="007221A4"/>
    <w:rsid w:val="007235E6"/>
    <w:rsid w:val="00731CA5"/>
    <w:rsid w:val="00734685"/>
    <w:rsid w:val="00744301"/>
    <w:rsid w:val="0074587D"/>
    <w:rsid w:val="00745B3A"/>
    <w:rsid w:val="007529D9"/>
    <w:rsid w:val="00765B5A"/>
    <w:rsid w:val="00766830"/>
    <w:rsid w:val="007712EF"/>
    <w:rsid w:val="007739E5"/>
    <w:rsid w:val="00777F88"/>
    <w:rsid w:val="00780536"/>
    <w:rsid w:val="0078162C"/>
    <w:rsid w:val="00781B55"/>
    <w:rsid w:val="00784E44"/>
    <w:rsid w:val="00785E68"/>
    <w:rsid w:val="007874D7"/>
    <w:rsid w:val="007A17F1"/>
    <w:rsid w:val="007A2756"/>
    <w:rsid w:val="007B27B0"/>
    <w:rsid w:val="007B76EF"/>
    <w:rsid w:val="007B7E9F"/>
    <w:rsid w:val="007C302D"/>
    <w:rsid w:val="007C3513"/>
    <w:rsid w:val="007C4A68"/>
    <w:rsid w:val="007D2859"/>
    <w:rsid w:val="007D40A3"/>
    <w:rsid w:val="007E3EE2"/>
    <w:rsid w:val="007E60AA"/>
    <w:rsid w:val="007F2269"/>
    <w:rsid w:val="007F4F28"/>
    <w:rsid w:val="0080019C"/>
    <w:rsid w:val="008008DD"/>
    <w:rsid w:val="00802490"/>
    <w:rsid w:val="00803596"/>
    <w:rsid w:val="008277B1"/>
    <w:rsid w:val="00830DDA"/>
    <w:rsid w:val="00831E93"/>
    <w:rsid w:val="0083451C"/>
    <w:rsid w:val="00841455"/>
    <w:rsid w:val="00842BD5"/>
    <w:rsid w:val="00842E8F"/>
    <w:rsid w:val="00844F71"/>
    <w:rsid w:val="00845735"/>
    <w:rsid w:val="00854962"/>
    <w:rsid w:val="00856E06"/>
    <w:rsid w:val="00862AB8"/>
    <w:rsid w:val="00867EF2"/>
    <w:rsid w:val="0087319A"/>
    <w:rsid w:val="00873673"/>
    <w:rsid w:val="00874044"/>
    <w:rsid w:val="008761CC"/>
    <w:rsid w:val="00882DBF"/>
    <w:rsid w:val="00887816"/>
    <w:rsid w:val="008913E9"/>
    <w:rsid w:val="00892085"/>
    <w:rsid w:val="008A02B1"/>
    <w:rsid w:val="008A1BCF"/>
    <w:rsid w:val="008A5507"/>
    <w:rsid w:val="008A640A"/>
    <w:rsid w:val="008B2753"/>
    <w:rsid w:val="008B3A14"/>
    <w:rsid w:val="008B4625"/>
    <w:rsid w:val="008B5D4A"/>
    <w:rsid w:val="008B5E97"/>
    <w:rsid w:val="008C023E"/>
    <w:rsid w:val="008C099E"/>
    <w:rsid w:val="008D1DD4"/>
    <w:rsid w:val="008D60AF"/>
    <w:rsid w:val="008E1B45"/>
    <w:rsid w:val="008E20DF"/>
    <w:rsid w:val="008E6C69"/>
    <w:rsid w:val="008E6F98"/>
    <w:rsid w:val="008F7C9F"/>
    <w:rsid w:val="0090520A"/>
    <w:rsid w:val="00910FD1"/>
    <w:rsid w:val="00914649"/>
    <w:rsid w:val="00923F19"/>
    <w:rsid w:val="00926798"/>
    <w:rsid w:val="00927C05"/>
    <w:rsid w:val="0093079E"/>
    <w:rsid w:val="0093187F"/>
    <w:rsid w:val="009369DD"/>
    <w:rsid w:val="009473FE"/>
    <w:rsid w:val="00947809"/>
    <w:rsid w:val="00954C30"/>
    <w:rsid w:val="00957219"/>
    <w:rsid w:val="00966330"/>
    <w:rsid w:val="00976085"/>
    <w:rsid w:val="00976F76"/>
    <w:rsid w:val="00977C9F"/>
    <w:rsid w:val="00980028"/>
    <w:rsid w:val="009A605E"/>
    <w:rsid w:val="009A6661"/>
    <w:rsid w:val="009B5180"/>
    <w:rsid w:val="009B5E1A"/>
    <w:rsid w:val="009B6FFD"/>
    <w:rsid w:val="009B7D15"/>
    <w:rsid w:val="009C23A5"/>
    <w:rsid w:val="009C26FD"/>
    <w:rsid w:val="009C30E9"/>
    <w:rsid w:val="009C6259"/>
    <w:rsid w:val="009D26EB"/>
    <w:rsid w:val="009D4294"/>
    <w:rsid w:val="009D586E"/>
    <w:rsid w:val="009E195C"/>
    <w:rsid w:val="009E2997"/>
    <w:rsid w:val="009E4FC9"/>
    <w:rsid w:val="009F15D7"/>
    <w:rsid w:val="009F3252"/>
    <w:rsid w:val="009F7976"/>
    <w:rsid w:val="00A00A77"/>
    <w:rsid w:val="00A0211B"/>
    <w:rsid w:val="00A05D0D"/>
    <w:rsid w:val="00A05E65"/>
    <w:rsid w:val="00A13ED9"/>
    <w:rsid w:val="00A1638B"/>
    <w:rsid w:val="00A16B1E"/>
    <w:rsid w:val="00A2611B"/>
    <w:rsid w:val="00A264B2"/>
    <w:rsid w:val="00A2758A"/>
    <w:rsid w:val="00A31268"/>
    <w:rsid w:val="00A32552"/>
    <w:rsid w:val="00A35C71"/>
    <w:rsid w:val="00A35E44"/>
    <w:rsid w:val="00A42333"/>
    <w:rsid w:val="00A44619"/>
    <w:rsid w:val="00A44FFB"/>
    <w:rsid w:val="00A45952"/>
    <w:rsid w:val="00A53914"/>
    <w:rsid w:val="00A54E7C"/>
    <w:rsid w:val="00A56212"/>
    <w:rsid w:val="00A56345"/>
    <w:rsid w:val="00A57AE4"/>
    <w:rsid w:val="00A6791D"/>
    <w:rsid w:val="00A67EFC"/>
    <w:rsid w:val="00A7103F"/>
    <w:rsid w:val="00A72409"/>
    <w:rsid w:val="00A73B7F"/>
    <w:rsid w:val="00A747D0"/>
    <w:rsid w:val="00A773E8"/>
    <w:rsid w:val="00A865B7"/>
    <w:rsid w:val="00A97608"/>
    <w:rsid w:val="00AA3B32"/>
    <w:rsid w:val="00AB20E5"/>
    <w:rsid w:val="00AC18FD"/>
    <w:rsid w:val="00AC1E63"/>
    <w:rsid w:val="00AC5D21"/>
    <w:rsid w:val="00AD00CD"/>
    <w:rsid w:val="00AD2BC2"/>
    <w:rsid w:val="00AE26C4"/>
    <w:rsid w:val="00AE2B28"/>
    <w:rsid w:val="00AE2F37"/>
    <w:rsid w:val="00AF1717"/>
    <w:rsid w:val="00AF536C"/>
    <w:rsid w:val="00AF5ED7"/>
    <w:rsid w:val="00AF6838"/>
    <w:rsid w:val="00AF68F7"/>
    <w:rsid w:val="00B065B4"/>
    <w:rsid w:val="00B069DE"/>
    <w:rsid w:val="00B06DF4"/>
    <w:rsid w:val="00B07083"/>
    <w:rsid w:val="00B152A8"/>
    <w:rsid w:val="00B207D3"/>
    <w:rsid w:val="00B22E26"/>
    <w:rsid w:val="00B23CE6"/>
    <w:rsid w:val="00B25EE5"/>
    <w:rsid w:val="00B32312"/>
    <w:rsid w:val="00B32FD4"/>
    <w:rsid w:val="00B3584B"/>
    <w:rsid w:val="00B45C87"/>
    <w:rsid w:val="00B45FD2"/>
    <w:rsid w:val="00B50C06"/>
    <w:rsid w:val="00B53F6A"/>
    <w:rsid w:val="00B56C44"/>
    <w:rsid w:val="00B57F0C"/>
    <w:rsid w:val="00B67220"/>
    <w:rsid w:val="00B71C88"/>
    <w:rsid w:val="00B74BA8"/>
    <w:rsid w:val="00B80497"/>
    <w:rsid w:val="00B8243A"/>
    <w:rsid w:val="00B82484"/>
    <w:rsid w:val="00B96303"/>
    <w:rsid w:val="00BB3741"/>
    <w:rsid w:val="00BC4D92"/>
    <w:rsid w:val="00BC51B4"/>
    <w:rsid w:val="00BC5EDC"/>
    <w:rsid w:val="00BD26B1"/>
    <w:rsid w:val="00BD361C"/>
    <w:rsid w:val="00BD6CA4"/>
    <w:rsid w:val="00BE137F"/>
    <w:rsid w:val="00BE1C2C"/>
    <w:rsid w:val="00BE52D2"/>
    <w:rsid w:val="00BE58B6"/>
    <w:rsid w:val="00BE59CC"/>
    <w:rsid w:val="00BE5AE5"/>
    <w:rsid w:val="00BE63AD"/>
    <w:rsid w:val="00BF1895"/>
    <w:rsid w:val="00BF3C56"/>
    <w:rsid w:val="00BF6670"/>
    <w:rsid w:val="00C00001"/>
    <w:rsid w:val="00C007EA"/>
    <w:rsid w:val="00C00E62"/>
    <w:rsid w:val="00C032B2"/>
    <w:rsid w:val="00C17ECC"/>
    <w:rsid w:val="00C20455"/>
    <w:rsid w:val="00C23179"/>
    <w:rsid w:val="00C41613"/>
    <w:rsid w:val="00C53A50"/>
    <w:rsid w:val="00C55498"/>
    <w:rsid w:val="00C60C10"/>
    <w:rsid w:val="00C67086"/>
    <w:rsid w:val="00C71333"/>
    <w:rsid w:val="00C725D9"/>
    <w:rsid w:val="00C861DD"/>
    <w:rsid w:val="00C86779"/>
    <w:rsid w:val="00C907FF"/>
    <w:rsid w:val="00C91BE6"/>
    <w:rsid w:val="00C946FF"/>
    <w:rsid w:val="00C971BF"/>
    <w:rsid w:val="00CA3C3A"/>
    <w:rsid w:val="00CA6F0A"/>
    <w:rsid w:val="00CB4030"/>
    <w:rsid w:val="00CC173B"/>
    <w:rsid w:val="00CC1930"/>
    <w:rsid w:val="00CD14F0"/>
    <w:rsid w:val="00CD34D6"/>
    <w:rsid w:val="00CD460E"/>
    <w:rsid w:val="00CD68F9"/>
    <w:rsid w:val="00CD6F7B"/>
    <w:rsid w:val="00CE1A68"/>
    <w:rsid w:val="00CE2410"/>
    <w:rsid w:val="00CF262F"/>
    <w:rsid w:val="00CF4F5C"/>
    <w:rsid w:val="00D013B4"/>
    <w:rsid w:val="00D0155D"/>
    <w:rsid w:val="00D01B5C"/>
    <w:rsid w:val="00D01E75"/>
    <w:rsid w:val="00D0261B"/>
    <w:rsid w:val="00D0446B"/>
    <w:rsid w:val="00D050F2"/>
    <w:rsid w:val="00D14F34"/>
    <w:rsid w:val="00D15B81"/>
    <w:rsid w:val="00D23AB5"/>
    <w:rsid w:val="00D275AA"/>
    <w:rsid w:val="00D33D06"/>
    <w:rsid w:val="00D35BBC"/>
    <w:rsid w:val="00D3737E"/>
    <w:rsid w:val="00D46034"/>
    <w:rsid w:val="00D5408E"/>
    <w:rsid w:val="00D56992"/>
    <w:rsid w:val="00D746A9"/>
    <w:rsid w:val="00D804E5"/>
    <w:rsid w:val="00D83C2C"/>
    <w:rsid w:val="00D86C43"/>
    <w:rsid w:val="00D8720A"/>
    <w:rsid w:val="00D87DA1"/>
    <w:rsid w:val="00D94098"/>
    <w:rsid w:val="00DA30CF"/>
    <w:rsid w:val="00DA38AF"/>
    <w:rsid w:val="00DA3B77"/>
    <w:rsid w:val="00DA6921"/>
    <w:rsid w:val="00DB5A8F"/>
    <w:rsid w:val="00DC07CC"/>
    <w:rsid w:val="00DC0AF4"/>
    <w:rsid w:val="00DC4CFF"/>
    <w:rsid w:val="00DC4D23"/>
    <w:rsid w:val="00DD5CAA"/>
    <w:rsid w:val="00DE1B10"/>
    <w:rsid w:val="00DE347D"/>
    <w:rsid w:val="00DF0B1B"/>
    <w:rsid w:val="00DF16D7"/>
    <w:rsid w:val="00DF2A3D"/>
    <w:rsid w:val="00DF5295"/>
    <w:rsid w:val="00DF632D"/>
    <w:rsid w:val="00E005FF"/>
    <w:rsid w:val="00E00BAC"/>
    <w:rsid w:val="00E02241"/>
    <w:rsid w:val="00E023EF"/>
    <w:rsid w:val="00E03365"/>
    <w:rsid w:val="00E07085"/>
    <w:rsid w:val="00E10DC6"/>
    <w:rsid w:val="00E11666"/>
    <w:rsid w:val="00E149D6"/>
    <w:rsid w:val="00E21999"/>
    <w:rsid w:val="00E222C6"/>
    <w:rsid w:val="00E27AD7"/>
    <w:rsid w:val="00E27CB5"/>
    <w:rsid w:val="00E304CB"/>
    <w:rsid w:val="00E30D8D"/>
    <w:rsid w:val="00E36C01"/>
    <w:rsid w:val="00E4712A"/>
    <w:rsid w:val="00E5455F"/>
    <w:rsid w:val="00E56F07"/>
    <w:rsid w:val="00E57D4E"/>
    <w:rsid w:val="00E663DF"/>
    <w:rsid w:val="00E673C6"/>
    <w:rsid w:val="00E67D94"/>
    <w:rsid w:val="00E70407"/>
    <w:rsid w:val="00E70CE5"/>
    <w:rsid w:val="00E713FC"/>
    <w:rsid w:val="00E724E4"/>
    <w:rsid w:val="00E74559"/>
    <w:rsid w:val="00E92649"/>
    <w:rsid w:val="00E97FE2"/>
    <w:rsid w:val="00EA0D33"/>
    <w:rsid w:val="00EA25B1"/>
    <w:rsid w:val="00EA25DC"/>
    <w:rsid w:val="00EA34AE"/>
    <w:rsid w:val="00EB0F64"/>
    <w:rsid w:val="00EC2419"/>
    <w:rsid w:val="00ED024C"/>
    <w:rsid w:val="00ED27D9"/>
    <w:rsid w:val="00ED2A74"/>
    <w:rsid w:val="00EE183A"/>
    <w:rsid w:val="00EE2A33"/>
    <w:rsid w:val="00EE2DFC"/>
    <w:rsid w:val="00EE6D8F"/>
    <w:rsid w:val="00EE7338"/>
    <w:rsid w:val="00EE7E91"/>
    <w:rsid w:val="00EF2EDA"/>
    <w:rsid w:val="00EF7BA2"/>
    <w:rsid w:val="00F011AF"/>
    <w:rsid w:val="00F0461F"/>
    <w:rsid w:val="00F12687"/>
    <w:rsid w:val="00F15488"/>
    <w:rsid w:val="00F1662B"/>
    <w:rsid w:val="00F16F9B"/>
    <w:rsid w:val="00F2401F"/>
    <w:rsid w:val="00F24603"/>
    <w:rsid w:val="00F252A5"/>
    <w:rsid w:val="00F252B9"/>
    <w:rsid w:val="00F25F37"/>
    <w:rsid w:val="00F337C8"/>
    <w:rsid w:val="00F34FC4"/>
    <w:rsid w:val="00F36D72"/>
    <w:rsid w:val="00F45A9F"/>
    <w:rsid w:val="00F50686"/>
    <w:rsid w:val="00F579F5"/>
    <w:rsid w:val="00F629F9"/>
    <w:rsid w:val="00F62A09"/>
    <w:rsid w:val="00F6493B"/>
    <w:rsid w:val="00F67CDF"/>
    <w:rsid w:val="00F710B6"/>
    <w:rsid w:val="00F7457C"/>
    <w:rsid w:val="00F75C1D"/>
    <w:rsid w:val="00F76B48"/>
    <w:rsid w:val="00F8244F"/>
    <w:rsid w:val="00F82A18"/>
    <w:rsid w:val="00F8336F"/>
    <w:rsid w:val="00F84DBC"/>
    <w:rsid w:val="00F85BE2"/>
    <w:rsid w:val="00F90CA5"/>
    <w:rsid w:val="00FA01B5"/>
    <w:rsid w:val="00FB374C"/>
    <w:rsid w:val="00FB48A8"/>
    <w:rsid w:val="00FB5F67"/>
    <w:rsid w:val="00FC683A"/>
    <w:rsid w:val="00FD45E4"/>
    <w:rsid w:val="00FE049E"/>
    <w:rsid w:val="00FE19A6"/>
    <w:rsid w:val="00FE2C90"/>
    <w:rsid w:val="00FE3648"/>
    <w:rsid w:val="00FE60C0"/>
    <w:rsid w:val="00FF3538"/>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C73C8675-298A-4697-A197-3FFEB3404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uiPriority w:val="9"/>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iPriority w:val="9"/>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uiPriority w:val="9"/>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uiPriority w:val="9"/>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uiPriority w:val="20"/>
    <w:qFormat/>
    <w:rsid w:val="0074587D"/>
    <w:rPr>
      <w:b/>
      <w:bCs/>
      <w:i/>
      <w:iCs/>
      <w:spacing w:val="10"/>
      <w:bdr w:val="none" w:sz="0" w:space="0" w:color="auto"/>
      <w:shd w:val="clear" w:color="auto" w:fill="auto"/>
    </w:rPr>
  </w:style>
  <w:style w:type="paragraph" w:styleId="ListParagraph">
    <w:name w:val="List Paragraph"/>
    <w:aliases w:val="Recommendation,List Paragraph1,Use Case List Paragraph,standard lewis,CDHP List Paragraph,List Paragraph11,L,Bullet point"/>
    <w:basedOn w:val="Normal"/>
    <w:link w:val="ListParagraphChar"/>
    <w:uiPriority w:val="34"/>
    <w:qFormat/>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iPriority w:val="99"/>
    <w:unhideWhenUsed/>
    <w:rsid w:val="0074587D"/>
    <w:pPr>
      <w:tabs>
        <w:tab w:val="center" w:pos="4513"/>
        <w:tab w:val="right" w:pos="9026"/>
      </w:tabs>
      <w:spacing w:after="0" w:line="240" w:lineRule="auto"/>
    </w:pPr>
  </w:style>
  <w:style w:type="character" w:customStyle="1" w:styleId="HeaderChar">
    <w:name w:val="Header Char"/>
    <w:aliases w:val="Header Odd Char"/>
    <w:link w:val="Header"/>
    <w:uiPriority w:val="99"/>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3"/>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basedOn w:val="GG-body"/>
    <w:link w:val="GG-SignatureChar"/>
    <w:qFormat/>
    <w:rsid w:val="00976085"/>
    <w:pPr>
      <w:spacing w:after="0"/>
      <w:jc w:val="right"/>
    </w:pPr>
  </w:style>
  <w:style w:type="character" w:customStyle="1" w:styleId="GG-SignatureChar">
    <w:name w:val="GG-Signature Char"/>
    <w:link w:val="GG-Signature"/>
    <w:rsid w:val="00976085"/>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3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5"/>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ascii="Times New Roman" w:eastAsia="Times New Roman" w:hAnsi="Times New Roman"/>
      <w:sz w:val="17"/>
      <w:szCs w:val="20"/>
    </w:rPr>
  </w:style>
  <w:style w:type="paragraph" w:styleId="ListBullet2">
    <w:name w:val="List Bullet 2"/>
    <w:basedOn w:val="Normal"/>
    <w:autoRedefine/>
    <w:rsid w:val="002F50FE"/>
    <w:pPr>
      <w:numPr>
        <w:numId w:val="7"/>
      </w:numPr>
    </w:pPr>
    <w:rPr>
      <w:rFonts w:ascii="Times New Roman" w:eastAsia="Times New Roman" w:hAnsi="Times New Roman"/>
      <w:sz w:val="17"/>
      <w:szCs w:val="20"/>
    </w:rPr>
  </w:style>
  <w:style w:type="paragraph" w:styleId="ListBullet3">
    <w:name w:val="List Bullet 3"/>
    <w:basedOn w:val="Normal"/>
    <w:autoRedefine/>
    <w:rsid w:val="002F50FE"/>
    <w:pPr>
      <w:numPr>
        <w:numId w:val="8"/>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9"/>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0"/>
      </w:numPr>
    </w:pPr>
    <w:rPr>
      <w:rFonts w:ascii="Times New Roman" w:eastAsia="Times New Roman" w:hAnsi="Times New Roman"/>
      <w:sz w:val="17"/>
      <w:szCs w:val="20"/>
    </w:rPr>
  </w:style>
  <w:style w:type="paragraph" w:styleId="ListNumber">
    <w:name w:val="List Number"/>
    <w:basedOn w:val="Normal"/>
    <w:rsid w:val="002F50FE"/>
    <w:pPr>
      <w:numPr>
        <w:numId w:val="11"/>
      </w:numPr>
    </w:pPr>
    <w:rPr>
      <w:rFonts w:ascii="Times New Roman" w:eastAsia="Times New Roman" w:hAnsi="Times New Roman"/>
      <w:sz w:val="17"/>
      <w:szCs w:val="20"/>
    </w:rPr>
  </w:style>
  <w:style w:type="paragraph" w:styleId="ListNumber2">
    <w:name w:val="List Number 2"/>
    <w:basedOn w:val="Normal"/>
    <w:rsid w:val="002F50FE"/>
    <w:pPr>
      <w:numPr>
        <w:numId w:val="12"/>
      </w:numPr>
    </w:pPr>
    <w:rPr>
      <w:rFonts w:ascii="Times New Roman" w:eastAsia="Times New Roman" w:hAnsi="Times New Roman"/>
      <w:sz w:val="17"/>
      <w:szCs w:val="20"/>
    </w:rPr>
  </w:style>
  <w:style w:type="paragraph" w:styleId="ListNumber3">
    <w:name w:val="List Number 3"/>
    <w:basedOn w:val="Normal"/>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15"/>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uiPriority w:val="99"/>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uiPriority w:val="99"/>
    <w:rsid w:val="002F50FE"/>
    <w:rPr>
      <w:sz w:val="16"/>
      <w:szCs w:val="16"/>
    </w:rPr>
  </w:style>
  <w:style w:type="paragraph" w:styleId="CommentText">
    <w:name w:val="annotation text"/>
    <w:basedOn w:val="Normal"/>
    <w:link w:val="CommentTextChar"/>
    <w:uiPriority w:val="99"/>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uiPriority w:val="99"/>
    <w:rsid w:val="002F50FE"/>
    <w:rPr>
      <w:b/>
      <w:bCs/>
    </w:rPr>
  </w:style>
  <w:style w:type="character" w:customStyle="1" w:styleId="CommentSubjectChar">
    <w:name w:val="Comment Subject Char"/>
    <w:basedOn w:val="CommentTextChar"/>
    <w:link w:val="CommentSubject"/>
    <w:uiPriority w:val="99"/>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paragraph" w:customStyle="1" w:styleId="Stylelevel2BodyCalibri12ptBefore0ptAfter0pt">
    <w:name w:val="Style level2 + +Body (Calibri) 12 pt Before:  0 pt After:  0 pt..."/>
    <w:basedOn w:val="Normal"/>
    <w:rsid w:val="00313AC1"/>
    <w:pPr>
      <w:numPr>
        <w:ilvl w:val="1"/>
        <w:numId w:val="26"/>
      </w:numPr>
      <w:tabs>
        <w:tab w:val="left" w:pos="567"/>
      </w:tabs>
      <w:spacing w:after="0" w:line="240" w:lineRule="auto"/>
    </w:pPr>
    <w:rPr>
      <w:rFonts w:asciiTheme="minorHAnsi" w:eastAsia="Times New Roman" w:hAnsiTheme="minorHAnsi"/>
      <w:sz w:val="24"/>
      <w:szCs w:val="20"/>
    </w:rPr>
  </w:style>
  <w:style w:type="paragraph" w:customStyle="1" w:styleId="Stylelevel3BodyCalibri12ptBefore0ptAfter0pt">
    <w:name w:val="Style level3 + +Body (Calibri) 12 pt Before:  0 pt After:  0 pt..."/>
    <w:basedOn w:val="Normal"/>
    <w:rsid w:val="00313AC1"/>
    <w:pPr>
      <w:numPr>
        <w:ilvl w:val="2"/>
        <w:numId w:val="26"/>
      </w:numPr>
      <w:tabs>
        <w:tab w:val="num" w:pos="360"/>
      </w:tabs>
      <w:spacing w:after="0" w:line="240" w:lineRule="auto"/>
      <w:ind w:left="1134" w:hanging="709"/>
    </w:pPr>
    <w:rPr>
      <w:rFonts w:asciiTheme="minorHAnsi" w:hAnsiTheme="minorHAnsi"/>
      <w:sz w:val="24"/>
      <w:szCs w:val="20"/>
    </w:rPr>
  </w:style>
  <w:style w:type="numbering" w:customStyle="1" w:styleId="StandardContract">
    <w:name w:val="Standard Contract"/>
    <w:uiPriority w:val="99"/>
    <w:rsid w:val="00313AC1"/>
    <w:pPr>
      <w:numPr>
        <w:numId w:val="25"/>
      </w:numPr>
    </w:pPr>
  </w:style>
  <w:style w:type="paragraph" w:customStyle="1" w:styleId="xl67">
    <w:name w:val="xl67"/>
    <w:basedOn w:val="Normal"/>
    <w:rsid w:val="006572DF"/>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7">
    <w:name w:val="No List7"/>
    <w:next w:val="NoList"/>
    <w:uiPriority w:val="99"/>
    <w:semiHidden/>
    <w:unhideWhenUsed/>
    <w:rsid w:val="00A45952"/>
  </w:style>
  <w:style w:type="paragraph" w:customStyle="1" w:styleId="Code1">
    <w:name w:val="Code 1"/>
    <w:basedOn w:val="Normal"/>
    <w:link w:val="Code1Char"/>
    <w:qFormat/>
    <w:rsid w:val="00A45952"/>
    <w:pPr>
      <w:tabs>
        <w:tab w:val="left" w:pos="284"/>
        <w:tab w:val="left" w:pos="709"/>
      </w:tabs>
      <w:spacing w:after="120" w:line="240" w:lineRule="auto"/>
      <w:jc w:val="left"/>
    </w:pPr>
    <w:rPr>
      <w:rFonts w:ascii="Times New Roman" w:eastAsia="Times New Roman" w:hAnsi="Times New Roman"/>
      <w:sz w:val="17"/>
      <w:szCs w:val="17"/>
      <w:lang w:eastAsia="en-AU" w:bidi="en-US"/>
    </w:rPr>
  </w:style>
  <w:style w:type="paragraph" w:customStyle="1" w:styleId="Codea">
    <w:name w:val="Code (a)"/>
    <w:basedOn w:val="ListParagraph"/>
    <w:link w:val="CodeaChar"/>
    <w:qFormat/>
    <w:rsid w:val="00A45952"/>
    <w:pPr>
      <w:numPr>
        <w:numId w:val="87"/>
      </w:numPr>
      <w:tabs>
        <w:tab w:val="left" w:pos="284"/>
        <w:tab w:val="left" w:pos="709"/>
      </w:tabs>
      <w:spacing w:after="120" w:line="240" w:lineRule="auto"/>
      <w:contextualSpacing w:val="0"/>
      <w:jc w:val="left"/>
    </w:pPr>
    <w:rPr>
      <w:rFonts w:ascii="Times New Roman" w:eastAsia="Times New Roman" w:hAnsi="Times New Roman"/>
      <w:sz w:val="17"/>
      <w:szCs w:val="17"/>
      <w:lang w:bidi="en-US"/>
    </w:rPr>
  </w:style>
  <w:style w:type="character" w:customStyle="1" w:styleId="Code1Char">
    <w:name w:val="Code 1 Char"/>
    <w:basedOn w:val="DefaultParagraphFont"/>
    <w:link w:val="Code1"/>
    <w:rsid w:val="00A45952"/>
    <w:rPr>
      <w:rFonts w:ascii="Times New Roman" w:eastAsia="Times New Roman" w:hAnsi="Times New Roman"/>
      <w:sz w:val="17"/>
      <w:szCs w:val="17"/>
      <w:lang w:bidi="en-US"/>
    </w:rPr>
  </w:style>
  <w:style w:type="paragraph" w:customStyle="1" w:styleId="CodeEnd">
    <w:name w:val="Code End"/>
    <w:basedOn w:val="ListParagraph"/>
    <w:link w:val="CodeEndChar"/>
    <w:qFormat/>
    <w:rsid w:val="00A45952"/>
    <w:pPr>
      <w:numPr>
        <w:numId w:val="86"/>
      </w:numPr>
      <w:tabs>
        <w:tab w:val="left" w:pos="284"/>
        <w:tab w:val="left" w:pos="709"/>
      </w:tabs>
      <w:spacing w:after="240" w:line="240" w:lineRule="auto"/>
      <w:ind w:left="1077" w:hanging="357"/>
      <w:contextualSpacing w:val="0"/>
      <w:jc w:val="left"/>
    </w:pPr>
    <w:rPr>
      <w:rFonts w:ascii="Times New Roman" w:eastAsia="Times New Roman" w:hAnsi="Times New Roman"/>
      <w:sz w:val="17"/>
      <w:szCs w:val="17"/>
      <w:lang w:bidi="en-US"/>
    </w:rPr>
  </w:style>
  <w:style w:type="character" w:customStyle="1" w:styleId="ListParagraphChar">
    <w:name w:val="List Paragraph Char"/>
    <w:aliases w:val="Recommendation Char,List Paragraph1 Char,Use Case List Paragraph Char,standard lewis Char,CDHP List Paragraph Char,List Paragraph11 Char,L Char,Bullet point Char"/>
    <w:basedOn w:val="DefaultParagraphFont"/>
    <w:link w:val="ListParagraph"/>
    <w:uiPriority w:val="34"/>
    <w:rsid w:val="00A45952"/>
    <w:rPr>
      <w:sz w:val="22"/>
      <w:szCs w:val="22"/>
      <w:lang w:eastAsia="en-US"/>
    </w:rPr>
  </w:style>
  <w:style w:type="character" w:customStyle="1" w:styleId="CodeaChar">
    <w:name w:val="Code (a) Char"/>
    <w:basedOn w:val="ListParagraphChar"/>
    <w:link w:val="Codea"/>
    <w:rsid w:val="00A45952"/>
    <w:rPr>
      <w:rFonts w:ascii="Times New Roman" w:eastAsia="Times New Roman" w:hAnsi="Times New Roman"/>
      <w:sz w:val="17"/>
      <w:szCs w:val="17"/>
      <w:lang w:eastAsia="en-US" w:bidi="en-US"/>
    </w:rPr>
  </w:style>
  <w:style w:type="table" w:customStyle="1" w:styleId="GridTable1Light1">
    <w:name w:val="Grid Table 1 Light1"/>
    <w:basedOn w:val="TableNormal"/>
    <w:next w:val="GridTable1Light"/>
    <w:uiPriority w:val="46"/>
    <w:rsid w:val="00A45952"/>
    <w:rPr>
      <w:rFonts w:ascii="Times New Roman" w:eastAsia="Times New Roman" w:hAnsi="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CodeEndChar">
    <w:name w:val="Code End Char"/>
    <w:basedOn w:val="ListParagraphChar"/>
    <w:link w:val="CodeEnd"/>
    <w:rsid w:val="00A45952"/>
    <w:rPr>
      <w:rFonts w:ascii="Times New Roman" w:eastAsia="Times New Roman" w:hAnsi="Times New Roman"/>
      <w:sz w:val="17"/>
      <w:szCs w:val="17"/>
      <w:lang w:eastAsia="en-US" w:bidi="en-US"/>
    </w:rPr>
  </w:style>
  <w:style w:type="paragraph" w:customStyle="1" w:styleId="BULLETPOINT">
    <w:name w:val="BULLET POINT"/>
    <w:basedOn w:val="Normal"/>
    <w:autoRedefine/>
    <w:qFormat/>
    <w:rsid w:val="00A45952"/>
    <w:pPr>
      <w:numPr>
        <w:numId w:val="105"/>
      </w:numPr>
      <w:tabs>
        <w:tab w:val="num" w:pos="360"/>
      </w:tabs>
      <w:spacing w:before="60" w:after="200" w:line="360" w:lineRule="auto"/>
      <w:ind w:left="357" w:hanging="357"/>
      <w:jc w:val="left"/>
    </w:pPr>
    <w:rPr>
      <w:rFonts w:ascii="Arial" w:hAnsi="Arial"/>
      <w:sz w:val="20"/>
    </w:rPr>
  </w:style>
  <w:style w:type="table" w:styleId="GridTable1Light">
    <w:name w:val="Grid Table 1 Light"/>
    <w:basedOn w:val="TableNormal"/>
    <w:uiPriority w:val="46"/>
    <w:rsid w:val="00A4595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8">
    <w:name w:val="No List8"/>
    <w:next w:val="NoList"/>
    <w:uiPriority w:val="99"/>
    <w:semiHidden/>
    <w:unhideWhenUsed/>
    <w:rsid w:val="00CB4030"/>
  </w:style>
  <w:style w:type="numbering" w:customStyle="1" w:styleId="NoList14">
    <w:name w:val="No List14"/>
    <w:next w:val="NoList"/>
    <w:uiPriority w:val="99"/>
    <w:semiHidden/>
    <w:unhideWhenUsed/>
    <w:rsid w:val="00CB4030"/>
  </w:style>
  <w:style w:type="numbering" w:customStyle="1" w:styleId="NoList113">
    <w:name w:val="No List113"/>
    <w:next w:val="NoList"/>
    <w:uiPriority w:val="99"/>
    <w:semiHidden/>
    <w:unhideWhenUsed/>
    <w:rsid w:val="00CB4030"/>
  </w:style>
  <w:style w:type="numbering" w:customStyle="1" w:styleId="NoList23">
    <w:name w:val="No List23"/>
    <w:next w:val="NoList"/>
    <w:uiPriority w:val="99"/>
    <w:semiHidden/>
    <w:unhideWhenUsed/>
    <w:rsid w:val="00CB4030"/>
  </w:style>
  <w:style w:type="numbering" w:customStyle="1" w:styleId="NoList121">
    <w:name w:val="No List121"/>
    <w:next w:val="NoList"/>
    <w:uiPriority w:val="99"/>
    <w:semiHidden/>
    <w:unhideWhenUsed/>
    <w:rsid w:val="00CB4030"/>
  </w:style>
  <w:style w:type="numbering" w:customStyle="1" w:styleId="NoList1111">
    <w:name w:val="No List1111"/>
    <w:next w:val="NoList"/>
    <w:uiPriority w:val="99"/>
    <w:semiHidden/>
    <w:unhideWhenUsed/>
    <w:rsid w:val="00CB4030"/>
  </w:style>
  <w:style w:type="numbering" w:customStyle="1" w:styleId="NoList211">
    <w:name w:val="No List211"/>
    <w:next w:val="NoList"/>
    <w:uiPriority w:val="99"/>
    <w:semiHidden/>
    <w:rsid w:val="00CB4030"/>
  </w:style>
  <w:style w:type="numbering" w:customStyle="1" w:styleId="NoList32">
    <w:name w:val="No List32"/>
    <w:next w:val="NoList"/>
    <w:uiPriority w:val="99"/>
    <w:semiHidden/>
    <w:unhideWhenUsed/>
    <w:rsid w:val="00CB4030"/>
  </w:style>
  <w:style w:type="numbering" w:customStyle="1" w:styleId="NoList42">
    <w:name w:val="No List42"/>
    <w:next w:val="NoList"/>
    <w:uiPriority w:val="99"/>
    <w:semiHidden/>
    <w:unhideWhenUsed/>
    <w:rsid w:val="00CB4030"/>
  </w:style>
  <w:style w:type="numbering" w:customStyle="1" w:styleId="NoList52">
    <w:name w:val="No List52"/>
    <w:next w:val="NoList"/>
    <w:uiPriority w:val="99"/>
    <w:semiHidden/>
    <w:unhideWhenUsed/>
    <w:rsid w:val="00CB4030"/>
  </w:style>
  <w:style w:type="numbering" w:customStyle="1" w:styleId="NoList61">
    <w:name w:val="No List61"/>
    <w:next w:val="NoList"/>
    <w:uiPriority w:val="99"/>
    <w:semiHidden/>
    <w:unhideWhenUsed/>
    <w:rsid w:val="00CB4030"/>
  </w:style>
  <w:style w:type="numbering" w:customStyle="1" w:styleId="NoList131">
    <w:name w:val="No List131"/>
    <w:next w:val="NoList"/>
    <w:uiPriority w:val="99"/>
    <w:semiHidden/>
    <w:unhideWhenUsed/>
    <w:rsid w:val="00CB4030"/>
  </w:style>
  <w:style w:type="numbering" w:customStyle="1" w:styleId="NoList1121">
    <w:name w:val="No List1121"/>
    <w:next w:val="NoList"/>
    <w:uiPriority w:val="99"/>
    <w:semiHidden/>
    <w:unhideWhenUsed/>
    <w:rsid w:val="00CB4030"/>
  </w:style>
  <w:style w:type="numbering" w:customStyle="1" w:styleId="NoList221">
    <w:name w:val="No List221"/>
    <w:next w:val="NoList"/>
    <w:uiPriority w:val="99"/>
    <w:semiHidden/>
    <w:rsid w:val="00CB4030"/>
  </w:style>
  <w:style w:type="numbering" w:customStyle="1" w:styleId="NoList311">
    <w:name w:val="No List311"/>
    <w:next w:val="NoList"/>
    <w:uiPriority w:val="99"/>
    <w:semiHidden/>
    <w:unhideWhenUsed/>
    <w:rsid w:val="00CB4030"/>
  </w:style>
  <w:style w:type="numbering" w:customStyle="1" w:styleId="NoList411">
    <w:name w:val="No List411"/>
    <w:next w:val="NoList"/>
    <w:uiPriority w:val="99"/>
    <w:semiHidden/>
    <w:unhideWhenUsed/>
    <w:rsid w:val="00CB4030"/>
  </w:style>
  <w:style w:type="numbering" w:customStyle="1" w:styleId="NoList511">
    <w:name w:val="No List511"/>
    <w:next w:val="NoList"/>
    <w:uiPriority w:val="99"/>
    <w:semiHidden/>
    <w:unhideWhenUsed/>
    <w:rsid w:val="00CB4030"/>
  </w:style>
  <w:style w:type="table" w:customStyle="1" w:styleId="GridTable1Light2">
    <w:name w:val="Grid Table 1 Light2"/>
    <w:basedOn w:val="TableNormal"/>
    <w:next w:val="GridTable1Light"/>
    <w:uiPriority w:val="46"/>
    <w:rsid w:val="00CB4030"/>
    <w:rPr>
      <w:rFonts w:ascii="Times New Roman" w:eastAsia="Times New Roman" w:hAnsi="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E70407"/>
    <w:pPr>
      <w:spacing w:before="100" w:beforeAutospacing="1" w:after="100" w:afterAutospacing="1" w:line="240" w:lineRule="auto"/>
      <w:jc w:val="left"/>
    </w:pPr>
    <w:rPr>
      <w:rFonts w:ascii="Times New Roman" w:eastAsia="Times New Roman" w:hAnsi="Times New Roman"/>
      <w:sz w:val="24"/>
      <w:szCs w:val="24"/>
      <w:lang w:eastAsia="en-AU"/>
    </w:rPr>
  </w:style>
  <w:style w:type="character" w:customStyle="1" w:styleId="normaltextrun">
    <w:name w:val="normaltextrun"/>
    <w:basedOn w:val="DefaultParagraphFont"/>
    <w:rsid w:val="00E70407"/>
  </w:style>
  <w:style w:type="character" w:customStyle="1" w:styleId="eop">
    <w:name w:val="eop"/>
    <w:basedOn w:val="DefaultParagraphFont"/>
    <w:rsid w:val="00E70407"/>
  </w:style>
  <w:style w:type="character" w:customStyle="1" w:styleId="UnresolvedMention1">
    <w:name w:val="Unresolved Mention1"/>
    <w:basedOn w:val="DefaultParagraphFont"/>
    <w:uiPriority w:val="99"/>
    <w:rsid w:val="00E70407"/>
    <w:rPr>
      <w:color w:val="605E5C"/>
      <w:shd w:val="clear" w:color="auto" w:fill="E1DFDD"/>
    </w:rPr>
  </w:style>
  <w:style w:type="character" w:customStyle="1" w:styleId="tabchar">
    <w:name w:val="tabchar"/>
    <w:basedOn w:val="DefaultParagraphFont"/>
    <w:rsid w:val="00E70407"/>
  </w:style>
  <w:style w:type="character" w:customStyle="1" w:styleId="UnresolvedMention2">
    <w:name w:val="Unresolved Mention2"/>
    <w:basedOn w:val="DefaultParagraphFont"/>
    <w:uiPriority w:val="99"/>
    <w:semiHidden/>
    <w:unhideWhenUsed/>
    <w:rsid w:val="00E70407"/>
    <w:rPr>
      <w:color w:val="605E5C"/>
      <w:shd w:val="clear" w:color="auto" w:fill="E1DFDD"/>
    </w:rPr>
  </w:style>
  <w:style w:type="character" w:customStyle="1" w:styleId="UnresolvedMention3">
    <w:name w:val="Unresolved Mention3"/>
    <w:basedOn w:val="DefaultParagraphFont"/>
    <w:uiPriority w:val="99"/>
    <w:semiHidden/>
    <w:unhideWhenUsed/>
    <w:rsid w:val="00E70407"/>
    <w:rPr>
      <w:color w:val="605E5C"/>
      <w:shd w:val="clear" w:color="auto" w:fill="E1DFDD"/>
    </w:rPr>
  </w:style>
  <w:style w:type="character" w:customStyle="1" w:styleId="UnresolvedMention">
    <w:name w:val="Unresolved Mention"/>
    <w:basedOn w:val="DefaultParagraphFont"/>
    <w:uiPriority w:val="99"/>
    <w:semiHidden/>
    <w:unhideWhenUsed/>
    <w:rsid w:val="00E704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Recreational%20Greenways%20Act%202000" TargetMode="External"/><Relationship Id="rId117" Type="http://schemas.openxmlformats.org/officeDocument/2006/relationships/hyperlink" Target="https://content.legislation.vic.gov.au/sites/default/files/2021-04/06-24aa086%20authorised_0.pdf" TargetMode="External"/><Relationship Id="rId21" Type="http://schemas.openxmlformats.org/officeDocument/2006/relationships/hyperlink" Target="http://www.legislation.sa.gov.au/index.aspx?action=legref&amp;type=act&amp;legtitle=Local%20Government%20Act%201999" TargetMode="External"/><Relationship Id="rId42" Type="http://schemas.openxmlformats.org/officeDocument/2006/relationships/hyperlink" Target="http://www.legislation.sa.gov.au/index.aspx?action=legref&amp;type=act&amp;legtitle=Statutes%20Amendment%20(Local%20Government%20Review)%20Act%202021" TargetMode="External"/><Relationship Id="rId47" Type="http://schemas.openxmlformats.org/officeDocument/2006/relationships/hyperlink" Target="http://www.legislation.sa.gov.au/index.aspx?action=legref&amp;type=act&amp;legtitle=Subordinate%20Legislation%20Act%201978" TargetMode="External"/><Relationship Id="rId63" Type="http://schemas.openxmlformats.org/officeDocument/2006/relationships/hyperlink" Target="http://www.sa.gov.au/placenameproposals" TargetMode="External"/><Relationship Id="rId68" Type="http://schemas.openxmlformats.org/officeDocument/2006/relationships/image" Target="media/image9.png"/><Relationship Id="rId84" Type="http://schemas.openxmlformats.org/officeDocument/2006/relationships/hyperlink" Target="https://atlas.skills.sa.gov.au/" TargetMode="External"/><Relationship Id="rId89" Type="http://schemas.openxmlformats.org/officeDocument/2006/relationships/hyperlink" Target="https://sascstore.blob.core.windows.net/sasc-storage/assets/DIS152-SA-Skills-Standard-02.pdf?mtime=20210630162638&amp;focal=none" TargetMode="External"/><Relationship Id="rId112" Type="http://schemas.openxmlformats.org/officeDocument/2006/relationships/hyperlink" Target="http://www.skills.sa.gov.au/business/forms" TargetMode="External"/><Relationship Id="rId133" Type="http://schemas.openxmlformats.org/officeDocument/2006/relationships/footer" Target="footer5.xml"/><Relationship Id="rId16" Type="http://schemas.openxmlformats.org/officeDocument/2006/relationships/footer" Target="footer4.xml"/><Relationship Id="rId107" Type="http://schemas.openxmlformats.org/officeDocument/2006/relationships/hyperlink" Target="http://www.sacat.sa.gov.au/application-form" TargetMode="External"/><Relationship Id="rId11" Type="http://schemas.openxmlformats.org/officeDocument/2006/relationships/footer" Target="footer1.xml"/><Relationship Id="rId32" Type="http://schemas.openxmlformats.org/officeDocument/2006/relationships/hyperlink" Target="http://www.legislation.sa.gov.au/index.aspx?action=legref&amp;type=act&amp;legtitle=Local%20Government%20Act%201999" TargetMode="External"/><Relationship Id="rId37" Type="http://schemas.openxmlformats.org/officeDocument/2006/relationships/hyperlink" Target="http://www.legislation.sa.gov.au/index.aspx?action=legref&amp;type=act&amp;legtitle=Acts%20Republication%20Act%201967" TargetMode="External"/><Relationship Id="rId53" Type="http://schemas.openxmlformats.org/officeDocument/2006/relationships/image" Target="media/image3.png"/><Relationship Id="rId58" Type="http://schemas.openxmlformats.org/officeDocument/2006/relationships/image" Target="media/image6.emf"/><Relationship Id="rId74" Type="http://schemas.openxmlformats.org/officeDocument/2006/relationships/image" Target="media/image13.png"/><Relationship Id="rId79" Type="http://schemas.openxmlformats.org/officeDocument/2006/relationships/hyperlink" Target="http://www.skillscommission.sa.gov.au/2021-legislation-changes/transitional-arrangements" TargetMode="External"/><Relationship Id="rId102" Type="http://schemas.openxmlformats.org/officeDocument/2006/relationships/hyperlink" Target="http://www.providers.skills.sa.gov.au/resources-and-publications" TargetMode="External"/><Relationship Id="rId123" Type="http://schemas.openxmlformats.org/officeDocument/2006/relationships/hyperlink" Target="https://www.teatreegully.sa.gov.au/Council-documents/Council-documents/Plans-Community-Land-Management-Register-of-Amendments" TargetMode="External"/><Relationship Id="rId128" Type="http://schemas.openxmlformats.org/officeDocument/2006/relationships/hyperlink" Target="mailto:governmentgazettesa@sa.gov.au" TargetMode="External"/><Relationship Id="rId5" Type="http://schemas.openxmlformats.org/officeDocument/2006/relationships/webSettings" Target="webSettings.xml"/><Relationship Id="rId90" Type="http://schemas.openxmlformats.org/officeDocument/2006/relationships/hyperlink" Target="http://TBD" TargetMode="External"/><Relationship Id="rId95" Type="http://schemas.openxmlformats.org/officeDocument/2006/relationships/diagramData" Target="diagrams/data1.xml"/><Relationship Id="rId14" Type="http://schemas.openxmlformats.org/officeDocument/2006/relationships/header" Target="header4.xml"/><Relationship Id="rId22" Type="http://schemas.openxmlformats.org/officeDocument/2006/relationships/hyperlink" Target="http://www.legislation.sa.gov.au/index.aspx?action=legref&amp;type=act&amp;legtitle=Local%20Government%20Act%201999" TargetMode="External"/><Relationship Id="rId27" Type="http://schemas.openxmlformats.org/officeDocument/2006/relationships/hyperlink" Target="http://www.legislation.sa.gov.au/index.aspx?action=legref&amp;type=act&amp;legtitle=Gaming%20Machines%20Act%201992" TargetMode="External"/><Relationship Id="rId30" Type="http://schemas.openxmlformats.org/officeDocument/2006/relationships/hyperlink" Target="http://www.legislation.sa.gov.au/index.aspx?action=legref&amp;type=act&amp;legtitle=Legislation%20Interpretation%20Act%202021" TargetMode="External"/><Relationship Id="rId35" Type="http://schemas.openxmlformats.org/officeDocument/2006/relationships/hyperlink" Target="http://www.legislation.sa.gov.au/index.aspx?action=legref&amp;type=act&amp;legtitle=Local%20Government%20Act%201999" TargetMode="External"/><Relationship Id="rId43" Type="http://schemas.openxmlformats.org/officeDocument/2006/relationships/hyperlink" Target="http://www.legislation.sa.gov.au/index.aspx?action=legref&amp;type=act&amp;legtitle=Statutes%20Amendment%20(Local%20Government%20Review)%20Act%202021" TargetMode="External"/><Relationship Id="rId48" Type="http://schemas.openxmlformats.org/officeDocument/2006/relationships/hyperlink" Target="http://www.legislation.sa.gov.au/index.aspx?action=legref&amp;type=act&amp;legtitle=Statutes%20Amendment%20(Local%20Government%20Review)%20Act%202021" TargetMode="External"/><Relationship Id="rId56" Type="http://schemas.openxmlformats.org/officeDocument/2006/relationships/hyperlink" Target="mailto:PIRSA.MinisterialExemptionsandPermits@sa.gov.au" TargetMode="External"/><Relationship Id="rId64" Type="http://schemas.openxmlformats.org/officeDocument/2006/relationships/hyperlink" Target="http://www.legislation.sa.gov.au/index.aspx?action=legref&amp;type=subordleg&amp;legtitle=Liquor%20Licensing%20(Dry%20Areas)%20Notice%202015" TargetMode="External"/><Relationship Id="rId69" Type="http://schemas.openxmlformats.org/officeDocument/2006/relationships/image" Target="media/image10.png"/><Relationship Id="rId77" Type="http://schemas.openxmlformats.org/officeDocument/2006/relationships/oleObject" Target="embeddings/oleObject1.bin"/><Relationship Id="rId100" Type="http://schemas.openxmlformats.org/officeDocument/2006/relationships/hyperlink" Target="https://www.skills.sa.gov.au/uploads/Request-to-Exceed-Supervision-Ratios_V1.1.pdf" TargetMode="External"/><Relationship Id="rId105" Type="http://schemas.openxmlformats.org/officeDocument/2006/relationships/hyperlink" Target="http://www.sacat.sa.gov.au/application-form" TargetMode="External"/><Relationship Id="rId113" Type="http://schemas.openxmlformats.org/officeDocument/2006/relationships/hyperlink" Target="http://www.legislation.sa.gov.au/index.aspx?action=legref&amp;type=act&amp;legtitle=South%20Australian%20Employment%20Tribunal%20Act%202014" TargetMode="External"/><Relationship Id="rId118" Type="http://schemas.openxmlformats.org/officeDocument/2006/relationships/hyperlink" Target="https://www.legislation.qld.gov.au/view/pdf/inforce/current/act-2014-025" TargetMode="External"/><Relationship Id="rId126" Type="http://schemas.openxmlformats.org/officeDocument/2006/relationships/hyperlink" Target="http://www.aemc.gov.au" TargetMode="External"/><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legislation.sa.gov.au/index.aspx?action=legref&amp;type=act&amp;legtitle=Subordinate%20Legislation%20Act%201978" TargetMode="External"/><Relationship Id="rId72" Type="http://schemas.openxmlformats.org/officeDocument/2006/relationships/hyperlink" Target="http://www.legislation.sa.gov.au/index.aspx?action=legref&amp;type=subordleg&amp;legtitle=Liquor%20Licensing%20(Dry%20Areas)%20Notice%202015" TargetMode="External"/><Relationship Id="rId80" Type="http://schemas.openxmlformats.org/officeDocument/2006/relationships/hyperlink" Target="http://www.skillscommission.sa.gov.au/regulations-and-standards/taps-schedule" TargetMode="External"/><Relationship Id="rId85" Type="http://schemas.openxmlformats.org/officeDocument/2006/relationships/hyperlink" Target="https://atlas.skills.sa.gov.au/" TargetMode="External"/><Relationship Id="rId93" Type="http://schemas.openxmlformats.org/officeDocument/2006/relationships/hyperlink" Target="https://providers.skills.sa.gov.au/Resources/Forms-and-publications/Apprenticeships-and-Traineeships?EntryId=896&amp;Command=Core_Download" TargetMode="External"/><Relationship Id="rId98" Type="http://schemas.openxmlformats.org/officeDocument/2006/relationships/diagramColors" Target="diagrams/colors1.xml"/><Relationship Id="rId121" Type="http://schemas.openxmlformats.org/officeDocument/2006/relationships/hyperlink" Target="https://www.legislation.tas.gov.au/view/html/inforce/current/act-2013-009"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Correctional%20Services%20(Accountability%20and%20Other%20Measures)%20Amendment%20Act%202021" TargetMode="External"/><Relationship Id="rId25" Type="http://schemas.openxmlformats.org/officeDocument/2006/relationships/hyperlink" Target="http://www.legislation.sa.gov.au/index.aspx?action=legref&amp;type=act&amp;legtitle=Recreational%20Greenways%20Act%202000" TargetMode="External"/><Relationship Id="rId33" Type="http://schemas.openxmlformats.org/officeDocument/2006/relationships/hyperlink" Target="http://www.legislation.sa.gov.au/index.aspx?action=legref&amp;type=act&amp;legtitle=Local%20Government%20Act%201999" TargetMode="External"/><Relationship Id="rId38" Type="http://schemas.openxmlformats.org/officeDocument/2006/relationships/hyperlink" Target="http://www.legislation.sa.gov.au/index.aspx?action=legref&amp;type=subordleg&amp;legtitle=Acts%20Interpretation%20(Audiovisual%20Meetings)%20Regulations%202021" TargetMode="External"/><Relationship Id="rId46" Type="http://schemas.openxmlformats.org/officeDocument/2006/relationships/hyperlink" Target="http://www.legislation.sa.gov.au/index.aspx?action=legref&amp;type=act&amp;legtitle=Subordinate%20Legislation%20Act%201978" TargetMode="External"/><Relationship Id="rId59" Type="http://schemas.openxmlformats.org/officeDocument/2006/relationships/hyperlink" Target="mailto:PIRSA.Ministerialexemptionsandpermits@sa.gov.au" TargetMode="External"/><Relationship Id="rId67" Type="http://schemas.openxmlformats.org/officeDocument/2006/relationships/image" Target="media/image8.png"/><Relationship Id="rId103" Type="http://schemas.openxmlformats.org/officeDocument/2006/relationships/hyperlink" Target="https://tbd/" TargetMode="External"/><Relationship Id="rId108" Type="http://schemas.openxmlformats.org/officeDocument/2006/relationships/hyperlink" Target="http://www.skills.sa.gov.au/business/forms" TargetMode="External"/><Relationship Id="rId116" Type="http://schemas.openxmlformats.org/officeDocument/2006/relationships/hyperlink" Target="https://legacy.legislation.nsw.gov.au/~/pdf/view/act/2001/80/whole" TargetMode="External"/><Relationship Id="rId124" Type="http://schemas.openxmlformats.org/officeDocument/2006/relationships/hyperlink" Target="https://www.teatreegully.sa.gov.au/Council-documents?dlv_OC%20CL%20Public%20DocLib%20Relative=(pageindex=2)" TargetMode="External"/><Relationship Id="rId129" Type="http://schemas.openxmlformats.org/officeDocument/2006/relationships/hyperlink" Target="http://www.governmentgazette.sa.gov.au" TargetMode="External"/><Relationship Id="rId20" Type="http://schemas.openxmlformats.org/officeDocument/2006/relationships/hyperlink" Target="http://www.legislation.sa.gov.au/index.aspx?action=legref&amp;type=act&amp;legtitle=Statutes%20Amendment%20(Local%20Government%20Review)%20Act%202021" TargetMode="External"/><Relationship Id="rId41" Type="http://schemas.openxmlformats.org/officeDocument/2006/relationships/hyperlink" Target="http://www.legislation.sa.gov.au/index.aspx?action=legref&amp;type=act&amp;legtitle=Legislative%20Instruments%20Act%201978" TargetMode="External"/><Relationship Id="rId54" Type="http://schemas.openxmlformats.org/officeDocument/2006/relationships/image" Target="media/image4.png"/><Relationship Id="rId62" Type="http://schemas.openxmlformats.org/officeDocument/2006/relationships/hyperlink" Target="https://www.dss.gov.au/communities-and-vulnerable-people-programs-services-gambling/national-consumer-protection-framework-for-online-wagering" TargetMode="External"/><Relationship Id="rId70" Type="http://schemas.openxmlformats.org/officeDocument/2006/relationships/image" Target="media/image11.png"/><Relationship Id="rId75" Type="http://schemas.openxmlformats.org/officeDocument/2006/relationships/hyperlink" Target="https://map.sarig.sa.gov.au/" TargetMode="External"/><Relationship Id="rId83" Type="http://schemas.openxmlformats.org/officeDocument/2006/relationships/hyperlink" Target="https://atlas.skills.sa.gov.au/" TargetMode="External"/><Relationship Id="rId88" Type="http://schemas.openxmlformats.org/officeDocument/2006/relationships/hyperlink" Target="http://www.skills.sa.gov.au/business/forms" TargetMode="External"/><Relationship Id="rId91" Type="http://schemas.openxmlformats.org/officeDocument/2006/relationships/hyperlink" Target="http://www.skillscommission.sa.gov.au/regulations-and-standards/employer-register" TargetMode="External"/><Relationship Id="rId96" Type="http://schemas.openxmlformats.org/officeDocument/2006/relationships/diagramLayout" Target="diagrams/layout1.xml"/><Relationship Id="rId111" Type="http://schemas.openxmlformats.org/officeDocument/2006/relationships/hyperlink" Target="http://www.skills.sa.gov.au/business/forms" TargetMode="External"/><Relationship Id="rId13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Local%20Government%20Act%201999" TargetMode="External"/><Relationship Id="rId28" Type="http://schemas.openxmlformats.org/officeDocument/2006/relationships/hyperlink" Target="http://www.legislation.sa.gov.au/index.aspx?action=legref&amp;type=act&amp;legtitle=Magistrates%20Act%201983" TargetMode="External"/><Relationship Id="rId36" Type="http://schemas.openxmlformats.org/officeDocument/2006/relationships/hyperlink" Target="http://www.legislation.sa.gov.au/index.aspx?action=legref&amp;type=act&amp;legtitle=Legislation%20Revision%20and%20Publication%20Act%202002" TargetMode="External"/><Relationship Id="rId49" Type="http://schemas.openxmlformats.org/officeDocument/2006/relationships/hyperlink" Target="http://www.legislation.sa.gov.au/index.aspx?action=legref&amp;type=act&amp;legtitle=Statutes%20Amendment%20(Local%20Government%20Review)%20Act%202021" TargetMode="External"/><Relationship Id="rId57" Type="http://schemas.openxmlformats.org/officeDocument/2006/relationships/hyperlink" Target="mailto:PIRSA.MinisterialExemptionsandPermits@sa.gov.au" TargetMode="External"/><Relationship Id="rId106" Type="http://schemas.openxmlformats.org/officeDocument/2006/relationships/hyperlink" Target="http://www.skills.sa.gov.au/business/forms" TargetMode="External"/><Relationship Id="rId114" Type="http://schemas.openxmlformats.org/officeDocument/2006/relationships/hyperlink" Target="http://www.sacat.sa.gov.au/application-form" TargetMode="External"/><Relationship Id="rId119" Type="http://schemas.openxmlformats.org/officeDocument/2006/relationships/hyperlink" Target="https://legislation.nt.gov.au/en/Legislation/TRAINING-AND-SKILLS-DEVELOPMENT-ACT-2016" TargetMode="External"/><Relationship Id="rId127" Type="http://schemas.openxmlformats.org/officeDocument/2006/relationships/hyperlink" Target="https://cleanpeaktonsley.com.au/"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Legislation%20Interpretation%20Act%202021" TargetMode="External"/><Relationship Id="rId44" Type="http://schemas.openxmlformats.org/officeDocument/2006/relationships/hyperlink" Target="http://www.legislation.sa.gov.au/index.aspx?action=legref&amp;type=act&amp;legtitle=Statutes%20Amendment%20(Local%20Government%20Review)%20Act%202021" TargetMode="External"/><Relationship Id="rId52" Type="http://schemas.openxmlformats.org/officeDocument/2006/relationships/image" Target="media/image2.png"/><Relationship Id="rId60" Type="http://schemas.openxmlformats.org/officeDocument/2006/relationships/hyperlink" Target="https://www.legislation.sa.gov.au/LZ/C/A/GAMBLING%20ADMINISTRATION%20ACT%202019.aspx" TargetMode="External"/><Relationship Id="rId65" Type="http://schemas.openxmlformats.org/officeDocument/2006/relationships/hyperlink" Target="http://www.legislation.sa.gov.au/index.aspx?action=legref&amp;type=subordleg&amp;legtitle=Liquor%20Licensing%20(Dry%20Areas)%20Notice%202015" TargetMode="External"/><Relationship Id="rId73" Type="http://schemas.openxmlformats.org/officeDocument/2006/relationships/hyperlink" Target="http://www.legislation.sa.gov.au/index.aspx?action=legref&amp;type=subordleg&amp;legtitle=Liquor%20Licensing%20(Dry%20Areas)%20Notice%202015" TargetMode="External"/><Relationship Id="rId78" Type="http://schemas.openxmlformats.org/officeDocument/2006/relationships/hyperlink" Target="https://tbd/" TargetMode="External"/><Relationship Id="rId81" Type="http://schemas.openxmlformats.org/officeDocument/2006/relationships/hyperlink" Target="http://www.skillscommission.sa.gov.au/regulations-and-standards/employer-register" TargetMode="External"/><Relationship Id="rId86" Type="http://schemas.openxmlformats.org/officeDocument/2006/relationships/hyperlink" Target="http://TBD" TargetMode="External"/><Relationship Id="rId94" Type="http://schemas.openxmlformats.org/officeDocument/2006/relationships/hyperlink" Target="http://www.skills.sa.gov.au/business/forms" TargetMode="External"/><Relationship Id="rId99" Type="http://schemas.microsoft.com/office/2007/relationships/diagramDrawing" Target="diagrams/drawing1.xml"/><Relationship Id="rId101" Type="http://schemas.openxmlformats.org/officeDocument/2006/relationships/hyperlink" Target="http://www.providers.skills.sa.gov.au/resources-and-publications" TargetMode="External"/><Relationship Id="rId122" Type="http://schemas.openxmlformats.org/officeDocument/2006/relationships/hyperlink" Target="https://www.legislation.wa.gov.au/legislation/prod/filestore.nsf/FileURL/mrdoc_42883.pdf/$FILE/Vocational%20Education%20And%20Training%20Act%201996%20-%20%5B02-h0-01%5D.pdf?OpenElement" TargetMode="External"/><Relationship Id="rId130" Type="http://schemas.openxmlformats.org/officeDocument/2006/relationships/hyperlink" Target="http://www.governmentgazette.sa.gov.au"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Firearms%20(Miscellaneous)%20Amendment%20Act%202021" TargetMode="External"/><Relationship Id="rId39" Type="http://schemas.openxmlformats.org/officeDocument/2006/relationships/hyperlink" Target="http://www.legislation.sa.gov.au/index.aspx?action=legref&amp;type=act&amp;legtitle=Legislative%20Instruments%20Act%201978" TargetMode="External"/><Relationship Id="rId109" Type="http://schemas.openxmlformats.org/officeDocument/2006/relationships/hyperlink" Target="http://www.sacat.sa.gov.au/application-form" TargetMode="External"/><Relationship Id="rId34" Type="http://schemas.openxmlformats.org/officeDocument/2006/relationships/hyperlink" Target="http://www.legislation.sa.gov.au/index.aspx?action=legref&amp;type=act&amp;legtitle=Local%20Government%20Act%201999" TargetMode="External"/><Relationship Id="rId50" Type="http://schemas.openxmlformats.org/officeDocument/2006/relationships/hyperlink" Target="http://www.legislation.sa.gov.au/index.aspx?action=legref&amp;type=act&amp;legtitle=Subordinate%20Legislation%20Act%201978" TargetMode="External"/><Relationship Id="rId55" Type="http://schemas.openxmlformats.org/officeDocument/2006/relationships/image" Target="media/image5.png"/><Relationship Id="rId76" Type="http://schemas.openxmlformats.org/officeDocument/2006/relationships/image" Target="media/image14.emf"/><Relationship Id="rId97" Type="http://schemas.openxmlformats.org/officeDocument/2006/relationships/diagramQuickStyle" Target="diagrams/quickStyle1.xml"/><Relationship Id="rId104" Type="http://schemas.openxmlformats.org/officeDocument/2006/relationships/hyperlink" Target="http://www.TBD" TargetMode="External"/><Relationship Id="rId120" Type="http://schemas.openxmlformats.org/officeDocument/2006/relationships/hyperlink" Target="https://www.legislation.act.gov.au/a/2003-36" TargetMode="External"/><Relationship Id="rId125" Type="http://schemas.openxmlformats.org/officeDocument/2006/relationships/hyperlink" Target="mailto:submissions@aemc.gov.au" TargetMode="Externa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http://TBD"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Magistrates%20Act%201983" TargetMode="External"/><Relationship Id="rId24" Type="http://schemas.openxmlformats.org/officeDocument/2006/relationships/hyperlink" Target="http://www.legislation.sa.gov.au/index.aspx?action=legref&amp;type=act&amp;legtitle=Legislation%20Interpretation%20Act%202021" TargetMode="External"/><Relationship Id="rId40" Type="http://schemas.openxmlformats.org/officeDocument/2006/relationships/hyperlink" Target="http://www.legislation.sa.gov.au/index.aspx?action=legref&amp;type=act&amp;legtitle=Legislation%20Interpretation%20Act%202021" TargetMode="External"/><Relationship Id="rId45" Type="http://schemas.openxmlformats.org/officeDocument/2006/relationships/hyperlink" Target="http://www.legislation.sa.gov.au/index.aspx?action=legref&amp;type=act&amp;legtitle=Subordinate%20Legislation%20Act%201978" TargetMode="External"/><Relationship Id="rId66" Type="http://schemas.openxmlformats.org/officeDocument/2006/relationships/image" Target="media/image7.png"/><Relationship Id="rId87" Type="http://schemas.openxmlformats.org/officeDocument/2006/relationships/hyperlink" Target="http://www.sacat.sa.gov.au/application-form" TargetMode="External"/><Relationship Id="rId110" Type="http://schemas.openxmlformats.org/officeDocument/2006/relationships/hyperlink" Target="http://www.skills.sa.gov.au/business/forms" TargetMode="External"/><Relationship Id="rId115" Type="http://schemas.openxmlformats.org/officeDocument/2006/relationships/hyperlink" Target="https://www.legislation.gov.au/Details/C2017C00245" TargetMode="External"/><Relationship Id="rId131" Type="http://schemas.openxmlformats.org/officeDocument/2006/relationships/header" Target="header5.xml"/><Relationship Id="rId61" Type="http://schemas.openxmlformats.org/officeDocument/2006/relationships/hyperlink" Target="https://www.legislation.sa.gov.au/LZ/C/A/AUTHORISED%20BETTING%20OPERATIONS%20ACT%202000.aspx" TargetMode="External"/><Relationship Id="rId82" Type="http://schemas.openxmlformats.org/officeDocument/2006/relationships/hyperlink" Target="https://atlas.skills.sa.gov.au/" TargetMode="External"/><Relationship Id="rId19" Type="http://schemas.openxmlformats.org/officeDocument/2006/relationships/hyperlink" Target="http://www.legislation.sa.gov.au/index.aspx?action=legref&amp;type=act&amp;legtitle=Legislation%20Interpretation%20Act%20202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esktop\NEW_TEMPLATE_GAZETTE_PAGINATIO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7BE151-DF4F-4F0A-98B7-633EB3511BC1}" type="doc">
      <dgm:prSet loTypeId="urn:microsoft.com/office/officeart/2005/8/layout/process1" loCatId="process" qsTypeId="urn:microsoft.com/office/officeart/2005/8/quickstyle/simple1" qsCatId="simple" csTypeId="urn:microsoft.com/office/officeart/2005/8/colors/accent1_2" csCatId="accent1" phldr="1"/>
      <dgm:spPr/>
    </dgm:pt>
    <dgm:pt modelId="{398B7234-AE33-4DC0-8AA3-DB3B1EEC7494}">
      <dgm:prSet phldrT="[Text]"/>
      <dgm:spPr>
        <a:xfrm>
          <a:off x="113147" y="0"/>
          <a:ext cx="1553849" cy="2536825"/>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b="1">
              <a:solidFill>
                <a:sysClr val="windowText" lastClr="000000"/>
              </a:solidFill>
              <a:latin typeface="Calibri"/>
              <a:ea typeface="+mn-ea"/>
              <a:cs typeface="+mn-cs"/>
            </a:rPr>
            <a:t>HOW MANY APPRENTICES OR TRAINEES CAN I TRAIN?</a:t>
          </a:r>
        </a:p>
        <a:p>
          <a:pPr>
            <a:buNone/>
          </a:pPr>
          <a:r>
            <a:rPr lang="en-AU" b="0">
              <a:solidFill>
                <a:sysClr val="windowText" lastClr="000000"/>
              </a:solidFill>
              <a:latin typeface="Calibri"/>
              <a:ea typeface="+mn-ea"/>
              <a:cs typeface="+mn-cs"/>
            </a:rPr>
            <a:t>CHECK THE PRESCRIBED SUPERVISION LEVEL FOR THE TRADE/DECLARED VOCATION IN THE </a:t>
          </a:r>
          <a:r>
            <a:rPr lang="en-AU" b="0" i="1">
              <a:solidFill>
                <a:sysClr val="windowText" lastClr="000000"/>
              </a:solidFill>
              <a:latin typeface="Calibri"/>
              <a:ea typeface="+mn-ea"/>
              <a:cs typeface="+mn-cs"/>
            </a:rPr>
            <a:t>TRAINEESHIP AND APPRENTICESHIP PATHWAYS SCHEDULE</a:t>
          </a:r>
        </a:p>
        <a:p>
          <a:pPr>
            <a:buNone/>
          </a:pPr>
          <a:r>
            <a:rPr lang="en-AU">
              <a:solidFill>
                <a:sysClr val="windowText" lastClr="000000"/>
              </a:solidFill>
              <a:latin typeface="Calibri"/>
              <a:ea typeface="+mn-ea"/>
              <a:cs typeface="+mn-cs"/>
            </a:rPr>
            <a:t>HIGH LEVEL = 1:1 to 1:3</a:t>
          </a:r>
        </a:p>
        <a:p>
          <a:pPr>
            <a:buNone/>
          </a:pPr>
          <a:r>
            <a:rPr lang="en-AU">
              <a:solidFill>
                <a:sysClr val="windowText" lastClr="000000"/>
              </a:solidFill>
              <a:latin typeface="Calibri"/>
              <a:ea typeface="+mn-ea"/>
              <a:cs typeface="+mn-cs"/>
            </a:rPr>
            <a:t>MEDIUM LEVEL = 1:1 to 1:6</a:t>
          </a:r>
        </a:p>
        <a:p>
          <a:pPr>
            <a:buNone/>
          </a:pPr>
          <a:r>
            <a:rPr lang="en-AU">
              <a:solidFill>
                <a:sysClr val="windowText" lastClr="000000"/>
              </a:solidFill>
              <a:latin typeface="Calibri"/>
              <a:ea typeface="+mn-ea"/>
              <a:cs typeface="+mn-cs"/>
            </a:rPr>
            <a:t>LOW LEVEL = 1:1 to 1:10</a:t>
          </a:r>
        </a:p>
      </dgm:t>
    </dgm:pt>
    <dgm:pt modelId="{DA75C764-65F8-4084-BBB7-DE9FA2D0BFD4}" type="parTrans" cxnId="{D1423888-D946-499F-BB2B-F90B2AF9E683}">
      <dgm:prSet/>
      <dgm:spPr/>
      <dgm:t>
        <a:bodyPr/>
        <a:lstStyle/>
        <a:p>
          <a:endParaRPr lang="en-AU"/>
        </a:p>
      </dgm:t>
    </dgm:pt>
    <dgm:pt modelId="{824C0776-43E6-437F-98B0-7637C8F9454A}" type="sibTrans" cxnId="{D1423888-D946-499F-BB2B-F90B2AF9E683}">
      <dgm:prSet/>
      <dgm:spPr>
        <a:xfrm>
          <a:off x="1796982" y="1075735"/>
          <a:ext cx="275569" cy="385354"/>
        </a:xfrm>
        <a:prstGeom prst="rightArrow">
          <a:avLst>
            <a:gd name="adj1" fmla="val 60000"/>
            <a:gd name="adj2" fmla="val 50000"/>
          </a:avLst>
        </a:prstGeom>
        <a:solidFill>
          <a:sysClr val="window" lastClr="FFFFFF">
            <a:lumMod val="75000"/>
          </a:sysClr>
        </a:solidFill>
        <a:ln>
          <a:noFill/>
        </a:ln>
        <a:effectLst/>
      </dgm:spPr>
      <dgm:t>
        <a:bodyPr/>
        <a:lstStyle/>
        <a:p>
          <a:pPr>
            <a:buNone/>
          </a:pPr>
          <a:endParaRPr lang="en-AU">
            <a:solidFill>
              <a:sysClr val="window" lastClr="FFFFFF"/>
            </a:solidFill>
            <a:latin typeface="Calibri"/>
            <a:ea typeface="+mn-ea"/>
            <a:cs typeface="+mn-cs"/>
          </a:endParaRPr>
        </a:p>
      </dgm:t>
    </dgm:pt>
    <dgm:pt modelId="{BF68182B-71BF-49B2-9FAC-9396E8D50C43}">
      <dgm:prSet phldrT="[Text]"/>
      <dgm:spPr>
        <a:xfrm>
          <a:off x="2186939" y="0"/>
          <a:ext cx="1553849" cy="2536825"/>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b="1">
              <a:solidFill>
                <a:sysClr val="windowText" lastClr="000000"/>
              </a:solidFill>
              <a:latin typeface="Calibri"/>
              <a:ea typeface="+mn-ea"/>
              <a:cs typeface="+mn-cs"/>
            </a:rPr>
            <a:t>WHEN DO DIFFERENT SUPERVISION TYPES APPLY?</a:t>
          </a:r>
        </a:p>
        <a:p>
          <a:pPr algn="ctr">
            <a:buNone/>
          </a:pPr>
          <a:r>
            <a:rPr lang="en-AU" b="1">
              <a:solidFill>
                <a:sysClr val="windowText" lastClr="000000"/>
              </a:solidFill>
              <a:latin typeface="Calibri"/>
              <a:ea typeface="+mn-ea"/>
              <a:cs typeface="+mn-cs"/>
            </a:rPr>
            <a:t>DIRECT</a:t>
          </a:r>
          <a:r>
            <a:rPr lang="en-AU">
              <a:solidFill>
                <a:sysClr val="windowText" lastClr="000000"/>
              </a:solidFill>
              <a:latin typeface="Calibri"/>
              <a:ea typeface="+mn-ea"/>
              <a:cs typeface="+mn-cs"/>
            </a:rPr>
            <a:t>: (the default position) when the apprentice/trainee is not yet capable in the required task </a:t>
          </a:r>
        </a:p>
        <a:p>
          <a:pPr algn="ctr">
            <a:buNone/>
          </a:pPr>
          <a:r>
            <a:rPr lang="en-AU" b="1">
              <a:solidFill>
                <a:sysClr val="windowText" lastClr="000000"/>
              </a:solidFill>
              <a:latin typeface="Calibri"/>
              <a:ea typeface="+mn-ea"/>
              <a:cs typeface="+mn-cs"/>
            </a:rPr>
            <a:t>INDIRECT</a:t>
          </a:r>
          <a:r>
            <a:rPr lang="en-AU">
              <a:solidFill>
                <a:sysClr val="windowText" lastClr="000000"/>
              </a:solidFill>
              <a:latin typeface="Calibri"/>
              <a:ea typeface="+mn-ea"/>
              <a:cs typeface="+mn-cs"/>
            </a:rPr>
            <a:t>: when you have determined that this apprentice/trainee is capable in this task</a:t>
          </a:r>
        </a:p>
        <a:p>
          <a:pPr algn="ctr">
            <a:buNone/>
          </a:pPr>
          <a:r>
            <a:rPr lang="en-AU" b="1">
              <a:solidFill>
                <a:sysClr val="windowText" lastClr="000000"/>
              </a:solidFill>
              <a:latin typeface="Calibri"/>
              <a:ea typeface="+mn-ea"/>
              <a:cs typeface="+mn-cs"/>
            </a:rPr>
            <a:t>REMOTE:</a:t>
          </a:r>
          <a:r>
            <a:rPr lang="en-AU">
              <a:solidFill>
                <a:sysClr val="windowText" lastClr="000000"/>
              </a:solidFill>
              <a:latin typeface="Calibri"/>
              <a:ea typeface="+mn-ea"/>
              <a:cs typeface="+mn-cs"/>
            </a:rPr>
            <a:t> </a:t>
          </a:r>
          <a:r>
            <a:rPr lang="en-AU" u="none">
              <a:solidFill>
                <a:sysClr val="windowText" lastClr="000000"/>
              </a:solidFill>
              <a:latin typeface="Calibri"/>
              <a:ea typeface="+mn-ea"/>
              <a:cs typeface="+mn-cs"/>
            </a:rPr>
            <a:t>only with the SA Skills Commission's written approval</a:t>
          </a:r>
        </a:p>
      </dgm:t>
    </dgm:pt>
    <dgm:pt modelId="{CAEB2920-4BC0-4428-BD74-4B6C0C3A7B20}" type="parTrans" cxnId="{7D9CFBDB-B6DC-49B8-8948-C8942EE2ED42}">
      <dgm:prSet/>
      <dgm:spPr/>
      <dgm:t>
        <a:bodyPr/>
        <a:lstStyle/>
        <a:p>
          <a:endParaRPr lang="en-AU"/>
        </a:p>
      </dgm:t>
    </dgm:pt>
    <dgm:pt modelId="{FCB413A7-8B72-4D48-955C-38BB7F76DDEF}" type="sibTrans" cxnId="{7D9CFBDB-B6DC-49B8-8948-C8942EE2ED42}">
      <dgm:prSet/>
      <dgm:spPr>
        <a:xfrm rot="5043">
          <a:off x="3885060" y="1077310"/>
          <a:ext cx="305856" cy="385354"/>
        </a:xfrm>
        <a:prstGeom prst="rightArrow">
          <a:avLst>
            <a:gd name="adj1" fmla="val 60000"/>
            <a:gd name="adj2" fmla="val 50000"/>
          </a:avLst>
        </a:prstGeom>
        <a:solidFill>
          <a:sysClr val="window" lastClr="FFFFFF">
            <a:lumMod val="75000"/>
          </a:sysClr>
        </a:solidFill>
        <a:ln>
          <a:noFill/>
        </a:ln>
        <a:effectLst/>
      </dgm:spPr>
      <dgm:t>
        <a:bodyPr/>
        <a:lstStyle/>
        <a:p>
          <a:pPr>
            <a:buNone/>
          </a:pPr>
          <a:endParaRPr lang="en-AU">
            <a:solidFill>
              <a:sysClr val="window" lastClr="FFFFFF"/>
            </a:solidFill>
            <a:latin typeface="Calibri"/>
            <a:ea typeface="+mn-ea"/>
            <a:cs typeface="+mn-cs"/>
          </a:endParaRPr>
        </a:p>
      </dgm:t>
    </dgm:pt>
    <dgm:pt modelId="{6B6D3972-599C-4980-9C88-D92611559C5C}">
      <dgm:prSet phldrT="[Text]"/>
      <dgm:spPr>
        <a:xfrm>
          <a:off x="4317876" y="12596"/>
          <a:ext cx="1553849" cy="2517883"/>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b="1">
              <a:solidFill>
                <a:sysClr val="windowText" lastClr="000000"/>
              </a:solidFill>
              <a:latin typeface="Calibri"/>
              <a:ea typeface="+mn-ea"/>
              <a:cs typeface="+mn-cs"/>
            </a:rPr>
            <a:t>HOW DO I DETERMINE WHETHER AND WHEN THE APPRENTICE OR TRAINEE IS CAPABLE IN THE TASK?</a:t>
          </a:r>
        </a:p>
        <a:p>
          <a:pPr>
            <a:buNone/>
          </a:pPr>
          <a:r>
            <a:rPr lang="en-AU" b="1">
              <a:solidFill>
                <a:sysClr val="windowText" lastClr="000000"/>
              </a:solidFill>
              <a:latin typeface="Calibri"/>
              <a:ea typeface="+mn-ea"/>
              <a:cs typeface="+mn-cs"/>
            </a:rPr>
            <a:t>CONSIDER  </a:t>
          </a:r>
          <a:r>
            <a:rPr lang="en-AU" b="0">
              <a:solidFill>
                <a:sysClr val="windowText" lastClr="000000"/>
              </a:solidFill>
              <a:latin typeface="Calibri"/>
              <a:ea typeface="+mn-ea"/>
              <a:cs typeface="+mn-cs"/>
            </a:rPr>
            <a:t>the factors in Part 5.5: Determining the appropriate supervision type </a:t>
          </a:r>
        </a:p>
        <a:p>
          <a:pPr>
            <a:buNone/>
          </a:pPr>
          <a:r>
            <a:rPr lang="en-AU" b="1">
              <a:solidFill>
                <a:sysClr val="windowText" lastClr="000000"/>
              </a:solidFill>
              <a:latin typeface="Calibri"/>
              <a:ea typeface="+mn-ea"/>
              <a:cs typeface="+mn-cs"/>
            </a:rPr>
            <a:t>CHECK</a:t>
          </a:r>
          <a:r>
            <a:rPr lang="en-AU" b="0">
              <a:solidFill>
                <a:sysClr val="windowText" lastClr="000000"/>
              </a:solidFill>
              <a:latin typeface="Calibri"/>
              <a:ea typeface="+mn-ea"/>
              <a:cs typeface="+mn-cs"/>
            </a:rPr>
            <a:t> with the nominated RTO</a:t>
          </a:r>
        </a:p>
        <a:p>
          <a:pPr>
            <a:buNone/>
          </a:pPr>
          <a:r>
            <a:rPr lang="en-AU" b="1">
              <a:solidFill>
                <a:sysClr val="windowText" lastClr="000000"/>
              </a:solidFill>
              <a:latin typeface="Calibri"/>
              <a:ea typeface="+mn-ea"/>
              <a:cs typeface="+mn-cs"/>
            </a:rPr>
            <a:t>RECORD</a:t>
          </a:r>
          <a:r>
            <a:rPr lang="en-AU" b="0">
              <a:solidFill>
                <a:sysClr val="windowText" lastClr="000000"/>
              </a:solidFill>
              <a:latin typeface="Calibri"/>
              <a:ea typeface="+mn-ea"/>
              <a:cs typeface="+mn-cs"/>
            </a:rPr>
            <a:t> your assessment and the reasons for it</a:t>
          </a:r>
          <a:endParaRPr lang="en-AU" b="1">
            <a:solidFill>
              <a:sysClr val="windowText" lastClr="000000"/>
            </a:solidFill>
            <a:latin typeface="Calibri"/>
            <a:ea typeface="+mn-ea"/>
            <a:cs typeface="+mn-cs"/>
          </a:endParaRPr>
        </a:p>
      </dgm:t>
    </dgm:pt>
    <dgm:pt modelId="{0E18DD3A-B6BF-499E-BC9D-B2F90B964595}" type="parTrans" cxnId="{991AC485-55F2-4064-BCDE-FD31DCF18B96}">
      <dgm:prSet/>
      <dgm:spPr/>
      <dgm:t>
        <a:bodyPr/>
        <a:lstStyle/>
        <a:p>
          <a:endParaRPr lang="en-AU"/>
        </a:p>
      </dgm:t>
    </dgm:pt>
    <dgm:pt modelId="{485E9B9B-A7AB-4271-A8BE-58D735422E6F}" type="sibTrans" cxnId="{991AC485-55F2-4064-BCDE-FD31DCF18B96}">
      <dgm:prSet/>
      <dgm:spPr/>
      <dgm:t>
        <a:bodyPr/>
        <a:lstStyle/>
        <a:p>
          <a:endParaRPr lang="en-AU"/>
        </a:p>
      </dgm:t>
    </dgm:pt>
    <dgm:pt modelId="{0148F653-AB1D-430D-BE8A-EDE4B96570F0}" type="pres">
      <dgm:prSet presAssocID="{0A7BE151-DF4F-4F0A-98B7-633EB3511BC1}" presName="Name0" presStyleCnt="0">
        <dgm:presLayoutVars>
          <dgm:dir/>
          <dgm:resizeHandles val="exact"/>
        </dgm:presLayoutVars>
      </dgm:prSet>
      <dgm:spPr/>
    </dgm:pt>
    <dgm:pt modelId="{8C27F41A-20A6-4732-B115-FC2FC622F36E}" type="pres">
      <dgm:prSet presAssocID="{398B7234-AE33-4DC0-8AA3-DB3B1EEC7494}" presName="node" presStyleLbl="node1" presStyleIdx="0" presStyleCnt="3" custScaleY="163123" custLinFactNeighborX="17368" custLinFactNeighborY="-612">
        <dgm:presLayoutVars>
          <dgm:bulletEnabled val="1"/>
        </dgm:presLayoutVars>
      </dgm:prSet>
      <dgm:spPr>
        <a:prstGeom prst="rect">
          <a:avLst/>
        </a:prstGeom>
      </dgm:spPr>
      <dgm:t>
        <a:bodyPr/>
        <a:lstStyle/>
        <a:p>
          <a:endParaRPr lang="en-AU"/>
        </a:p>
      </dgm:t>
    </dgm:pt>
    <dgm:pt modelId="{4B6EDD28-17AE-49BA-B71A-BF8C17C907B9}" type="pres">
      <dgm:prSet presAssocID="{824C0776-43E6-437F-98B0-7637C8F9454A}" presName="sibTrans" presStyleLbl="sibTrans2D1" presStyleIdx="0" presStyleCnt="2"/>
      <dgm:spPr>
        <a:prstGeom prst="rightArrow">
          <a:avLst>
            <a:gd name="adj1" fmla="val 60000"/>
            <a:gd name="adj2" fmla="val 50000"/>
          </a:avLst>
        </a:prstGeom>
      </dgm:spPr>
      <dgm:t>
        <a:bodyPr/>
        <a:lstStyle/>
        <a:p>
          <a:endParaRPr lang="en-AU"/>
        </a:p>
      </dgm:t>
    </dgm:pt>
    <dgm:pt modelId="{A6B57AA3-5065-407D-8FB2-83FB0EADC808}" type="pres">
      <dgm:prSet presAssocID="{824C0776-43E6-437F-98B0-7637C8F9454A}" presName="connectorText" presStyleLbl="sibTrans2D1" presStyleIdx="0" presStyleCnt="2"/>
      <dgm:spPr/>
      <dgm:t>
        <a:bodyPr/>
        <a:lstStyle/>
        <a:p>
          <a:endParaRPr lang="en-AU"/>
        </a:p>
      </dgm:t>
    </dgm:pt>
    <dgm:pt modelId="{6DF33567-0DE9-443D-9488-641879126920}" type="pres">
      <dgm:prSet presAssocID="{BF68182B-71BF-49B2-9FAC-9396E8D50C43}" presName="node" presStyleLbl="node1" presStyleIdx="1" presStyleCnt="3" custScaleY="163123" custLinFactNeighborX="1022" custLinFactNeighborY="-1826">
        <dgm:presLayoutVars>
          <dgm:bulletEnabled val="1"/>
        </dgm:presLayoutVars>
      </dgm:prSet>
      <dgm:spPr>
        <a:prstGeom prst="rect">
          <a:avLst/>
        </a:prstGeom>
      </dgm:spPr>
      <dgm:t>
        <a:bodyPr/>
        <a:lstStyle/>
        <a:p>
          <a:endParaRPr lang="en-AU"/>
        </a:p>
      </dgm:t>
    </dgm:pt>
    <dgm:pt modelId="{2C2B80A8-7E4E-4481-83EE-BE475879F23F}" type="pres">
      <dgm:prSet presAssocID="{FCB413A7-8B72-4D48-955C-38BB7F76DDEF}" presName="sibTrans" presStyleLbl="sibTrans2D1" presStyleIdx="1" presStyleCnt="2"/>
      <dgm:spPr>
        <a:prstGeom prst="rightArrow">
          <a:avLst>
            <a:gd name="adj1" fmla="val 60000"/>
            <a:gd name="adj2" fmla="val 50000"/>
          </a:avLst>
        </a:prstGeom>
      </dgm:spPr>
      <dgm:t>
        <a:bodyPr/>
        <a:lstStyle/>
        <a:p>
          <a:endParaRPr lang="en-AU"/>
        </a:p>
      </dgm:t>
    </dgm:pt>
    <dgm:pt modelId="{C7740E69-6156-41A7-8CE9-0A377F4BF140}" type="pres">
      <dgm:prSet presAssocID="{FCB413A7-8B72-4D48-955C-38BB7F76DDEF}" presName="connectorText" presStyleLbl="sibTrans2D1" presStyleIdx="1" presStyleCnt="2"/>
      <dgm:spPr/>
      <dgm:t>
        <a:bodyPr/>
        <a:lstStyle/>
        <a:p>
          <a:endParaRPr lang="en-AU"/>
        </a:p>
      </dgm:t>
    </dgm:pt>
    <dgm:pt modelId="{65E7361E-2098-441F-AA33-21969478B8A2}" type="pres">
      <dgm:prSet presAssocID="{6B6D3972-599C-4980-9C88-D92611559C5C}" presName="node" presStyleLbl="node1" presStyleIdx="2" presStyleCnt="3" custScaleY="161905" custLinFactNeighborX="-6130" custLinFactNeighborY="201">
        <dgm:presLayoutVars>
          <dgm:bulletEnabled val="1"/>
        </dgm:presLayoutVars>
      </dgm:prSet>
      <dgm:spPr>
        <a:prstGeom prst="rect">
          <a:avLst/>
        </a:prstGeom>
      </dgm:spPr>
      <dgm:t>
        <a:bodyPr/>
        <a:lstStyle/>
        <a:p>
          <a:endParaRPr lang="en-AU"/>
        </a:p>
      </dgm:t>
    </dgm:pt>
  </dgm:ptLst>
  <dgm:cxnLst>
    <dgm:cxn modelId="{D1423888-D946-499F-BB2B-F90B2AF9E683}" srcId="{0A7BE151-DF4F-4F0A-98B7-633EB3511BC1}" destId="{398B7234-AE33-4DC0-8AA3-DB3B1EEC7494}" srcOrd="0" destOrd="0" parTransId="{DA75C764-65F8-4084-BBB7-DE9FA2D0BFD4}" sibTransId="{824C0776-43E6-437F-98B0-7637C8F9454A}"/>
    <dgm:cxn modelId="{D9A7C461-B94C-4CC2-998D-2BE2EDB5F710}" type="presOf" srcId="{FCB413A7-8B72-4D48-955C-38BB7F76DDEF}" destId="{2C2B80A8-7E4E-4481-83EE-BE475879F23F}" srcOrd="0" destOrd="0" presId="urn:microsoft.com/office/officeart/2005/8/layout/process1"/>
    <dgm:cxn modelId="{7829C2DA-EA84-4440-9863-93BCF45E4000}" type="presOf" srcId="{BF68182B-71BF-49B2-9FAC-9396E8D50C43}" destId="{6DF33567-0DE9-443D-9488-641879126920}" srcOrd="0" destOrd="0" presId="urn:microsoft.com/office/officeart/2005/8/layout/process1"/>
    <dgm:cxn modelId="{AFEDF83D-57C7-4450-A0F4-C7843E6CDD27}" type="presOf" srcId="{824C0776-43E6-437F-98B0-7637C8F9454A}" destId="{4B6EDD28-17AE-49BA-B71A-BF8C17C907B9}" srcOrd="0" destOrd="0" presId="urn:microsoft.com/office/officeart/2005/8/layout/process1"/>
    <dgm:cxn modelId="{A89C7EE4-98C1-4F3D-8029-F36BCDA4CFF0}" type="presOf" srcId="{6B6D3972-599C-4980-9C88-D92611559C5C}" destId="{65E7361E-2098-441F-AA33-21969478B8A2}" srcOrd="0" destOrd="0" presId="urn:microsoft.com/office/officeart/2005/8/layout/process1"/>
    <dgm:cxn modelId="{3C14F55A-B823-41BA-8723-FEE11AD1ECDF}" type="presOf" srcId="{824C0776-43E6-437F-98B0-7637C8F9454A}" destId="{A6B57AA3-5065-407D-8FB2-83FB0EADC808}" srcOrd="1" destOrd="0" presId="urn:microsoft.com/office/officeart/2005/8/layout/process1"/>
    <dgm:cxn modelId="{D75C8C22-BFA6-47B3-A25B-0289487C232E}" type="presOf" srcId="{398B7234-AE33-4DC0-8AA3-DB3B1EEC7494}" destId="{8C27F41A-20A6-4732-B115-FC2FC622F36E}" srcOrd="0" destOrd="0" presId="urn:microsoft.com/office/officeart/2005/8/layout/process1"/>
    <dgm:cxn modelId="{991AC485-55F2-4064-BCDE-FD31DCF18B96}" srcId="{0A7BE151-DF4F-4F0A-98B7-633EB3511BC1}" destId="{6B6D3972-599C-4980-9C88-D92611559C5C}" srcOrd="2" destOrd="0" parTransId="{0E18DD3A-B6BF-499E-BC9D-B2F90B964595}" sibTransId="{485E9B9B-A7AB-4271-A8BE-58D735422E6F}"/>
    <dgm:cxn modelId="{1F26EDDA-CC8F-433A-B08E-D3C4E1C0D6DB}" type="presOf" srcId="{FCB413A7-8B72-4D48-955C-38BB7F76DDEF}" destId="{C7740E69-6156-41A7-8CE9-0A377F4BF140}" srcOrd="1" destOrd="0" presId="urn:microsoft.com/office/officeart/2005/8/layout/process1"/>
    <dgm:cxn modelId="{7D9CFBDB-B6DC-49B8-8948-C8942EE2ED42}" srcId="{0A7BE151-DF4F-4F0A-98B7-633EB3511BC1}" destId="{BF68182B-71BF-49B2-9FAC-9396E8D50C43}" srcOrd="1" destOrd="0" parTransId="{CAEB2920-4BC0-4428-BD74-4B6C0C3A7B20}" sibTransId="{FCB413A7-8B72-4D48-955C-38BB7F76DDEF}"/>
    <dgm:cxn modelId="{59FC067F-19F4-4C4A-8EA2-B9CC83884698}" type="presOf" srcId="{0A7BE151-DF4F-4F0A-98B7-633EB3511BC1}" destId="{0148F653-AB1D-430D-BE8A-EDE4B96570F0}" srcOrd="0" destOrd="0" presId="urn:microsoft.com/office/officeart/2005/8/layout/process1"/>
    <dgm:cxn modelId="{5A05BD0A-0EB7-40AE-8E1E-40C339E0E7FE}" type="presParOf" srcId="{0148F653-AB1D-430D-BE8A-EDE4B96570F0}" destId="{8C27F41A-20A6-4732-B115-FC2FC622F36E}" srcOrd="0" destOrd="0" presId="urn:microsoft.com/office/officeart/2005/8/layout/process1"/>
    <dgm:cxn modelId="{29302E0C-0E6F-4265-8DAF-8FFB1724BDF2}" type="presParOf" srcId="{0148F653-AB1D-430D-BE8A-EDE4B96570F0}" destId="{4B6EDD28-17AE-49BA-B71A-BF8C17C907B9}" srcOrd="1" destOrd="0" presId="urn:microsoft.com/office/officeart/2005/8/layout/process1"/>
    <dgm:cxn modelId="{29C724B3-0A3E-4542-903F-A4B966C822B5}" type="presParOf" srcId="{4B6EDD28-17AE-49BA-B71A-BF8C17C907B9}" destId="{A6B57AA3-5065-407D-8FB2-83FB0EADC808}" srcOrd="0" destOrd="0" presId="urn:microsoft.com/office/officeart/2005/8/layout/process1"/>
    <dgm:cxn modelId="{0A11B76C-DEC3-4919-A110-787D991EA570}" type="presParOf" srcId="{0148F653-AB1D-430D-BE8A-EDE4B96570F0}" destId="{6DF33567-0DE9-443D-9488-641879126920}" srcOrd="2" destOrd="0" presId="urn:microsoft.com/office/officeart/2005/8/layout/process1"/>
    <dgm:cxn modelId="{0D918951-1CF0-4DE2-8176-E90E63A2731A}" type="presParOf" srcId="{0148F653-AB1D-430D-BE8A-EDE4B96570F0}" destId="{2C2B80A8-7E4E-4481-83EE-BE475879F23F}" srcOrd="3" destOrd="0" presId="urn:microsoft.com/office/officeart/2005/8/layout/process1"/>
    <dgm:cxn modelId="{6B71945D-44A0-423A-B1DD-9223D9948610}" type="presParOf" srcId="{2C2B80A8-7E4E-4481-83EE-BE475879F23F}" destId="{C7740E69-6156-41A7-8CE9-0A377F4BF140}" srcOrd="0" destOrd="0" presId="urn:microsoft.com/office/officeart/2005/8/layout/process1"/>
    <dgm:cxn modelId="{83A5B7EA-66D1-4471-B4D6-538F120D0567}" type="presParOf" srcId="{0148F653-AB1D-430D-BE8A-EDE4B96570F0}" destId="{65E7361E-2098-441F-AA33-21969478B8A2}" srcOrd="4" destOrd="0" presId="urn:microsoft.com/office/officeart/2005/8/layout/process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27F41A-20A6-4732-B115-FC2FC622F36E}">
      <dsp:nvSpPr>
        <dsp:cNvPr id="0" name=""/>
        <dsp:cNvSpPr/>
      </dsp:nvSpPr>
      <dsp:spPr>
        <a:xfrm>
          <a:off x="113147" y="0"/>
          <a:ext cx="1553849" cy="2536825"/>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AU" sz="900" b="1" kern="1200">
              <a:solidFill>
                <a:sysClr val="windowText" lastClr="000000"/>
              </a:solidFill>
              <a:latin typeface="Calibri"/>
              <a:ea typeface="+mn-ea"/>
              <a:cs typeface="+mn-cs"/>
            </a:rPr>
            <a:t>HOW MANY APPRENTICES OR TRAINEES CAN I TRAIN?</a:t>
          </a:r>
        </a:p>
        <a:p>
          <a:pPr lvl="0" algn="ctr" defTabSz="400050">
            <a:lnSpc>
              <a:spcPct val="90000"/>
            </a:lnSpc>
            <a:spcBef>
              <a:spcPct val="0"/>
            </a:spcBef>
            <a:spcAft>
              <a:spcPct val="35000"/>
            </a:spcAft>
            <a:buNone/>
          </a:pPr>
          <a:r>
            <a:rPr lang="en-AU" sz="900" b="0" kern="1200">
              <a:solidFill>
                <a:sysClr val="windowText" lastClr="000000"/>
              </a:solidFill>
              <a:latin typeface="Calibri"/>
              <a:ea typeface="+mn-ea"/>
              <a:cs typeface="+mn-cs"/>
            </a:rPr>
            <a:t>CHECK THE PRESCRIBED SUPERVISION LEVEL FOR THE TRADE/DECLARED VOCATION IN THE </a:t>
          </a:r>
          <a:r>
            <a:rPr lang="en-AU" sz="900" b="0" i="1" kern="1200">
              <a:solidFill>
                <a:sysClr val="windowText" lastClr="000000"/>
              </a:solidFill>
              <a:latin typeface="Calibri"/>
              <a:ea typeface="+mn-ea"/>
              <a:cs typeface="+mn-cs"/>
            </a:rPr>
            <a:t>TRAINEESHIP AND APPRENTICESHIP PATHWAYS SCHEDULE</a:t>
          </a:r>
        </a:p>
        <a:p>
          <a:pPr lvl="0" algn="ctr" defTabSz="400050">
            <a:lnSpc>
              <a:spcPct val="90000"/>
            </a:lnSpc>
            <a:spcBef>
              <a:spcPct val="0"/>
            </a:spcBef>
            <a:spcAft>
              <a:spcPct val="35000"/>
            </a:spcAft>
            <a:buNone/>
          </a:pPr>
          <a:r>
            <a:rPr lang="en-AU" sz="900" kern="1200">
              <a:solidFill>
                <a:sysClr val="windowText" lastClr="000000"/>
              </a:solidFill>
              <a:latin typeface="Calibri"/>
              <a:ea typeface="+mn-ea"/>
              <a:cs typeface="+mn-cs"/>
            </a:rPr>
            <a:t>HIGH LEVEL = 1:1 to 1:3</a:t>
          </a:r>
        </a:p>
        <a:p>
          <a:pPr lvl="0" algn="ctr" defTabSz="400050">
            <a:lnSpc>
              <a:spcPct val="90000"/>
            </a:lnSpc>
            <a:spcBef>
              <a:spcPct val="0"/>
            </a:spcBef>
            <a:spcAft>
              <a:spcPct val="35000"/>
            </a:spcAft>
            <a:buNone/>
          </a:pPr>
          <a:r>
            <a:rPr lang="en-AU" sz="900" kern="1200">
              <a:solidFill>
                <a:sysClr val="windowText" lastClr="000000"/>
              </a:solidFill>
              <a:latin typeface="Calibri"/>
              <a:ea typeface="+mn-ea"/>
              <a:cs typeface="+mn-cs"/>
            </a:rPr>
            <a:t>MEDIUM LEVEL = 1:1 to 1:6</a:t>
          </a:r>
        </a:p>
        <a:p>
          <a:pPr lvl="0" algn="ctr" defTabSz="400050">
            <a:lnSpc>
              <a:spcPct val="90000"/>
            </a:lnSpc>
            <a:spcBef>
              <a:spcPct val="0"/>
            </a:spcBef>
            <a:spcAft>
              <a:spcPct val="35000"/>
            </a:spcAft>
            <a:buNone/>
          </a:pPr>
          <a:r>
            <a:rPr lang="en-AU" sz="900" kern="1200">
              <a:solidFill>
                <a:sysClr val="windowText" lastClr="000000"/>
              </a:solidFill>
              <a:latin typeface="Calibri"/>
              <a:ea typeface="+mn-ea"/>
              <a:cs typeface="+mn-cs"/>
            </a:rPr>
            <a:t>LOW LEVEL = 1:1 to 1:10</a:t>
          </a:r>
        </a:p>
      </dsp:txBody>
      <dsp:txXfrm>
        <a:off x="113147" y="0"/>
        <a:ext cx="1553849" cy="2536825"/>
      </dsp:txXfrm>
    </dsp:sp>
    <dsp:sp modelId="{4B6EDD28-17AE-49BA-B71A-BF8C17C907B9}">
      <dsp:nvSpPr>
        <dsp:cNvPr id="0" name=""/>
        <dsp:cNvSpPr/>
      </dsp:nvSpPr>
      <dsp:spPr>
        <a:xfrm>
          <a:off x="1796982" y="1075735"/>
          <a:ext cx="275569" cy="385354"/>
        </a:xfrm>
        <a:prstGeom prst="rightArrow">
          <a:avLst>
            <a:gd name="adj1" fmla="val 60000"/>
            <a:gd name="adj2" fmla="val 5000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AU" sz="700" kern="1200">
            <a:solidFill>
              <a:sysClr val="window" lastClr="FFFFFF"/>
            </a:solidFill>
            <a:latin typeface="Calibri"/>
            <a:ea typeface="+mn-ea"/>
            <a:cs typeface="+mn-cs"/>
          </a:endParaRPr>
        </a:p>
      </dsp:txBody>
      <dsp:txXfrm>
        <a:off x="1796982" y="1152806"/>
        <a:ext cx="192898" cy="231212"/>
      </dsp:txXfrm>
    </dsp:sp>
    <dsp:sp modelId="{6DF33567-0DE9-443D-9488-641879126920}">
      <dsp:nvSpPr>
        <dsp:cNvPr id="0" name=""/>
        <dsp:cNvSpPr/>
      </dsp:nvSpPr>
      <dsp:spPr>
        <a:xfrm>
          <a:off x="2186939" y="0"/>
          <a:ext cx="1553849" cy="2536825"/>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AU" sz="900" b="1" kern="1200">
              <a:solidFill>
                <a:sysClr val="windowText" lastClr="000000"/>
              </a:solidFill>
              <a:latin typeface="Calibri"/>
              <a:ea typeface="+mn-ea"/>
              <a:cs typeface="+mn-cs"/>
            </a:rPr>
            <a:t>WHEN DO DIFFERENT SUPERVISION TYPES APPLY?</a:t>
          </a:r>
        </a:p>
        <a:p>
          <a:pPr lvl="0" algn="ctr" defTabSz="400050">
            <a:lnSpc>
              <a:spcPct val="90000"/>
            </a:lnSpc>
            <a:spcBef>
              <a:spcPct val="0"/>
            </a:spcBef>
            <a:spcAft>
              <a:spcPct val="35000"/>
            </a:spcAft>
            <a:buNone/>
          </a:pPr>
          <a:r>
            <a:rPr lang="en-AU" sz="900" b="1" kern="1200">
              <a:solidFill>
                <a:sysClr val="windowText" lastClr="000000"/>
              </a:solidFill>
              <a:latin typeface="Calibri"/>
              <a:ea typeface="+mn-ea"/>
              <a:cs typeface="+mn-cs"/>
            </a:rPr>
            <a:t>DIRECT</a:t>
          </a:r>
          <a:r>
            <a:rPr lang="en-AU" sz="900" kern="1200">
              <a:solidFill>
                <a:sysClr val="windowText" lastClr="000000"/>
              </a:solidFill>
              <a:latin typeface="Calibri"/>
              <a:ea typeface="+mn-ea"/>
              <a:cs typeface="+mn-cs"/>
            </a:rPr>
            <a:t>: (the default position) when the apprentice/trainee is not yet capable in the required task </a:t>
          </a:r>
        </a:p>
        <a:p>
          <a:pPr lvl="0" algn="ctr" defTabSz="400050">
            <a:lnSpc>
              <a:spcPct val="90000"/>
            </a:lnSpc>
            <a:spcBef>
              <a:spcPct val="0"/>
            </a:spcBef>
            <a:spcAft>
              <a:spcPct val="35000"/>
            </a:spcAft>
            <a:buNone/>
          </a:pPr>
          <a:r>
            <a:rPr lang="en-AU" sz="900" b="1" kern="1200">
              <a:solidFill>
                <a:sysClr val="windowText" lastClr="000000"/>
              </a:solidFill>
              <a:latin typeface="Calibri"/>
              <a:ea typeface="+mn-ea"/>
              <a:cs typeface="+mn-cs"/>
            </a:rPr>
            <a:t>INDIRECT</a:t>
          </a:r>
          <a:r>
            <a:rPr lang="en-AU" sz="900" kern="1200">
              <a:solidFill>
                <a:sysClr val="windowText" lastClr="000000"/>
              </a:solidFill>
              <a:latin typeface="Calibri"/>
              <a:ea typeface="+mn-ea"/>
              <a:cs typeface="+mn-cs"/>
            </a:rPr>
            <a:t>: when you have determined that this apprentice/trainee is capable in this task</a:t>
          </a:r>
        </a:p>
        <a:p>
          <a:pPr lvl="0" algn="ctr" defTabSz="400050">
            <a:lnSpc>
              <a:spcPct val="90000"/>
            </a:lnSpc>
            <a:spcBef>
              <a:spcPct val="0"/>
            </a:spcBef>
            <a:spcAft>
              <a:spcPct val="35000"/>
            </a:spcAft>
            <a:buNone/>
          </a:pPr>
          <a:r>
            <a:rPr lang="en-AU" sz="900" b="1" kern="1200">
              <a:solidFill>
                <a:sysClr val="windowText" lastClr="000000"/>
              </a:solidFill>
              <a:latin typeface="Calibri"/>
              <a:ea typeface="+mn-ea"/>
              <a:cs typeface="+mn-cs"/>
            </a:rPr>
            <a:t>REMOTE:</a:t>
          </a:r>
          <a:r>
            <a:rPr lang="en-AU" sz="900" kern="1200">
              <a:solidFill>
                <a:sysClr val="windowText" lastClr="000000"/>
              </a:solidFill>
              <a:latin typeface="Calibri"/>
              <a:ea typeface="+mn-ea"/>
              <a:cs typeface="+mn-cs"/>
            </a:rPr>
            <a:t> </a:t>
          </a:r>
          <a:r>
            <a:rPr lang="en-AU" sz="900" u="none" kern="1200">
              <a:solidFill>
                <a:sysClr val="windowText" lastClr="000000"/>
              </a:solidFill>
              <a:latin typeface="Calibri"/>
              <a:ea typeface="+mn-ea"/>
              <a:cs typeface="+mn-cs"/>
            </a:rPr>
            <a:t>only with the SA Skills Commission's written approval</a:t>
          </a:r>
        </a:p>
      </dsp:txBody>
      <dsp:txXfrm>
        <a:off x="2186939" y="0"/>
        <a:ext cx="1553849" cy="2536825"/>
      </dsp:txXfrm>
    </dsp:sp>
    <dsp:sp modelId="{2C2B80A8-7E4E-4481-83EE-BE475879F23F}">
      <dsp:nvSpPr>
        <dsp:cNvPr id="0" name=""/>
        <dsp:cNvSpPr/>
      </dsp:nvSpPr>
      <dsp:spPr>
        <a:xfrm rot="5043">
          <a:off x="3885060" y="1077310"/>
          <a:ext cx="305856" cy="385354"/>
        </a:xfrm>
        <a:prstGeom prst="rightArrow">
          <a:avLst>
            <a:gd name="adj1" fmla="val 60000"/>
            <a:gd name="adj2" fmla="val 50000"/>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buNone/>
          </a:pPr>
          <a:endParaRPr lang="en-AU" sz="700" kern="1200">
            <a:solidFill>
              <a:sysClr val="window" lastClr="FFFFFF"/>
            </a:solidFill>
            <a:latin typeface="Calibri"/>
            <a:ea typeface="+mn-ea"/>
            <a:cs typeface="+mn-cs"/>
          </a:endParaRPr>
        </a:p>
      </dsp:txBody>
      <dsp:txXfrm>
        <a:off x="3885060" y="1154314"/>
        <a:ext cx="214099" cy="231212"/>
      </dsp:txXfrm>
    </dsp:sp>
    <dsp:sp modelId="{65E7361E-2098-441F-AA33-21969478B8A2}">
      <dsp:nvSpPr>
        <dsp:cNvPr id="0" name=""/>
        <dsp:cNvSpPr/>
      </dsp:nvSpPr>
      <dsp:spPr>
        <a:xfrm>
          <a:off x="4317876" y="12596"/>
          <a:ext cx="1553849" cy="2517883"/>
        </a:xfrm>
        <a:prstGeom prst="rect">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AU" sz="900" b="1" kern="1200">
              <a:solidFill>
                <a:sysClr val="windowText" lastClr="000000"/>
              </a:solidFill>
              <a:latin typeface="Calibri"/>
              <a:ea typeface="+mn-ea"/>
              <a:cs typeface="+mn-cs"/>
            </a:rPr>
            <a:t>HOW DO I DETERMINE WHETHER AND WHEN THE APPRENTICE OR TRAINEE IS CAPABLE IN THE TASK?</a:t>
          </a:r>
        </a:p>
        <a:p>
          <a:pPr lvl="0" algn="ctr" defTabSz="400050">
            <a:lnSpc>
              <a:spcPct val="90000"/>
            </a:lnSpc>
            <a:spcBef>
              <a:spcPct val="0"/>
            </a:spcBef>
            <a:spcAft>
              <a:spcPct val="35000"/>
            </a:spcAft>
            <a:buNone/>
          </a:pPr>
          <a:r>
            <a:rPr lang="en-AU" sz="900" b="1" kern="1200">
              <a:solidFill>
                <a:sysClr val="windowText" lastClr="000000"/>
              </a:solidFill>
              <a:latin typeface="Calibri"/>
              <a:ea typeface="+mn-ea"/>
              <a:cs typeface="+mn-cs"/>
            </a:rPr>
            <a:t>CONSIDER  </a:t>
          </a:r>
          <a:r>
            <a:rPr lang="en-AU" sz="900" b="0" kern="1200">
              <a:solidFill>
                <a:sysClr val="windowText" lastClr="000000"/>
              </a:solidFill>
              <a:latin typeface="Calibri"/>
              <a:ea typeface="+mn-ea"/>
              <a:cs typeface="+mn-cs"/>
            </a:rPr>
            <a:t>the factors in Part 5.5: Determining the appropriate supervision type </a:t>
          </a:r>
        </a:p>
        <a:p>
          <a:pPr lvl="0" algn="ctr" defTabSz="400050">
            <a:lnSpc>
              <a:spcPct val="90000"/>
            </a:lnSpc>
            <a:spcBef>
              <a:spcPct val="0"/>
            </a:spcBef>
            <a:spcAft>
              <a:spcPct val="35000"/>
            </a:spcAft>
            <a:buNone/>
          </a:pPr>
          <a:r>
            <a:rPr lang="en-AU" sz="900" b="1" kern="1200">
              <a:solidFill>
                <a:sysClr val="windowText" lastClr="000000"/>
              </a:solidFill>
              <a:latin typeface="Calibri"/>
              <a:ea typeface="+mn-ea"/>
              <a:cs typeface="+mn-cs"/>
            </a:rPr>
            <a:t>CHECK</a:t>
          </a:r>
          <a:r>
            <a:rPr lang="en-AU" sz="900" b="0" kern="1200">
              <a:solidFill>
                <a:sysClr val="windowText" lastClr="000000"/>
              </a:solidFill>
              <a:latin typeface="Calibri"/>
              <a:ea typeface="+mn-ea"/>
              <a:cs typeface="+mn-cs"/>
            </a:rPr>
            <a:t> with the nominated RTO</a:t>
          </a:r>
        </a:p>
        <a:p>
          <a:pPr lvl="0" algn="ctr" defTabSz="400050">
            <a:lnSpc>
              <a:spcPct val="90000"/>
            </a:lnSpc>
            <a:spcBef>
              <a:spcPct val="0"/>
            </a:spcBef>
            <a:spcAft>
              <a:spcPct val="35000"/>
            </a:spcAft>
            <a:buNone/>
          </a:pPr>
          <a:r>
            <a:rPr lang="en-AU" sz="900" b="1" kern="1200">
              <a:solidFill>
                <a:sysClr val="windowText" lastClr="000000"/>
              </a:solidFill>
              <a:latin typeface="Calibri"/>
              <a:ea typeface="+mn-ea"/>
              <a:cs typeface="+mn-cs"/>
            </a:rPr>
            <a:t>RECORD</a:t>
          </a:r>
          <a:r>
            <a:rPr lang="en-AU" sz="900" b="0" kern="1200">
              <a:solidFill>
                <a:sysClr val="windowText" lastClr="000000"/>
              </a:solidFill>
              <a:latin typeface="Calibri"/>
              <a:ea typeface="+mn-ea"/>
              <a:cs typeface="+mn-cs"/>
            </a:rPr>
            <a:t> your assessment and the reasons for it</a:t>
          </a:r>
          <a:endParaRPr lang="en-AU" sz="900" b="1" kern="1200">
            <a:solidFill>
              <a:sysClr val="windowText" lastClr="000000"/>
            </a:solidFill>
            <a:latin typeface="Calibri"/>
            <a:ea typeface="+mn-ea"/>
            <a:cs typeface="+mn-cs"/>
          </a:endParaRPr>
        </a:p>
      </dsp:txBody>
      <dsp:txXfrm>
        <a:off x="4317876" y="12596"/>
        <a:ext cx="1553849" cy="251788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10A1D-E0F7-4068-B76F-89D2D1153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Template>
  <TotalTime>37</TotalTime>
  <Pages>150</Pages>
  <Words>78054</Words>
  <Characters>444908</Characters>
  <Application>Microsoft Office Word</Application>
  <DocSecurity>0</DocSecurity>
  <Lines>3707</Lines>
  <Paragraphs>1043</Paragraphs>
  <ScaleCrop>false</ScaleCrop>
  <HeadingPairs>
    <vt:vector size="2" baseType="variant">
      <vt:variant>
        <vt:lpstr>Title</vt:lpstr>
      </vt:variant>
      <vt:variant>
        <vt:i4>1</vt:i4>
      </vt:variant>
    </vt:vector>
  </HeadingPairs>
  <TitlesOfParts>
    <vt:vector size="1" baseType="lpstr">
      <vt:lpstr>No. 82 - Thursday, 23 December 2021 (pp. 4615–4764)</vt:lpstr>
    </vt:vector>
  </TitlesOfParts>
  <Company>SA Government</Company>
  <LinksUpToDate>false</LinksUpToDate>
  <CharactersWithSpaces>521919</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82 - Thursday, 23 December 2021 (pp. 4615–4764)</dc:title>
  <dc:subject/>
  <dc:creator>Alicia Wheaton</dc:creator>
  <cp:keywords/>
  <cp:lastModifiedBy>Alicia Wheaton</cp:lastModifiedBy>
  <cp:revision>26</cp:revision>
  <cp:lastPrinted>2021-06-29T04:46:00Z</cp:lastPrinted>
  <dcterms:created xsi:type="dcterms:W3CDTF">2021-12-23T03:37:00Z</dcterms:created>
  <dcterms:modified xsi:type="dcterms:W3CDTF">2021-12-23T05:20:00Z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2021-12-23T05:17:10Z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06ae4d81-f511-48b7-9a1c-6ed170d75ff2</vt:lpwstr>
  </property>
  <property fmtid="{D5CDD505-2E9C-101B-9397-08002B2CF9AE}" pid="8" name="MSIP_Label_77274858-3b1d-4431-8679-d878f40e28fd_ContentBits">
    <vt:lpwstr>1</vt:lpwstr>
  </property>
</Properties>
</file>