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111C2E" w:rsidP="00DA30CF">
      <w:pPr>
        <w:tabs>
          <w:tab w:val="right" w:pos="9360"/>
        </w:tabs>
        <w:spacing w:after="0" w:line="210" w:lineRule="exact"/>
        <w:rPr>
          <w:rFonts w:ascii="Times New Roman" w:hAnsi="Times New Roman"/>
          <w:sz w:val="21"/>
          <w:szCs w:val="21"/>
        </w:rPr>
      </w:pPr>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612978">
        <w:rPr>
          <w:rFonts w:ascii="Times New Roman" w:hAnsi="Times New Roman"/>
          <w:sz w:val="21"/>
          <w:szCs w:val="21"/>
        </w:rPr>
        <w:t xml:space="preserve">No. </w:t>
      </w:r>
      <w:r w:rsidR="00C35208">
        <w:rPr>
          <w:rFonts w:ascii="Times New Roman" w:hAnsi="Times New Roman"/>
          <w:sz w:val="21"/>
          <w:szCs w:val="21"/>
        </w:rPr>
        <w:t>19</w:t>
      </w:r>
      <w:r w:rsidR="00DA30CF" w:rsidRPr="00612978">
        <w:rPr>
          <w:rFonts w:ascii="Times New Roman" w:hAnsi="Times New Roman"/>
          <w:sz w:val="21"/>
          <w:szCs w:val="21"/>
        </w:rPr>
        <w:tab/>
      </w:r>
      <w:r w:rsidR="00575614">
        <w:rPr>
          <w:rFonts w:ascii="Times New Roman" w:hAnsi="Times New Roman"/>
          <w:sz w:val="21"/>
          <w:szCs w:val="21"/>
        </w:rPr>
        <w:t xml:space="preserve">p. </w:t>
      </w:r>
      <w:r w:rsidR="00C35208">
        <w:rPr>
          <w:rFonts w:ascii="Times New Roman" w:hAnsi="Times New Roman"/>
          <w:sz w:val="21"/>
          <w:szCs w:val="21"/>
        </w:rPr>
        <w:t>1075</w:t>
      </w:r>
    </w:p>
    <w:p w:rsidR="00777F88" w:rsidRPr="00612978" w:rsidRDefault="00A54E7C" w:rsidP="00A54E7C">
      <w:pPr>
        <w:spacing w:after="120" w:line="280" w:lineRule="exact"/>
        <w:jc w:val="center"/>
        <w:rPr>
          <w:rFonts w:ascii="Times New Roman" w:hAnsi="Times New Roman"/>
          <w:sz w:val="17"/>
          <w:szCs w:val="17"/>
        </w:rPr>
      </w:pPr>
      <w:bookmarkStart w:id="0" w:name="_GoBack"/>
      <w:bookmarkEnd w:id="0"/>
      <w:r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C35208">
        <w:rPr>
          <w:rFonts w:ascii="Times New Roman" w:hAnsi="Times New Roman"/>
          <w:smallCaps/>
          <w:color w:val="000000"/>
          <w:sz w:val="28"/>
          <w:szCs w:val="26"/>
        </w:rPr>
        <w:t>Thursday</w:t>
      </w:r>
      <w:r w:rsidRPr="00612978">
        <w:rPr>
          <w:rFonts w:ascii="Times New Roman" w:hAnsi="Times New Roman"/>
          <w:smallCaps/>
          <w:color w:val="000000"/>
          <w:sz w:val="28"/>
          <w:szCs w:val="26"/>
        </w:rPr>
        <w:t xml:space="preserve">, </w:t>
      </w:r>
      <w:r w:rsidR="00C35208">
        <w:rPr>
          <w:rFonts w:ascii="Times New Roman" w:hAnsi="Times New Roman"/>
          <w:smallCaps/>
          <w:color w:val="000000"/>
          <w:sz w:val="28"/>
          <w:szCs w:val="26"/>
        </w:rPr>
        <w:t xml:space="preserve">25 March </w:t>
      </w:r>
      <w:r w:rsidRPr="00612978">
        <w:rPr>
          <w:rFonts w:ascii="Times New Roman" w:hAnsi="Times New Roman"/>
          <w:smallCaps/>
          <w:color w:val="000000"/>
          <w:sz w:val="28"/>
          <w:szCs w:val="26"/>
        </w:rPr>
        <w:t>20</w:t>
      </w:r>
      <w:r w:rsidR="00E02241">
        <w:rPr>
          <w:rFonts w:ascii="Times New Roman" w:hAnsi="Times New Roman"/>
          <w:smallCaps/>
          <w:color w:val="000000"/>
          <w:sz w:val="28"/>
          <w:szCs w:val="26"/>
        </w:rPr>
        <w:t>2</w:t>
      </w:r>
      <w:r w:rsidR="00693DF1">
        <w:rPr>
          <w:rFonts w:ascii="Times New Roman" w:hAnsi="Times New Roman"/>
          <w:smallCaps/>
          <w:color w:val="000000"/>
          <w:sz w:val="28"/>
          <w:szCs w:val="26"/>
        </w:rPr>
        <w:t>1</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rsidR="001B7138" w:rsidRPr="00FB48A8" w:rsidRDefault="001B7138" w:rsidP="00FB48A8">
      <w:pPr>
        <w:spacing w:after="0" w:line="320" w:lineRule="exact"/>
        <w:ind w:left="2268" w:right="2414" w:firstLine="142"/>
        <w:rPr>
          <w:rFonts w:ascii="Times New Roman" w:hAnsi="Times New Roman"/>
          <w:smallCaps/>
          <w:sz w:val="17"/>
          <w:szCs w:val="17"/>
        </w:rPr>
      </w:pPr>
    </w:p>
    <w:p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sdt>
      <w:sdtPr>
        <w:rPr>
          <w:rFonts w:ascii="Times New Roman" w:hAnsi="Times New Roman"/>
          <w:sz w:val="17"/>
          <w:szCs w:val="17"/>
        </w:rPr>
        <w:id w:val="-606657578"/>
        <w:docPartObj>
          <w:docPartGallery w:val="Table of Contents"/>
          <w:docPartUnique/>
        </w:docPartObj>
      </w:sdtPr>
      <w:sdtEndPr>
        <w:rPr>
          <w:b/>
          <w:bCs/>
          <w:noProof/>
        </w:rPr>
      </w:sdtEndPr>
      <w:sdtContent>
        <w:p w:rsidR="002130BD" w:rsidRPr="002130BD" w:rsidRDefault="002130BD" w:rsidP="002130BD">
          <w:pPr>
            <w:pStyle w:val="TOC1"/>
            <w:tabs>
              <w:tab w:val="right" w:leader="dot" w:pos="4548"/>
            </w:tabs>
            <w:spacing w:after="0"/>
            <w:rPr>
              <w:rFonts w:ascii="Times New Roman" w:eastAsiaTheme="minorEastAsia" w:hAnsi="Times New Roman"/>
              <w:noProof/>
              <w:sz w:val="17"/>
              <w:szCs w:val="17"/>
              <w:lang w:eastAsia="en-AU"/>
            </w:rPr>
          </w:pPr>
          <w:r w:rsidRPr="002130BD">
            <w:rPr>
              <w:rFonts w:ascii="Times New Roman" w:hAnsi="Times New Roman"/>
              <w:b/>
              <w:smallCaps/>
              <w:sz w:val="17"/>
              <w:szCs w:val="20"/>
            </w:rPr>
            <w:fldChar w:fldCharType="begin"/>
          </w:r>
          <w:r w:rsidRPr="002130BD">
            <w:rPr>
              <w:rFonts w:ascii="Times New Roman" w:hAnsi="Times New Roman"/>
              <w:b/>
              <w:smallCaps/>
              <w:sz w:val="17"/>
              <w:szCs w:val="20"/>
            </w:rPr>
            <w:instrText xml:space="preserve"> TOC \o "1-3" \h \z \u </w:instrText>
          </w:r>
          <w:r w:rsidRPr="002130BD">
            <w:rPr>
              <w:rFonts w:ascii="Times New Roman" w:hAnsi="Times New Roman"/>
              <w:b/>
              <w:smallCaps/>
              <w:sz w:val="17"/>
              <w:szCs w:val="20"/>
            </w:rPr>
            <w:fldChar w:fldCharType="separate"/>
          </w:r>
          <w:hyperlink w:anchor="_Toc67575164" w:history="1">
            <w:r w:rsidRPr="002130BD">
              <w:rPr>
                <w:rFonts w:ascii="Times New Roman" w:eastAsia="Times New Roman" w:hAnsi="Times New Roman"/>
                <w:b/>
                <w:smallCaps/>
                <w:sz w:val="17"/>
                <w:szCs w:val="17"/>
              </w:rPr>
              <w:t>Governor’s Instruments</w:t>
            </w:r>
          </w:hyperlink>
        </w:p>
        <w:p w:rsidR="002130BD" w:rsidRDefault="00AE4592" w:rsidP="002130BD">
          <w:pPr>
            <w:pStyle w:val="TOC2"/>
            <w:rPr>
              <w:noProof/>
            </w:rPr>
          </w:pPr>
          <w:hyperlink w:anchor="_Toc67575165" w:history="1">
            <w:r w:rsidR="002130BD" w:rsidRPr="002130BD">
              <w:rPr>
                <w:rStyle w:val="Hyperlink"/>
                <w:rFonts w:ascii="Times New Roman" w:hAnsi="Times New Roman"/>
                <w:noProof/>
                <w:sz w:val="17"/>
                <w:szCs w:val="17"/>
              </w:rPr>
              <w:t>Planning, Development and Infrastructure Act 2016</w:t>
            </w:r>
            <w:r w:rsidR="002130BD" w:rsidRPr="002130BD">
              <w:rPr>
                <w:noProof/>
                <w:webHidden/>
              </w:rPr>
              <w:tab/>
            </w:r>
            <w:r w:rsidR="002130BD" w:rsidRPr="002130BD">
              <w:rPr>
                <w:rFonts w:ascii="Times New Roman" w:hAnsi="Times New Roman"/>
                <w:noProof/>
                <w:webHidden/>
                <w:sz w:val="17"/>
                <w:szCs w:val="17"/>
              </w:rPr>
              <w:fldChar w:fldCharType="begin"/>
            </w:r>
            <w:r w:rsidR="002130BD" w:rsidRPr="002130BD">
              <w:rPr>
                <w:rFonts w:ascii="Times New Roman" w:hAnsi="Times New Roman"/>
                <w:noProof/>
                <w:webHidden/>
                <w:sz w:val="17"/>
                <w:szCs w:val="17"/>
              </w:rPr>
              <w:instrText xml:space="preserve"> PAGEREF _Toc67575165 \h </w:instrText>
            </w:r>
            <w:r w:rsidR="002130BD" w:rsidRPr="002130BD">
              <w:rPr>
                <w:rFonts w:ascii="Times New Roman" w:hAnsi="Times New Roman"/>
                <w:noProof/>
                <w:webHidden/>
                <w:sz w:val="17"/>
                <w:szCs w:val="17"/>
              </w:rPr>
            </w:r>
            <w:r w:rsidR="002130BD" w:rsidRPr="002130BD">
              <w:rPr>
                <w:rFonts w:ascii="Times New Roman" w:hAnsi="Times New Roman"/>
                <w:noProof/>
                <w:webHidden/>
                <w:sz w:val="17"/>
                <w:szCs w:val="17"/>
              </w:rPr>
              <w:fldChar w:fldCharType="separate"/>
            </w:r>
            <w:r w:rsidR="002130BD" w:rsidRPr="002130BD">
              <w:rPr>
                <w:rFonts w:ascii="Times New Roman" w:hAnsi="Times New Roman"/>
                <w:noProof/>
                <w:webHidden/>
                <w:sz w:val="17"/>
                <w:szCs w:val="17"/>
              </w:rPr>
              <w:t>1076</w:t>
            </w:r>
            <w:r w:rsidR="002130BD" w:rsidRPr="002130BD">
              <w:rPr>
                <w:rFonts w:ascii="Times New Roman" w:hAnsi="Times New Roman"/>
                <w:noProof/>
                <w:webHidden/>
                <w:sz w:val="17"/>
                <w:szCs w:val="17"/>
              </w:rPr>
              <w:fldChar w:fldCharType="end"/>
            </w:r>
          </w:hyperlink>
        </w:p>
        <w:p w:rsidR="00F337C8" w:rsidRPr="00F337C8" w:rsidRDefault="002130BD" w:rsidP="002130BD">
          <w:r w:rsidRPr="002130BD">
            <w:rPr>
              <w:rFonts w:ascii="Times New Roman" w:hAnsi="Times New Roman"/>
              <w:b/>
              <w:bCs/>
              <w:noProof/>
              <w:sz w:val="17"/>
              <w:szCs w:val="17"/>
            </w:rPr>
            <w:fldChar w:fldCharType="end"/>
          </w:r>
        </w:p>
      </w:sdtContent>
    </w:sdt>
    <w:p w:rsidR="00842BD5" w:rsidRDefault="00842BD5" w:rsidP="00FB48A8">
      <w:pPr>
        <w:spacing w:after="0"/>
        <w:rPr>
          <w:rFonts w:ascii="Times New Roman" w:hAnsi="Times New Roman"/>
          <w:smallCaps/>
          <w:sz w:val="17"/>
          <w:szCs w:val="17"/>
        </w:rPr>
      </w:pPr>
    </w:p>
    <w:p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3"/>
          <w:headerReference w:type="default" r:id="rId14"/>
          <w:footerReference w:type="default" r:id="rId15"/>
          <w:footerReference w:type="first" r:id="rId16"/>
          <w:type w:val="continuous"/>
          <w:pgSz w:w="11906" w:h="16838"/>
          <w:pgMar w:top="1134" w:right="3674" w:bottom="1134" w:left="3674" w:header="708" w:footer="708" w:gutter="0"/>
          <w:cols w:space="240"/>
          <w:docGrid w:linePitch="360"/>
        </w:sectPr>
      </w:pPr>
    </w:p>
    <w:p w:rsidR="00F337C8" w:rsidRPr="00693DF1" w:rsidRDefault="00F337C8" w:rsidP="00693DF1">
      <w:pPr>
        <w:pStyle w:val="Heading1"/>
      </w:pPr>
      <w:bookmarkStart w:id="1" w:name="_Toc67575164"/>
      <w:r w:rsidRPr="00693DF1">
        <w:lastRenderedPageBreak/>
        <w:t>Governor’s Instruments</w:t>
      </w:r>
      <w:bookmarkEnd w:id="1"/>
    </w:p>
    <w:p w:rsidR="00976656" w:rsidRPr="00976656" w:rsidRDefault="00976656" w:rsidP="002130BD">
      <w:pPr>
        <w:pStyle w:val="Heading2"/>
      </w:pPr>
      <w:bookmarkStart w:id="2" w:name="_Toc67575165"/>
      <w:r w:rsidRPr="00976656">
        <w:t>Planning, Development and Infrastructure Act 2016</w:t>
      </w:r>
      <w:bookmarkEnd w:id="2"/>
    </w:p>
    <w:p w:rsidR="00976656" w:rsidRPr="00976656" w:rsidRDefault="00976656" w:rsidP="00976656">
      <w:pPr>
        <w:jc w:val="center"/>
        <w:rPr>
          <w:rFonts w:ascii="Times New Roman" w:hAnsi="Times New Roman"/>
          <w:smallCaps/>
          <w:sz w:val="17"/>
          <w:szCs w:val="17"/>
        </w:rPr>
      </w:pPr>
      <w:r w:rsidRPr="00976656">
        <w:rPr>
          <w:rFonts w:ascii="Times New Roman" w:hAnsi="Times New Roman"/>
          <w:smallCaps/>
          <w:sz w:val="17"/>
          <w:szCs w:val="17"/>
        </w:rPr>
        <w:t>Section 42</w:t>
      </w:r>
    </w:p>
    <w:p w:rsidR="00976656" w:rsidRPr="00976656" w:rsidRDefault="00976656" w:rsidP="00976656">
      <w:pPr>
        <w:jc w:val="center"/>
        <w:rPr>
          <w:rFonts w:ascii="Times New Roman" w:hAnsi="Times New Roman"/>
          <w:i/>
          <w:sz w:val="17"/>
          <w:szCs w:val="17"/>
        </w:rPr>
      </w:pPr>
      <w:r w:rsidRPr="00976656">
        <w:rPr>
          <w:rFonts w:ascii="Times New Roman" w:hAnsi="Times New Roman"/>
          <w:i/>
          <w:sz w:val="17"/>
          <w:szCs w:val="17"/>
        </w:rPr>
        <w:t>Practice Directions</w:t>
      </w:r>
    </w:p>
    <w:p w:rsidR="00976656" w:rsidRPr="00976656" w:rsidRDefault="00976656" w:rsidP="00976656">
      <w:pPr>
        <w:rPr>
          <w:rFonts w:ascii="Times New Roman" w:eastAsia="Times New Roman" w:hAnsi="Times New Roman"/>
          <w:i/>
          <w:sz w:val="17"/>
          <w:szCs w:val="20"/>
        </w:rPr>
      </w:pPr>
      <w:r w:rsidRPr="00976656">
        <w:rPr>
          <w:rFonts w:ascii="Times New Roman" w:eastAsia="Times New Roman" w:hAnsi="Times New Roman"/>
          <w:i/>
          <w:sz w:val="17"/>
          <w:szCs w:val="20"/>
        </w:rPr>
        <w:t>Preamble</w:t>
      </w:r>
    </w:p>
    <w:p w:rsidR="00976656" w:rsidRPr="00976656" w:rsidRDefault="00976656" w:rsidP="00976656">
      <w:pPr>
        <w:rPr>
          <w:rFonts w:ascii="Times New Roman" w:eastAsia="Times New Roman" w:hAnsi="Times New Roman"/>
          <w:sz w:val="17"/>
          <w:szCs w:val="20"/>
        </w:rPr>
      </w:pPr>
      <w:r w:rsidRPr="00976656">
        <w:rPr>
          <w:rFonts w:ascii="Times New Roman" w:eastAsia="Times New Roman" w:hAnsi="Times New Roman"/>
          <w:sz w:val="17"/>
          <w:szCs w:val="20"/>
        </w:rPr>
        <w:t>The State Planning Commission may issue a practice direction for the purposes of this Act.</w:t>
      </w:r>
    </w:p>
    <w:p w:rsidR="00976656" w:rsidRPr="00976656" w:rsidRDefault="00976656" w:rsidP="00976656">
      <w:pPr>
        <w:rPr>
          <w:rFonts w:ascii="Times New Roman" w:eastAsia="Times New Roman" w:hAnsi="Times New Roman"/>
          <w:sz w:val="17"/>
          <w:szCs w:val="20"/>
        </w:rPr>
      </w:pPr>
      <w:r w:rsidRPr="00976656">
        <w:rPr>
          <w:rFonts w:ascii="Times New Roman" w:eastAsia="Times New Roman" w:hAnsi="Times New Roman"/>
          <w:sz w:val="17"/>
          <w:szCs w:val="20"/>
        </w:rPr>
        <w:t>A practice direction may specify procedural requirements or steps in connection with any matter arising under this Act.</w:t>
      </w:r>
    </w:p>
    <w:p w:rsidR="00976656" w:rsidRPr="00976656" w:rsidRDefault="00976656" w:rsidP="00976656">
      <w:pPr>
        <w:rPr>
          <w:rFonts w:ascii="Times New Roman" w:eastAsia="Times New Roman" w:hAnsi="Times New Roman"/>
          <w:sz w:val="17"/>
          <w:szCs w:val="20"/>
        </w:rPr>
      </w:pPr>
      <w:r w:rsidRPr="00976656">
        <w:rPr>
          <w:rFonts w:ascii="Times New Roman" w:eastAsia="Times New Roman" w:hAnsi="Times New Roman"/>
          <w:sz w:val="17"/>
          <w:szCs w:val="20"/>
        </w:rPr>
        <w:t xml:space="preserve">A practice direction must be notified in the </w:t>
      </w:r>
      <w:r w:rsidRPr="00976656">
        <w:rPr>
          <w:rFonts w:ascii="Times New Roman" w:eastAsia="Times New Roman" w:hAnsi="Times New Roman"/>
          <w:i/>
          <w:sz w:val="17"/>
          <w:szCs w:val="20"/>
        </w:rPr>
        <w:t>Gazette</w:t>
      </w:r>
      <w:r w:rsidRPr="00976656">
        <w:rPr>
          <w:rFonts w:ascii="Times New Roman" w:eastAsia="Times New Roman" w:hAnsi="Times New Roman"/>
          <w:sz w:val="17"/>
          <w:szCs w:val="20"/>
        </w:rPr>
        <w:t xml:space="preserve"> and published on the SA planning portal.</w:t>
      </w:r>
    </w:p>
    <w:p w:rsidR="00976656" w:rsidRPr="00976656" w:rsidRDefault="00976656" w:rsidP="00976656">
      <w:pPr>
        <w:rPr>
          <w:rFonts w:ascii="Times New Roman" w:eastAsia="Times New Roman" w:hAnsi="Times New Roman"/>
          <w:sz w:val="17"/>
          <w:szCs w:val="20"/>
        </w:rPr>
      </w:pPr>
      <w:r w:rsidRPr="00976656">
        <w:rPr>
          <w:rFonts w:ascii="Times New Roman" w:eastAsia="Times New Roman" w:hAnsi="Times New Roman"/>
          <w:sz w:val="17"/>
          <w:szCs w:val="20"/>
        </w:rPr>
        <w:t>Section 144(1) of the Act makes specific provision for a practice direction to be issued to require councils to carry out inspections of development undertaken in their respective areas.</w:t>
      </w:r>
    </w:p>
    <w:p w:rsidR="00976656" w:rsidRPr="00976656" w:rsidRDefault="00976656" w:rsidP="00976656">
      <w:pPr>
        <w:rPr>
          <w:rFonts w:ascii="Times New Roman" w:eastAsia="Times New Roman" w:hAnsi="Times New Roman"/>
          <w:sz w:val="17"/>
          <w:szCs w:val="20"/>
        </w:rPr>
      </w:pPr>
      <w:r w:rsidRPr="00976656">
        <w:rPr>
          <w:rFonts w:ascii="Times New Roman" w:eastAsia="Times New Roman" w:hAnsi="Times New Roman"/>
          <w:sz w:val="17"/>
          <w:szCs w:val="20"/>
        </w:rPr>
        <w:t>Section 156(5) of the Act makes specific provision for a practice direction to be issued to require councils to carry out inspections of swimming pools and buildings to ascertain compliance with Section 156.</w:t>
      </w:r>
    </w:p>
    <w:p w:rsidR="00976656" w:rsidRPr="00976656" w:rsidRDefault="00976656" w:rsidP="00976656">
      <w:pPr>
        <w:jc w:val="center"/>
        <w:rPr>
          <w:rFonts w:ascii="Times New Roman" w:hAnsi="Times New Roman"/>
          <w:smallCaps/>
          <w:sz w:val="17"/>
          <w:szCs w:val="17"/>
        </w:rPr>
      </w:pPr>
      <w:r w:rsidRPr="00976656">
        <w:rPr>
          <w:rFonts w:ascii="Times New Roman" w:hAnsi="Times New Roman"/>
          <w:smallCaps/>
          <w:sz w:val="17"/>
          <w:szCs w:val="17"/>
        </w:rPr>
        <w:t>Notice</w:t>
      </w:r>
    </w:p>
    <w:p w:rsidR="00976656" w:rsidRPr="00976656" w:rsidRDefault="00976656" w:rsidP="00976656">
      <w:pPr>
        <w:rPr>
          <w:rFonts w:ascii="Times New Roman" w:eastAsia="Times New Roman" w:hAnsi="Times New Roman"/>
          <w:sz w:val="17"/>
          <w:szCs w:val="20"/>
        </w:rPr>
      </w:pPr>
      <w:r w:rsidRPr="00976656">
        <w:rPr>
          <w:rFonts w:ascii="Times New Roman" w:eastAsia="Times New Roman" w:hAnsi="Times New Roman"/>
          <w:sz w:val="17"/>
          <w:szCs w:val="20"/>
        </w:rPr>
        <w:t xml:space="preserve">PURSUANT to Section 42(4) of the </w:t>
      </w:r>
      <w:r w:rsidRPr="00976656">
        <w:rPr>
          <w:rFonts w:ascii="Times New Roman" w:eastAsia="Times New Roman" w:hAnsi="Times New Roman"/>
          <w:i/>
          <w:sz w:val="17"/>
          <w:szCs w:val="20"/>
        </w:rPr>
        <w:t>Planning, Development and Infrastructure Act 2016</w:t>
      </w:r>
      <w:r w:rsidRPr="00976656">
        <w:rPr>
          <w:rFonts w:ascii="Times New Roman" w:eastAsia="Times New Roman" w:hAnsi="Times New Roman"/>
          <w:sz w:val="17"/>
          <w:szCs w:val="20"/>
        </w:rPr>
        <w:t xml:space="preserve">, I, </w:t>
      </w:r>
      <w:r w:rsidRPr="00976656">
        <w:rPr>
          <w:rFonts w:ascii="Times New Roman" w:eastAsia="Times New Roman" w:hAnsi="Times New Roman"/>
          <w:b/>
          <w:sz w:val="17"/>
          <w:szCs w:val="20"/>
        </w:rPr>
        <w:t>Michael Lennon</w:t>
      </w:r>
      <w:r w:rsidRPr="00976656">
        <w:rPr>
          <w:rFonts w:ascii="Times New Roman" w:eastAsia="Times New Roman" w:hAnsi="Times New Roman"/>
          <w:sz w:val="17"/>
          <w:szCs w:val="20"/>
        </w:rPr>
        <w:t>, State Planning Commission Chairperson:</w:t>
      </w:r>
    </w:p>
    <w:p w:rsidR="00976656" w:rsidRPr="00976656" w:rsidRDefault="00976656" w:rsidP="00976656">
      <w:pPr>
        <w:ind w:left="426" w:hanging="284"/>
        <w:rPr>
          <w:rFonts w:ascii="Times New Roman" w:eastAsia="Times New Roman" w:hAnsi="Times New Roman"/>
          <w:sz w:val="17"/>
          <w:szCs w:val="20"/>
        </w:rPr>
      </w:pPr>
      <w:r w:rsidRPr="00976656">
        <w:rPr>
          <w:rFonts w:ascii="Times New Roman" w:eastAsia="Times New Roman" w:hAnsi="Times New Roman"/>
          <w:sz w:val="17"/>
          <w:szCs w:val="20"/>
        </w:rPr>
        <w:t>(a)</w:t>
      </w:r>
      <w:r w:rsidRPr="00976656">
        <w:rPr>
          <w:rFonts w:ascii="Times New Roman" w:eastAsia="Times New Roman" w:hAnsi="Times New Roman"/>
          <w:sz w:val="17"/>
          <w:szCs w:val="20"/>
        </w:rPr>
        <w:tab/>
      </w:r>
      <w:proofErr w:type="gramStart"/>
      <w:r w:rsidRPr="00976656">
        <w:rPr>
          <w:rFonts w:ascii="Times New Roman" w:eastAsia="Times New Roman" w:hAnsi="Times New Roman"/>
          <w:spacing w:val="-2"/>
          <w:sz w:val="17"/>
          <w:szCs w:val="20"/>
        </w:rPr>
        <w:t>vary</w:t>
      </w:r>
      <w:proofErr w:type="gramEnd"/>
      <w:r w:rsidRPr="00976656">
        <w:rPr>
          <w:rFonts w:ascii="Times New Roman" w:eastAsia="Times New Roman" w:hAnsi="Times New Roman"/>
          <w:spacing w:val="-2"/>
          <w:sz w:val="17"/>
          <w:szCs w:val="20"/>
        </w:rPr>
        <w:t xml:space="preserve"> the State Planning Commission Practice Direction 8 (Council Swimming Pool Inspections) 2019 under Section 156(5) of the Act.</w:t>
      </w:r>
    </w:p>
    <w:p w:rsidR="00976656" w:rsidRPr="00976656" w:rsidRDefault="00976656" w:rsidP="00976656">
      <w:pPr>
        <w:ind w:left="426" w:hanging="284"/>
        <w:rPr>
          <w:rFonts w:ascii="Times New Roman" w:eastAsia="Times New Roman" w:hAnsi="Times New Roman"/>
          <w:sz w:val="17"/>
          <w:szCs w:val="20"/>
        </w:rPr>
      </w:pPr>
      <w:r w:rsidRPr="00976656">
        <w:rPr>
          <w:rFonts w:ascii="Times New Roman" w:eastAsia="Times New Roman" w:hAnsi="Times New Roman"/>
          <w:sz w:val="17"/>
          <w:szCs w:val="20"/>
        </w:rPr>
        <w:t>(b)</w:t>
      </w:r>
      <w:r w:rsidRPr="00976656">
        <w:rPr>
          <w:rFonts w:ascii="Times New Roman" w:eastAsia="Times New Roman" w:hAnsi="Times New Roman"/>
          <w:sz w:val="17"/>
          <w:szCs w:val="20"/>
        </w:rPr>
        <w:tab/>
      </w:r>
      <w:proofErr w:type="gramStart"/>
      <w:r w:rsidRPr="00976656">
        <w:rPr>
          <w:rFonts w:ascii="Times New Roman" w:eastAsia="Times New Roman" w:hAnsi="Times New Roman"/>
          <w:sz w:val="17"/>
          <w:szCs w:val="20"/>
        </w:rPr>
        <w:t>vary</w:t>
      </w:r>
      <w:proofErr w:type="gramEnd"/>
      <w:r w:rsidRPr="00976656">
        <w:rPr>
          <w:rFonts w:ascii="Times New Roman" w:eastAsia="Times New Roman" w:hAnsi="Times New Roman"/>
          <w:sz w:val="17"/>
          <w:szCs w:val="20"/>
        </w:rPr>
        <w:t xml:space="preserve"> the State Planning Commission Practice Direction 9 (Council Inspections) 2020 under Section 144(1) of the Act.</w:t>
      </w:r>
    </w:p>
    <w:p w:rsidR="00976656" w:rsidRPr="00976656" w:rsidRDefault="00976656" w:rsidP="00976656">
      <w:pPr>
        <w:spacing w:after="0"/>
        <w:rPr>
          <w:rFonts w:ascii="Times New Roman" w:eastAsia="Times New Roman" w:hAnsi="Times New Roman"/>
          <w:sz w:val="17"/>
          <w:szCs w:val="17"/>
        </w:rPr>
      </w:pPr>
      <w:r w:rsidRPr="00976656">
        <w:rPr>
          <w:rFonts w:ascii="Times New Roman" w:eastAsia="Times New Roman" w:hAnsi="Times New Roman"/>
          <w:sz w:val="17"/>
          <w:szCs w:val="17"/>
        </w:rPr>
        <w:t>Dated: 12 March 2021</w:t>
      </w:r>
    </w:p>
    <w:p w:rsidR="00976656" w:rsidRPr="00976656" w:rsidRDefault="00976656" w:rsidP="00976656">
      <w:pPr>
        <w:spacing w:after="0"/>
        <w:jc w:val="right"/>
        <w:rPr>
          <w:rFonts w:ascii="Times New Roman" w:eastAsia="Times New Roman" w:hAnsi="Times New Roman"/>
          <w:smallCaps/>
          <w:sz w:val="17"/>
          <w:szCs w:val="20"/>
        </w:rPr>
      </w:pPr>
      <w:r w:rsidRPr="00976656">
        <w:rPr>
          <w:rFonts w:ascii="Times New Roman" w:eastAsia="Times New Roman" w:hAnsi="Times New Roman"/>
          <w:smallCaps/>
          <w:sz w:val="17"/>
          <w:szCs w:val="20"/>
        </w:rPr>
        <w:t>Michael Lennon</w:t>
      </w:r>
    </w:p>
    <w:p w:rsidR="00976656" w:rsidRPr="00976656" w:rsidRDefault="00976656" w:rsidP="00976656">
      <w:pPr>
        <w:spacing w:after="0"/>
        <w:jc w:val="right"/>
        <w:rPr>
          <w:rFonts w:ascii="Times New Roman" w:eastAsia="Times New Roman" w:hAnsi="Times New Roman"/>
          <w:sz w:val="17"/>
          <w:szCs w:val="17"/>
        </w:rPr>
      </w:pPr>
      <w:r w:rsidRPr="00976656">
        <w:rPr>
          <w:rFonts w:ascii="Times New Roman" w:eastAsia="Times New Roman" w:hAnsi="Times New Roman"/>
          <w:sz w:val="17"/>
          <w:szCs w:val="17"/>
        </w:rPr>
        <w:t>State Planning Commission Chairperson</w:t>
      </w:r>
    </w:p>
    <w:p w:rsidR="00976656" w:rsidRPr="00976656" w:rsidRDefault="00976656" w:rsidP="00976656">
      <w:pPr>
        <w:pBdr>
          <w:top w:val="single" w:sz="4" w:space="1" w:color="auto"/>
        </w:pBdr>
        <w:spacing w:before="100" w:after="0" w:line="14" w:lineRule="exact"/>
        <w:jc w:val="center"/>
        <w:rPr>
          <w:rFonts w:ascii="Times New Roman" w:eastAsia="Times New Roman" w:hAnsi="Times New Roman"/>
          <w:sz w:val="17"/>
          <w:szCs w:val="20"/>
        </w:rPr>
      </w:pPr>
    </w:p>
    <w:p w:rsidR="00976656" w:rsidRPr="00976656" w:rsidRDefault="00976656" w:rsidP="0097665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eastAsia="Times New Roman" w:hAnsi="Times New Roman"/>
          <w:sz w:val="17"/>
          <w:szCs w:val="20"/>
        </w:rPr>
      </w:pPr>
    </w:p>
    <w:p w:rsidR="00976656" w:rsidRPr="004D2245" w:rsidRDefault="00976656" w:rsidP="00976656">
      <w:pPr>
        <w:pStyle w:val="GG-Title1"/>
      </w:pPr>
      <w:r w:rsidRPr="004D2245">
        <w:t>Planning, Development and Infrastructure Act 2016</w:t>
      </w:r>
    </w:p>
    <w:p w:rsidR="00976656" w:rsidRPr="004D2245" w:rsidRDefault="00976656" w:rsidP="00976656">
      <w:pPr>
        <w:pStyle w:val="GG-Title2"/>
      </w:pPr>
      <w:r w:rsidRPr="004D2245">
        <w:t>Section 42</w:t>
      </w:r>
    </w:p>
    <w:p w:rsidR="00976656" w:rsidRPr="004D2245" w:rsidRDefault="00976656" w:rsidP="00976656">
      <w:pPr>
        <w:pStyle w:val="GG-Title3"/>
      </w:pPr>
      <w:r w:rsidRPr="004D2245">
        <w:t>Practice Directions</w:t>
      </w:r>
    </w:p>
    <w:p w:rsidR="00976656" w:rsidRPr="004D2245" w:rsidRDefault="00976656" w:rsidP="00976656">
      <w:pPr>
        <w:pStyle w:val="GG-body"/>
        <w:rPr>
          <w:i/>
        </w:rPr>
      </w:pPr>
      <w:r w:rsidRPr="004D2245">
        <w:rPr>
          <w:i/>
        </w:rPr>
        <w:t>Preamble</w:t>
      </w:r>
    </w:p>
    <w:p w:rsidR="00976656" w:rsidRPr="004D2245" w:rsidRDefault="00976656" w:rsidP="00976656">
      <w:pPr>
        <w:pStyle w:val="GG-body"/>
      </w:pPr>
      <w:r w:rsidRPr="004D2245">
        <w:t>The State Planning Commission may issue a practice direction for the purposes of this Act.</w:t>
      </w:r>
    </w:p>
    <w:p w:rsidR="00976656" w:rsidRPr="004D2245" w:rsidRDefault="00976656" w:rsidP="00976656">
      <w:pPr>
        <w:pStyle w:val="GG-body"/>
      </w:pPr>
      <w:r w:rsidRPr="004D2245">
        <w:t>A practice direction may specify procedural requirements or steps in connection with any matter arising under this Act.</w:t>
      </w:r>
    </w:p>
    <w:p w:rsidR="00976656" w:rsidRPr="004D2245" w:rsidRDefault="00976656" w:rsidP="00976656">
      <w:pPr>
        <w:pStyle w:val="GG-body"/>
      </w:pPr>
      <w:r w:rsidRPr="004D2245">
        <w:t>A practice direction must be notified in the Gazette and published on the SA planning portal.</w:t>
      </w:r>
    </w:p>
    <w:p w:rsidR="00976656" w:rsidRPr="004D2245" w:rsidRDefault="00976656" w:rsidP="00976656">
      <w:pPr>
        <w:pStyle w:val="GG-Title2"/>
      </w:pPr>
      <w:r w:rsidRPr="004D2245">
        <w:t>Notice</w:t>
      </w:r>
    </w:p>
    <w:p w:rsidR="00976656" w:rsidRPr="004D2245" w:rsidRDefault="00976656" w:rsidP="00976656">
      <w:pPr>
        <w:pStyle w:val="GG-body"/>
      </w:pPr>
      <w:r w:rsidRPr="004D2245">
        <w:t xml:space="preserve">PURSUANT to section 42 (4) (a) of the </w:t>
      </w:r>
      <w:r w:rsidRPr="004D2245">
        <w:rPr>
          <w:i/>
          <w:iCs/>
        </w:rPr>
        <w:t xml:space="preserve">Planning, Development and Infrastructure Act 2016, </w:t>
      </w:r>
      <w:r w:rsidRPr="004D2245">
        <w:t xml:space="preserve">I, </w:t>
      </w:r>
      <w:r w:rsidRPr="004D2245">
        <w:rPr>
          <w:b/>
          <w:bCs/>
        </w:rPr>
        <w:t xml:space="preserve">Helen Dyer, </w:t>
      </w:r>
      <w:r w:rsidRPr="004D2245">
        <w:t>State Planning Commission Chairperson,</w:t>
      </w:r>
    </w:p>
    <w:p w:rsidR="00976656" w:rsidRPr="004D2245" w:rsidRDefault="00976656" w:rsidP="00976656">
      <w:pPr>
        <w:pStyle w:val="GG-body"/>
        <w:numPr>
          <w:ilvl w:val="0"/>
          <w:numId w:val="16"/>
        </w:numPr>
        <w:ind w:left="567" w:hanging="283"/>
      </w:pPr>
      <w:r w:rsidRPr="004D2245">
        <w:t>issue State Planning Commission Practice Direction 16 (Urban Tree Canopy Off-set Scheme) 2021</w:t>
      </w:r>
    </w:p>
    <w:p w:rsidR="00976656" w:rsidRPr="004D2245" w:rsidRDefault="00976656" w:rsidP="00976656">
      <w:pPr>
        <w:pStyle w:val="GG-body"/>
        <w:numPr>
          <w:ilvl w:val="0"/>
          <w:numId w:val="16"/>
        </w:numPr>
        <w:ind w:left="567" w:hanging="283"/>
      </w:pPr>
      <w:proofErr w:type="gramStart"/>
      <w:r w:rsidRPr="004D2245">
        <w:t>fix</w:t>
      </w:r>
      <w:proofErr w:type="gramEnd"/>
      <w:r w:rsidRPr="004D2245">
        <w:t xml:space="preserve"> the day on which the practice direction is published on the SA Planning Portal as the day on which the practice direction will come into operation.</w:t>
      </w:r>
    </w:p>
    <w:p w:rsidR="00976656" w:rsidRPr="004D2245" w:rsidRDefault="00976656" w:rsidP="00976656">
      <w:pPr>
        <w:pStyle w:val="GG-SDated"/>
      </w:pPr>
      <w:r w:rsidRPr="004D2245">
        <w:t xml:space="preserve">Dated: </w:t>
      </w:r>
      <w:r>
        <w:t xml:space="preserve">23 March </w:t>
      </w:r>
      <w:r w:rsidRPr="004D2245">
        <w:t>2021</w:t>
      </w:r>
    </w:p>
    <w:p w:rsidR="00976656" w:rsidRPr="004D2245" w:rsidRDefault="00976656" w:rsidP="00976656">
      <w:pPr>
        <w:pStyle w:val="GG-SName"/>
      </w:pPr>
      <w:r w:rsidRPr="004D2245">
        <w:t>Helen Dyer</w:t>
      </w:r>
    </w:p>
    <w:p w:rsidR="00976656" w:rsidRDefault="00976656" w:rsidP="00976656">
      <w:pPr>
        <w:pStyle w:val="GG-Signature"/>
      </w:pPr>
      <w:r w:rsidRPr="004D2245">
        <w:t>State Planning Commission Chairperson</w:t>
      </w:r>
    </w:p>
    <w:p w:rsidR="00976656" w:rsidRDefault="00976656" w:rsidP="00976656">
      <w:pPr>
        <w:pStyle w:val="GG-Signature"/>
        <w:pBdr>
          <w:top w:val="single" w:sz="4" w:space="1" w:color="auto"/>
        </w:pBdr>
        <w:spacing w:before="100" w:line="14" w:lineRule="exact"/>
        <w:jc w:val="center"/>
      </w:pPr>
    </w:p>
    <w:p w:rsidR="00976656" w:rsidRPr="007E1530" w:rsidRDefault="00976656" w:rsidP="00976656">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rsidR="00C35208" w:rsidRPr="00C35208" w:rsidRDefault="00C35208" w:rsidP="00C35208">
      <w:pPr>
        <w:jc w:val="center"/>
        <w:rPr>
          <w:rFonts w:ascii="Times New Roman" w:hAnsi="Times New Roman"/>
          <w:caps/>
          <w:sz w:val="17"/>
          <w:szCs w:val="17"/>
        </w:rPr>
      </w:pPr>
      <w:r w:rsidRPr="00C35208">
        <w:rPr>
          <w:rFonts w:ascii="Times New Roman" w:hAnsi="Times New Roman"/>
          <w:caps/>
          <w:sz w:val="17"/>
          <w:szCs w:val="17"/>
        </w:rPr>
        <w:t>Planning, Development and Infrastructure Act 2016</w:t>
      </w:r>
    </w:p>
    <w:p w:rsidR="00C35208" w:rsidRPr="00C35208" w:rsidRDefault="00C35208" w:rsidP="00C35208">
      <w:pPr>
        <w:jc w:val="center"/>
        <w:rPr>
          <w:rFonts w:ascii="Times New Roman" w:hAnsi="Times New Roman"/>
          <w:smallCaps/>
          <w:sz w:val="17"/>
          <w:szCs w:val="17"/>
        </w:rPr>
      </w:pPr>
      <w:r w:rsidRPr="00C35208">
        <w:rPr>
          <w:rFonts w:ascii="Times New Roman" w:hAnsi="Times New Roman"/>
          <w:smallCaps/>
          <w:sz w:val="17"/>
          <w:szCs w:val="17"/>
        </w:rPr>
        <w:t>Section 76</w:t>
      </w:r>
    </w:p>
    <w:p w:rsidR="00C35208" w:rsidRPr="00C35208" w:rsidRDefault="00C35208" w:rsidP="00C35208">
      <w:pPr>
        <w:jc w:val="center"/>
        <w:rPr>
          <w:rFonts w:ascii="Times New Roman" w:hAnsi="Times New Roman"/>
          <w:i/>
          <w:sz w:val="17"/>
          <w:szCs w:val="17"/>
        </w:rPr>
      </w:pPr>
      <w:r w:rsidRPr="00C35208">
        <w:rPr>
          <w:rFonts w:ascii="Times New Roman" w:hAnsi="Times New Roman"/>
          <w:i/>
          <w:sz w:val="17"/>
          <w:szCs w:val="17"/>
        </w:rPr>
        <w:t>Amendment to the Planning and Design Code</w:t>
      </w:r>
    </w:p>
    <w:p w:rsidR="00C35208" w:rsidRPr="00C35208" w:rsidRDefault="00C35208" w:rsidP="00C35208">
      <w:pPr>
        <w:rPr>
          <w:rFonts w:ascii="Times New Roman" w:eastAsiaTheme="minorHAnsi" w:hAnsi="Times New Roman"/>
          <w:i/>
          <w:sz w:val="17"/>
          <w:szCs w:val="17"/>
          <w:lang w:val="en-GB"/>
        </w:rPr>
      </w:pPr>
      <w:r w:rsidRPr="00C35208">
        <w:rPr>
          <w:rFonts w:ascii="Times New Roman" w:eastAsiaTheme="minorHAnsi" w:hAnsi="Times New Roman"/>
          <w:i/>
          <w:sz w:val="17"/>
          <w:szCs w:val="17"/>
          <w:lang w:val="en-GB"/>
        </w:rPr>
        <w:t>Preamble</w:t>
      </w:r>
    </w:p>
    <w:p w:rsidR="00C35208" w:rsidRPr="00C35208" w:rsidRDefault="00C35208" w:rsidP="00C35208">
      <w:pPr>
        <w:rPr>
          <w:rFonts w:ascii="Times New Roman" w:eastAsia="Times New Roman" w:hAnsi="Times New Roman"/>
          <w:sz w:val="17"/>
          <w:szCs w:val="17"/>
        </w:rPr>
      </w:pPr>
      <w:r w:rsidRPr="00C35208">
        <w:rPr>
          <w:rFonts w:ascii="Times New Roman" w:eastAsia="Times New Roman" w:hAnsi="Times New Roman"/>
          <w:sz w:val="17"/>
          <w:szCs w:val="17"/>
        </w:rPr>
        <w:t>It is necessary to amend the Planning and Design Code (the Code) in operation at 19 March 2021 in order to make changes of form, address inconsistency and correct errors that relate to:</w:t>
      </w:r>
    </w:p>
    <w:p w:rsidR="00C35208" w:rsidRPr="00C35208" w:rsidRDefault="00C35208" w:rsidP="00C35208">
      <w:pPr>
        <w:numPr>
          <w:ilvl w:val="0"/>
          <w:numId w:val="8"/>
        </w:numPr>
        <w:spacing w:after="40"/>
        <w:ind w:left="567" w:hanging="283"/>
        <w:rPr>
          <w:rFonts w:ascii="Times New Roman" w:eastAsia="Times New Roman" w:hAnsi="Times New Roman"/>
          <w:sz w:val="17"/>
          <w:szCs w:val="17"/>
        </w:rPr>
      </w:pPr>
      <w:r w:rsidRPr="00C35208">
        <w:rPr>
          <w:rFonts w:ascii="Times New Roman" w:eastAsia="Times New Roman" w:hAnsi="Times New Roman"/>
          <w:sz w:val="17"/>
          <w:szCs w:val="17"/>
        </w:rPr>
        <w:t xml:space="preserve">Statutory referrals in relation to site contamination, following recent changes made to the </w:t>
      </w:r>
      <w:r w:rsidRPr="00C35208">
        <w:rPr>
          <w:rFonts w:ascii="Times New Roman" w:eastAsia="Times New Roman" w:hAnsi="Times New Roman"/>
          <w:i/>
          <w:sz w:val="17"/>
          <w:szCs w:val="17"/>
        </w:rPr>
        <w:t>Planning, Development and Infrastructure (General) Regulations 2017</w:t>
      </w:r>
      <w:r w:rsidRPr="00C35208">
        <w:rPr>
          <w:rFonts w:ascii="Times New Roman" w:eastAsia="Times New Roman" w:hAnsi="Times New Roman"/>
          <w:sz w:val="17"/>
          <w:szCs w:val="17"/>
        </w:rPr>
        <w:t xml:space="preserve"> (gazetted 18 March 2021).</w:t>
      </w:r>
    </w:p>
    <w:p w:rsidR="00C35208" w:rsidRPr="00C35208" w:rsidRDefault="00C35208" w:rsidP="00C35208">
      <w:pPr>
        <w:numPr>
          <w:ilvl w:val="0"/>
          <w:numId w:val="8"/>
        </w:numPr>
        <w:spacing w:after="40"/>
        <w:ind w:left="567" w:hanging="283"/>
        <w:rPr>
          <w:rFonts w:ascii="Times New Roman" w:eastAsia="Times New Roman" w:hAnsi="Times New Roman"/>
          <w:sz w:val="17"/>
          <w:szCs w:val="17"/>
        </w:rPr>
      </w:pPr>
      <w:r w:rsidRPr="00C35208">
        <w:rPr>
          <w:rFonts w:ascii="Times New Roman" w:eastAsia="Times New Roman" w:hAnsi="Times New Roman"/>
          <w:sz w:val="17"/>
          <w:szCs w:val="17"/>
        </w:rPr>
        <w:t>A typographical error in Part 1 of the Code referencing incorrect legislation.</w:t>
      </w:r>
    </w:p>
    <w:p w:rsidR="00C35208" w:rsidRPr="00C35208" w:rsidRDefault="00C35208" w:rsidP="00C35208">
      <w:pPr>
        <w:numPr>
          <w:ilvl w:val="0"/>
          <w:numId w:val="8"/>
        </w:numPr>
        <w:spacing w:after="40"/>
        <w:ind w:left="567" w:hanging="283"/>
        <w:rPr>
          <w:rFonts w:ascii="Times New Roman" w:eastAsia="Times New Roman" w:hAnsi="Times New Roman"/>
          <w:sz w:val="17"/>
          <w:szCs w:val="17"/>
        </w:rPr>
      </w:pPr>
      <w:r w:rsidRPr="00C35208">
        <w:rPr>
          <w:rFonts w:ascii="Times New Roman" w:eastAsia="Times New Roman" w:hAnsi="Times New Roman"/>
          <w:sz w:val="17"/>
          <w:szCs w:val="17"/>
        </w:rPr>
        <w:t>Consistency with the title of Part 5 of the Code, and clarification of reserved matters in relation to the Urban Tree Canopy Overlay.</w:t>
      </w:r>
    </w:p>
    <w:p w:rsidR="00C35208" w:rsidRPr="00C35208" w:rsidRDefault="00C35208" w:rsidP="00C35208">
      <w:pPr>
        <w:numPr>
          <w:ilvl w:val="0"/>
          <w:numId w:val="8"/>
        </w:numPr>
        <w:spacing w:after="40"/>
        <w:ind w:left="567" w:hanging="283"/>
        <w:rPr>
          <w:rFonts w:ascii="Times New Roman" w:eastAsia="Times New Roman" w:hAnsi="Times New Roman"/>
          <w:sz w:val="17"/>
          <w:szCs w:val="17"/>
        </w:rPr>
      </w:pPr>
      <w:r w:rsidRPr="00C35208">
        <w:rPr>
          <w:rFonts w:ascii="Times New Roman" w:eastAsia="Times New Roman" w:hAnsi="Times New Roman"/>
          <w:sz w:val="17"/>
          <w:szCs w:val="17"/>
        </w:rPr>
        <w:t>Update to the Community Facilities Zone to reflect the endorsed recommendations of the State Planning Commission and the Minister</w:t>
      </w:r>
    </w:p>
    <w:p w:rsidR="00C35208" w:rsidRPr="00C35208" w:rsidRDefault="00C35208" w:rsidP="00C35208">
      <w:pPr>
        <w:numPr>
          <w:ilvl w:val="0"/>
          <w:numId w:val="8"/>
        </w:numPr>
        <w:spacing w:after="40"/>
        <w:ind w:left="567" w:hanging="283"/>
        <w:rPr>
          <w:rFonts w:ascii="Times New Roman" w:eastAsia="Times New Roman" w:hAnsi="Times New Roman"/>
          <w:sz w:val="17"/>
          <w:szCs w:val="17"/>
        </w:rPr>
      </w:pPr>
      <w:r w:rsidRPr="00C35208">
        <w:rPr>
          <w:rFonts w:ascii="Times New Roman" w:eastAsia="Times New Roman" w:hAnsi="Times New Roman"/>
          <w:sz w:val="17"/>
          <w:szCs w:val="17"/>
        </w:rPr>
        <w:t>The spatial application of Technical and Numeric Variations (various)</w:t>
      </w:r>
    </w:p>
    <w:p w:rsidR="00C35208" w:rsidRPr="00C35208" w:rsidRDefault="00C35208" w:rsidP="00C35208">
      <w:pPr>
        <w:numPr>
          <w:ilvl w:val="0"/>
          <w:numId w:val="8"/>
        </w:numPr>
        <w:ind w:left="567" w:hanging="283"/>
        <w:rPr>
          <w:rFonts w:ascii="Times New Roman" w:eastAsia="Times New Roman" w:hAnsi="Times New Roman"/>
          <w:sz w:val="17"/>
          <w:szCs w:val="17"/>
        </w:rPr>
      </w:pPr>
      <w:r w:rsidRPr="00C35208">
        <w:rPr>
          <w:rFonts w:ascii="Times New Roman" w:eastAsia="Times New Roman" w:hAnsi="Times New Roman"/>
          <w:sz w:val="17"/>
          <w:szCs w:val="17"/>
        </w:rPr>
        <w:t xml:space="preserve">The Deemed-to Satisfy classification of ‘advertisement’. </w:t>
      </w:r>
    </w:p>
    <w:p w:rsidR="00C35208" w:rsidRPr="00C35208" w:rsidRDefault="00C35208" w:rsidP="00C35208">
      <w:pPr>
        <w:rPr>
          <w:rFonts w:ascii="Times New Roman" w:eastAsiaTheme="minorHAnsi" w:hAnsi="Times New Roman"/>
          <w:sz w:val="17"/>
          <w:szCs w:val="17"/>
          <w:lang w:val="en-GB"/>
        </w:rPr>
      </w:pPr>
      <w:r w:rsidRPr="00C35208">
        <w:rPr>
          <w:rFonts w:ascii="Times New Roman" w:eastAsiaTheme="minorHAnsi" w:hAnsi="Times New Roman"/>
          <w:sz w:val="17"/>
          <w:szCs w:val="17"/>
          <w:lang w:val="en-GB"/>
        </w:rPr>
        <w:t xml:space="preserve">PURSUANT to section </w:t>
      </w:r>
      <w:r w:rsidRPr="00C35208">
        <w:rPr>
          <w:rFonts w:ascii="Times New Roman" w:eastAsiaTheme="minorHAnsi" w:hAnsi="Times New Roman"/>
          <w:color w:val="262626"/>
          <w:sz w:val="17"/>
          <w:szCs w:val="17"/>
          <w:lang w:val="en-GB"/>
        </w:rPr>
        <w:t>76(1</w:t>
      </w:r>
      <w:proofErr w:type="gramStart"/>
      <w:r w:rsidRPr="00C35208">
        <w:rPr>
          <w:rFonts w:ascii="Times New Roman" w:eastAsiaTheme="minorHAnsi" w:hAnsi="Times New Roman"/>
          <w:color w:val="262626"/>
          <w:sz w:val="17"/>
          <w:szCs w:val="17"/>
          <w:lang w:val="en-GB"/>
        </w:rPr>
        <w:t>)(</w:t>
      </w:r>
      <w:proofErr w:type="gramEnd"/>
      <w:r w:rsidRPr="00C35208">
        <w:rPr>
          <w:rFonts w:ascii="Times New Roman" w:eastAsiaTheme="minorHAnsi" w:hAnsi="Times New Roman"/>
          <w:color w:val="262626"/>
          <w:sz w:val="17"/>
          <w:szCs w:val="17"/>
          <w:lang w:val="en-GB"/>
        </w:rPr>
        <w:t xml:space="preserve">a) and (b) </w:t>
      </w:r>
      <w:r w:rsidRPr="00C35208">
        <w:rPr>
          <w:rFonts w:ascii="Times New Roman" w:eastAsiaTheme="minorHAnsi" w:hAnsi="Times New Roman"/>
          <w:sz w:val="17"/>
          <w:szCs w:val="17"/>
          <w:lang w:val="en-GB"/>
        </w:rPr>
        <w:t xml:space="preserve">of the </w:t>
      </w:r>
      <w:r w:rsidRPr="00C35208">
        <w:rPr>
          <w:rFonts w:ascii="Times New Roman" w:eastAsiaTheme="minorHAnsi" w:hAnsi="Times New Roman"/>
          <w:i/>
          <w:sz w:val="17"/>
          <w:szCs w:val="17"/>
          <w:lang w:val="en-GB"/>
        </w:rPr>
        <w:t>Planning, Development and Infrastructure Act 2016</w:t>
      </w:r>
      <w:r w:rsidRPr="00C35208">
        <w:rPr>
          <w:rFonts w:ascii="Times New Roman" w:eastAsiaTheme="minorHAnsi" w:hAnsi="Times New Roman"/>
          <w:sz w:val="17"/>
          <w:szCs w:val="17"/>
          <w:lang w:val="en-GB"/>
        </w:rPr>
        <w:t xml:space="preserve">, I— </w:t>
      </w:r>
    </w:p>
    <w:p w:rsidR="00C35208" w:rsidRPr="00C35208" w:rsidRDefault="00C35208" w:rsidP="00C35208">
      <w:pPr>
        <w:numPr>
          <w:ilvl w:val="0"/>
          <w:numId w:val="7"/>
        </w:numPr>
        <w:ind w:left="567" w:hanging="283"/>
        <w:rPr>
          <w:rFonts w:ascii="Times New Roman" w:eastAsiaTheme="minorHAnsi" w:hAnsi="Times New Roman"/>
          <w:bCs/>
          <w:sz w:val="17"/>
          <w:szCs w:val="17"/>
          <w:lang w:val="en-GB"/>
        </w:rPr>
      </w:pPr>
      <w:r w:rsidRPr="00C35208">
        <w:rPr>
          <w:rFonts w:ascii="Times New Roman" w:eastAsiaTheme="minorHAnsi" w:hAnsi="Times New Roman"/>
          <w:bCs/>
          <w:sz w:val="17"/>
          <w:szCs w:val="17"/>
          <w:lang w:val="en-GB"/>
        </w:rPr>
        <w:t>Amend the Code as follows:</w:t>
      </w:r>
    </w:p>
    <w:p w:rsidR="00C35208" w:rsidRPr="00C35208" w:rsidRDefault="00C35208" w:rsidP="00C35208">
      <w:pPr>
        <w:numPr>
          <w:ilvl w:val="0"/>
          <w:numId w:val="9"/>
        </w:numPr>
        <w:ind w:left="851" w:hanging="284"/>
        <w:rPr>
          <w:rFonts w:ascii="Times New Roman" w:eastAsia="Times New Roman" w:hAnsi="Times New Roman"/>
          <w:sz w:val="17"/>
          <w:szCs w:val="17"/>
          <w:lang w:val="en-GB"/>
        </w:rPr>
      </w:pPr>
      <w:r w:rsidRPr="00C35208">
        <w:rPr>
          <w:rFonts w:ascii="Times New Roman" w:eastAsia="Times New Roman" w:hAnsi="Times New Roman"/>
          <w:sz w:val="17"/>
          <w:szCs w:val="17"/>
          <w:lang w:val="en-GB"/>
        </w:rPr>
        <w:t>Update Part 9.1 as follows:</w:t>
      </w:r>
    </w:p>
    <w:p w:rsidR="00C35208" w:rsidRPr="00C35208" w:rsidRDefault="00C35208" w:rsidP="00C35208">
      <w:pPr>
        <w:numPr>
          <w:ilvl w:val="0"/>
          <w:numId w:val="4"/>
        </w:numPr>
        <w:ind w:left="1276" w:hanging="403"/>
        <w:jc w:val="left"/>
        <w:rPr>
          <w:rFonts w:ascii="Times New Roman" w:eastAsia="Times New Roman" w:hAnsi="Times New Roman"/>
          <w:bCs/>
          <w:sz w:val="17"/>
          <w:szCs w:val="17"/>
          <w:lang w:val="en-GB"/>
        </w:rPr>
      </w:pPr>
      <w:r w:rsidRPr="00C35208">
        <w:rPr>
          <w:rFonts w:ascii="Times New Roman" w:eastAsiaTheme="minorHAnsi" w:hAnsi="Times New Roman"/>
          <w:bCs/>
          <w:sz w:val="17"/>
          <w:szCs w:val="17"/>
          <w:lang w:val="en-GB"/>
        </w:rPr>
        <w:t>Amend the ‘</w:t>
      </w:r>
      <w:r w:rsidRPr="00C35208">
        <w:rPr>
          <w:rFonts w:ascii="Times New Roman" w:eastAsiaTheme="minorHAnsi" w:hAnsi="Times New Roman"/>
          <w:bCs/>
          <w:i/>
          <w:sz w:val="17"/>
          <w:szCs w:val="17"/>
          <w:lang w:val="en-GB"/>
        </w:rPr>
        <w:t>Class of Development / Activity – Site Contamination – Change in the use of land to a more sensitive use</w:t>
      </w:r>
      <w:r w:rsidRPr="00C35208">
        <w:rPr>
          <w:rFonts w:ascii="Times New Roman" w:eastAsiaTheme="minorHAnsi" w:hAnsi="Times New Roman"/>
          <w:bCs/>
          <w:sz w:val="17"/>
          <w:szCs w:val="17"/>
          <w:lang w:val="en-GB"/>
        </w:rPr>
        <w:t>’ by deleting the following paragraph and part (a):</w:t>
      </w:r>
    </w:p>
    <w:p w:rsidR="00C35208" w:rsidRPr="00C35208" w:rsidRDefault="00C35208" w:rsidP="00C35208">
      <w:pPr>
        <w:ind w:left="1276"/>
        <w:jc w:val="left"/>
        <w:rPr>
          <w:rFonts w:ascii="Times New Roman" w:eastAsia="Times New Roman" w:hAnsi="Times New Roman"/>
          <w:bCs/>
          <w:sz w:val="17"/>
          <w:szCs w:val="17"/>
          <w:lang w:val="en-GB"/>
        </w:rPr>
      </w:pPr>
      <w:r w:rsidRPr="00C35208">
        <w:rPr>
          <w:rFonts w:ascii="Times New Roman" w:eastAsia="Times New Roman" w:hAnsi="Times New Roman"/>
          <w:bCs/>
          <w:i/>
          <w:sz w:val="17"/>
          <w:szCs w:val="17"/>
          <w:lang w:val="en-GB"/>
        </w:rPr>
        <w:t>Change in the use of land to a more sensitive use on land at which site contamination exists or may exist as a result of one of the following, including where one of the following exists or previously existed on adjacent land:</w:t>
      </w:r>
    </w:p>
    <w:p w:rsidR="00C35208" w:rsidRPr="00C35208" w:rsidRDefault="00C35208" w:rsidP="00C35208">
      <w:pPr>
        <w:ind w:left="1560" w:hanging="284"/>
        <w:jc w:val="left"/>
        <w:rPr>
          <w:rFonts w:ascii="Times New Roman" w:eastAsia="Times New Roman" w:hAnsi="Times New Roman"/>
          <w:bCs/>
          <w:sz w:val="17"/>
          <w:szCs w:val="17"/>
          <w:lang w:val="en-GB"/>
        </w:rPr>
      </w:pPr>
      <w:r w:rsidRPr="00C35208">
        <w:rPr>
          <w:rFonts w:ascii="Times New Roman" w:eastAsia="Times New Roman" w:hAnsi="Times New Roman"/>
          <w:bCs/>
          <w:i/>
          <w:sz w:val="17"/>
          <w:szCs w:val="17"/>
          <w:lang w:val="en-GB"/>
        </w:rPr>
        <w:t>(a)</w:t>
      </w:r>
      <w:r w:rsidRPr="00C35208">
        <w:rPr>
          <w:rFonts w:ascii="Times New Roman" w:eastAsia="Times New Roman" w:hAnsi="Times New Roman"/>
          <w:bCs/>
          <w:i/>
          <w:sz w:val="17"/>
          <w:szCs w:val="17"/>
          <w:lang w:val="en-GB"/>
        </w:rPr>
        <w:tab/>
      </w:r>
      <w:proofErr w:type="gramStart"/>
      <w:r w:rsidRPr="00C35208">
        <w:rPr>
          <w:rFonts w:ascii="Times New Roman" w:eastAsia="Times New Roman" w:hAnsi="Times New Roman"/>
          <w:bCs/>
          <w:i/>
          <w:sz w:val="17"/>
          <w:szCs w:val="17"/>
          <w:lang w:val="en-GB"/>
        </w:rPr>
        <w:t>class</w:t>
      </w:r>
      <w:proofErr w:type="gramEnd"/>
      <w:r w:rsidRPr="00C35208">
        <w:rPr>
          <w:rFonts w:ascii="Times New Roman" w:eastAsia="Times New Roman" w:hAnsi="Times New Roman"/>
          <w:bCs/>
          <w:i/>
          <w:sz w:val="17"/>
          <w:szCs w:val="17"/>
          <w:lang w:val="en-GB"/>
        </w:rPr>
        <w:t xml:space="preserve"> 1 activity</w:t>
      </w:r>
    </w:p>
    <w:p w:rsidR="00C35208" w:rsidRPr="00C35208" w:rsidRDefault="00C35208" w:rsidP="00C35208">
      <w:pPr>
        <w:spacing w:after="120"/>
        <w:ind w:left="1560" w:hanging="284"/>
        <w:jc w:val="left"/>
        <w:rPr>
          <w:rFonts w:ascii="Times New Roman" w:eastAsia="Times New Roman" w:hAnsi="Times New Roman"/>
          <w:bCs/>
          <w:sz w:val="17"/>
          <w:szCs w:val="17"/>
          <w:lang w:val="en-GB"/>
        </w:rPr>
      </w:pPr>
      <w:proofErr w:type="gramStart"/>
      <w:r w:rsidRPr="00C35208">
        <w:rPr>
          <w:rFonts w:ascii="Times New Roman" w:eastAsiaTheme="minorHAnsi" w:hAnsi="Times New Roman"/>
          <w:bCs/>
          <w:sz w:val="17"/>
          <w:szCs w:val="17"/>
          <w:lang w:val="en-GB"/>
        </w:rPr>
        <w:lastRenderedPageBreak/>
        <w:t>and</w:t>
      </w:r>
      <w:proofErr w:type="gramEnd"/>
      <w:r w:rsidRPr="00C35208">
        <w:rPr>
          <w:rFonts w:ascii="Times New Roman" w:eastAsiaTheme="minorHAnsi" w:hAnsi="Times New Roman"/>
          <w:bCs/>
          <w:sz w:val="17"/>
          <w:szCs w:val="17"/>
          <w:lang w:val="en-GB"/>
        </w:rPr>
        <w:t xml:space="preserve"> replacing it with:</w:t>
      </w:r>
    </w:p>
    <w:p w:rsidR="00C35208" w:rsidRPr="00C35208" w:rsidRDefault="00C35208" w:rsidP="00C35208">
      <w:pPr>
        <w:ind w:left="1276"/>
        <w:jc w:val="left"/>
        <w:rPr>
          <w:rFonts w:ascii="Times New Roman" w:eastAsia="Times New Roman" w:hAnsi="Times New Roman"/>
          <w:bCs/>
          <w:i/>
          <w:sz w:val="17"/>
          <w:szCs w:val="17"/>
          <w:lang w:val="en-GB"/>
        </w:rPr>
      </w:pPr>
      <w:r w:rsidRPr="00C35208">
        <w:rPr>
          <w:rFonts w:ascii="Times New Roman" w:eastAsia="Times New Roman" w:hAnsi="Times New Roman"/>
          <w:bCs/>
          <w:i/>
          <w:sz w:val="17"/>
          <w:szCs w:val="17"/>
          <w:lang w:val="en-GB"/>
        </w:rPr>
        <w:t xml:space="preserve">Change in the use of land to a more sensitive use on land at which site contamination exists or may exist as a result of one of the following: </w:t>
      </w:r>
    </w:p>
    <w:p w:rsidR="00C35208" w:rsidRPr="00C35208" w:rsidRDefault="00C35208" w:rsidP="00C35208">
      <w:pPr>
        <w:numPr>
          <w:ilvl w:val="0"/>
          <w:numId w:val="10"/>
        </w:numPr>
        <w:jc w:val="left"/>
        <w:rPr>
          <w:rFonts w:ascii="Times New Roman" w:eastAsia="Times New Roman" w:hAnsi="Times New Roman"/>
          <w:bCs/>
          <w:sz w:val="17"/>
          <w:szCs w:val="17"/>
          <w:lang w:val="en-GB"/>
        </w:rPr>
      </w:pPr>
      <w:r w:rsidRPr="00C35208">
        <w:rPr>
          <w:rFonts w:ascii="Times New Roman" w:eastAsia="Times New Roman" w:hAnsi="Times New Roman"/>
          <w:bCs/>
          <w:i/>
          <w:sz w:val="17"/>
          <w:szCs w:val="17"/>
          <w:lang w:val="en-GB"/>
        </w:rPr>
        <w:t>class 1 activity (including where a class 1 activity exists or previously existed on adjacent land)</w:t>
      </w:r>
    </w:p>
    <w:p w:rsidR="00C35208" w:rsidRPr="00C35208" w:rsidRDefault="00C35208" w:rsidP="00C35208">
      <w:pPr>
        <w:numPr>
          <w:ilvl w:val="0"/>
          <w:numId w:val="4"/>
        </w:numPr>
        <w:ind w:left="1276" w:hanging="403"/>
        <w:jc w:val="left"/>
        <w:rPr>
          <w:rFonts w:ascii="Times New Roman" w:eastAsiaTheme="minorHAnsi" w:hAnsi="Times New Roman"/>
          <w:b/>
          <w:bCs/>
          <w:sz w:val="17"/>
          <w:szCs w:val="17"/>
          <w:lang w:val="en-GB"/>
        </w:rPr>
      </w:pPr>
      <w:r w:rsidRPr="00C35208">
        <w:rPr>
          <w:rFonts w:ascii="Times New Roman" w:eastAsiaTheme="minorHAnsi" w:hAnsi="Times New Roman"/>
          <w:bCs/>
          <w:sz w:val="17"/>
          <w:szCs w:val="17"/>
          <w:lang w:val="en-GB"/>
        </w:rPr>
        <w:t xml:space="preserve">Add to the end of the table the additional row and referral content contained in </w:t>
      </w:r>
      <w:r w:rsidRPr="00C35208">
        <w:rPr>
          <w:rFonts w:ascii="Times New Roman" w:eastAsiaTheme="minorHAnsi" w:hAnsi="Times New Roman"/>
          <w:b/>
          <w:bCs/>
          <w:sz w:val="17"/>
          <w:szCs w:val="17"/>
          <w:lang w:val="en-GB"/>
        </w:rPr>
        <w:t>ATTACHMENT A</w:t>
      </w:r>
    </w:p>
    <w:p w:rsidR="00C35208" w:rsidRPr="00C35208" w:rsidRDefault="00C35208" w:rsidP="00C35208">
      <w:pPr>
        <w:numPr>
          <w:ilvl w:val="0"/>
          <w:numId w:val="9"/>
        </w:numPr>
        <w:ind w:left="851" w:hanging="284"/>
        <w:rPr>
          <w:rFonts w:ascii="Times New Roman" w:eastAsia="Times New Roman" w:hAnsi="Times New Roman"/>
          <w:sz w:val="17"/>
          <w:szCs w:val="17"/>
          <w:lang w:val="en-GB"/>
        </w:rPr>
      </w:pPr>
      <w:r w:rsidRPr="00C35208">
        <w:rPr>
          <w:rFonts w:ascii="Times New Roman" w:eastAsia="Times New Roman" w:hAnsi="Times New Roman"/>
          <w:sz w:val="17"/>
          <w:szCs w:val="17"/>
          <w:lang w:val="en-GB"/>
        </w:rPr>
        <w:t>Update Part 1 – Rules of Interpretation by deleting Footnote 14 and replacing it with new Footnote 14 as follows:</w:t>
      </w:r>
    </w:p>
    <w:p w:rsidR="00C35208" w:rsidRPr="00C35208" w:rsidRDefault="00C35208" w:rsidP="00C35208">
      <w:pPr>
        <w:ind w:left="851" w:right="-1"/>
        <w:jc w:val="left"/>
        <w:rPr>
          <w:rFonts w:ascii="Times New Roman" w:eastAsia="Times New Roman" w:hAnsi="Times New Roman"/>
          <w:bCs/>
          <w:sz w:val="17"/>
          <w:szCs w:val="17"/>
          <w:lang w:val="en-GB"/>
        </w:rPr>
      </w:pPr>
      <w:r w:rsidRPr="00C35208">
        <w:rPr>
          <w:rFonts w:ascii="Times New Roman" w:eastAsia="Times New Roman" w:hAnsi="Times New Roman"/>
          <w:bCs/>
          <w:i/>
          <w:sz w:val="17"/>
          <w:szCs w:val="17"/>
          <w:lang w:val="en-GB"/>
        </w:rPr>
        <w:t>14. See also regulation 7 of the Planning, Development and Infrastructure (General) Regulations 2017</w:t>
      </w:r>
    </w:p>
    <w:p w:rsidR="00C35208" w:rsidRPr="00C35208" w:rsidRDefault="00C35208" w:rsidP="00C35208">
      <w:pPr>
        <w:numPr>
          <w:ilvl w:val="0"/>
          <w:numId w:val="9"/>
        </w:numPr>
        <w:ind w:left="851" w:hanging="284"/>
        <w:rPr>
          <w:rFonts w:ascii="Times New Roman" w:eastAsia="Times New Roman" w:hAnsi="Times New Roman"/>
          <w:sz w:val="17"/>
          <w:szCs w:val="17"/>
          <w:lang w:val="en-GB"/>
        </w:rPr>
      </w:pPr>
      <w:r w:rsidRPr="00C35208">
        <w:rPr>
          <w:rFonts w:ascii="Times New Roman" w:eastAsia="Times New Roman" w:hAnsi="Times New Roman"/>
          <w:sz w:val="17"/>
          <w:szCs w:val="17"/>
          <w:lang w:val="en-GB"/>
        </w:rPr>
        <w:t>Update Part 1 – Rules of Interpretation by deleting the heading and associated paragraph titled ‘Designated areas’ and replacing it with the following new heading and paragraph:</w:t>
      </w:r>
    </w:p>
    <w:p w:rsidR="00C35208" w:rsidRPr="00C35208" w:rsidRDefault="00C35208" w:rsidP="00C35208">
      <w:pPr>
        <w:ind w:left="851" w:right="-1"/>
        <w:jc w:val="left"/>
        <w:rPr>
          <w:rFonts w:ascii="Times New Roman" w:eastAsia="Times New Roman" w:hAnsi="Times New Roman"/>
          <w:b/>
          <w:bCs/>
          <w:i/>
          <w:sz w:val="17"/>
          <w:szCs w:val="17"/>
          <w:lang w:val="en-GB"/>
        </w:rPr>
      </w:pPr>
      <w:r w:rsidRPr="00C35208">
        <w:rPr>
          <w:rFonts w:ascii="Times New Roman" w:eastAsia="Times New Roman" w:hAnsi="Times New Roman"/>
          <w:b/>
          <w:bCs/>
          <w:i/>
          <w:sz w:val="17"/>
          <w:szCs w:val="17"/>
          <w:lang w:val="en-GB"/>
        </w:rPr>
        <w:t>Specified matters and areas identified under the Act and Regulations</w:t>
      </w:r>
    </w:p>
    <w:p w:rsidR="00C35208" w:rsidRPr="00C35208" w:rsidRDefault="00C35208" w:rsidP="00C35208">
      <w:pPr>
        <w:ind w:left="851" w:right="-1"/>
        <w:jc w:val="left"/>
        <w:rPr>
          <w:rFonts w:ascii="Times New Roman" w:eastAsia="Times New Roman" w:hAnsi="Times New Roman"/>
          <w:bCs/>
          <w:i/>
          <w:sz w:val="17"/>
          <w:szCs w:val="17"/>
          <w:lang w:val="en-GB"/>
        </w:rPr>
      </w:pPr>
      <w:r w:rsidRPr="00C35208">
        <w:rPr>
          <w:rFonts w:ascii="Times New Roman" w:eastAsia="Times New Roman" w:hAnsi="Times New Roman"/>
          <w:bCs/>
          <w:i/>
          <w:sz w:val="17"/>
          <w:szCs w:val="17"/>
          <w:lang w:val="en-GB"/>
        </w:rPr>
        <w:t>Part 5 sets out areas and matters that are specified or identified for various matters under the Act or associated regulations.</w:t>
      </w:r>
    </w:p>
    <w:p w:rsidR="00C35208" w:rsidRPr="00C35208" w:rsidRDefault="00C35208" w:rsidP="00C35208">
      <w:pPr>
        <w:numPr>
          <w:ilvl w:val="0"/>
          <w:numId w:val="9"/>
        </w:numPr>
        <w:ind w:left="851" w:hanging="284"/>
        <w:rPr>
          <w:rFonts w:ascii="Times New Roman" w:eastAsia="Times New Roman" w:hAnsi="Times New Roman"/>
          <w:sz w:val="17"/>
          <w:szCs w:val="17"/>
          <w:lang w:val="en-GB"/>
        </w:rPr>
      </w:pPr>
      <w:r w:rsidRPr="00C35208">
        <w:rPr>
          <w:rFonts w:ascii="Times New Roman" w:eastAsia="Times New Roman" w:hAnsi="Times New Roman"/>
          <w:sz w:val="17"/>
          <w:szCs w:val="17"/>
          <w:lang w:val="en-GB"/>
        </w:rPr>
        <w:t xml:space="preserve">Update Part 5 - Specified matters and areas identified under the Act and Regulations by: </w:t>
      </w:r>
    </w:p>
    <w:p w:rsidR="00C35208" w:rsidRPr="00C35208" w:rsidRDefault="00C35208" w:rsidP="00C35208">
      <w:pPr>
        <w:numPr>
          <w:ilvl w:val="0"/>
          <w:numId w:val="4"/>
        </w:numPr>
        <w:ind w:left="1276" w:hanging="403"/>
        <w:jc w:val="left"/>
        <w:rPr>
          <w:rFonts w:ascii="Times New Roman" w:eastAsia="Times New Roman" w:hAnsi="Times New Roman"/>
          <w:bCs/>
          <w:sz w:val="17"/>
          <w:szCs w:val="17"/>
          <w:lang w:val="en-GB"/>
        </w:rPr>
      </w:pPr>
      <w:r w:rsidRPr="00C35208">
        <w:rPr>
          <w:rFonts w:ascii="Times New Roman" w:eastAsiaTheme="minorHAnsi" w:hAnsi="Times New Roman"/>
          <w:bCs/>
          <w:sz w:val="17"/>
          <w:szCs w:val="17"/>
          <w:lang w:val="en-GB"/>
        </w:rPr>
        <w:t>Deleting the following wording:</w:t>
      </w:r>
    </w:p>
    <w:p w:rsidR="00C35208" w:rsidRPr="00C35208" w:rsidRDefault="00C35208" w:rsidP="00C35208">
      <w:pPr>
        <w:ind w:left="1276"/>
        <w:jc w:val="left"/>
        <w:rPr>
          <w:rFonts w:ascii="Times New Roman" w:eastAsia="Times New Roman" w:hAnsi="Times New Roman"/>
          <w:bCs/>
          <w:i/>
          <w:sz w:val="17"/>
          <w:szCs w:val="17"/>
          <w:lang w:val="en-GB"/>
        </w:rPr>
      </w:pPr>
      <w:r w:rsidRPr="00C35208">
        <w:rPr>
          <w:rFonts w:ascii="Times New Roman" w:eastAsia="Times New Roman" w:hAnsi="Times New Roman"/>
          <w:bCs/>
          <w:i/>
          <w:sz w:val="17"/>
          <w:szCs w:val="17"/>
          <w:lang w:val="en-GB"/>
        </w:rPr>
        <w:t xml:space="preserve">The Planning, Development and Infrastructure Act 2016 and the Planning, Development and Infrastructure (General) Regulations 2017 allow the Planning and Design Code to designate areas for certain purposes. Column A identifies the purpose of a designated area and Column B identifies the relevant zone, subzone or overlay in the Planning and Design Code or other area designated for that purpose, including limits to the extent of a designated area. </w:t>
      </w:r>
    </w:p>
    <w:p w:rsidR="00C35208" w:rsidRPr="00C35208" w:rsidRDefault="00C35208" w:rsidP="00C35208">
      <w:pPr>
        <w:ind w:left="1276"/>
        <w:jc w:val="left"/>
        <w:rPr>
          <w:rFonts w:ascii="Times New Roman" w:eastAsia="Times New Roman" w:hAnsi="Times New Roman"/>
          <w:bCs/>
          <w:i/>
          <w:sz w:val="17"/>
          <w:szCs w:val="17"/>
          <w:lang w:val="en-GB"/>
        </w:rPr>
      </w:pPr>
      <w:r w:rsidRPr="00C35208">
        <w:rPr>
          <w:rFonts w:ascii="Times New Roman" w:eastAsia="Times New Roman" w:hAnsi="Times New Roman"/>
          <w:bCs/>
          <w:i/>
          <w:sz w:val="17"/>
          <w:szCs w:val="17"/>
          <w:lang w:val="en-GB"/>
        </w:rPr>
        <w:t>Where the extent of a designated area is limited in Column B by a figure, the figure is provided in Schedule 1 of this Part.</w:t>
      </w:r>
    </w:p>
    <w:p w:rsidR="00C35208" w:rsidRPr="00C35208" w:rsidRDefault="00C35208" w:rsidP="00C35208">
      <w:pPr>
        <w:ind w:left="1276"/>
        <w:jc w:val="left"/>
        <w:rPr>
          <w:rFonts w:ascii="Times New Roman" w:eastAsia="Times New Roman" w:hAnsi="Times New Roman"/>
          <w:bCs/>
          <w:sz w:val="17"/>
          <w:szCs w:val="17"/>
          <w:lang w:val="en-GB"/>
        </w:rPr>
      </w:pPr>
      <w:proofErr w:type="gramStart"/>
      <w:r w:rsidRPr="00C35208">
        <w:rPr>
          <w:rFonts w:ascii="Times New Roman" w:eastAsiaTheme="minorHAnsi" w:hAnsi="Times New Roman"/>
          <w:bCs/>
          <w:sz w:val="17"/>
          <w:szCs w:val="17"/>
          <w:lang w:val="en-GB"/>
        </w:rPr>
        <w:t>and</w:t>
      </w:r>
      <w:proofErr w:type="gramEnd"/>
      <w:r w:rsidRPr="00C35208">
        <w:rPr>
          <w:rFonts w:ascii="Times New Roman" w:eastAsiaTheme="minorHAnsi" w:hAnsi="Times New Roman"/>
          <w:bCs/>
          <w:sz w:val="17"/>
          <w:szCs w:val="17"/>
          <w:lang w:val="en-GB"/>
        </w:rPr>
        <w:t xml:space="preserve"> replacing it with:</w:t>
      </w:r>
    </w:p>
    <w:p w:rsidR="00C35208" w:rsidRPr="00C35208" w:rsidRDefault="00C35208" w:rsidP="00C35208">
      <w:pPr>
        <w:ind w:left="1276"/>
        <w:jc w:val="left"/>
        <w:rPr>
          <w:rFonts w:ascii="Times New Roman" w:eastAsia="Times New Roman" w:hAnsi="Times New Roman"/>
          <w:bCs/>
          <w:i/>
          <w:sz w:val="17"/>
          <w:szCs w:val="17"/>
          <w:lang w:val="en-GB"/>
        </w:rPr>
      </w:pPr>
      <w:r w:rsidRPr="00C35208">
        <w:rPr>
          <w:rFonts w:ascii="Times New Roman" w:eastAsia="Times New Roman" w:hAnsi="Times New Roman"/>
          <w:bCs/>
          <w:i/>
          <w:sz w:val="17"/>
          <w:szCs w:val="17"/>
          <w:lang w:val="en-GB"/>
        </w:rPr>
        <w:t>The Planning, Development and Infrastructure Act 2016 and the Planning, Development and Infrastructure (General) Regulations 2017 allow the Planning and Design Code to specify matters and identify areas for certain purposes. Column A identifies the purpose of a specified matter or identified area and Column B identifies the relevant matter or zone, subzone or overlay in the Planning and Design Code or other area identified for that purpose, including limits to the extent of an identified area.</w:t>
      </w:r>
    </w:p>
    <w:p w:rsidR="00C35208" w:rsidRPr="00C35208" w:rsidRDefault="00C35208" w:rsidP="00C35208">
      <w:pPr>
        <w:ind w:left="1276"/>
        <w:jc w:val="left"/>
        <w:rPr>
          <w:rFonts w:ascii="Times New Roman" w:eastAsia="Times New Roman" w:hAnsi="Times New Roman"/>
          <w:bCs/>
          <w:sz w:val="17"/>
          <w:szCs w:val="17"/>
          <w:lang w:val="en-GB"/>
        </w:rPr>
      </w:pPr>
      <w:r w:rsidRPr="00C35208">
        <w:rPr>
          <w:rFonts w:ascii="Times New Roman" w:eastAsia="Times New Roman" w:hAnsi="Times New Roman"/>
          <w:bCs/>
          <w:i/>
          <w:sz w:val="17"/>
          <w:szCs w:val="17"/>
          <w:lang w:val="en-GB"/>
        </w:rPr>
        <w:t>Where the extent of an identified area is limited in Column B by a figure, the figure is provided in Schedule 1 of this Part.</w:t>
      </w:r>
    </w:p>
    <w:p w:rsidR="00C35208" w:rsidRPr="00C35208" w:rsidRDefault="00C35208" w:rsidP="00C35208">
      <w:pPr>
        <w:numPr>
          <w:ilvl w:val="0"/>
          <w:numId w:val="4"/>
        </w:numPr>
        <w:ind w:left="1276" w:hanging="403"/>
        <w:jc w:val="left"/>
        <w:rPr>
          <w:rFonts w:ascii="Times New Roman" w:eastAsiaTheme="minorHAnsi" w:hAnsi="Times New Roman"/>
          <w:bCs/>
          <w:sz w:val="17"/>
          <w:szCs w:val="17"/>
          <w:lang w:val="en-GB"/>
        </w:rPr>
      </w:pPr>
      <w:r w:rsidRPr="00C35208">
        <w:rPr>
          <w:rFonts w:ascii="Times New Roman" w:eastAsiaTheme="minorHAnsi" w:hAnsi="Times New Roman"/>
          <w:bCs/>
          <w:sz w:val="17"/>
          <w:szCs w:val="17"/>
          <w:lang w:val="en-GB"/>
        </w:rPr>
        <w:t xml:space="preserve">Amending the heading of Column B in Table 1 and Table 2 by deleting the words </w:t>
      </w:r>
      <w:r w:rsidRPr="00C35208">
        <w:rPr>
          <w:rFonts w:ascii="Times New Roman" w:eastAsiaTheme="minorHAnsi" w:hAnsi="Times New Roman"/>
          <w:bCs/>
          <w:i/>
          <w:sz w:val="17"/>
          <w:szCs w:val="17"/>
          <w:lang w:val="en-GB"/>
        </w:rPr>
        <w:t>‘Designated Area(s)’</w:t>
      </w:r>
      <w:r w:rsidRPr="00C35208">
        <w:rPr>
          <w:rFonts w:ascii="Times New Roman" w:eastAsiaTheme="minorHAnsi" w:hAnsi="Times New Roman"/>
          <w:bCs/>
          <w:sz w:val="17"/>
          <w:szCs w:val="17"/>
          <w:lang w:val="en-GB"/>
        </w:rPr>
        <w:t xml:space="preserve"> and replacing them with the words </w:t>
      </w:r>
      <w:r w:rsidRPr="00C35208">
        <w:rPr>
          <w:rFonts w:ascii="Times New Roman" w:eastAsiaTheme="minorHAnsi" w:hAnsi="Times New Roman"/>
          <w:bCs/>
          <w:i/>
          <w:sz w:val="17"/>
          <w:szCs w:val="17"/>
          <w:lang w:val="en-GB"/>
        </w:rPr>
        <w:t>‘Specified matters / identified areas’</w:t>
      </w:r>
      <w:r w:rsidRPr="00C35208">
        <w:rPr>
          <w:rFonts w:ascii="Times New Roman" w:eastAsiaTheme="minorHAnsi" w:hAnsi="Times New Roman"/>
          <w:bCs/>
          <w:sz w:val="17"/>
          <w:szCs w:val="17"/>
          <w:lang w:val="en-GB"/>
        </w:rPr>
        <w:t>.</w:t>
      </w:r>
    </w:p>
    <w:p w:rsidR="00C35208" w:rsidRPr="00C35208" w:rsidRDefault="00C35208" w:rsidP="00C35208">
      <w:pPr>
        <w:numPr>
          <w:ilvl w:val="0"/>
          <w:numId w:val="4"/>
        </w:numPr>
        <w:ind w:left="1276" w:hanging="403"/>
        <w:jc w:val="left"/>
        <w:rPr>
          <w:rFonts w:ascii="Times New Roman" w:eastAsiaTheme="minorHAnsi" w:hAnsi="Times New Roman"/>
          <w:bCs/>
          <w:sz w:val="17"/>
          <w:szCs w:val="17"/>
          <w:lang w:val="en-GB"/>
        </w:rPr>
      </w:pPr>
      <w:r w:rsidRPr="00C35208">
        <w:rPr>
          <w:rFonts w:ascii="Times New Roman" w:eastAsiaTheme="minorHAnsi" w:hAnsi="Times New Roman"/>
          <w:bCs/>
          <w:sz w:val="17"/>
          <w:szCs w:val="17"/>
          <w:lang w:val="en-GB"/>
        </w:rPr>
        <w:t xml:space="preserve">Adding to the end of Table 2 the additional row and content contained in </w:t>
      </w:r>
      <w:r w:rsidRPr="00C35208">
        <w:rPr>
          <w:rFonts w:ascii="Times New Roman" w:eastAsiaTheme="minorHAnsi" w:hAnsi="Times New Roman"/>
          <w:b/>
          <w:bCs/>
          <w:sz w:val="17"/>
          <w:szCs w:val="17"/>
          <w:lang w:val="en-GB"/>
        </w:rPr>
        <w:t>ATTACHMENT B.</w:t>
      </w:r>
    </w:p>
    <w:p w:rsidR="00C35208" w:rsidRPr="00C35208" w:rsidRDefault="00C35208" w:rsidP="00C35208">
      <w:pPr>
        <w:numPr>
          <w:ilvl w:val="0"/>
          <w:numId w:val="9"/>
        </w:numPr>
        <w:ind w:left="851" w:hanging="284"/>
        <w:rPr>
          <w:rFonts w:ascii="Times New Roman" w:eastAsia="Times New Roman" w:hAnsi="Times New Roman"/>
          <w:sz w:val="17"/>
          <w:szCs w:val="17"/>
          <w:lang w:val="en-GB"/>
        </w:rPr>
      </w:pPr>
      <w:r w:rsidRPr="00C35208">
        <w:rPr>
          <w:rFonts w:ascii="Times New Roman" w:eastAsia="Times New Roman" w:hAnsi="Times New Roman"/>
          <w:sz w:val="17"/>
          <w:szCs w:val="17"/>
          <w:lang w:val="en-GB"/>
        </w:rPr>
        <w:t xml:space="preserve">Spatially apply the Interface Height TNV contained in </w:t>
      </w:r>
      <w:r w:rsidRPr="00C35208">
        <w:rPr>
          <w:rFonts w:ascii="Times New Roman" w:eastAsia="Times New Roman" w:hAnsi="Times New Roman"/>
          <w:b/>
          <w:sz w:val="17"/>
          <w:szCs w:val="17"/>
          <w:lang w:val="en-GB"/>
        </w:rPr>
        <w:t>ATTACHMENT C</w:t>
      </w:r>
      <w:r w:rsidRPr="00C35208">
        <w:rPr>
          <w:rFonts w:ascii="Times New Roman" w:eastAsia="Times New Roman" w:hAnsi="Times New Roman"/>
          <w:sz w:val="17"/>
          <w:szCs w:val="17"/>
          <w:lang w:val="en-GB"/>
        </w:rPr>
        <w:t xml:space="preserve"> to the following spatial locations:</w:t>
      </w:r>
    </w:p>
    <w:p w:rsidR="00C35208" w:rsidRPr="00C35208" w:rsidRDefault="00C35208" w:rsidP="00C35208">
      <w:pPr>
        <w:numPr>
          <w:ilvl w:val="0"/>
          <w:numId w:val="4"/>
        </w:numPr>
        <w:ind w:left="1276" w:hanging="403"/>
        <w:jc w:val="left"/>
        <w:rPr>
          <w:rFonts w:ascii="Times New Roman" w:eastAsiaTheme="minorHAnsi" w:hAnsi="Times New Roman"/>
          <w:bCs/>
          <w:sz w:val="17"/>
          <w:szCs w:val="17"/>
          <w:lang w:val="en-GB"/>
        </w:rPr>
      </w:pPr>
      <w:r w:rsidRPr="00C35208">
        <w:rPr>
          <w:rFonts w:ascii="Times New Roman" w:eastAsiaTheme="minorHAnsi" w:hAnsi="Times New Roman"/>
          <w:bCs/>
          <w:sz w:val="17"/>
          <w:szCs w:val="17"/>
          <w:lang w:val="en-GB"/>
        </w:rPr>
        <w:t>For the following council areas, all areas of the Urban Neighbourhood Zone where no Interface Height TNV currently applies:</w:t>
      </w:r>
    </w:p>
    <w:p w:rsidR="00C35208" w:rsidRPr="00C35208" w:rsidRDefault="00C35208" w:rsidP="00C35208">
      <w:pPr>
        <w:numPr>
          <w:ilvl w:val="1"/>
          <w:numId w:val="6"/>
        </w:numPr>
        <w:spacing w:after="0"/>
        <w:ind w:left="1701" w:right="-1" w:hanging="283"/>
        <w:jc w:val="left"/>
        <w:rPr>
          <w:rFonts w:ascii="Times New Roman" w:eastAsia="Times New Roman" w:hAnsi="Times New Roman"/>
          <w:bCs/>
          <w:sz w:val="17"/>
          <w:szCs w:val="17"/>
          <w:lang w:val="en-GB"/>
        </w:rPr>
      </w:pPr>
      <w:r w:rsidRPr="00C35208">
        <w:rPr>
          <w:rFonts w:ascii="Times New Roman" w:eastAsia="Times New Roman" w:hAnsi="Times New Roman"/>
          <w:bCs/>
          <w:sz w:val="17"/>
          <w:szCs w:val="17"/>
          <w:lang w:val="en-GB"/>
        </w:rPr>
        <w:t xml:space="preserve">City of </w:t>
      </w:r>
      <w:proofErr w:type="spellStart"/>
      <w:r w:rsidRPr="00C35208">
        <w:rPr>
          <w:rFonts w:ascii="Times New Roman" w:eastAsia="Times New Roman" w:hAnsi="Times New Roman"/>
          <w:bCs/>
          <w:sz w:val="17"/>
          <w:szCs w:val="17"/>
          <w:lang w:val="en-GB"/>
        </w:rPr>
        <w:t>Campbelltown</w:t>
      </w:r>
      <w:proofErr w:type="spellEnd"/>
    </w:p>
    <w:p w:rsidR="00C35208" w:rsidRPr="00C35208" w:rsidRDefault="00C35208" w:rsidP="00C35208">
      <w:pPr>
        <w:numPr>
          <w:ilvl w:val="1"/>
          <w:numId w:val="6"/>
        </w:numPr>
        <w:spacing w:after="0"/>
        <w:ind w:left="1701" w:right="-1" w:hanging="283"/>
        <w:jc w:val="left"/>
        <w:rPr>
          <w:rFonts w:ascii="Times New Roman" w:eastAsia="Times New Roman" w:hAnsi="Times New Roman"/>
          <w:bCs/>
          <w:sz w:val="17"/>
          <w:szCs w:val="17"/>
          <w:lang w:val="en-GB"/>
        </w:rPr>
      </w:pPr>
      <w:r w:rsidRPr="00C35208">
        <w:rPr>
          <w:rFonts w:ascii="Times New Roman" w:eastAsia="Times New Roman" w:hAnsi="Times New Roman"/>
          <w:bCs/>
          <w:sz w:val="17"/>
          <w:szCs w:val="17"/>
          <w:lang w:val="en-GB"/>
        </w:rPr>
        <w:t>City of Charles Sturt</w:t>
      </w:r>
    </w:p>
    <w:p w:rsidR="00C35208" w:rsidRPr="00C35208" w:rsidRDefault="00C35208" w:rsidP="00C35208">
      <w:pPr>
        <w:numPr>
          <w:ilvl w:val="1"/>
          <w:numId w:val="6"/>
        </w:numPr>
        <w:spacing w:after="0"/>
        <w:ind w:left="1701" w:right="-1" w:hanging="283"/>
        <w:jc w:val="left"/>
        <w:rPr>
          <w:rFonts w:ascii="Times New Roman" w:eastAsia="Times New Roman" w:hAnsi="Times New Roman"/>
          <w:bCs/>
          <w:sz w:val="17"/>
          <w:szCs w:val="17"/>
          <w:lang w:val="en-GB"/>
        </w:rPr>
      </w:pPr>
      <w:r w:rsidRPr="00C35208">
        <w:rPr>
          <w:rFonts w:ascii="Times New Roman" w:eastAsia="Times New Roman" w:hAnsi="Times New Roman"/>
          <w:bCs/>
          <w:sz w:val="17"/>
          <w:szCs w:val="17"/>
          <w:lang w:val="en-GB"/>
        </w:rPr>
        <w:t>City of Holdfast Bay</w:t>
      </w:r>
    </w:p>
    <w:p w:rsidR="00C35208" w:rsidRPr="00C35208" w:rsidRDefault="00C35208" w:rsidP="00C35208">
      <w:pPr>
        <w:numPr>
          <w:ilvl w:val="1"/>
          <w:numId w:val="6"/>
        </w:numPr>
        <w:spacing w:after="0"/>
        <w:ind w:left="1701" w:right="-1" w:hanging="283"/>
        <w:jc w:val="left"/>
        <w:rPr>
          <w:rFonts w:ascii="Times New Roman" w:eastAsia="Times New Roman" w:hAnsi="Times New Roman"/>
          <w:bCs/>
          <w:sz w:val="17"/>
          <w:szCs w:val="17"/>
          <w:lang w:val="en-GB"/>
        </w:rPr>
      </w:pPr>
      <w:r w:rsidRPr="00C35208">
        <w:rPr>
          <w:rFonts w:ascii="Times New Roman" w:eastAsia="Times New Roman" w:hAnsi="Times New Roman"/>
          <w:bCs/>
          <w:sz w:val="17"/>
          <w:szCs w:val="17"/>
          <w:lang w:val="en-GB"/>
        </w:rPr>
        <w:t>City of Marion</w:t>
      </w:r>
    </w:p>
    <w:p w:rsidR="00C35208" w:rsidRPr="00C35208" w:rsidRDefault="00C35208" w:rsidP="00C35208">
      <w:pPr>
        <w:numPr>
          <w:ilvl w:val="1"/>
          <w:numId w:val="6"/>
        </w:numPr>
        <w:spacing w:after="0"/>
        <w:ind w:left="1701" w:right="-1" w:hanging="283"/>
        <w:jc w:val="left"/>
        <w:rPr>
          <w:rFonts w:ascii="Times New Roman" w:eastAsia="Times New Roman" w:hAnsi="Times New Roman"/>
          <w:bCs/>
          <w:sz w:val="17"/>
          <w:szCs w:val="17"/>
          <w:lang w:val="en-GB"/>
        </w:rPr>
      </w:pPr>
      <w:r w:rsidRPr="00C35208">
        <w:rPr>
          <w:rFonts w:ascii="Times New Roman" w:eastAsia="Times New Roman" w:hAnsi="Times New Roman"/>
          <w:bCs/>
          <w:sz w:val="17"/>
          <w:szCs w:val="17"/>
          <w:lang w:val="en-GB"/>
        </w:rPr>
        <w:t xml:space="preserve">City of </w:t>
      </w:r>
      <w:proofErr w:type="spellStart"/>
      <w:r w:rsidRPr="00C35208">
        <w:rPr>
          <w:rFonts w:ascii="Times New Roman" w:eastAsia="Times New Roman" w:hAnsi="Times New Roman"/>
          <w:bCs/>
          <w:sz w:val="17"/>
          <w:szCs w:val="17"/>
          <w:lang w:val="en-GB"/>
        </w:rPr>
        <w:t>Onkaparinga</w:t>
      </w:r>
      <w:proofErr w:type="spellEnd"/>
    </w:p>
    <w:p w:rsidR="00C35208" w:rsidRPr="00C35208" w:rsidRDefault="00C35208" w:rsidP="00C35208">
      <w:pPr>
        <w:numPr>
          <w:ilvl w:val="1"/>
          <w:numId w:val="6"/>
        </w:numPr>
        <w:spacing w:after="0"/>
        <w:ind w:left="1701" w:right="-1" w:hanging="283"/>
        <w:jc w:val="left"/>
        <w:rPr>
          <w:rFonts w:ascii="Times New Roman" w:eastAsia="Times New Roman" w:hAnsi="Times New Roman"/>
          <w:bCs/>
          <w:sz w:val="17"/>
          <w:szCs w:val="17"/>
          <w:lang w:val="en-GB"/>
        </w:rPr>
      </w:pPr>
      <w:r w:rsidRPr="00C35208">
        <w:rPr>
          <w:rFonts w:ascii="Times New Roman" w:eastAsia="Times New Roman" w:hAnsi="Times New Roman"/>
          <w:bCs/>
          <w:sz w:val="17"/>
          <w:szCs w:val="17"/>
          <w:lang w:val="en-GB"/>
        </w:rPr>
        <w:t xml:space="preserve">City of Salisbury </w:t>
      </w:r>
    </w:p>
    <w:p w:rsidR="00C35208" w:rsidRPr="00C35208" w:rsidRDefault="00C35208" w:rsidP="00C35208">
      <w:pPr>
        <w:numPr>
          <w:ilvl w:val="1"/>
          <w:numId w:val="6"/>
        </w:numPr>
        <w:spacing w:after="0"/>
        <w:ind w:left="1701" w:right="-1" w:hanging="283"/>
        <w:jc w:val="left"/>
        <w:rPr>
          <w:rFonts w:ascii="Times New Roman" w:eastAsia="Times New Roman" w:hAnsi="Times New Roman"/>
          <w:bCs/>
          <w:sz w:val="17"/>
          <w:szCs w:val="17"/>
          <w:lang w:val="en-GB"/>
        </w:rPr>
      </w:pPr>
      <w:r w:rsidRPr="00C35208">
        <w:rPr>
          <w:rFonts w:ascii="Times New Roman" w:eastAsia="Times New Roman" w:hAnsi="Times New Roman"/>
          <w:bCs/>
          <w:sz w:val="17"/>
          <w:szCs w:val="17"/>
          <w:lang w:val="en-GB"/>
        </w:rPr>
        <w:t>City of Tea Tree Gully</w:t>
      </w:r>
    </w:p>
    <w:p w:rsidR="00C35208" w:rsidRPr="00C35208" w:rsidRDefault="00C35208" w:rsidP="00C35208">
      <w:pPr>
        <w:numPr>
          <w:ilvl w:val="1"/>
          <w:numId w:val="6"/>
        </w:numPr>
        <w:spacing w:after="0"/>
        <w:ind w:left="1701" w:right="-1" w:hanging="283"/>
        <w:jc w:val="left"/>
        <w:rPr>
          <w:rFonts w:ascii="Times New Roman" w:eastAsia="Times New Roman" w:hAnsi="Times New Roman"/>
          <w:bCs/>
          <w:sz w:val="17"/>
          <w:szCs w:val="17"/>
          <w:lang w:val="en-GB"/>
        </w:rPr>
      </w:pPr>
      <w:r w:rsidRPr="00C35208">
        <w:rPr>
          <w:rFonts w:ascii="Times New Roman" w:eastAsia="Times New Roman" w:hAnsi="Times New Roman"/>
          <w:bCs/>
          <w:sz w:val="17"/>
          <w:szCs w:val="17"/>
          <w:lang w:val="en-GB"/>
        </w:rPr>
        <w:t>City of West Torrens</w:t>
      </w:r>
    </w:p>
    <w:p w:rsidR="00C35208" w:rsidRPr="00C35208" w:rsidRDefault="00C35208" w:rsidP="00C35208">
      <w:pPr>
        <w:numPr>
          <w:ilvl w:val="1"/>
          <w:numId w:val="6"/>
        </w:numPr>
        <w:ind w:left="1701" w:right="-1" w:hanging="283"/>
        <w:jc w:val="left"/>
        <w:rPr>
          <w:rFonts w:ascii="Times New Roman" w:eastAsia="Times New Roman" w:hAnsi="Times New Roman"/>
          <w:bCs/>
          <w:sz w:val="17"/>
          <w:szCs w:val="17"/>
          <w:lang w:val="en-GB"/>
        </w:rPr>
      </w:pPr>
      <w:r w:rsidRPr="00C35208">
        <w:rPr>
          <w:rFonts w:ascii="Times New Roman" w:eastAsia="Times New Roman" w:hAnsi="Times New Roman"/>
          <w:bCs/>
          <w:sz w:val="17"/>
          <w:szCs w:val="17"/>
          <w:lang w:val="en-GB"/>
        </w:rPr>
        <w:t>District Council of Mount Barker.</w:t>
      </w:r>
    </w:p>
    <w:p w:rsidR="00C35208" w:rsidRPr="00C35208" w:rsidRDefault="00C35208" w:rsidP="00C35208">
      <w:pPr>
        <w:numPr>
          <w:ilvl w:val="0"/>
          <w:numId w:val="4"/>
        </w:numPr>
        <w:ind w:left="1276" w:hanging="403"/>
        <w:jc w:val="left"/>
        <w:rPr>
          <w:rFonts w:ascii="Times New Roman" w:eastAsiaTheme="minorHAnsi" w:hAnsi="Times New Roman"/>
          <w:bCs/>
          <w:sz w:val="17"/>
          <w:szCs w:val="17"/>
          <w:lang w:val="en-GB"/>
        </w:rPr>
      </w:pPr>
      <w:r w:rsidRPr="00C35208">
        <w:rPr>
          <w:rFonts w:ascii="Times New Roman" w:eastAsiaTheme="minorHAnsi" w:hAnsi="Times New Roman"/>
          <w:bCs/>
          <w:sz w:val="17"/>
          <w:szCs w:val="17"/>
          <w:lang w:val="en-GB"/>
        </w:rPr>
        <w:t>For the following council areas, all areas of the Strategic Innovation Zone where no Interface Height TNV currently applies:</w:t>
      </w:r>
    </w:p>
    <w:p w:rsidR="00C35208" w:rsidRPr="00C35208" w:rsidRDefault="00C35208" w:rsidP="00C35208">
      <w:pPr>
        <w:numPr>
          <w:ilvl w:val="1"/>
          <w:numId w:val="6"/>
        </w:numPr>
        <w:spacing w:after="0"/>
        <w:ind w:left="1701" w:right="-1" w:hanging="283"/>
        <w:jc w:val="left"/>
        <w:rPr>
          <w:rFonts w:ascii="Times New Roman" w:eastAsia="Times New Roman" w:hAnsi="Times New Roman"/>
          <w:bCs/>
          <w:sz w:val="17"/>
          <w:szCs w:val="17"/>
          <w:lang w:val="en-GB"/>
        </w:rPr>
      </w:pPr>
      <w:r w:rsidRPr="00C35208">
        <w:rPr>
          <w:rFonts w:ascii="Times New Roman" w:eastAsia="Times New Roman" w:hAnsi="Times New Roman"/>
          <w:bCs/>
          <w:sz w:val="17"/>
          <w:szCs w:val="17"/>
          <w:lang w:val="en-GB"/>
        </w:rPr>
        <w:t>City of Burnside</w:t>
      </w:r>
    </w:p>
    <w:p w:rsidR="00C35208" w:rsidRPr="00C35208" w:rsidRDefault="00C35208" w:rsidP="00C35208">
      <w:pPr>
        <w:numPr>
          <w:ilvl w:val="1"/>
          <w:numId w:val="6"/>
        </w:numPr>
        <w:spacing w:after="0"/>
        <w:ind w:left="1701" w:right="-1" w:hanging="283"/>
        <w:jc w:val="left"/>
        <w:rPr>
          <w:rFonts w:ascii="Times New Roman" w:eastAsia="Times New Roman" w:hAnsi="Times New Roman"/>
          <w:bCs/>
          <w:sz w:val="17"/>
          <w:szCs w:val="17"/>
          <w:lang w:val="en-GB"/>
        </w:rPr>
      </w:pPr>
      <w:r w:rsidRPr="00C35208">
        <w:rPr>
          <w:rFonts w:ascii="Times New Roman" w:eastAsia="Times New Roman" w:hAnsi="Times New Roman"/>
          <w:bCs/>
          <w:sz w:val="17"/>
          <w:szCs w:val="17"/>
          <w:lang w:val="en-GB"/>
        </w:rPr>
        <w:t>City of Marion</w:t>
      </w:r>
    </w:p>
    <w:p w:rsidR="00C35208" w:rsidRPr="00C35208" w:rsidRDefault="00C35208" w:rsidP="00C35208">
      <w:pPr>
        <w:numPr>
          <w:ilvl w:val="1"/>
          <w:numId w:val="6"/>
        </w:numPr>
        <w:spacing w:after="0"/>
        <w:ind w:left="1701" w:right="-1" w:hanging="283"/>
        <w:jc w:val="left"/>
        <w:rPr>
          <w:rFonts w:ascii="Times New Roman" w:eastAsia="Times New Roman" w:hAnsi="Times New Roman"/>
          <w:bCs/>
          <w:sz w:val="17"/>
          <w:szCs w:val="17"/>
          <w:lang w:val="en-GB"/>
        </w:rPr>
      </w:pPr>
      <w:r w:rsidRPr="00C35208">
        <w:rPr>
          <w:rFonts w:ascii="Times New Roman" w:eastAsia="Times New Roman" w:hAnsi="Times New Roman"/>
          <w:bCs/>
          <w:sz w:val="17"/>
          <w:szCs w:val="17"/>
          <w:lang w:val="en-GB"/>
        </w:rPr>
        <w:t>City of Mitcham</w:t>
      </w:r>
    </w:p>
    <w:p w:rsidR="00C35208" w:rsidRPr="00C35208" w:rsidRDefault="00C35208" w:rsidP="00C35208">
      <w:pPr>
        <w:numPr>
          <w:ilvl w:val="1"/>
          <w:numId w:val="6"/>
        </w:numPr>
        <w:spacing w:after="0"/>
        <w:ind w:left="1701" w:right="-1" w:hanging="283"/>
        <w:jc w:val="left"/>
        <w:rPr>
          <w:rFonts w:ascii="Times New Roman" w:eastAsia="Times New Roman" w:hAnsi="Times New Roman"/>
          <w:bCs/>
          <w:sz w:val="17"/>
          <w:szCs w:val="17"/>
          <w:lang w:val="en-GB"/>
        </w:rPr>
      </w:pPr>
      <w:r w:rsidRPr="00C35208">
        <w:rPr>
          <w:rFonts w:ascii="Times New Roman" w:eastAsia="Times New Roman" w:hAnsi="Times New Roman"/>
          <w:bCs/>
          <w:sz w:val="17"/>
          <w:szCs w:val="17"/>
          <w:lang w:val="en-GB"/>
        </w:rPr>
        <w:t xml:space="preserve">City of </w:t>
      </w:r>
      <w:proofErr w:type="spellStart"/>
      <w:r w:rsidRPr="00C35208">
        <w:rPr>
          <w:rFonts w:ascii="Times New Roman" w:eastAsia="Times New Roman" w:hAnsi="Times New Roman"/>
          <w:bCs/>
          <w:sz w:val="17"/>
          <w:szCs w:val="17"/>
          <w:lang w:val="en-GB"/>
        </w:rPr>
        <w:t>Playford</w:t>
      </w:r>
      <w:proofErr w:type="spellEnd"/>
    </w:p>
    <w:p w:rsidR="00C35208" w:rsidRPr="00C35208" w:rsidRDefault="00C35208" w:rsidP="00C35208">
      <w:pPr>
        <w:numPr>
          <w:ilvl w:val="1"/>
          <w:numId w:val="6"/>
        </w:numPr>
        <w:ind w:left="1701" w:right="-1" w:hanging="283"/>
        <w:jc w:val="left"/>
        <w:rPr>
          <w:rFonts w:ascii="Times New Roman" w:eastAsia="Times New Roman" w:hAnsi="Times New Roman"/>
          <w:bCs/>
          <w:sz w:val="17"/>
          <w:szCs w:val="17"/>
          <w:lang w:val="en-GB"/>
        </w:rPr>
      </w:pPr>
      <w:r w:rsidRPr="00C35208">
        <w:rPr>
          <w:rFonts w:ascii="Times New Roman" w:eastAsia="Times New Roman" w:hAnsi="Times New Roman"/>
          <w:bCs/>
          <w:sz w:val="17"/>
          <w:szCs w:val="17"/>
          <w:lang w:val="en-GB"/>
        </w:rPr>
        <w:t>City of Salisbury</w:t>
      </w:r>
    </w:p>
    <w:p w:rsidR="00C35208" w:rsidRPr="00C35208" w:rsidRDefault="00C35208" w:rsidP="00C35208">
      <w:pPr>
        <w:numPr>
          <w:ilvl w:val="0"/>
          <w:numId w:val="9"/>
        </w:numPr>
        <w:ind w:left="851" w:hanging="284"/>
        <w:rPr>
          <w:rFonts w:ascii="Times New Roman" w:eastAsia="Times New Roman" w:hAnsi="Times New Roman"/>
          <w:sz w:val="17"/>
          <w:szCs w:val="17"/>
          <w:lang w:val="en-GB"/>
        </w:rPr>
      </w:pPr>
      <w:r w:rsidRPr="00C35208">
        <w:rPr>
          <w:rFonts w:ascii="Times New Roman" w:eastAsia="Times New Roman" w:hAnsi="Times New Roman"/>
          <w:sz w:val="17"/>
          <w:szCs w:val="17"/>
          <w:lang w:val="en-GB"/>
        </w:rPr>
        <w:t>Update the Community Facilities Zone by:</w:t>
      </w:r>
    </w:p>
    <w:p w:rsidR="00C35208" w:rsidRPr="00C35208" w:rsidRDefault="00C35208" w:rsidP="00C35208">
      <w:pPr>
        <w:numPr>
          <w:ilvl w:val="0"/>
          <w:numId w:val="4"/>
        </w:numPr>
        <w:ind w:left="1276" w:hanging="403"/>
        <w:jc w:val="left"/>
        <w:rPr>
          <w:rFonts w:ascii="Times New Roman" w:eastAsiaTheme="minorHAnsi" w:hAnsi="Times New Roman"/>
          <w:bCs/>
          <w:sz w:val="17"/>
          <w:szCs w:val="17"/>
          <w:lang w:val="en-GB"/>
        </w:rPr>
      </w:pPr>
      <w:r w:rsidRPr="00C35208">
        <w:rPr>
          <w:rFonts w:ascii="Times New Roman" w:eastAsiaTheme="minorHAnsi" w:hAnsi="Times New Roman"/>
          <w:bCs/>
          <w:sz w:val="17"/>
          <w:szCs w:val="17"/>
          <w:lang w:val="en-GB"/>
        </w:rPr>
        <w:t xml:space="preserve">Amending ‘Table 1 – Accepted Development Classification’ to include, in alphabetical order, the additional class of development, exceptions and associated accepted development classification criteria contained in </w:t>
      </w:r>
      <w:r w:rsidRPr="00C35208">
        <w:rPr>
          <w:rFonts w:ascii="Times New Roman" w:eastAsiaTheme="minorHAnsi" w:hAnsi="Times New Roman"/>
          <w:b/>
          <w:bCs/>
          <w:sz w:val="17"/>
          <w:szCs w:val="17"/>
          <w:lang w:val="en-GB"/>
        </w:rPr>
        <w:t>ATTACHMENT D</w:t>
      </w:r>
    </w:p>
    <w:p w:rsidR="00C35208" w:rsidRPr="00C35208" w:rsidRDefault="00C35208" w:rsidP="00C35208">
      <w:pPr>
        <w:numPr>
          <w:ilvl w:val="0"/>
          <w:numId w:val="4"/>
        </w:numPr>
        <w:ind w:left="1276" w:hanging="403"/>
        <w:jc w:val="left"/>
        <w:rPr>
          <w:rFonts w:ascii="Times New Roman" w:eastAsiaTheme="minorHAnsi" w:hAnsi="Times New Roman"/>
          <w:bCs/>
          <w:sz w:val="17"/>
          <w:szCs w:val="17"/>
          <w:lang w:val="en-GB"/>
        </w:rPr>
      </w:pPr>
      <w:r w:rsidRPr="00C35208">
        <w:rPr>
          <w:rFonts w:ascii="Times New Roman" w:eastAsiaTheme="minorHAnsi" w:hAnsi="Times New Roman"/>
          <w:bCs/>
          <w:sz w:val="17"/>
          <w:szCs w:val="17"/>
          <w:lang w:val="en-GB"/>
        </w:rPr>
        <w:t>Amending ‘Table 5 – Procedural Matters (PM)’ by:</w:t>
      </w:r>
    </w:p>
    <w:p w:rsidR="00C35208" w:rsidRPr="00C35208" w:rsidRDefault="00C35208" w:rsidP="00C35208">
      <w:pPr>
        <w:numPr>
          <w:ilvl w:val="1"/>
          <w:numId w:val="6"/>
        </w:numPr>
        <w:ind w:left="1701" w:right="-1" w:hanging="283"/>
        <w:jc w:val="left"/>
        <w:rPr>
          <w:rFonts w:ascii="Times New Roman" w:eastAsia="Times New Roman" w:hAnsi="Times New Roman"/>
          <w:bCs/>
          <w:sz w:val="17"/>
          <w:szCs w:val="17"/>
          <w:lang w:val="en-GB"/>
        </w:rPr>
      </w:pPr>
      <w:r w:rsidRPr="00C35208">
        <w:rPr>
          <w:rFonts w:ascii="Times New Roman" w:eastAsia="Times New Roman" w:hAnsi="Times New Roman"/>
          <w:bCs/>
          <w:sz w:val="17"/>
          <w:szCs w:val="17"/>
          <w:lang w:val="en-GB"/>
        </w:rPr>
        <w:t>Deleting the content in Column A – Class of Development of Item 4 of and replacing it with the following:</w:t>
      </w:r>
    </w:p>
    <w:p w:rsidR="00C35208" w:rsidRPr="00C35208" w:rsidRDefault="00C35208" w:rsidP="00C35208">
      <w:pPr>
        <w:ind w:left="1701" w:right="-1"/>
        <w:jc w:val="left"/>
        <w:rPr>
          <w:rFonts w:ascii="Times New Roman" w:eastAsia="Times New Roman" w:hAnsi="Times New Roman"/>
          <w:bCs/>
          <w:i/>
          <w:sz w:val="17"/>
          <w:szCs w:val="17"/>
          <w:lang w:val="en-GB"/>
        </w:rPr>
      </w:pPr>
      <w:r w:rsidRPr="00C35208">
        <w:rPr>
          <w:rFonts w:ascii="Times New Roman" w:eastAsia="Times New Roman" w:hAnsi="Times New Roman"/>
          <w:bCs/>
          <w:i/>
          <w:sz w:val="17"/>
          <w:szCs w:val="17"/>
          <w:lang w:val="en-GB"/>
        </w:rPr>
        <w:t>4. Consulting room.</w:t>
      </w:r>
    </w:p>
    <w:p w:rsidR="00C35208" w:rsidRPr="00C35208" w:rsidRDefault="00C35208" w:rsidP="00C35208">
      <w:pPr>
        <w:numPr>
          <w:ilvl w:val="1"/>
          <w:numId w:val="6"/>
        </w:numPr>
        <w:ind w:left="1701" w:right="-1" w:hanging="283"/>
        <w:jc w:val="left"/>
        <w:rPr>
          <w:rFonts w:ascii="Times New Roman" w:eastAsia="Times New Roman" w:hAnsi="Times New Roman"/>
          <w:bCs/>
          <w:sz w:val="17"/>
          <w:szCs w:val="17"/>
          <w:lang w:val="en-GB"/>
        </w:rPr>
      </w:pPr>
      <w:r w:rsidRPr="00C35208">
        <w:rPr>
          <w:rFonts w:ascii="Times New Roman" w:eastAsia="Times New Roman" w:hAnsi="Times New Roman"/>
          <w:bCs/>
          <w:sz w:val="17"/>
          <w:szCs w:val="17"/>
          <w:lang w:val="en-GB"/>
        </w:rPr>
        <w:t>Adding, in alphabetical order, to the list of land uses in Column A – Class of Development of Item 2, the following additional land uses and renumbering the list accordingly:</w:t>
      </w:r>
    </w:p>
    <w:p w:rsidR="00C35208" w:rsidRPr="00C35208" w:rsidRDefault="00C35208" w:rsidP="00C35208">
      <w:pPr>
        <w:numPr>
          <w:ilvl w:val="4"/>
          <w:numId w:val="5"/>
        </w:numPr>
        <w:spacing w:after="0"/>
        <w:ind w:left="2268" w:hanging="284"/>
        <w:jc w:val="left"/>
        <w:rPr>
          <w:rFonts w:ascii="Times New Roman" w:eastAsia="Times New Roman" w:hAnsi="Times New Roman"/>
          <w:bCs/>
          <w:sz w:val="17"/>
          <w:szCs w:val="17"/>
          <w:lang w:val="en-GB"/>
        </w:rPr>
      </w:pPr>
      <w:r w:rsidRPr="00C35208">
        <w:rPr>
          <w:rFonts w:ascii="Times New Roman" w:eastAsia="Times New Roman" w:hAnsi="Times New Roman"/>
          <w:bCs/>
          <w:sz w:val="17"/>
          <w:szCs w:val="17"/>
          <w:lang w:val="en-GB"/>
        </w:rPr>
        <w:t>community facility</w:t>
      </w:r>
    </w:p>
    <w:p w:rsidR="00C35208" w:rsidRPr="00C35208" w:rsidRDefault="00C35208" w:rsidP="00C35208">
      <w:pPr>
        <w:numPr>
          <w:ilvl w:val="4"/>
          <w:numId w:val="5"/>
        </w:numPr>
        <w:spacing w:after="0"/>
        <w:ind w:left="2268" w:hanging="284"/>
        <w:jc w:val="left"/>
        <w:rPr>
          <w:rFonts w:ascii="Times New Roman" w:eastAsia="Times New Roman" w:hAnsi="Times New Roman"/>
          <w:bCs/>
          <w:sz w:val="17"/>
          <w:szCs w:val="17"/>
          <w:lang w:val="en-GB"/>
        </w:rPr>
      </w:pPr>
      <w:r w:rsidRPr="00C35208">
        <w:rPr>
          <w:rFonts w:ascii="Times New Roman" w:eastAsia="Times New Roman" w:hAnsi="Times New Roman"/>
          <w:bCs/>
          <w:sz w:val="17"/>
          <w:szCs w:val="17"/>
          <w:lang w:val="en-GB"/>
        </w:rPr>
        <w:t>educational establishment</w:t>
      </w:r>
    </w:p>
    <w:p w:rsidR="00C35208" w:rsidRPr="00C35208" w:rsidRDefault="00C35208" w:rsidP="00C35208">
      <w:pPr>
        <w:numPr>
          <w:ilvl w:val="4"/>
          <w:numId w:val="5"/>
        </w:numPr>
        <w:ind w:left="2268" w:hanging="284"/>
        <w:jc w:val="left"/>
        <w:rPr>
          <w:rFonts w:ascii="Times New Roman" w:eastAsia="Times New Roman" w:hAnsi="Times New Roman"/>
          <w:bCs/>
          <w:sz w:val="17"/>
          <w:szCs w:val="17"/>
          <w:lang w:val="en-GB"/>
        </w:rPr>
      </w:pPr>
      <w:proofErr w:type="gramStart"/>
      <w:r w:rsidRPr="00C35208">
        <w:rPr>
          <w:rFonts w:ascii="Times New Roman" w:eastAsia="Times New Roman" w:hAnsi="Times New Roman"/>
          <w:bCs/>
          <w:sz w:val="17"/>
          <w:szCs w:val="17"/>
          <w:lang w:val="en-GB"/>
        </w:rPr>
        <w:t>pre-school</w:t>
      </w:r>
      <w:proofErr w:type="gramEnd"/>
      <w:r w:rsidRPr="00C35208">
        <w:rPr>
          <w:rFonts w:ascii="Times New Roman" w:eastAsia="Times New Roman" w:hAnsi="Times New Roman"/>
          <w:bCs/>
          <w:sz w:val="17"/>
          <w:szCs w:val="17"/>
          <w:lang w:val="en-GB"/>
        </w:rPr>
        <w:t>.</w:t>
      </w:r>
    </w:p>
    <w:p w:rsidR="00C35208" w:rsidRPr="00C35208" w:rsidRDefault="00C35208" w:rsidP="00C35208">
      <w:pPr>
        <w:numPr>
          <w:ilvl w:val="0"/>
          <w:numId w:val="9"/>
        </w:numPr>
        <w:ind w:left="851" w:hanging="284"/>
        <w:rPr>
          <w:rFonts w:ascii="Times New Roman" w:eastAsia="Times New Roman" w:hAnsi="Times New Roman"/>
          <w:sz w:val="17"/>
          <w:szCs w:val="17"/>
          <w:lang w:val="en-GB"/>
        </w:rPr>
      </w:pPr>
      <w:r w:rsidRPr="00C35208">
        <w:rPr>
          <w:rFonts w:ascii="Times New Roman" w:eastAsia="Times New Roman" w:hAnsi="Times New Roman"/>
          <w:sz w:val="17"/>
          <w:szCs w:val="17"/>
          <w:lang w:val="en-GB"/>
        </w:rPr>
        <w:t xml:space="preserve">For all zones (except the Employment Enterprise Zone and Motorsport Park Zone) where ‘Advertisement’ is listed in the Class of Development column of </w:t>
      </w:r>
      <w:r w:rsidRPr="00C35208">
        <w:rPr>
          <w:rFonts w:ascii="Times New Roman" w:eastAsia="Times New Roman" w:hAnsi="Times New Roman"/>
          <w:i/>
          <w:sz w:val="17"/>
          <w:szCs w:val="17"/>
          <w:lang w:val="en-GB"/>
        </w:rPr>
        <w:t>Table 2 - Deemed to Satisfy Development Classification</w:t>
      </w:r>
      <w:r w:rsidRPr="00C35208">
        <w:rPr>
          <w:rFonts w:ascii="Times New Roman" w:eastAsia="Times New Roman" w:hAnsi="Times New Roman"/>
          <w:sz w:val="17"/>
          <w:szCs w:val="17"/>
          <w:lang w:val="en-GB"/>
        </w:rPr>
        <w:t>, add the following additional overlay, in alphabetical order, under the heading ‘Except where any of the following apply:’ for that class of development:</w:t>
      </w:r>
    </w:p>
    <w:p w:rsidR="00C35208" w:rsidRPr="00C35208" w:rsidRDefault="00C35208" w:rsidP="00C35208">
      <w:pPr>
        <w:numPr>
          <w:ilvl w:val="0"/>
          <w:numId w:val="4"/>
        </w:numPr>
        <w:ind w:left="1276" w:hanging="403"/>
        <w:jc w:val="left"/>
        <w:rPr>
          <w:rFonts w:ascii="Times New Roman" w:eastAsiaTheme="minorHAnsi" w:hAnsi="Times New Roman"/>
          <w:bCs/>
          <w:i/>
          <w:sz w:val="17"/>
          <w:szCs w:val="17"/>
          <w:lang w:val="en-GB"/>
        </w:rPr>
      </w:pPr>
      <w:r w:rsidRPr="00C35208">
        <w:rPr>
          <w:rFonts w:ascii="Times New Roman" w:eastAsiaTheme="minorHAnsi" w:hAnsi="Times New Roman"/>
          <w:bCs/>
          <w:i/>
          <w:sz w:val="17"/>
          <w:szCs w:val="17"/>
          <w:lang w:val="en-GB"/>
        </w:rPr>
        <w:t>State Heritage Place Overlay.</w:t>
      </w:r>
    </w:p>
    <w:p w:rsidR="00C35208" w:rsidRPr="00C35208" w:rsidRDefault="00C35208" w:rsidP="00C35208">
      <w:pPr>
        <w:numPr>
          <w:ilvl w:val="0"/>
          <w:numId w:val="9"/>
        </w:numPr>
        <w:ind w:left="851" w:hanging="284"/>
        <w:rPr>
          <w:rFonts w:ascii="Times New Roman" w:eastAsia="Times New Roman" w:hAnsi="Times New Roman"/>
          <w:sz w:val="17"/>
          <w:szCs w:val="17"/>
          <w:lang w:val="en-GB"/>
        </w:rPr>
      </w:pPr>
      <w:r w:rsidRPr="00C35208">
        <w:rPr>
          <w:rFonts w:ascii="Times New Roman" w:eastAsia="Times New Roman" w:hAnsi="Times New Roman"/>
          <w:sz w:val="17"/>
          <w:szCs w:val="17"/>
          <w:lang w:val="en-GB"/>
        </w:rPr>
        <w:t xml:space="preserve">Update the Technical and Numeric Variations in accordance with </w:t>
      </w:r>
      <w:r w:rsidRPr="00C35208">
        <w:rPr>
          <w:rFonts w:ascii="Times New Roman" w:eastAsia="Times New Roman" w:hAnsi="Times New Roman"/>
          <w:b/>
          <w:sz w:val="17"/>
          <w:szCs w:val="17"/>
          <w:lang w:val="en-GB"/>
        </w:rPr>
        <w:t>ATTACHMENT E</w:t>
      </w:r>
    </w:p>
    <w:p w:rsidR="00C35208" w:rsidRPr="00C35208" w:rsidRDefault="00C35208" w:rsidP="00C35208">
      <w:pPr>
        <w:numPr>
          <w:ilvl w:val="0"/>
          <w:numId w:val="9"/>
        </w:numPr>
        <w:ind w:left="851" w:hanging="284"/>
        <w:rPr>
          <w:rFonts w:ascii="Times New Roman" w:eastAsia="Times New Roman" w:hAnsi="Times New Roman"/>
          <w:sz w:val="17"/>
          <w:szCs w:val="17"/>
          <w:lang w:val="en-GB"/>
        </w:rPr>
      </w:pPr>
      <w:r w:rsidRPr="00C35208">
        <w:rPr>
          <w:rFonts w:ascii="Times New Roman" w:eastAsia="Times New Roman" w:hAnsi="Times New Roman"/>
          <w:sz w:val="17"/>
          <w:szCs w:val="17"/>
          <w:lang w:val="en-GB"/>
        </w:rPr>
        <w:t>Update the Table of Planning and Design Code Amendments (Part 13 - Table of Amendments), pursuant to this Section 76 Amendment.</w:t>
      </w:r>
    </w:p>
    <w:p w:rsidR="00C35208" w:rsidRPr="00C35208" w:rsidRDefault="00C35208" w:rsidP="00C35208">
      <w:pPr>
        <w:numPr>
          <w:ilvl w:val="0"/>
          <w:numId w:val="7"/>
        </w:numPr>
        <w:ind w:left="567" w:hanging="283"/>
        <w:rPr>
          <w:rFonts w:ascii="Times New Roman" w:eastAsiaTheme="minorHAnsi" w:hAnsi="Times New Roman"/>
          <w:bCs/>
          <w:sz w:val="17"/>
          <w:szCs w:val="17"/>
          <w:lang w:val="en-GB"/>
        </w:rPr>
      </w:pPr>
      <w:r w:rsidRPr="00C35208">
        <w:rPr>
          <w:rFonts w:ascii="Times New Roman" w:eastAsiaTheme="minorHAnsi" w:hAnsi="Times New Roman"/>
          <w:bCs/>
          <w:sz w:val="17"/>
          <w:szCs w:val="17"/>
          <w:lang w:val="en-GB"/>
        </w:rPr>
        <w:t>Declare that the Section 76 Amendment will take effect upon being published on the SA planning portal.</w:t>
      </w:r>
    </w:p>
    <w:p w:rsidR="00C35208" w:rsidRPr="00C35208" w:rsidRDefault="00C35208" w:rsidP="00C35208">
      <w:pPr>
        <w:autoSpaceDE w:val="0"/>
        <w:autoSpaceDN w:val="0"/>
        <w:adjustRightInd w:val="0"/>
        <w:jc w:val="left"/>
        <w:rPr>
          <w:rFonts w:ascii="Times New Roman" w:eastAsia="Times New Roman" w:hAnsi="Times New Roman"/>
          <w:bCs/>
          <w:sz w:val="17"/>
          <w:szCs w:val="17"/>
          <w:lang w:val="en-GB"/>
        </w:rPr>
      </w:pPr>
      <w:r w:rsidRPr="00C35208">
        <w:rPr>
          <w:rFonts w:ascii="Times New Roman" w:eastAsia="Times New Roman" w:hAnsi="Times New Roman"/>
          <w:bCs/>
          <w:sz w:val="17"/>
          <w:szCs w:val="17"/>
          <w:lang w:val="en-GB"/>
        </w:rPr>
        <w:t>Dated: 22 March 2021</w:t>
      </w:r>
    </w:p>
    <w:p w:rsidR="00C35208" w:rsidRPr="00C35208" w:rsidRDefault="00C35208" w:rsidP="00C35208">
      <w:pPr>
        <w:spacing w:after="0"/>
        <w:jc w:val="right"/>
        <w:rPr>
          <w:rFonts w:ascii="Times New Roman" w:eastAsiaTheme="minorHAnsi" w:hAnsi="Times New Roman"/>
          <w:b/>
          <w:bCs/>
          <w:sz w:val="17"/>
          <w:szCs w:val="17"/>
          <w:lang w:val="en-GB"/>
        </w:rPr>
      </w:pPr>
      <w:r w:rsidRPr="00C35208">
        <w:rPr>
          <w:rFonts w:ascii="Times New Roman" w:eastAsiaTheme="minorHAnsi" w:hAnsi="Times New Roman"/>
          <w:b/>
          <w:bCs/>
          <w:sz w:val="17"/>
          <w:szCs w:val="17"/>
          <w:lang w:val="en-GB"/>
        </w:rPr>
        <w:t>SALLY SMITH</w:t>
      </w:r>
    </w:p>
    <w:p w:rsidR="00C35208" w:rsidRPr="00C35208" w:rsidRDefault="00C35208" w:rsidP="00C35208">
      <w:pPr>
        <w:autoSpaceDE w:val="0"/>
        <w:autoSpaceDN w:val="0"/>
        <w:adjustRightInd w:val="0"/>
        <w:spacing w:after="0"/>
        <w:jc w:val="right"/>
        <w:rPr>
          <w:rFonts w:ascii="Times New Roman" w:eastAsiaTheme="minorHAnsi" w:hAnsi="Times New Roman"/>
          <w:bCs/>
          <w:sz w:val="17"/>
          <w:szCs w:val="17"/>
          <w:lang w:val="en-GB"/>
        </w:rPr>
      </w:pPr>
      <w:r w:rsidRPr="00C35208">
        <w:rPr>
          <w:rFonts w:ascii="Times New Roman" w:eastAsiaTheme="minorHAnsi" w:hAnsi="Times New Roman"/>
          <w:bCs/>
          <w:sz w:val="17"/>
          <w:szCs w:val="17"/>
          <w:lang w:val="en-GB"/>
        </w:rPr>
        <w:t>Executive Director, Planning &amp; Land Use Services</w:t>
      </w:r>
    </w:p>
    <w:p w:rsidR="00C35208" w:rsidRPr="00C35208" w:rsidRDefault="00C35208" w:rsidP="00C35208">
      <w:pPr>
        <w:autoSpaceDE w:val="0"/>
        <w:autoSpaceDN w:val="0"/>
        <w:adjustRightInd w:val="0"/>
        <w:spacing w:after="0"/>
        <w:jc w:val="right"/>
        <w:rPr>
          <w:rFonts w:ascii="Times New Roman" w:eastAsiaTheme="minorHAnsi" w:hAnsi="Times New Roman"/>
          <w:bCs/>
          <w:sz w:val="17"/>
          <w:szCs w:val="17"/>
          <w:lang w:val="en-GB"/>
        </w:rPr>
      </w:pPr>
      <w:r w:rsidRPr="00C35208">
        <w:rPr>
          <w:rFonts w:ascii="Times New Roman" w:eastAsiaTheme="minorHAnsi" w:hAnsi="Times New Roman"/>
          <w:bCs/>
          <w:sz w:val="17"/>
          <w:szCs w:val="17"/>
          <w:lang w:val="en-GB"/>
        </w:rPr>
        <w:t>Attorney-General’s Department</w:t>
      </w:r>
    </w:p>
    <w:p w:rsidR="00C35208" w:rsidRDefault="00C35208" w:rsidP="00C35208">
      <w:pPr>
        <w:autoSpaceDE w:val="0"/>
        <w:autoSpaceDN w:val="0"/>
        <w:adjustRightInd w:val="0"/>
        <w:spacing w:after="0"/>
        <w:jc w:val="right"/>
        <w:rPr>
          <w:rFonts w:ascii="Times New Roman" w:eastAsiaTheme="minorHAnsi" w:hAnsi="Times New Roman"/>
          <w:bCs/>
          <w:sz w:val="17"/>
          <w:szCs w:val="17"/>
          <w:lang w:val="en-GB"/>
        </w:rPr>
      </w:pPr>
      <w:r w:rsidRPr="00C35208">
        <w:rPr>
          <w:rFonts w:ascii="Times New Roman" w:eastAsiaTheme="minorHAnsi" w:hAnsi="Times New Roman"/>
          <w:bCs/>
          <w:sz w:val="17"/>
          <w:szCs w:val="17"/>
          <w:lang w:val="en-GB"/>
        </w:rPr>
        <w:t>As Delegate of Vicki Chapman MP, Minister for Planning and Local Government</w:t>
      </w:r>
    </w:p>
    <w:p w:rsidR="00C35208" w:rsidRDefault="00C35208" w:rsidP="00C35208">
      <w:pPr>
        <w:pBdr>
          <w:top w:val="single" w:sz="4" w:space="1" w:color="auto"/>
        </w:pBdr>
        <w:autoSpaceDE w:val="0"/>
        <w:autoSpaceDN w:val="0"/>
        <w:adjustRightInd w:val="0"/>
        <w:spacing w:before="100" w:line="14" w:lineRule="exact"/>
        <w:ind w:left="1080" w:right="1080"/>
        <w:jc w:val="center"/>
        <w:rPr>
          <w:rFonts w:ascii="Times New Roman" w:eastAsiaTheme="minorHAnsi" w:hAnsi="Times New Roman"/>
          <w:bCs/>
          <w:caps/>
          <w:sz w:val="17"/>
          <w:szCs w:val="17"/>
          <w:lang w:val="en-GB"/>
        </w:rPr>
      </w:pPr>
    </w:p>
    <w:p w:rsidR="00C35208" w:rsidRPr="00C35208" w:rsidRDefault="00C35208" w:rsidP="00C35208">
      <w:pPr>
        <w:spacing w:line="240" w:lineRule="auto"/>
        <w:jc w:val="center"/>
        <w:rPr>
          <w:rFonts w:ascii="Times New Roman" w:eastAsia="Times New Roman" w:hAnsi="Times New Roman"/>
          <w:b/>
          <w:sz w:val="17"/>
          <w:szCs w:val="17"/>
        </w:rPr>
      </w:pPr>
      <w:r w:rsidRPr="00C35208">
        <w:rPr>
          <w:rFonts w:ascii="Times New Roman" w:eastAsia="Times New Roman" w:hAnsi="Times New Roman"/>
          <w:b/>
          <w:sz w:val="17"/>
          <w:szCs w:val="17"/>
        </w:rPr>
        <w:t>ATTACHMENT A</w:t>
      </w:r>
    </w:p>
    <w:tbl>
      <w:tblPr>
        <w:tblStyle w:val="TableGrid"/>
        <w:tblW w:w="9337" w:type="dxa"/>
        <w:tblInd w:w="23" w:type="dxa"/>
        <w:tblLayout w:type="fixed"/>
        <w:tblLook w:val="04A0" w:firstRow="1" w:lastRow="0" w:firstColumn="1" w:lastColumn="0" w:noHBand="0" w:noVBand="1"/>
      </w:tblPr>
      <w:tblGrid>
        <w:gridCol w:w="1248"/>
        <w:gridCol w:w="851"/>
        <w:gridCol w:w="2693"/>
        <w:gridCol w:w="1843"/>
        <w:gridCol w:w="1417"/>
        <w:gridCol w:w="1285"/>
      </w:tblGrid>
      <w:tr w:rsidR="00C35208" w:rsidRPr="00C35208" w:rsidTr="00976656">
        <w:trPr>
          <w:tblHeader/>
        </w:trPr>
        <w:tc>
          <w:tcPr>
            <w:tcW w:w="4792" w:type="dxa"/>
            <w:gridSpan w:val="3"/>
          </w:tcPr>
          <w:p w:rsidR="00C35208" w:rsidRPr="00C35208" w:rsidRDefault="00C35208" w:rsidP="00C35208">
            <w:pPr>
              <w:spacing w:before="120" w:after="120"/>
              <w:jc w:val="left"/>
              <w:rPr>
                <w:b/>
                <w:sz w:val="17"/>
                <w:szCs w:val="17"/>
              </w:rPr>
            </w:pPr>
            <w:r w:rsidRPr="00C35208">
              <w:rPr>
                <w:b/>
                <w:sz w:val="17"/>
                <w:szCs w:val="17"/>
              </w:rPr>
              <w:t>Class of Development / Activity*</w:t>
            </w:r>
          </w:p>
        </w:tc>
        <w:tc>
          <w:tcPr>
            <w:tcW w:w="1843" w:type="dxa"/>
          </w:tcPr>
          <w:p w:rsidR="00C35208" w:rsidRPr="00C35208" w:rsidRDefault="00C35208" w:rsidP="00C35208">
            <w:pPr>
              <w:spacing w:before="120" w:after="120"/>
              <w:jc w:val="left"/>
              <w:rPr>
                <w:b/>
                <w:sz w:val="17"/>
                <w:szCs w:val="17"/>
              </w:rPr>
            </w:pPr>
            <w:r w:rsidRPr="00C35208">
              <w:rPr>
                <w:b/>
                <w:sz w:val="17"/>
                <w:szCs w:val="17"/>
              </w:rPr>
              <w:t>Policies Relevant to the Referral*</w:t>
            </w:r>
          </w:p>
        </w:tc>
        <w:tc>
          <w:tcPr>
            <w:tcW w:w="1417" w:type="dxa"/>
          </w:tcPr>
          <w:p w:rsidR="00C35208" w:rsidRPr="00C35208" w:rsidRDefault="00C35208" w:rsidP="00C35208">
            <w:pPr>
              <w:spacing w:before="120" w:after="120"/>
              <w:jc w:val="left"/>
              <w:rPr>
                <w:b/>
                <w:sz w:val="17"/>
                <w:szCs w:val="17"/>
              </w:rPr>
            </w:pPr>
            <w:r w:rsidRPr="00C35208">
              <w:rPr>
                <w:b/>
                <w:sz w:val="17"/>
                <w:szCs w:val="17"/>
              </w:rPr>
              <w:t>Purpose of Referral*</w:t>
            </w:r>
          </w:p>
        </w:tc>
        <w:tc>
          <w:tcPr>
            <w:tcW w:w="1285" w:type="dxa"/>
          </w:tcPr>
          <w:p w:rsidR="00C35208" w:rsidRPr="00C35208" w:rsidRDefault="00C35208" w:rsidP="00C35208">
            <w:pPr>
              <w:spacing w:before="120" w:after="120"/>
              <w:jc w:val="left"/>
              <w:rPr>
                <w:b/>
                <w:sz w:val="17"/>
                <w:szCs w:val="17"/>
              </w:rPr>
            </w:pPr>
            <w:r w:rsidRPr="00C35208">
              <w:rPr>
                <w:b/>
                <w:sz w:val="17"/>
                <w:szCs w:val="17"/>
              </w:rPr>
              <w:t>Statutory Reference*</w:t>
            </w:r>
          </w:p>
        </w:tc>
      </w:tr>
      <w:tr w:rsidR="00C35208" w:rsidRPr="00C35208" w:rsidTr="00976656">
        <w:trPr>
          <w:tblHeader/>
        </w:trPr>
        <w:tc>
          <w:tcPr>
            <w:tcW w:w="1248" w:type="dxa"/>
          </w:tcPr>
          <w:p w:rsidR="00C35208" w:rsidRPr="00C35208" w:rsidRDefault="00C35208" w:rsidP="00C35208">
            <w:pPr>
              <w:spacing w:before="120" w:after="120"/>
              <w:jc w:val="left"/>
              <w:rPr>
                <w:bCs/>
                <w:i/>
                <w:sz w:val="17"/>
                <w:szCs w:val="17"/>
              </w:rPr>
            </w:pPr>
            <w:r w:rsidRPr="00C35208">
              <w:rPr>
                <w:bCs/>
                <w:i/>
                <w:sz w:val="17"/>
                <w:szCs w:val="17"/>
              </w:rPr>
              <w:t>(Drafting note: merge this cell with above cell once implemented)</w:t>
            </w:r>
          </w:p>
        </w:tc>
        <w:tc>
          <w:tcPr>
            <w:tcW w:w="851" w:type="dxa"/>
          </w:tcPr>
          <w:p w:rsidR="00C35208" w:rsidRPr="00C35208" w:rsidRDefault="00C35208" w:rsidP="00C35208">
            <w:pPr>
              <w:spacing w:before="120" w:after="120"/>
              <w:jc w:val="left"/>
              <w:rPr>
                <w:bCs/>
                <w:sz w:val="17"/>
                <w:szCs w:val="17"/>
              </w:rPr>
            </w:pPr>
            <w:r w:rsidRPr="00C35208">
              <w:rPr>
                <w:sz w:val="17"/>
                <w:szCs w:val="17"/>
              </w:rPr>
              <w:t>Land division</w:t>
            </w:r>
          </w:p>
        </w:tc>
        <w:tc>
          <w:tcPr>
            <w:tcW w:w="2693" w:type="dxa"/>
          </w:tcPr>
          <w:p w:rsidR="00C35208" w:rsidRPr="00C35208" w:rsidRDefault="00C35208" w:rsidP="00C35208">
            <w:pPr>
              <w:spacing w:before="120" w:after="120"/>
              <w:jc w:val="left"/>
              <w:rPr>
                <w:sz w:val="17"/>
                <w:szCs w:val="17"/>
              </w:rPr>
            </w:pPr>
            <w:r w:rsidRPr="00C35208">
              <w:rPr>
                <w:sz w:val="17"/>
                <w:szCs w:val="17"/>
              </w:rPr>
              <w:t xml:space="preserve">Subject to clause 1(4) of Schedule 9 of the Planning, Development and Infrastructure (General) Regulations 2017, development involving the division of land if— </w:t>
            </w:r>
          </w:p>
          <w:p w:rsidR="00C35208" w:rsidRPr="00C35208" w:rsidRDefault="00C35208" w:rsidP="009D64F6">
            <w:pPr>
              <w:numPr>
                <w:ilvl w:val="0"/>
                <w:numId w:val="11"/>
              </w:numPr>
              <w:tabs>
                <w:tab w:val="clear" w:pos="160"/>
              </w:tabs>
              <w:spacing w:before="120" w:after="120" w:line="240" w:lineRule="auto"/>
              <w:ind w:left="315"/>
              <w:jc w:val="left"/>
              <w:rPr>
                <w:sz w:val="17"/>
                <w:szCs w:val="17"/>
              </w:rPr>
            </w:pPr>
            <w:r w:rsidRPr="00C35208">
              <w:rPr>
                <w:sz w:val="17"/>
                <w:szCs w:val="17"/>
              </w:rPr>
              <w:t xml:space="preserve">Schedule 8 clause 2A(1)(b) applies to the application in respect of the development; and </w:t>
            </w:r>
          </w:p>
          <w:p w:rsidR="00C35208" w:rsidRPr="00C35208" w:rsidRDefault="00C35208" w:rsidP="009D64F6">
            <w:pPr>
              <w:numPr>
                <w:ilvl w:val="0"/>
                <w:numId w:val="11"/>
              </w:numPr>
              <w:tabs>
                <w:tab w:val="clear" w:pos="160"/>
              </w:tabs>
              <w:spacing w:before="120" w:after="120" w:line="240" w:lineRule="auto"/>
              <w:ind w:left="315"/>
              <w:jc w:val="left"/>
              <w:rPr>
                <w:sz w:val="17"/>
                <w:szCs w:val="17"/>
              </w:rPr>
            </w:pPr>
            <w:r w:rsidRPr="00C35208">
              <w:rPr>
                <w:sz w:val="17"/>
                <w:szCs w:val="17"/>
              </w:rPr>
              <w:t xml:space="preserve">site contamination exists or may exist at the land because of 1 or more of the following circumstances: </w:t>
            </w:r>
          </w:p>
          <w:p w:rsidR="00C35208" w:rsidRPr="00C35208" w:rsidRDefault="00C35208" w:rsidP="009D64F6">
            <w:pPr>
              <w:numPr>
                <w:ilvl w:val="0"/>
                <w:numId w:val="12"/>
              </w:numPr>
              <w:tabs>
                <w:tab w:val="clear" w:pos="480"/>
                <w:tab w:val="clear" w:pos="640"/>
                <w:tab w:val="clear" w:pos="800"/>
                <w:tab w:val="clear" w:pos="960"/>
              </w:tabs>
              <w:spacing w:before="120" w:after="120" w:line="240" w:lineRule="auto"/>
              <w:ind w:left="742" w:hanging="283"/>
              <w:jc w:val="left"/>
              <w:rPr>
                <w:sz w:val="17"/>
                <w:szCs w:val="17"/>
              </w:rPr>
            </w:pPr>
            <w:r w:rsidRPr="00C35208">
              <w:rPr>
                <w:sz w:val="17"/>
                <w:szCs w:val="17"/>
              </w:rPr>
              <w:t xml:space="preserve">a class 1 activity has been conducted on the land or on adjacent land; </w:t>
            </w:r>
          </w:p>
          <w:p w:rsidR="00C35208" w:rsidRPr="00C35208" w:rsidRDefault="00C35208" w:rsidP="009D64F6">
            <w:pPr>
              <w:numPr>
                <w:ilvl w:val="0"/>
                <w:numId w:val="12"/>
              </w:numPr>
              <w:tabs>
                <w:tab w:val="clear" w:pos="480"/>
                <w:tab w:val="clear" w:pos="640"/>
                <w:tab w:val="clear" w:pos="800"/>
                <w:tab w:val="clear" w:pos="960"/>
              </w:tabs>
              <w:spacing w:before="120" w:after="120" w:line="240" w:lineRule="auto"/>
              <w:ind w:left="742" w:hanging="283"/>
              <w:jc w:val="left"/>
              <w:rPr>
                <w:sz w:val="17"/>
                <w:szCs w:val="17"/>
              </w:rPr>
            </w:pPr>
            <w:r w:rsidRPr="00C35208">
              <w:rPr>
                <w:sz w:val="17"/>
                <w:szCs w:val="17"/>
              </w:rPr>
              <w:t xml:space="preserve">a class 2 or class 3 activity has been conducted on the land; </w:t>
            </w:r>
          </w:p>
          <w:p w:rsidR="00C35208" w:rsidRPr="00C35208" w:rsidRDefault="00C35208" w:rsidP="009D64F6">
            <w:pPr>
              <w:numPr>
                <w:ilvl w:val="0"/>
                <w:numId w:val="12"/>
              </w:numPr>
              <w:tabs>
                <w:tab w:val="clear" w:pos="480"/>
                <w:tab w:val="clear" w:pos="640"/>
                <w:tab w:val="clear" w:pos="800"/>
                <w:tab w:val="clear" w:pos="960"/>
              </w:tabs>
              <w:spacing w:before="120" w:after="120" w:line="240" w:lineRule="auto"/>
              <w:ind w:left="742" w:hanging="283"/>
              <w:jc w:val="left"/>
              <w:rPr>
                <w:sz w:val="17"/>
                <w:szCs w:val="17"/>
              </w:rPr>
            </w:pPr>
            <w:r w:rsidRPr="00C35208">
              <w:rPr>
                <w:sz w:val="17"/>
                <w:szCs w:val="17"/>
              </w:rPr>
              <w:t xml:space="preserve">the land or adjacent land is the subject of a section 83A notification under the </w:t>
            </w:r>
            <w:r w:rsidRPr="00C35208">
              <w:rPr>
                <w:i/>
                <w:sz w:val="17"/>
                <w:szCs w:val="17"/>
              </w:rPr>
              <w:t>Environment Protection Act 1993</w:t>
            </w:r>
            <w:r w:rsidRPr="00C35208">
              <w:rPr>
                <w:sz w:val="17"/>
                <w:szCs w:val="17"/>
              </w:rPr>
              <w:t xml:space="preserve"> that appears on the South Australian Property and Planning Atlas; </w:t>
            </w:r>
          </w:p>
          <w:p w:rsidR="00C35208" w:rsidRPr="00C35208" w:rsidRDefault="00C35208" w:rsidP="009D64F6">
            <w:pPr>
              <w:numPr>
                <w:ilvl w:val="0"/>
                <w:numId w:val="12"/>
              </w:numPr>
              <w:tabs>
                <w:tab w:val="clear" w:pos="480"/>
                <w:tab w:val="clear" w:pos="640"/>
                <w:tab w:val="clear" w:pos="800"/>
                <w:tab w:val="clear" w:pos="960"/>
              </w:tabs>
              <w:spacing w:before="120" w:after="120" w:line="240" w:lineRule="auto"/>
              <w:ind w:left="742" w:hanging="283"/>
              <w:jc w:val="left"/>
              <w:rPr>
                <w:bCs/>
                <w:sz w:val="17"/>
                <w:szCs w:val="17"/>
              </w:rPr>
            </w:pPr>
            <w:r w:rsidRPr="00C35208">
              <w:rPr>
                <w:sz w:val="17"/>
                <w:szCs w:val="17"/>
              </w:rPr>
              <w:t xml:space="preserve">the land is within a groundwater prohibition area; </w:t>
            </w:r>
          </w:p>
          <w:p w:rsidR="00C35208" w:rsidRPr="00C35208" w:rsidRDefault="00C35208" w:rsidP="009D64F6">
            <w:pPr>
              <w:numPr>
                <w:ilvl w:val="0"/>
                <w:numId w:val="12"/>
              </w:numPr>
              <w:tabs>
                <w:tab w:val="clear" w:pos="480"/>
                <w:tab w:val="clear" w:pos="640"/>
                <w:tab w:val="clear" w:pos="800"/>
                <w:tab w:val="clear" w:pos="960"/>
              </w:tabs>
              <w:spacing w:before="120" w:after="120" w:line="240" w:lineRule="auto"/>
              <w:ind w:left="742" w:hanging="283"/>
              <w:jc w:val="left"/>
              <w:rPr>
                <w:bCs/>
                <w:sz w:val="17"/>
                <w:szCs w:val="17"/>
              </w:rPr>
            </w:pPr>
            <w:proofErr w:type="gramStart"/>
            <w:r w:rsidRPr="00C35208">
              <w:rPr>
                <w:sz w:val="17"/>
                <w:szCs w:val="17"/>
              </w:rPr>
              <w:t>the</w:t>
            </w:r>
            <w:proofErr w:type="gramEnd"/>
            <w:r w:rsidRPr="00C35208">
              <w:rPr>
                <w:sz w:val="17"/>
                <w:szCs w:val="17"/>
              </w:rPr>
              <w:t xml:space="preserve"> land is the subject of a notation on the certificate of title for the land under section 103P of the </w:t>
            </w:r>
            <w:r w:rsidRPr="00C35208">
              <w:rPr>
                <w:i/>
                <w:sz w:val="17"/>
                <w:szCs w:val="17"/>
              </w:rPr>
              <w:t>Environment Protection Act 1993</w:t>
            </w:r>
            <w:r w:rsidRPr="00C35208">
              <w:rPr>
                <w:sz w:val="17"/>
                <w:szCs w:val="17"/>
              </w:rPr>
              <w:t xml:space="preserve"> that a site contamination audit report has been prepared.</w:t>
            </w:r>
          </w:p>
        </w:tc>
        <w:tc>
          <w:tcPr>
            <w:tcW w:w="1843" w:type="dxa"/>
          </w:tcPr>
          <w:p w:rsidR="00C35208" w:rsidRPr="00C35208" w:rsidRDefault="00C35208" w:rsidP="00C35208">
            <w:pPr>
              <w:spacing w:before="120" w:after="120"/>
              <w:jc w:val="left"/>
              <w:rPr>
                <w:bCs/>
                <w:sz w:val="17"/>
                <w:szCs w:val="17"/>
              </w:rPr>
            </w:pPr>
            <w:r w:rsidRPr="00C35208">
              <w:rPr>
                <w:sz w:val="17"/>
                <w:szCs w:val="17"/>
              </w:rPr>
              <w:t xml:space="preserve">Site Contamination General Development Policies and Section 57 of </w:t>
            </w:r>
            <w:r w:rsidRPr="00C35208">
              <w:rPr>
                <w:i/>
                <w:iCs/>
                <w:sz w:val="17"/>
                <w:szCs w:val="17"/>
              </w:rPr>
              <w:t xml:space="preserve">Environment Protection Act 1993 </w:t>
            </w:r>
            <w:r w:rsidRPr="00C35208">
              <w:rPr>
                <w:sz w:val="17"/>
                <w:szCs w:val="17"/>
              </w:rPr>
              <w:t>that sets out criteria to be considered by the EPA in relation to the assessment of development applications.</w:t>
            </w:r>
          </w:p>
        </w:tc>
        <w:tc>
          <w:tcPr>
            <w:tcW w:w="1417" w:type="dxa"/>
          </w:tcPr>
          <w:p w:rsidR="00C35208" w:rsidRPr="00C35208" w:rsidRDefault="00C35208" w:rsidP="00C35208">
            <w:pPr>
              <w:spacing w:before="120" w:after="120"/>
              <w:jc w:val="left"/>
              <w:rPr>
                <w:sz w:val="17"/>
                <w:szCs w:val="17"/>
              </w:rPr>
            </w:pPr>
            <w:r w:rsidRPr="00C35208">
              <w:rPr>
                <w:sz w:val="17"/>
                <w:szCs w:val="17"/>
              </w:rPr>
              <w:t>To provide direction to the relevant authority on whether they must consider the advice of either a site contamination consultant or site contamination auditor regarding site suitability, including through the imposition of conditions of planning consent.</w:t>
            </w:r>
          </w:p>
        </w:tc>
        <w:tc>
          <w:tcPr>
            <w:tcW w:w="1285" w:type="dxa"/>
          </w:tcPr>
          <w:p w:rsidR="00C35208" w:rsidRPr="00C35208" w:rsidRDefault="00C35208" w:rsidP="00C35208">
            <w:pPr>
              <w:spacing w:before="120" w:after="120"/>
              <w:jc w:val="left"/>
              <w:rPr>
                <w:bCs/>
                <w:sz w:val="17"/>
                <w:szCs w:val="17"/>
              </w:rPr>
            </w:pPr>
            <w:r w:rsidRPr="00C35208">
              <w:rPr>
                <w:sz w:val="17"/>
                <w:szCs w:val="17"/>
              </w:rPr>
              <w:t>Development of a class to which Schedule 9 clause 3 item 9AB of the Planning, Development and Infrastructure (General) Regulations 2017 applies.</w:t>
            </w:r>
          </w:p>
        </w:tc>
      </w:tr>
    </w:tbl>
    <w:p w:rsidR="00C35208" w:rsidRPr="00C35208" w:rsidRDefault="00C35208" w:rsidP="00C35208">
      <w:pPr>
        <w:rPr>
          <w:rFonts w:ascii="Times New Roman" w:eastAsia="Times New Roman" w:hAnsi="Times New Roman"/>
          <w:b/>
          <w:sz w:val="17"/>
          <w:szCs w:val="17"/>
        </w:rPr>
      </w:pPr>
    </w:p>
    <w:p w:rsidR="00C35208" w:rsidRPr="00C35208" w:rsidRDefault="00C35208" w:rsidP="00C35208">
      <w:pPr>
        <w:spacing w:after="160" w:line="259" w:lineRule="auto"/>
        <w:rPr>
          <w:rFonts w:ascii="Times New Roman" w:eastAsia="Times New Roman" w:hAnsi="Times New Roman"/>
          <w:sz w:val="17"/>
          <w:szCs w:val="17"/>
        </w:rPr>
      </w:pPr>
      <w:r w:rsidRPr="00C35208">
        <w:rPr>
          <w:rFonts w:ascii="Times New Roman" w:eastAsia="Times New Roman" w:hAnsi="Times New Roman"/>
          <w:sz w:val="17"/>
          <w:szCs w:val="17"/>
        </w:rPr>
        <w:t>* This row for reference purposes only</w:t>
      </w:r>
    </w:p>
    <w:p w:rsidR="00C35208" w:rsidRPr="00C35208" w:rsidRDefault="00C35208" w:rsidP="00595EFB">
      <w:pPr>
        <w:spacing w:after="0" w:line="240" w:lineRule="auto"/>
        <w:jc w:val="center"/>
        <w:rPr>
          <w:rFonts w:ascii="Times New Roman" w:eastAsia="Times New Roman" w:hAnsi="Times New Roman"/>
          <w:b/>
          <w:sz w:val="17"/>
          <w:szCs w:val="17"/>
        </w:rPr>
      </w:pPr>
      <w:r w:rsidRPr="00C35208">
        <w:rPr>
          <w:rFonts w:ascii="Times New Roman" w:eastAsia="Times New Roman" w:hAnsi="Times New Roman"/>
          <w:b/>
          <w:sz w:val="17"/>
          <w:szCs w:val="17"/>
        </w:rPr>
        <w:t>ATTACHMENT B</w:t>
      </w:r>
    </w:p>
    <w:p w:rsidR="00C35208" w:rsidRPr="00C35208" w:rsidRDefault="00C35208" w:rsidP="00C35208">
      <w:pPr>
        <w:spacing w:line="259" w:lineRule="auto"/>
        <w:jc w:val="center"/>
        <w:rPr>
          <w:rFonts w:ascii="Times New Roman" w:eastAsia="Times New Roman" w:hAnsi="Times New Roman"/>
          <w:b/>
          <w:sz w:val="17"/>
          <w:szCs w:val="17"/>
        </w:rPr>
      </w:pPr>
    </w:p>
    <w:tbl>
      <w:tblPr>
        <w:tblpPr w:leftFromText="180" w:rightFromText="180" w:vertAnchor="text" w:horzAnchor="margin" w:tblpX="-30" w:tblpY="-113"/>
        <w:tblOverlap w:val="neve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7"/>
        <w:gridCol w:w="3581"/>
      </w:tblGrid>
      <w:tr w:rsidR="00C35208" w:rsidRPr="00C35208" w:rsidTr="006F6554">
        <w:tc>
          <w:tcPr>
            <w:tcW w:w="5807" w:type="dxa"/>
            <w:tcMar>
              <w:top w:w="0" w:type="dxa"/>
              <w:left w:w="108" w:type="dxa"/>
              <w:bottom w:w="0" w:type="dxa"/>
              <w:right w:w="108" w:type="dxa"/>
            </w:tcMar>
            <w:hideMark/>
          </w:tcPr>
          <w:p w:rsidR="00C35208" w:rsidRPr="00C35208" w:rsidRDefault="00C35208" w:rsidP="00C35208">
            <w:pPr>
              <w:tabs>
                <w:tab w:val="left" w:pos="1095"/>
              </w:tabs>
              <w:spacing w:before="120" w:after="120"/>
              <w:ind w:left="170"/>
              <w:rPr>
                <w:rFonts w:ascii="Times New Roman" w:eastAsia="Times New Roman" w:hAnsi="Times New Roman"/>
                <w:sz w:val="17"/>
                <w:szCs w:val="17"/>
              </w:rPr>
            </w:pPr>
            <w:r w:rsidRPr="00C35208">
              <w:rPr>
                <w:rFonts w:ascii="Times New Roman" w:eastAsia="Times New Roman" w:hAnsi="Times New Roman"/>
                <w:sz w:val="17"/>
                <w:szCs w:val="17"/>
              </w:rPr>
              <w:t xml:space="preserve">Pursuant to section 102(4) of the </w:t>
            </w:r>
            <w:r w:rsidRPr="00C35208">
              <w:rPr>
                <w:rFonts w:ascii="Times New Roman" w:eastAsia="Times New Roman" w:hAnsi="Times New Roman"/>
                <w:i/>
                <w:sz w:val="17"/>
                <w:szCs w:val="17"/>
              </w:rPr>
              <w:t>Planning, Development and Infrastructure Act 2016</w:t>
            </w:r>
            <w:r w:rsidRPr="00C35208">
              <w:rPr>
                <w:rFonts w:ascii="Times New Roman" w:eastAsia="Times New Roman" w:hAnsi="Times New Roman"/>
                <w:sz w:val="17"/>
                <w:szCs w:val="17"/>
              </w:rPr>
              <w:t>, a matter specified by the Planning and Design Code to be reserved on the application of the applicant</w:t>
            </w:r>
          </w:p>
        </w:tc>
        <w:tc>
          <w:tcPr>
            <w:tcW w:w="3581" w:type="dxa"/>
            <w:tcMar>
              <w:top w:w="0" w:type="dxa"/>
              <w:left w:w="108" w:type="dxa"/>
              <w:bottom w:w="0" w:type="dxa"/>
              <w:right w:w="108" w:type="dxa"/>
            </w:tcMar>
            <w:hideMark/>
          </w:tcPr>
          <w:p w:rsidR="00C35208" w:rsidRPr="00C35208" w:rsidRDefault="00C35208" w:rsidP="00C35208">
            <w:pPr>
              <w:tabs>
                <w:tab w:val="left" w:pos="1095"/>
              </w:tabs>
              <w:spacing w:before="120" w:after="120"/>
              <w:ind w:left="170"/>
              <w:rPr>
                <w:rFonts w:ascii="Times New Roman" w:eastAsia="Times New Roman" w:hAnsi="Times New Roman"/>
                <w:sz w:val="17"/>
                <w:szCs w:val="17"/>
              </w:rPr>
            </w:pPr>
            <w:r w:rsidRPr="00C35208">
              <w:rPr>
                <w:rFonts w:ascii="Times New Roman" w:eastAsia="Times New Roman" w:hAnsi="Times New Roman"/>
                <w:sz w:val="17"/>
                <w:szCs w:val="17"/>
              </w:rPr>
              <w:t>Any of the matters in DTS/DPF 1.1 of the Urban Tree Canopy Overlay</w:t>
            </w:r>
          </w:p>
        </w:tc>
      </w:tr>
    </w:tbl>
    <w:p w:rsidR="009D64F6" w:rsidRDefault="009D64F6" w:rsidP="00C35208">
      <w:pPr>
        <w:spacing w:after="160" w:line="259" w:lineRule="auto"/>
        <w:jc w:val="center"/>
        <w:rPr>
          <w:rFonts w:ascii="Times New Roman" w:eastAsia="Times New Roman" w:hAnsi="Times New Roman"/>
          <w:b/>
          <w:sz w:val="17"/>
          <w:szCs w:val="17"/>
        </w:rPr>
      </w:pPr>
    </w:p>
    <w:p w:rsidR="009D64F6" w:rsidRDefault="009D64F6">
      <w:pPr>
        <w:spacing w:after="0" w:line="240" w:lineRule="auto"/>
        <w:jc w:val="left"/>
        <w:rPr>
          <w:rFonts w:ascii="Times New Roman" w:eastAsia="Times New Roman" w:hAnsi="Times New Roman"/>
          <w:b/>
          <w:sz w:val="17"/>
          <w:szCs w:val="17"/>
        </w:rPr>
      </w:pPr>
      <w:r>
        <w:rPr>
          <w:rFonts w:ascii="Times New Roman" w:eastAsia="Times New Roman" w:hAnsi="Times New Roman"/>
          <w:b/>
          <w:sz w:val="17"/>
          <w:szCs w:val="17"/>
        </w:rPr>
        <w:br w:type="page"/>
      </w:r>
    </w:p>
    <w:p w:rsidR="00C35208" w:rsidRPr="00C35208" w:rsidRDefault="00C35208" w:rsidP="00C35208">
      <w:pPr>
        <w:spacing w:after="160" w:line="259" w:lineRule="auto"/>
        <w:jc w:val="center"/>
        <w:rPr>
          <w:rFonts w:ascii="Times New Roman" w:eastAsia="Times New Roman" w:hAnsi="Times New Roman"/>
          <w:b/>
          <w:sz w:val="17"/>
          <w:szCs w:val="17"/>
        </w:rPr>
      </w:pPr>
      <w:r w:rsidRPr="00C35208">
        <w:rPr>
          <w:rFonts w:ascii="Times New Roman" w:eastAsia="Times New Roman" w:hAnsi="Times New Roman"/>
          <w:b/>
          <w:sz w:val="17"/>
          <w:szCs w:val="17"/>
        </w:rPr>
        <w:t>ATTACHMENT C</w:t>
      </w:r>
    </w:p>
    <w:tbl>
      <w:tblPr>
        <w:tblW w:w="5985" w:type="dxa"/>
        <w:jc w:val="center"/>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985"/>
      </w:tblGrid>
      <w:tr w:rsidR="00C35208" w:rsidRPr="00C35208" w:rsidTr="006F6554">
        <w:trPr>
          <w:tblHeader/>
          <w:jc w:val="center"/>
        </w:trPr>
        <w:tc>
          <w:tcPr>
            <w:tcW w:w="9010" w:type="dxa"/>
            <w:tcBorders>
              <w:top w:val="single" w:sz="6" w:space="0" w:color="auto"/>
              <w:left w:val="single" w:sz="6" w:space="0" w:color="auto"/>
              <w:bottom w:val="single" w:sz="6" w:space="0" w:color="auto"/>
              <w:right w:val="single" w:sz="6" w:space="0" w:color="auto"/>
            </w:tcBorders>
            <w:shd w:val="clear" w:color="auto" w:fill="2F5496"/>
            <w:tcMar>
              <w:top w:w="0" w:type="dxa"/>
              <w:left w:w="75" w:type="dxa"/>
              <w:bottom w:w="0" w:type="dxa"/>
              <w:right w:w="75" w:type="dxa"/>
            </w:tcMar>
            <w:hideMark/>
          </w:tcPr>
          <w:p w:rsidR="00C35208" w:rsidRPr="00C35208" w:rsidRDefault="00C35208" w:rsidP="00C35208">
            <w:pPr>
              <w:spacing w:after="0" w:line="240" w:lineRule="auto"/>
              <w:ind w:hanging="49"/>
              <w:jc w:val="center"/>
              <w:rPr>
                <w:rFonts w:ascii="Times New Roman" w:eastAsia="Times New Roman" w:hAnsi="Times New Roman"/>
                <w:b/>
                <w:bCs/>
                <w:color w:val="FFFFFF"/>
                <w:sz w:val="17"/>
                <w:szCs w:val="17"/>
                <w:lang w:val="en-GB" w:eastAsia="en-AU"/>
              </w:rPr>
            </w:pPr>
            <w:r w:rsidRPr="00C35208">
              <w:rPr>
                <w:rFonts w:ascii="Times New Roman" w:eastAsia="Times New Roman" w:hAnsi="Times New Roman"/>
                <w:b/>
                <w:bCs/>
                <w:color w:val="FFFFFF"/>
                <w:sz w:val="17"/>
                <w:szCs w:val="17"/>
                <w:lang w:val="en-GB" w:eastAsia="en-AU"/>
              </w:rPr>
              <w:t>Interface Height</w:t>
            </w:r>
          </w:p>
        </w:tc>
      </w:tr>
      <w:tr w:rsidR="00C35208" w:rsidRPr="00C35208" w:rsidTr="006F6554">
        <w:trPr>
          <w:jc w:val="center"/>
        </w:trPr>
        <w:tc>
          <w:tcPr>
            <w:tcW w:w="901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hideMark/>
          </w:tcPr>
          <w:p w:rsidR="00C35208" w:rsidRPr="00C35208" w:rsidRDefault="00C35208" w:rsidP="00C35208">
            <w:pPr>
              <w:spacing w:after="0" w:line="240" w:lineRule="auto"/>
              <w:jc w:val="left"/>
              <w:rPr>
                <w:rFonts w:ascii="Times New Roman" w:eastAsia="Times New Roman" w:hAnsi="Times New Roman"/>
                <w:sz w:val="17"/>
                <w:szCs w:val="17"/>
                <w:lang w:val="en-GB" w:eastAsia="en-AU"/>
              </w:rPr>
            </w:pPr>
            <w:r w:rsidRPr="00C35208">
              <w:rPr>
                <w:rFonts w:ascii="Times New Roman" w:eastAsia="Times New Roman" w:hAnsi="Times New Roman"/>
                <w:sz w:val="17"/>
                <w:szCs w:val="17"/>
                <w:lang w:val="en-GB" w:eastAsia="en-AU"/>
              </w:rPr>
              <w:t>Buildings constructed within a building envelope provided by a:</w:t>
            </w:r>
          </w:p>
          <w:p w:rsidR="00C35208" w:rsidRPr="00C35208" w:rsidRDefault="00C35208" w:rsidP="00C35208">
            <w:pPr>
              <w:spacing w:after="0" w:line="240" w:lineRule="auto"/>
              <w:jc w:val="left"/>
              <w:rPr>
                <w:rFonts w:ascii="Times New Roman" w:eastAsia="Times New Roman" w:hAnsi="Times New Roman"/>
                <w:sz w:val="17"/>
                <w:szCs w:val="17"/>
                <w:lang w:val="en-GB" w:eastAsia="en-AU"/>
              </w:rPr>
            </w:pPr>
          </w:p>
          <w:p w:rsidR="00C35208" w:rsidRPr="00C35208" w:rsidRDefault="00C35208" w:rsidP="00C35208">
            <w:pPr>
              <w:spacing w:after="0" w:line="240" w:lineRule="auto"/>
              <w:ind w:left="720"/>
              <w:contextualSpacing/>
              <w:jc w:val="left"/>
              <w:rPr>
                <w:rFonts w:ascii="Times New Roman" w:eastAsia="Times New Roman" w:hAnsi="Times New Roman"/>
                <w:sz w:val="17"/>
                <w:szCs w:val="17"/>
                <w:lang w:val="en-GB" w:eastAsia="en-AU"/>
              </w:rPr>
            </w:pPr>
            <w:r w:rsidRPr="00C35208">
              <w:rPr>
                <w:rFonts w:ascii="Times New Roman" w:eastAsia="Times New Roman" w:hAnsi="Times New Roman"/>
                <w:sz w:val="17"/>
                <w:szCs w:val="17"/>
                <w:lang w:val="en-GB" w:eastAsia="en-AU"/>
              </w:rPr>
              <w:t>45 degree plane measured from a height of 3 metres above natural ground level at the boundary of an allotment used for residential purposes within a neighbourhood-type zone as shown in the following diagram (except where this boundary is a southern boundary):</w:t>
            </w:r>
          </w:p>
          <w:p w:rsidR="00C35208" w:rsidRPr="00C35208" w:rsidRDefault="00C35208" w:rsidP="00C35208">
            <w:pPr>
              <w:spacing w:after="0" w:line="240" w:lineRule="auto"/>
              <w:jc w:val="left"/>
              <w:rPr>
                <w:rFonts w:ascii="Times New Roman" w:eastAsia="Times New Roman" w:hAnsi="Times New Roman"/>
                <w:sz w:val="17"/>
                <w:szCs w:val="17"/>
                <w:lang w:val="en-GB" w:eastAsia="en-AU"/>
              </w:rPr>
            </w:pPr>
            <w:r w:rsidRPr="00C35208">
              <w:rPr>
                <w:rFonts w:ascii="Times New Roman" w:eastAsia="Times New Roman" w:hAnsi="Times New Roman"/>
                <w:noProof/>
                <w:sz w:val="17"/>
                <w:szCs w:val="17"/>
                <w:lang w:eastAsia="en-AU"/>
              </w:rPr>
              <w:drawing>
                <wp:inline distT="0" distB="0" distL="0" distR="0" wp14:anchorId="600F732E" wp14:editId="4BC29941">
                  <wp:extent cx="2891755" cy="1338943"/>
                  <wp:effectExtent l="0" t="0" r="4445" b="0"/>
                  <wp:docPr id="16" name="Picture 16"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33080" cy="1358077"/>
                          </a:xfrm>
                          <a:prstGeom prst="rect">
                            <a:avLst/>
                          </a:prstGeom>
                          <a:noFill/>
                          <a:ln>
                            <a:noFill/>
                          </a:ln>
                        </pic:spPr>
                      </pic:pic>
                    </a:graphicData>
                  </a:graphic>
                </wp:inline>
              </w:drawing>
            </w:r>
          </w:p>
          <w:p w:rsidR="00C35208" w:rsidRPr="00C35208" w:rsidRDefault="00C35208" w:rsidP="00C35208">
            <w:pPr>
              <w:spacing w:after="0" w:line="240" w:lineRule="auto"/>
              <w:jc w:val="left"/>
              <w:rPr>
                <w:rFonts w:ascii="Times New Roman" w:eastAsia="Times New Roman" w:hAnsi="Times New Roman"/>
                <w:sz w:val="17"/>
                <w:szCs w:val="17"/>
                <w:lang w:val="en-GB" w:eastAsia="en-AU"/>
              </w:rPr>
            </w:pPr>
          </w:p>
          <w:p w:rsidR="00C35208" w:rsidRPr="00C35208" w:rsidRDefault="00C35208" w:rsidP="00C35208">
            <w:pPr>
              <w:spacing w:after="0" w:line="240" w:lineRule="auto"/>
              <w:jc w:val="left"/>
              <w:rPr>
                <w:rFonts w:ascii="Times New Roman" w:eastAsia="Times New Roman" w:hAnsi="Times New Roman"/>
                <w:sz w:val="17"/>
                <w:szCs w:val="17"/>
                <w:lang w:val="en-GB" w:eastAsia="en-AU"/>
              </w:rPr>
            </w:pPr>
          </w:p>
          <w:p w:rsidR="00C35208" w:rsidRPr="00C35208" w:rsidRDefault="00C35208" w:rsidP="00C35208">
            <w:pPr>
              <w:spacing w:after="0" w:line="240" w:lineRule="auto"/>
              <w:ind w:left="720"/>
              <w:contextualSpacing/>
              <w:jc w:val="left"/>
              <w:rPr>
                <w:rFonts w:ascii="Times New Roman" w:eastAsia="Times New Roman" w:hAnsi="Times New Roman"/>
                <w:sz w:val="17"/>
                <w:szCs w:val="17"/>
                <w:lang w:val="en-GB" w:eastAsia="en-AU"/>
              </w:rPr>
            </w:pPr>
            <w:r w:rsidRPr="00C35208">
              <w:rPr>
                <w:rFonts w:ascii="Times New Roman" w:eastAsia="Times New Roman" w:hAnsi="Times New Roman"/>
                <w:sz w:val="17"/>
                <w:szCs w:val="17"/>
                <w:lang w:val="en-GB" w:eastAsia="en-AU"/>
              </w:rPr>
              <w:t>in relation to a southern boundary, 30 degree plane grading north, measured from a height of 3m above natural ground at the boundary of an allotment used for residential purposes within a neighbourhood-type zone as shown in the following diagram:</w:t>
            </w:r>
          </w:p>
          <w:p w:rsidR="00C35208" w:rsidRPr="00C35208" w:rsidRDefault="00C35208" w:rsidP="00C35208">
            <w:pPr>
              <w:spacing w:after="300" w:line="240" w:lineRule="auto"/>
              <w:jc w:val="left"/>
              <w:rPr>
                <w:rFonts w:ascii="Times New Roman" w:eastAsia="Times New Roman" w:hAnsi="Times New Roman"/>
                <w:color w:val="2E2E2E"/>
                <w:sz w:val="17"/>
                <w:szCs w:val="17"/>
                <w:lang w:val="en-GB" w:eastAsia="en-AU"/>
              </w:rPr>
            </w:pPr>
            <w:r w:rsidRPr="00C35208">
              <w:rPr>
                <w:rFonts w:ascii="Times New Roman" w:eastAsia="Times New Roman" w:hAnsi="Times New Roman"/>
                <w:noProof/>
                <w:color w:val="2E2E2E"/>
                <w:sz w:val="17"/>
                <w:szCs w:val="17"/>
                <w:lang w:eastAsia="en-AU"/>
              </w:rPr>
              <w:drawing>
                <wp:inline distT="0" distB="0" distL="0" distR="0" wp14:anchorId="037E41E3" wp14:editId="1DB24AD4">
                  <wp:extent cx="2956500" cy="1861457"/>
                  <wp:effectExtent l="0" t="0" r="0" b="5715"/>
                  <wp:docPr id="15" name="Picture 15" descr="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88036" cy="1881313"/>
                          </a:xfrm>
                          <a:prstGeom prst="rect">
                            <a:avLst/>
                          </a:prstGeom>
                          <a:noFill/>
                          <a:ln>
                            <a:noFill/>
                          </a:ln>
                        </pic:spPr>
                      </pic:pic>
                    </a:graphicData>
                  </a:graphic>
                </wp:inline>
              </w:drawing>
            </w:r>
          </w:p>
        </w:tc>
      </w:tr>
    </w:tbl>
    <w:p w:rsidR="00C35208" w:rsidRPr="00C35208" w:rsidRDefault="00C35208" w:rsidP="00C35208">
      <w:pPr>
        <w:rPr>
          <w:rFonts w:ascii="Times New Roman" w:eastAsia="Times New Roman" w:hAnsi="Times New Roman"/>
          <w:sz w:val="17"/>
          <w:szCs w:val="17"/>
        </w:rPr>
      </w:pPr>
    </w:p>
    <w:p w:rsidR="00C35208" w:rsidRPr="00C35208" w:rsidRDefault="00C35208" w:rsidP="00C35208">
      <w:pPr>
        <w:rPr>
          <w:rFonts w:ascii="Times New Roman" w:eastAsia="Times New Roman" w:hAnsi="Times New Roman"/>
          <w:sz w:val="17"/>
          <w:szCs w:val="17"/>
        </w:rPr>
      </w:pPr>
    </w:p>
    <w:p w:rsidR="00C35208" w:rsidRPr="00C35208" w:rsidRDefault="00C35208" w:rsidP="00C35208">
      <w:pPr>
        <w:spacing w:after="160" w:line="259" w:lineRule="auto"/>
        <w:jc w:val="center"/>
        <w:rPr>
          <w:rFonts w:ascii="Times New Roman" w:eastAsia="Times New Roman" w:hAnsi="Times New Roman"/>
          <w:b/>
          <w:sz w:val="17"/>
          <w:szCs w:val="17"/>
        </w:rPr>
      </w:pPr>
      <w:r w:rsidRPr="00C35208">
        <w:rPr>
          <w:rFonts w:ascii="Times New Roman" w:eastAsia="Times New Roman" w:hAnsi="Times New Roman"/>
          <w:b/>
          <w:sz w:val="17"/>
          <w:szCs w:val="17"/>
        </w:rPr>
        <w:t>ATTACHMENT D</w:t>
      </w:r>
    </w:p>
    <w:tbl>
      <w:tblPr>
        <w:tblW w:w="9309" w:type="dxa"/>
        <w:tblInd w:w="26" w:type="dxa"/>
        <w:tblBorders>
          <w:top w:val="single" w:sz="6" w:space="0" w:color="C1C7D0"/>
          <w:left w:val="single" w:sz="6" w:space="0" w:color="C1C7D0"/>
          <w:bottom w:val="single" w:sz="6" w:space="0" w:color="C1C7D0"/>
          <w:right w:val="single" w:sz="6" w:space="0" w:color="C1C7D0"/>
        </w:tblBorders>
        <w:tblLayout w:type="fixed"/>
        <w:tblCellMar>
          <w:top w:w="15" w:type="dxa"/>
          <w:left w:w="15" w:type="dxa"/>
          <w:bottom w:w="15" w:type="dxa"/>
          <w:right w:w="15" w:type="dxa"/>
        </w:tblCellMar>
        <w:tblLook w:val="04A0" w:firstRow="1" w:lastRow="0" w:firstColumn="1" w:lastColumn="0" w:noHBand="0" w:noVBand="1"/>
      </w:tblPr>
      <w:tblGrid>
        <w:gridCol w:w="3261"/>
        <w:gridCol w:w="6048"/>
      </w:tblGrid>
      <w:tr w:rsidR="00C35208" w:rsidRPr="00C35208" w:rsidTr="00976656">
        <w:trPr>
          <w:trHeight w:val="254"/>
        </w:trPr>
        <w:tc>
          <w:tcPr>
            <w:tcW w:w="3261" w:type="dxa"/>
            <w:tcBorders>
              <w:top w:val="single" w:sz="6" w:space="0" w:color="C1C7D0"/>
              <w:left w:val="single" w:sz="6" w:space="0" w:color="C1C7D0"/>
              <w:bottom w:val="single" w:sz="2" w:space="0" w:color="C1C7D0"/>
              <w:right w:val="single" w:sz="2" w:space="0" w:color="C1C7D0"/>
            </w:tcBorders>
            <w:shd w:val="clear" w:color="auto" w:fill="000000" w:themeFill="text1"/>
            <w:tcMar>
              <w:top w:w="120" w:type="dxa"/>
              <w:left w:w="120" w:type="dxa"/>
              <w:bottom w:w="120" w:type="dxa"/>
              <w:right w:w="120" w:type="dxa"/>
            </w:tcMar>
            <w:hideMark/>
          </w:tcPr>
          <w:p w:rsidR="00C35208" w:rsidRPr="00C35208" w:rsidRDefault="00C35208" w:rsidP="00C35208">
            <w:pPr>
              <w:ind w:left="170"/>
              <w:rPr>
                <w:rFonts w:ascii="Times New Roman" w:eastAsia="Times New Roman" w:hAnsi="Times New Roman"/>
                <w:bCs/>
                <w:color w:val="FFFFFF" w:themeColor="background1"/>
                <w:sz w:val="17"/>
                <w:szCs w:val="17"/>
              </w:rPr>
            </w:pPr>
            <w:r w:rsidRPr="00C35208">
              <w:rPr>
                <w:rFonts w:ascii="Times New Roman" w:eastAsia="Times New Roman" w:hAnsi="Times New Roman"/>
                <w:bCs/>
                <w:color w:val="FFFFFF" w:themeColor="background1"/>
                <w:sz w:val="17"/>
                <w:szCs w:val="17"/>
              </w:rPr>
              <w:t>Class of Development </w:t>
            </w:r>
          </w:p>
        </w:tc>
        <w:tc>
          <w:tcPr>
            <w:tcW w:w="6048" w:type="dxa"/>
            <w:tcBorders>
              <w:top w:val="single" w:sz="6" w:space="0" w:color="C1C7D0"/>
              <w:left w:val="single" w:sz="6" w:space="0" w:color="C1C7D0"/>
              <w:bottom w:val="single" w:sz="2" w:space="0" w:color="C1C7D0"/>
              <w:right w:val="single" w:sz="2" w:space="0" w:color="C1C7D0"/>
            </w:tcBorders>
            <w:shd w:val="clear" w:color="auto" w:fill="000000" w:themeFill="text1"/>
            <w:tcMar>
              <w:top w:w="120" w:type="dxa"/>
              <w:left w:w="120" w:type="dxa"/>
              <w:bottom w:w="120" w:type="dxa"/>
              <w:right w:w="120" w:type="dxa"/>
            </w:tcMar>
            <w:hideMark/>
          </w:tcPr>
          <w:p w:rsidR="00C35208" w:rsidRPr="00C35208" w:rsidRDefault="00C35208" w:rsidP="00C35208">
            <w:pPr>
              <w:ind w:left="170"/>
              <w:rPr>
                <w:rFonts w:ascii="Times New Roman" w:eastAsia="Times New Roman" w:hAnsi="Times New Roman"/>
                <w:bCs/>
                <w:color w:val="FFFFFF" w:themeColor="background1"/>
                <w:sz w:val="17"/>
                <w:szCs w:val="17"/>
              </w:rPr>
            </w:pPr>
            <w:r w:rsidRPr="00C35208">
              <w:rPr>
                <w:rFonts w:ascii="Times New Roman" w:eastAsia="Times New Roman" w:hAnsi="Times New Roman"/>
                <w:bCs/>
                <w:color w:val="FFFFFF" w:themeColor="background1"/>
                <w:sz w:val="17"/>
                <w:szCs w:val="17"/>
              </w:rPr>
              <w:t>Accepted Development Classification Criteria </w:t>
            </w:r>
          </w:p>
        </w:tc>
      </w:tr>
      <w:tr w:rsidR="00C35208" w:rsidRPr="00C35208" w:rsidTr="00976656">
        <w:trPr>
          <w:trHeight w:val="564"/>
        </w:trPr>
        <w:tc>
          <w:tcPr>
            <w:tcW w:w="3261" w:type="dxa"/>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rsidR="00C35208" w:rsidRPr="00C35208" w:rsidRDefault="00C35208" w:rsidP="00C35208">
            <w:pPr>
              <w:ind w:left="170"/>
              <w:rPr>
                <w:rFonts w:ascii="Times New Roman" w:eastAsia="Times New Roman" w:hAnsi="Times New Roman"/>
                <w:bCs/>
                <w:sz w:val="17"/>
                <w:szCs w:val="17"/>
              </w:rPr>
            </w:pPr>
            <w:r w:rsidRPr="00C35208">
              <w:rPr>
                <w:rFonts w:ascii="Times New Roman" w:eastAsia="Times New Roman" w:hAnsi="Times New Roman"/>
                <w:bCs/>
                <w:sz w:val="17"/>
                <w:szCs w:val="17"/>
              </w:rPr>
              <w:t>Educational establishment.</w:t>
            </w:r>
          </w:p>
          <w:p w:rsidR="00C35208" w:rsidRPr="00C35208" w:rsidRDefault="00C35208" w:rsidP="00C35208">
            <w:pPr>
              <w:ind w:left="170"/>
              <w:rPr>
                <w:rFonts w:ascii="Times New Roman" w:eastAsia="Times New Roman" w:hAnsi="Times New Roman"/>
                <w:bCs/>
                <w:sz w:val="17"/>
                <w:szCs w:val="17"/>
              </w:rPr>
            </w:pPr>
          </w:p>
          <w:p w:rsidR="00C35208" w:rsidRPr="00C35208" w:rsidRDefault="00C35208" w:rsidP="00C35208">
            <w:pPr>
              <w:ind w:left="170"/>
              <w:rPr>
                <w:rFonts w:ascii="Times New Roman" w:eastAsia="Times New Roman" w:hAnsi="Times New Roman"/>
                <w:bCs/>
                <w:sz w:val="17"/>
                <w:szCs w:val="17"/>
              </w:rPr>
            </w:pPr>
            <w:r w:rsidRPr="00C35208">
              <w:rPr>
                <w:rFonts w:ascii="Times New Roman" w:eastAsia="Times New Roman" w:hAnsi="Times New Roman"/>
                <w:bCs/>
                <w:sz w:val="17"/>
                <w:szCs w:val="17"/>
              </w:rPr>
              <w:t>Except where any of the following apply:</w:t>
            </w:r>
          </w:p>
          <w:p w:rsidR="00C35208" w:rsidRPr="00C35208" w:rsidRDefault="00C35208" w:rsidP="00C35208">
            <w:pPr>
              <w:ind w:left="170"/>
              <w:rPr>
                <w:rFonts w:ascii="Times New Roman" w:eastAsia="Times New Roman" w:hAnsi="Times New Roman"/>
                <w:bCs/>
                <w:sz w:val="17"/>
                <w:szCs w:val="17"/>
              </w:rPr>
            </w:pPr>
          </w:p>
          <w:p w:rsidR="00C35208" w:rsidRPr="00C35208" w:rsidRDefault="00C35208" w:rsidP="00C35208">
            <w:pPr>
              <w:numPr>
                <w:ilvl w:val="0"/>
                <w:numId w:val="14"/>
              </w:numPr>
              <w:tabs>
                <w:tab w:val="num" w:pos="720"/>
              </w:tabs>
              <w:spacing w:after="0" w:line="240" w:lineRule="auto"/>
              <w:contextualSpacing/>
              <w:jc w:val="left"/>
              <w:rPr>
                <w:rFonts w:ascii="Times New Roman" w:eastAsia="Times New Roman" w:hAnsi="Times New Roman"/>
                <w:bCs/>
                <w:sz w:val="17"/>
                <w:szCs w:val="17"/>
              </w:rPr>
            </w:pPr>
            <w:r w:rsidRPr="00C35208">
              <w:rPr>
                <w:rFonts w:ascii="Times New Roman" w:eastAsia="Times New Roman" w:hAnsi="Times New Roman"/>
                <w:bCs/>
                <w:sz w:val="17"/>
                <w:szCs w:val="17"/>
              </w:rPr>
              <w:t>Hazards (Bushfire – High Risk) Overlay</w:t>
            </w:r>
          </w:p>
          <w:p w:rsidR="00C35208" w:rsidRPr="00C35208" w:rsidRDefault="00C35208" w:rsidP="00C35208">
            <w:pPr>
              <w:numPr>
                <w:ilvl w:val="0"/>
                <w:numId w:val="14"/>
              </w:numPr>
              <w:tabs>
                <w:tab w:val="num" w:pos="720"/>
              </w:tabs>
              <w:spacing w:after="0" w:line="240" w:lineRule="auto"/>
              <w:contextualSpacing/>
              <w:jc w:val="left"/>
              <w:rPr>
                <w:rFonts w:ascii="Times New Roman" w:eastAsia="Times New Roman" w:hAnsi="Times New Roman"/>
                <w:bCs/>
                <w:sz w:val="17"/>
                <w:szCs w:val="17"/>
              </w:rPr>
            </w:pPr>
            <w:r w:rsidRPr="00C35208">
              <w:rPr>
                <w:rFonts w:ascii="Times New Roman" w:eastAsia="Times New Roman" w:hAnsi="Times New Roman"/>
                <w:bCs/>
                <w:sz w:val="17"/>
                <w:szCs w:val="17"/>
              </w:rPr>
              <w:t>Hazards (Flooding) Overlay</w:t>
            </w:r>
          </w:p>
          <w:p w:rsidR="00C35208" w:rsidRPr="00C35208" w:rsidRDefault="00C35208" w:rsidP="00C35208">
            <w:pPr>
              <w:numPr>
                <w:ilvl w:val="0"/>
                <w:numId w:val="14"/>
              </w:numPr>
              <w:spacing w:after="0" w:line="240" w:lineRule="auto"/>
              <w:contextualSpacing/>
              <w:jc w:val="left"/>
              <w:rPr>
                <w:rFonts w:ascii="Times New Roman" w:eastAsia="Times New Roman" w:hAnsi="Times New Roman"/>
                <w:bCs/>
                <w:sz w:val="17"/>
                <w:szCs w:val="17"/>
              </w:rPr>
            </w:pPr>
            <w:r w:rsidRPr="00C35208">
              <w:rPr>
                <w:rFonts w:ascii="Times New Roman" w:eastAsia="Times New Roman" w:hAnsi="Times New Roman"/>
                <w:bCs/>
                <w:sz w:val="17"/>
                <w:szCs w:val="17"/>
              </w:rPr>
              <w:t>Historic Area Overlay</w:t>
            </w:r>
          </w:p>
          <w:p w:rsidR="00C35208" w:rsidRPr="00C35208" w:rsidRDefault="00C35208" w:rsidP="00C35208">
            <w:pPr>
              <w:numPr>
                <w:ilvl w:val="0"/>
                <w:numId w:val="14"/>
              </w:numPr>
              <w:spacing w:after="0" w:line="240" w:lineRule="auto"/>
              <w:contextualSpacing/>
              <w:jc w:val="left"/>
              <w:rPr>
                <w:rFonts w:ascii="Times New Roman" w:eastAsia="Times New Roman" w:hAnsi="Times New Roman"/>
                <w:bCs/>
                <w:sz w:val="17"/>
                <w:szCs w:val="17"/>
              </w:rPr>
            </w:pPr>
            <w:r w:rsidRPr="00C35208">
              <w:rPr>
                <w:rFonts w:ascii="Times New Roman" w:eastAsia="Times New Roman" w:hAnsi="Times New Roman"/>
                <w:bCs/>
                <w:sz w:val="17"/>
                <w:szCs w:val="17"/>
              </w:rPr>
              <w:t>Local Heritage Place Overlay</w:t>
            </w:r>
          </w:p>
          <w:p w:rsidR="00C35208" w:rsidRPr="00C35208" w:rsidRDefault="00C35208" w:rsidP="00C35208">
            <w:pPr>
              <w:numPr>
                <w:ilvl w:val="0"/>
                <w:numId w:val="14"/>
              </w:numPr>
              <w:spacing w:after="0" w:line="240" w:lineRule="auto"/>
              <w:contextualSpacing/>
              <w:jc w:val="left"/>
              <w:rPr>
                <w:rFonts w:ascii="Times New Roman" w:eastAsia="Times New Roman" w:hAnsi="Times New Roman"/>
                <w:bCs/>
                <w:sz w:val="17"/>
                <w:szCs w:val="17"/>
              </w:rPr>
            </w:pPr>
            <w:r w:rsidRPr="00C35208">
              <w:rPr>
                <w:rFonts w:ascii="Times New Roman" w:eastAsia="Times New Roman" w:hAnsi="Times New Roman"/>
                <w:bCs/>
                <w:sz w:val="17"/>
                <w:szCs w:val="17"/>
              </w:rPr>
              <w:t>State Heritage Area Overlay</w:t>
            </w:r>
          </w:p>
          <w:p w:rsidR="00C35208" w:rsidRPr="00C35208" w:rsidRDefault="00C35208" w:rsidP="00C35208">
            <w:pPr>
              <w:numPr>
                <w:ilvl w:val="0"/>
                <w:numId w:val="14"/>
              </w:numPr>
              <w:rPr>
                <w:rFonts w:ascii="Times New Roman" w:eastAsia="Times New Roman" w:hAnsi="Times New Roman"/>
                <w:bCs/>
                <w:sz w:val="17"/>
                <w:szCs w:val="17"/>
              </w:rPr>
            </w:pPr>
            <w:r w:rsidRPr="00C35208">
              <w:rPr>
                <w:rFonts w:ascii="Times New Roman" w:eastAsia="Times New Roman" w:hAnsi="Times New Roman"/>
                <w:bCs/>
                <w:sz w:val="17"/>
                <w:szCs w:val="17"/>
              </w:rPr>
              <w:t xml:space="preserve">State Heritage Place Overlay </w:t>
            </w:r>
          </w:p>
        </w:tc>
        <w:tc>
          <w:tcPr>
            <w:tcW w:w="6048" w:type="dxa"/>
            <w:tcBorders>
              <w:top w:val="single" w:sz="6" w:space="0" w:color="C1C7D0"/>
              <w:left w:val="single" w:sz="6" w:space="0" w:color="C1C7D0"/>
              <w:bottom w:val="single" w:sz="2" w:space="0" w:color="C1C7D0"/>
              <w:right w:val="single" w:sz="2" w:space="0" w:color="C1C7D0"/>
            </w:tcBorders>
            <w:tcMar>
              <w:top w:w="120" w:type="dxa"/>
              <w:left w:w="120" w:type="dxa"/>
              <w:bottom w:w="120" w:type="dxa"/>
              <w:right w:w="120" w:type="dxa"/>
            </w:tcMar>
            <w:hideMark/>
          </w:tcPr>
          <w:p w:rsidR="00C35208" w:rsidRPr="00C35208" w:rsidRDefault="00C35208" w:rsidP="00C35208">
            <w:pPr>
              <w:numPr>
                <w:ilvl w:val="0"/>
                <w:numId w:val="13"/>
              </w:numPr>
              <w:spacing w:before="120" w:after="120" w:line="240" w:lineRule="auto"/>
              <w:ind w:left="589" w:hanging="425"/>
              <w:jc w:val="left"/>
              <w:rPr>
                <w:rFonts w:ascii="Times New Roman" w:eastAsia="Times New Roman" w:hAnsi="Times New Roman"/>
                <w:bCs/>
                <w:sz w:val="17"/>
                <w:szCs w:val="17"/>
              </w:rPr>
            </w:pPr>
            <w:r w:rsidRPr="00C35208">
              <w:rPr>
                <w:rFonts w:ascii="Times New Roman" w:eastAsia="Times New Roman" w:hAnsi="Times New Roman"/>
                <w:bCs/>
                <w:sz w:val="17"/>
                <w:szCs w:val="17"/>
              </w:rPr>
              <w:t>Development comprises the construction, alteration of, or addition to, a classroom or other covered outdoor educational area within the area of an existing educational establishment. </w:t>
            </w:r>
          </w:p>
          <w:p w:rsidR="00C35208" w:rsidRPr="00C35208" w:rsidRDefault="00C35208" w:rsidP="00C35208">
            <w:pPr>
              <w:numPr>
                <w:ilvl w:val="0"/>
                <w:numId w:val="13"/>
              </w:numPr>
              <w:spacing w:before="120" w:after="120" w:line="240" w:lineRule="auto"/>
              <w:ind w:left="589" w:hanging="425"/>
              <w:jc w:val="left"/>
              <w:rPr>
                <w:rFonts w:ascii="Times New Roman" w:eastAsia="Times New Roman" w:hAnsi="Times New Roman"/>
                <w:bCs/>
                <w:sz w:val="17"/>
                <w:szCs w:val="17"/>
              </w:rPr>
            </w:pPr>
            <w:r w:rsidRPr="00C35208">
              <w:rPr>
                <w:rFonts w:ascii="Times New Roman" w:eastAsia="Times New Roman" w:hAnsi="Times New Roman"/>
                <w:bCs/>
                <w:sz w:val="17"/>
                <w:szCs w:val="17"/>
              </w:rPr>
              <w:t>The building does not exceed 1 building level.</w:t>
            </w:r>
          </w:p>
          <w:p w:rsidR="00C35208" w:rsidRPr="00C35208" w:rsidRDefault="00C35208" w:rsidP="00C35208">
            <w:pPr>
              <w:numPr>
                <w:ilvl w:val="0"/>
                <w:numId w:val="13"/>
              </w:numPr>
              <w:spacing w:before="120" w:after="120" w:line="240" w:lineRule="auto"/>
              <w:ind w:left="589" w:hanging="425"/>
              <w:jc w:val="left"/>
              <w:rPr>
                <w:rFonts w:ascii="Times New Roman" w:eastAsia="Times New Roman" w:hAnsi="Times New Roman"/>
                <w:bCs/>
                <w:sz w:val="17"/>
                <w:szCs w:val="17"/>
              </w:rPr>
            </w:pPr>
            <w:r w:rsidRPr="00C35208">
              <w:rPr>
                <w:rFonts w:ascii="Times New Roman" w:eastAsia="Times New Roman" w:hAnsi="Times New Roman"/>
                <w:bCs/>
                <w:sz w:val="17"/>
                <w:szCs w:val="17"/>
              </w:rPr>
              <w:t>The building is setback at least 3m from any boundary.</w:t>
            </w:r>
          </w:p>
          <w:p w:rsidR="00C35208" w:rsidRPr="00C35208" w:rsidRDefault="00C35208" w:rsidP="00C35208">
            <w:pPr>
              <w:numPr>
                <w:ilvl w:val="0"/>
                <w:numId w:val="13"/>
              </w:numPr>
              <w:spacing w:before="120" w:after="120" w:line="240" w:lineRule="auto"/>
              <w:ind w:left="589" w:hanging="425"/>
              <w:jc w:val="left"/>
              <w:rPr>
                <w:rFonts w:ascii="Times New Roman" w:eastAsia="Times New Roman" w:hAnsi="Times New Roman"/>
                <w:bCs/>
                <w:sz w:val="17"/>
                <w:szCs w:val="17"/>
              </w:rPr>
            </w:pPr>
            <w:r w:rsidRPr="00C35208">
              <w:rPr>
                <w:rFonts w:ascii="Times New Roman" w:eastAsia="Times New Roman" w:hAnsi="Times New Roman"/>
                <w:bCs/>
                <w:sz w:val="17"/>
                <w:szCs w:val="17"/>
              </w:rPr>
              <w:t>The floor area of the building does not exceed 200m</w:t>
            </w:r>
            <w:r w:rsidRPr="00C35208">
              <w:rPr>
                <w:rFonts w:ascii="Times New Roman" w:eastAsia="Times New Roman" w:hAnsi="Times New Roman"/>
                <w:bCs/>
                <w:sz w:val="17"/>
                <w:szCs w:val="17"/>
                <w:vertAlign w:val="superscript"/>
              </w:rPr>
              <w:t>2</w:t>
            </w:r>
            <w:r w:rsidRPr="00C35208">
              <w:rPr>
                <w:rFonts w:ascii="Times New Roman" w:eastAsia="Times New Roman" w:hAnsi="Times New Roman"/>
                <w:bCs/>
                <w:sz w:val="17"/>
                <w:szCs w:val="17"/>
              </w:rPr>
              <w:t>.</w:t>
            </w:r>
          </w:p>
          <w:p w:rsidR="00C35208" w:rsidRPr="00C35208" w:rsidRDefault="00C35208" w:rsidP="00C35208">
            <w:pPr>
              <w:numPr>
                <w:ilvl w:val="0"/>
                <w:numId w:val="13"/>
              </w:numPr>
              <w:spacing w:before="120" w:after="120" w:line="240" w:lineRule="auto"/>
              <w:ind w:left="589" w:hanging="425"/>
              <w:jc w:val="left"/>
              <w:rPr>
                <w:rFonts w:ascii="Times New Roman" w:eastAsia="Times New Roman" w:hAnsi="Times New Roman"/>
                <w:bCs/>
                <w:sz w:val="17"/>
                <w:szCs w:val="17"/>
              </w:rPr>
            </w:pPr>
            <w:r w:rsidRPr="00C35208">
              <w:rPr>
                <w:rFonts w:ascii="Times New Roman" w:eastAsia="Times New Roman" w:hAnsi="Times New Roman"/>
                <w:bCs/>
                <w:sz w:val="17"/>
                <w:szCs w:val="17"/>
              </w:rPr>
              <w:t>The building will not result in fewer vehicular parks on the site and off-street vehicular parking exists in accordance with the rate(s) specified in Transport, Access and Parking Table 1 - General Off-Street Car Parking Requirements or Table 2 - Off-Street Car Parking Requirements in Designated Areas to the nearest whole number.</w:t>
            </w:r>
          </w:p>
        </w:tc>
      </w:tr>
    </w:tbl>
    <w:p w:rsidR="00C35208" w:rsidRPr="00C35208" w:rsidRDefault="00C35208" w:rsidP="00C35208">
      <w:pPr>
        <w:rPr>
          <w:rFonts w:ascii="Times New Roman" w:eastAsia="Times New Roman" w:hAnsi="Times New Roman"/>
          <w:sz w:val="17"/>
          <w:szCs w:val="17"/>
        </w:rPr>
      </w:pPr>
    </w:p>
    <w:p w:rsidR="00C35208" w:rsidRPr="00C35208" w:rsidRDefault="00C35208" w:rsidP="00C35208">
      <w:pPr>
        <w:rPr>
          <w:rFonts w:ascii="Times New Roman" w:eastAsia="Times New Roman" w:hAnsi="Times New Roman"/>
          <w:sz w:val="17"/>
          <w:szCs w:val="17"/>
        </w:rPr>
      </w:pPr>
      <w:r w:rsidRPr="00C35208">
        <w:rPr>
          <w:rFonts w:ascii="Times New Roman" w:eastAsia="Times New Roman" w:hAnsi="Times New Roman"/>
          <w:sz w:val="17"/>
          <w:szCs w:val="20"/>
        </w:rPr>
        <w:br w:type="page"/>
      </w:r>
    </w:p>
    <w:p w:rsidR="00FC746F" w:rsidRPr="00FC746F" w:rsidRDefault="00FC746F" w:rsidP="00FC746F">
      <w:pPr>
        <w:spacing w:after="160" w:line="259" w:lineRule="auto"/>
        <w:jc w:val="center"/>
        <w:rPr>
          <w:rFonts w:ascii="Times New Roman" w:eastAsia="Times New Roman" w:hAnsi="Times New Roman"/>
          <w:b/>
          <w:sz w:val="17"/>
          <w:szCs w:val="17"/>
        </w:rPr>
      </w:pPr>
      <w:r w:rsidRPr="00FC746F">
        <w:rPr>
          <w:rFonts w:ascii="Times New Roman" w:eastAsia="Times New Roman" w:hAnsi="Times New Roman"/>
          <w:b/>
          <w:sz w:val="17"/>
          <w:szCs w:val="17"/>
        </w:rPr>
        <w:t>ATTACHMENT E</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79"/>
        <w:gridCol w:w="3422"/>
      </w:tblGrid>
      <w:tr w:rsidR="00FC746F" w:rsidRPr="00FC746F" w:rsidTr="00976656">
        <w:trPr>
          <w:trHeight w:val="287"/>
          <w:jc w:val="center"/>
        </w:trPr>
        <w:tc>
          <w:tcPr>
            <w:tcW w:w="9301" w:type="dxa"/>
            <w:gridSpan w:val="2"/>
            <w:tcMar>
              <w:top w:w="0" w:type="dxa"/>
              <w:left w:w="108" w:type="dxa"/>
              <w:bottom w:w="0" w:type="dxa"/>
              <w:right w:w="108" w:type="dxa"/>
            </w:tcMar>
          </w:tcPr>
          <w:p w:rsidR="00FC746F" w:rsidRPr="00FC746F" w:rsidRDefault="00FC746F" w:rsidP="00FC746F">
            <w:pPr>
              <w:spacing w:before="240" w:after="240"/>
              <w:rPr>
                <w:rFonts w:ascii="Times New Roman" w:eastAsia="Times New Roman" w:hAnsi="Times New Roman"/>
                <w:b/>
                <w:sz w:val="17"/>
                <w:szCs w:val="17"/>
              </w:rPr>
            </w:pPr>
            <w:r w:rsidRPr="00FC746F">
              <w:rPr>
                <w:rFonts w:ascii="Times New Roman" w:eastAsia="Times New Roman" w:hAnsi="Times New Roman"/>
                <w:b/>
                <w:sz w:val="17"/>
                <w:szCs w:val="17"/>
              </w:rPr>
              <w:t>City of Burnside</w:t>
            </w:r>
          </w:p>
        </w:tc>
      </w:tr>
      <w:tr w:rsidR="00FC746F" w:rsidRPr="00FC746F" w:rsidTr="00976656">
        <w:trPr>
          <w:trHeight w:val="228"/>
          <w:jc w:val="center"/>
        </w:trPr>
        <w:tc>
          <w:tcPr>
            <w:tcW w:w="5879" w:type="dxa"/>
            <w:tcMar>
              <w:top w:w="0" w:type="dxa"/>
              <w:left w:w="108" w:type="dxa"/>
              <w:bottom w:w="0" w:type="dxa"/>
              <w:right w:w="108" w:type="dxa"/>
            </w:tcMar>
          </w:tcPr>
          <w:p w:rsidR="00FC746F" w:rsidRPr="00FC746F" w:rsidRDefault="00FC746F" w:rsidP="00FC746F">
            <w:pPr>
              <w:spacing w:before="20" w:after="20"/>
              <w:rPr>
                <w:rFonts w:ascii="Times New Roman" w:eastAsia="Times New Roman" w:hAnsi="Times New Roman"/>
                <w:sz w:val="17"/>
                <w:szCs w:val="17"/>
              </w:rPr>
            </w:pPr>
            <w:r w:rsidRPr="00FC746F">
              <w:rPr>
                <w:rFonts w:ascii="Times New Roman" w:eastAsia="Times New Roman" w:hAnsi="Times New Roman"/>
                <w:sz w:val="17"/>
                <w:szCs w:val="17"/>
              </w:rPr>
              <w:t>Affected Area</w:t>
            </w:r>
          </w:p>
        </w:tc>
        <w:tc>
          <w:tcPr>
            <w:tcW w:w="3422" w:type="dxa"/>
            <w:tcMar>
              <w:top w:w="0" w:type="dxa"/>
              <w:left w:w="108" w:type="dxa"/>
              <w:bottom w:w="0" w:type="dxa"/>
              <w:right w:w="108" w:type="dxa"/>
            </w:tcMar>
          </w:tcPr>
          <w:p w:rsidR="00FC746F" w:rsidRPr="00FC746F" w:rsidRDefault="00FC746F" w:rsidP="00FC746F">
            <w:pPr>
              <w:spacing w:before="20" w:after="20"/>
              <w:rPr>
                <w:rFonts w:ascii="Times New Roman" w:eastAsia="Times New Roman" w:hAnsi="Times New Roman"/>
                <w:sz w:val="17"/>
                <w:szCs w:val="17"/>
              </w:rPr>
            </w:pPr>
            <w:r w:rsidRPr="00FC746F">
              <w:rPr>
                <w:rFonts w:ascii="Times New Roman" w:eastAsia="Times New Roman" w:hAnsi="Times New Roman"/>
                <w:sz w:val="17"/>
                <w:szCs w:val="17"/>
              </w:rPr>
              <w:t>Amendment</w:t>
            </w:r>
          </w:p>
        </w:tc>
      </w:tr>
      <w:tr w:rsidR="00FC746F" w:rsidRPr="00FC746F" w:rsidTr="00976656">
        <w:trPr>
          <w:jc w:val="center"/>
        </w:trPr>
        <w:tc>
          <w:tcPr>
            <w:tcW w:w="5879"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Those parts of the Suburban Neighbourhood Zone formerly zoned Residential Zone in the Burnside (City) Development Plan consolidated 19 December 2017 and described below:</w:t>
            </w:r>
          </w:p>
          <w:p w:rsidR="00FC746F" w:rsidRPr="00FC746F" w:rsidRDefault="00FC746F" w:rsidP="00FC746F">
            <w:pPr>
              <w:numPr>
                <w:ilvl w:val="0"/>
                <w:numId w:val="15"/>
              </w:numPr>
              <w:spacing w:before="20" w:after="0" w:line="240" w:lineRule="auto"/>
              <w:contextualSpacing/>
              <w:jc w:val="left"/>
              <w:rPr>
                <w:rFonts w:ascii="Times New Roman" w:eastAsiaTheme="minorHAnsi" w:hAnsi="Times New Roman"/>
                <w:sz w:val="17"/>
                <w:szCs w:val="17"/>
              </w:rPr>
            </w:pPr>
            <w:r w:rsidRPr="00FC746F">
              <w:rPr>
                <w:rFonts w:ascii="Times New Roman" w:eastAsiaTheme="minorHAnsi" w:hAnsi="Times New Roman"/>
                <w:sz w:val="17"/>
                <w:szCs w:val="17"/>
              </w:rPr>
              <w:t>Residential Policy Area 2 Northern Areas (only the part zoned Suburban Neighbourhood in the Code)</w:t>
            </w:r>
          </w:p>
          <w:p w:rsidR="00FC746F" w:rsidRPr="00FC746F" w:rsidRDefault="00FC746F" w:rsidP="00FC746F">
            <w:pPr>
              <w:numPr>
                <w:ilvl w:val="0"/>
                <w:numId w:val="15"/>
              </w:numPr>
              <w:spacing w:before="20" w:after="0" w:line="240" w:lineRule="auto"/>
              <w:contextualSpacing/>
              <w:jc w:val="left"/>
              <w:rPr>
                <w:rFonts w:ascii="Times New Roman" w:eastAsiaTheme="minorHAnsi" w:hAnsi="Times New Roman"/>
                <w:sz w:val="17"/>
                <w:szCs w:val="17"/>
              </w:rPr>
            </w:pPr>
            <w:r w:rsidRPr="00FC746F">
              <w:rPr>
                <w:rFonts w:ascii="Times New Roman" w:eastAsiaTheme="minorHAnsi" w:hAnsi="Times New Roman"/>
                <w:sz w:val="17"/>
                <w:szCs w:val="17"/>
              </w:rPr>
              <w:t>Residential Policy Area 4 Magill (</w:t>
            </w:r>
            <w:proofErr w:type="spellStart"/>
            <w:r w:rsidRPr="00FC746F">
              <w:rPr>
                <w:rFonts w:ascii="Times New Roman" w:eastAsiaTheme="minorHAnsi" w:hAnsi="Times New Roman"/>
                <w:sz w:val="17"/>
                <w:szCs w:val="17"/>
              </w:rPr>
              <w:t>Romalo</w:t>
            </w:r>
            <w:proofErr w:type="spellEnd"/>
            <w:r w:rsidRPr="00FC746F">
              <w:rPr>
                <w:rFonts w:ascii="Times New Roman" w:eastAsiaTheme="minorHAnsi" w:hAnsi="Times New Roman"/>
                <w:sz w:val="17"/>
                <w:szCs w:val="17"/>
              </w:rPr>
              <w:t>)</w:t>
            </w:r>
          </w:p>
          <w:p w:rsidR="00FC746F" w:rsidRPr="00FC746F" w:rsidRDefault="00FC746F" w:rsidP="00FC746F">
            <w:pPr>
              <w:numPr>
                <w:ilvl w:val="0"/>
                <w:numId w:val="15"/>
              </w:numPr>
              <w:spacing w:before="20" w:after="0" w:line="240" w:lineRule="auto"/>
              <w:contextualSpacing/>
              <w:jc w:val="left"/>
              <w:rPr>
                <w:rFonts w:ascii="Times New Roman" w:eastAsiaTheme="minorHAnsi" w:hAnsi="Times New Roman"/>
                <w:sz w:val="17"/>
                <w:szCs w:val="17"/>
              </w:rPr>
            </w:pPr>
            <w:r w:rsidRPr="00FC746F">
              <w:rPr>
                <w:rFonts w:ascii="Times New Roman" w:eastAsiaTheme="minorHAnsi" w:hAnsi="Times New Roman"/>
                <w:sz w:val="17"/>
                <w:szCs w:val="17"/>
              </w:rPr>
              <w:t>Residential Policy Area 6 Greater Kensington Park</w:t>
            </w:r>
          </w:p>
          <w:p w:rsidR="00FC746F" w:rsidRPr="00FC746F" w:rsidRDefault="00FC746F" w:rsidP="00FC746F">
            <w:pPr>
              <w:numPr>
                <w:ilvl w:val="0"/>
                <w:numId w:val="15"/>
              </w:numPr>
              <w:spacing w:before="20" w:after="0" w:line="240" w:lineRule="auto"/>
              <w:contextualSpacing/>
              <w:jc w:val="left"/>
              <w:rPr>
                <w:rFonts w:ascii="Times New Roman" w:eastAsiaTheme="minorHAnsi" w:hAnsi="Times New Roman"/>
                <w:sz w:val="17"/>
                <w:szCs w:val="17"/>
              </w:rPr>
            </w:pPr>
            <w:r w:rsidRPr="00FC746F">
              <w:rPr>
                <w:rFonts w:ascii="Times New Roman" w:eastAsiaTheme="minorHAnsi" w:hAnsi="Times New Roman"/>
                <w:sz w:val="17"/>
                <w:szCs w:val="17"/>
              </w:rPr>
              <w:t>Residential Policy Area 7 Greater Kensington Gardens</w:t>
            </w:r>
          </w:p>
          <w:p w:rsidR="00FC746F" w:rsidRPr="00FC746F" w:rsidRDefault="00FC746F" w:rsidP="00FC746F">
            <w:pPr>
              <w:numPr>
                <w:ilvl w:val="0"/>
                <w:numId w:val="15"/>
              </w:numPr>
              <w:spacing w:before="20" w:after="0" w:line="240" w:lineRule="auto"/>
              <w:contextualSpacing/>
              <w:jc w:val="left"/>
              <w:rPr>
                <w:rFonts w:ascii="Times New Roman" w:eastAsiaTheme="minorHAnsi" w:hAnsi="Times New Roman"/>
                <w:sz w:val="17"/>
                <w:szCs w:val="17"/>
              </w:rPr>
            </w:pPr>
            <w:r w:rsidRPr="00FC746F">
              <w:rPr>
                <w:rFonts w:ascii="Times New Roman" w:eastAsiaTheme="minorHAnsi" w:hAnsi="Times New Roman"/>
                <w:sz w:val="17"/>
                <w:szCs w:val="17"/>
              </w:rPr>
              <w:t>Residential Policy Area 8 Rosslyn Park</w:t>
            </w:r>
          </w:p>
          <w:p w:rsidR="00FC746F" w:rsidRPr="00FC746F" w:rsidRDefault="00FC746F" w:rsidP="00FC746F">
            <w:pPr>
              <w:numPr>
                <w:ilvl w:val="0"/>
                <w:numId w:val="15"/>
              </w:numPr>
              <w:spacing w:before="20" w:after="0" w:line="240" w:lineRule="auto"/>
              <w:contextualSpacing/>
              <w:jc w:val="left"/>
              <w:rPr>
                <w:rFonts w:ascii="Times New Roman" w:eastAsiaTheme="minorHAnsi" w:hAnsi="Times New Roman"/>
                <w:sz w:val="17"/>
                <w:szCs w:val="17"/>
              </w:rPr>
            </w:pPr>
            <w:r w:rsidRPr="00FC746F">
              <w:rPr>
                <w:rFonts w:ascii="Times New Roman" w:eastAsiaTheme="minorHAnsi" w:hAnsi="Times New Roman"/>
                <w:sz w:val="17"/>
                <w:szCs w:val="17"/>
              </w:rPr>
              <w:t>Residential Policy Area</w:t>
            </w:r>
            <w:r w:rsidRPr="00FC746F">
              <w:rPr>
                <w:rFonts w:ascii="Times New Roman" w:eastAsia="Times New Roman" w:hAnsi="Times New Roman"/>
                <w:sz w:val="17"/>
                <w:szCs w:val="17"/>
              </w:rPr>
              <w:t xml:space="preserve"> </w:t>
            </w:r>
            <w:r w:rsidRPr="00FC746F">
              <w:rPr>
                <w:rFonts w:ascii="Times New Roman" w:eastAsiaTheme="minorHAnsi" w:hAnsi="Times New Roman"/>
                <w:sz w:val="17"/>
                <w:szCs w:val="17"/>
              </w:rPr>
              <w:t>10 Leabrook (North)</w:t>
            </w:r>
          </w:p>
          <w:p w:rsidR="00FC746F" w:rsidRPr="00FC746F" w:rsidRDefault="00FC746F" w:rsidP="00FC746F">
            <w:pPr>
              <w:numPr>
                <w:ilvl w:val="0"/>
                <w:numId w:val="15"/>
              </w:numPr>
              <w:spacing w:before="20" w:after="0" w:line="240" w:lineRule="auto"/>
              <w:contextualSpacing/>
              <w:jc w:val="left"/>
              <w:rPr>
                <w:rFonts w:ascii="Times New Roman" w:eastAsiaTheme="minorHAnsi" w:hAnsi="Times New Roman"/>
                <w:sz w:val="17"/>
                <w:szCs w:val="17"/>
              </w:rPr>
            </w:pPr>
            <w:r w:rsidRPr="00FC746F">
              <w:rPr>
                <w:rFonts w:ascii="Times New Roman" w:eastAsiaTheme="minorHAnsi" w:hAnsi="Times New Roman"/>
                <w:sz w:val="17"/>
                <w:szCs w:val="17"/>
              </w:rPr>
              <w:t>Residential Policy Area 14 Toorak Gardens (South-East)</w:t>
            </w:r>
          </w:p>
          <w:p w:rsidR="00FC746F" w:rsidRPr="00FC746F" w:rsidRDefault="00FC746F" w:rsidP="00FC746F">
            <w:pPr>
              <w:numPr>
                <w:ilvl w:val="0"/>
                <w:numId w:val="15"/>
              </w:numPr>
              <w:spacing w:before="20" w:after="0" w:line="240" w:lineRule="auto"/>
              <w:contextualSpacing/>
              <w:jc w:val="left"/>
              <w:rPr>
                <w:rFonts w:ascii="Times New Roman" w:eastAsiaTheme="minorHAnsi" w:hAnsi="Times New Roman"/>
                <w:sz w:val="17"/>
                <w:szCs w:val="17"/>
              </w:rPr>
            </w:pPr>
            <w:r w:rsidRPr="00FC746F">
              <w:rPr>
                <w:rFonts w:ascii="Times New Roman" w:eastAsiaTheme="minorHAnsi" w:hAnsi="Times New Roman"/>
                <w:sz w:val="17"/>
                <w:szCs w:val="17"/>
              </w:rPr>
              <w:t>Residential Policy Area 15 First Creek</w:t>
            </w:r>
          </w:p>
          <w:p w:rsidR="00FC746F" w:rsidRPr="00FC746F" w:rsidRDefault="00FC746F" w:rsidP="00FC746F">
            <w:pPr>
              <w:numPr>
                <w:ilvl w:val="0"/>
                <w:numId w:val="15"/>
              </w:numPr>
              <w:spacing w:before="20" w:after="0" w:line="240" w:lineRule="auto"/>
              <w:contextualSpacing/>
              <w:jc w:val="left"/>
              <w:rPr>
                <w:rFonts w:ascii="Times New Roman" w:eastAsiaTheme="minorHAnsi" w:hAnsi="Times New Roman"/>
                <w:sz w:val="17"/>
                <w:szCs w:val="17"/>
              </w:rPr>
            </w:pPr>
            <w:r w:rsidRPr="00FC746F">
              <w:rPr>
                <w:rFonts w:ascii="Times New Roman" w:eastAsiaTheme="minorHAnsi" w:hAnsi="Times New Roman"/>
                <w:sz w:val="17"/>
                <w:szCs w:val="17"/>
              </w:rPr>
              <w:t>Residential Policy Area 16 Burnside (North)</w:t>
            </w:r>
          </w:p>
          <w:p w:rsidR="00FC746F" w:rsidRPr="00FC746F" w:rsidRDefault="00FC746F" w:rsidP="00FC746F">
            <w:pPr>
              <w:numPr>
                <w:ilvl w:val="0"/>
                <w:numId w:val="15"/>
              </w:numPr>
              <w:spacing w:before="20" w:after="0" w:line="240" w:lineRule="auto"/>
              <w:contextualSpacing/>
              <w:jc w:val="left"/>
              <w:rPr>
                <w:rFonts w:ascii="Times New Roman" w:eastAsiaTheme="minorHAnsi" w:hAnsi="Times New Roman"/>
                <w:sz w:val="17"/>
                <w:szCs w:val="17"/>
              </w:rPr>
            </w:pPr>
            <w:r w:rsidRPr="00FC746F">
              <w:rPr>
                <w:rFonts w:ascii="Times New Roman" w:eastAsiaTheme="minorHAnsi" w:hAnsi="Times New Roman"/>
                <w:sz w:val="17"/>
                <w:szCs w:val="17"/>
              </w:rPr>
              <w:t xml:space="preserve">Residential Policy Area 20 Glenside (Village) </w:t>
            </w:r>
          </w:p>
          <w:p w:rsidR="00FC746F" w:rsidRPr="00FC746F" w:rsidRDefault="00FC746F" w:rsidP="00FC746F">
            <w:pPr>
              <w:numPr>
                <w:ilvl w:val="0"/>
                <w:numId w:val="15"/>
              </w:numPr>
              <w:spacing w:before="20" w:after="0" w:line="240" w:lineRule="auto"/>
              <w:contextualSpacing/>
              <w:jc w:val="left"/>
              <w:rPr>
                <w:rFonts w:ascii="Times New Roman" w:eastAsiaTheme="minorHAnsi" w:hAnsi="Times New Roman"/>
                <w:sz w:val="17"/>
                <w:szCs w:val="17"/>
              </w:rPr>
            </w:pPr>
            <w:r w:rsidRPr="00FC746F">
              <w:rPr>
                <w:rFonts w:ascii="Times New Roman" w:eastAsiaTheme="minorHAnsi" w:hAnsi="Times New Roman"/>
                <w:sz w:val="17"/>
                <w:szCs w:val="17"/>
              </w:rPr>
              <w:t>Residential Policy Area 21 Linden Park</w:t>
            </w:r>
          </w:p>
          <w:p w:rsidR="00FC746F" w:rsidRPr="00FC746F" w:rsidRDefault="00FC746F" w:rsidP="00FC746F">
            <w:pPr>
              <w:numPr>
                <w:ilvl w:val="0"/>
                <w:numId w:val="15"/>
              </w:numPr>
              <w:spacing w:before="20" w:after="0" w:line="240" w:lineRule="auto"/>
              <w:contextualSpacing/>
              <w:jc w:val="left"/>
              <w:rPr>
                <w:rFonts w:ascii="Times New Roman" w:eastAsiaTheme="minorHAnsi" w:hAnsi="Times New Roman"/>
                <w:sz w:val="17"/>
                <w:szCs w:val="17"/>
              </w:rPr>
            </w:pPr>
            <w:r w:rsidRPr="00FC746F">
              <w:rPr>
                <w:rFonts w:ascii="Times New Roman" w:eastAsiaTheme="minorHAnsi" w:hAnsi="Times New Roman"/>
                <w:sz w:val="17"/>
                <w:szCs w:val="17"/>
              </w:rPr>
              <w:t>Residential Policy Area 22 Beaumont Common</w:t>
            </w:r>
          </w:p>
          <w:p w:rsidR="00FC746F" w:rsidRPr="00FC746F" w:rsidRDefault="00FC746F" w:rsidP="00FC746F">
            <w:pPr>
              <w:numPr>
                <w:ilvl w:val="0"/>
                <w:numId w:val="15"/>
              </w:numPr>
              <w:spacing w:before="20" w:after="0" w:line="240" w:lineRule="auto"/>
              <w:contextualSpacing/>
              <w:jc w:val="left"/>
              <w:rPr>
                <w:rFonts w:ascii="Times New Roman" w:eastAsiaTheme="minorHAnsi" w:hAnsi="Times New Roman"/>
                <w:sz w:val="17"/>
                <w:szCs w:val="17"/>
              </w:rPr>
            </w:pPr>
            <w:r w:rsidRPr="00FC746F">
              <w:rPr>
                <w:rFonts w:ascii="Times New Roman" w:eastAsiaTheme="minorHAnsi" w:hAnsi="Times New Roman"/>
                <w:sz w:val="17"/>
                <w:szCs w:val="17"/>
              </w:rPr>
              <w:t>Residential Policy Area 23 Frewville</w:t>
            </w:r>
          </w:p>
          <w:p w:rsidR="00FC746F" w:rsidRPr="00FC746F" w:rsidRDefault="00FC746F" w:rsidP="00FC746F">
            <w:pPr>
              <w:numPr>
                <w:ilvl w:val="0"/>
                <w:numId w:val="15"/>
              </w:numPr>
              <w:spacing w:before="20" w:after="0" w:line="240" w:lineRule="auto"/>
              <w:contextualSpacing/>
              <w:jc w:val="left"/>
              <w:rPr>
                <w:rFonts w:ascii="Times New Roman" w:eastAsiaTheme="minorHAnsi" w:hAnsi="Times New Roman"/>
                <w:sz w:val="17"/>
                <w:szCs w:val="17"/>
              </w:rPr>
            </w:pPr>
            <w:r w:rsidRPr="00FC746F">
              <w:rPr>
                <w:rFonts w:ascii="Times New Roman" w:eastAsiaTheme="minorHAnsi" w:hAnsi="Times New Roman"/>
                <w:sz w:val="17"/>
                <w:szCs w:val="17"/>
              </w:rPr>
              <w:t>Residential Policy Area 24 Glenunga (North)</w:t>
            </w:r>
          </w:p>
          <w:p w:rsidR="00FC746F" w:rsidRPr="00FC746F" w:rsidRDefault="00FC746F" w:rsidP="00FC746F">
            <w:pPr>
              <w:numPr>
                <w:ilvl w:val="0"/>
                <w:numId w:val="15"/>
              </w:numPr>
              <w:spacing w:before="20" w:after="0" w:line="240" w:lineRule="auto"/>
              <w:contextualSpacing/>
              <w:jc w:val="left"/>
              <w:rPr>
                <w:rFonts w:ascii="Times New Roman" w:eastAsiaTheme="minorHAnsi" w:hAnsi="Times New Roman"/>
                <w:sz w:val="17"/>
                <w:szCs w:val="17"/>
              </w:rPr>
            </w:pPr>
            <w:r w:rsidRPr="00FC746F">
              <w:rPr>
                <w:rFonts w:ascii="Times New Roman" w:eastAsiaTheme="minorHAnsi" w:hAnsi="Times New Roman"/>
                <w:sz w:val="17"/>
                <w:szCs w:val="17"/>
              </w:rPr>
              <w:t xml:space="preserve">Residential Policy Area 25 St Georges </w:t>
            </w:r>
          </w:p>
          <w:p w:rsidR="00FC746F" w:rsidRPr="00FC746F" w:rsidRDefault="00FC746F" w:rsidP="00FC746F">
            <w:pPr>
              <w:numPr>
                <w:ilvl w:val="0"/>
                <w:numId w:val="15"/>
              </w:numPr>
              <w:spacing w:before="20" w:after="0" w:line="240" w:lineRule="auto"/>
              <w:contextualSpacing/>
              <w:jc w:val="left"/>
              <w:rPr>
                <w:rFonts w:ascii="Times New Roman" w:eastAsiaTheme="minorHAnsi" w:hAnsi="Times New Roman"/>
                <w:sz w:val="17"/>
                <w:szCs w:val="17"/>
              </w:rPr>
            </w:pPr>
            <w:r w:rsidRPr="00FC746F">
              <w:rPr>
                <w:rFonts w:ascii="Times New Roman" w:eastAsiaTheme="minorHAnsi" w:hAnsi="Times New Roman"/>
                <w:sz w:val="17"/>
                <w:szCs w:val="17"/>
              </w:rPr>
              <w:t>Residential Policy Area 26 Glenunga (South)</w:t>
            </w:r>
          </w:p>
          <w:p w:rsidR="00FC746F" w:rsidRPr="00FC746F" w:rsidRDefault="00FC746F" w:rsidP="00FC746F">
            <w:pPr>
              <w:numPr>
                <w:ilvl w:val="0"/>
                <w:numId w:val="15"/>
              </w:numPr>
              <w:spacing w:before="20" w:after="0" w:line="240" w:lineRule="auto"/>
              <w:contextualSpacing/>
              <w:jc w:val="left"/>
              <w:rPr>
                <w:rFonts w:ascii="Times New Roman" w:eastAsia="Times New Roman" w:hAnsi="Times New Roman"/>
                <w:sz w:val="17"/>
                <w:szCs w:val="17"/>
              </w:rPr>
            </w:pPr>
            <w:r w:rsidRPr="00FC746F">
              <w:rPr>
                <w:rFonts w:ascii="Times New Roman" w:eastAsiaTheme="minorHAnsi" w:hAnsi="Times New Roman"/>
                <w:sz w:val="17"/>
                <w:szCs w:val="17"/>
              </w:rPr>
              <w:t>Residential Policy Area 28 Glen Osmond</w:t>
            </w:r>
          </w:p>
          <w:p w:rsidR="00FC746F" w:rsidRPr="00FC746F" w:rsidRDefault="00FC746F" w:rsidP="00FC746F">
            <w:pPr>
              <w:spacing w:before="20"/>
              <w:rPr>
                <w:rFonts w:ascii="Times New Roman" w:eastAsia="Times New Roman" w:hAnsi="Times New Roman"/>
                <w:sz w:val="17"/>
                <w:szCs w:val="17"/>
              </w:rPr>
            </w:pPr>
          </w:p>
        </w:tc>
        <w:tc>
          <w:tcPr>
            <w:tcW w:w="3422"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Spatially apply Maximum Building Height (Levels) TNV of 2 and Maximum Building Height (Metres) TNV of 9</w:t>
            </w:r>
          </w:p>
        </w:tc>
      </w:tr>
      <w:tr w:rsidR="00FC746F" w:rsidRPr="00FC746F" w:rsidTr="00976656">
        <w:trPr>
          <w:jc w:val="center"/>
        </w:trPr>
        <w:tc>
          <w:tcPr>
            <w:tcW w:w="5879"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Those parts of the Established Neighbourhood Zone formerly zoned as described below in the Burnside (City) Development Plan consolidated 19 December 2017:</w:t>
            </w:r>
          </w:p>
          <w:p w:rsidR="00FC746F" w:rsidRPr="00FC746F" w:rsidRDefault="00FC746F" w:rsidP="00FC746F">
            <w:pPr>
              <w:rPr>
                <w:rFonts w:ascii="Times New Roman" w:eastAsia="Times New Roman" w:hAnsi="Times New Roman"/>
                <w:sz w:val="17"/>
                <w:szCs w:val="17"/>
              </w:rPr>
            </w:pPr>
          </w:p>
          <w:p w:rsidR="00FC746F" w:rsidRPr="00FC746F" w:rsidRDefault="00FC746F" w:rsidP="00FC746F">
            <w:pPr>
              <w:rPr>
                <w:rFonts w:ascii="Times New Roman" w:eastAsia="Times New Roman" w:hAnsi="Times New Roman"/>
                <w:sz w:val="17"/>
                <w:szCs w:val="17"/>
              </w:rPr>
            </w:pPr>
            <w:r w:rsidRPr="00FC746F">
              <w:rPr>
                <w:rFonts w:ascii="Times New Roman" w:eastAsia="Times New Roman" w:hAnsi="Times New Roman"/>
                <w:sz w:val="17"/>
                <w:szCs w:val="17"/>
              </w:rPr>
              <w:t xml:space="preserve">Residential Zone </w:t>
            </w:r>
          </w:p>
          <w:p w:rsidR="00FC746F" w:rsidRPr="00FC746F" w:rsidRDefault="00FC746F" w:rsidP="00FC746F">
            <w:pPr>
              <w:numPr>
                <w:ilvl w:val="0"/>
                <w:numId w:val="15"/>
              </w:numPr>
              <w:spacing w:after="0" w:line="240" w:lineRule="auto"/>
              <w:contextualSpacing/>
              <w:jc w:val="left"/>
              <w:rPr>
                <w:rFonts w:ascii="Times New Roman" w:eastAsia="Times New Roman" w:hAnsi="Times New Roman"/>
                <w:sz w:val="17"/>
                <w:szCs w:val="17"/>
              </w:rPr>
            </w:pPr>
            <w:r w:rsidRPr="00FC746F">
              <w:rPr>
                <w:rFonts w:ascii="Times New Roman" w:eastAsiaTheme="minorHAnsi" w:hAnsi="Times New Roman"/>
                <w:sz w:val="17"/>
                <w:szCs w:val="17"/>
              </w:rPr>
              <w:t>Residential Policy Area 11 Leabrook (South)</w:t>
            </w:r>
          </w:p>
          <w:p w:rsidR="00FC746F" w:rsidRPr="00FC746F" w:rsidRDefault="00FC746F" w:rsidP="00FC746F">
            <w:pPr>
              <w:rPr>
                <w:rFonts w:ascii="Times New Roman" w:eastAsia="Times New Roman" w:hAnsi="Times New Roman"/>
                <w:sz w:val="17"/>
                <w:szCs w:val="17"/>
              </w:rPr>
            </w:pPr>
            <w:r w:rsidRPr="00FC746F">
              <w:rPr>
                <w:rFonts w:ascii="Times New Roman" w:eastAsia="Times New Roman" w:hAnsi="Times New Roman"/>
                <w:sz w:val="17"/>
                <w:szCs w:val="17"/>
              </w:rPr>
              <w:t xml:space="preserve">Historic Character Zone </w:t>
            </w:r>
          </w:p>
          <w:p w:rsidR="00FC746F" w:rsidRPr="00FC746F" w:rsidRDefault="00FC746F" w:rsidP="00FC746F">
            <w:pPr>
              <w:numPr>
                <w:ilvl w:val="0"/>
                <w:numId w:val="15"/>
              </w:numPr>
              <w:spacing w:after="0" w:line="240" w:lineRule="auto"/>
              <w:contextualSpacing/>
              <w:jc w:val="left"/>
              <w:rPr>
                <w:rFonts w:ascii="Times New Roman" w:eastAsia="Times New Roman" w:hAnsi="Times New Roman"/>
                <w:sz w:val="17"/>
                <w:szCs w:val="17"/>
              </w:rPr>
            </w:pPr>
            <w:r w:rsidRPr="00FC746F">
              <w:rPr>
                <w:rFonts w:ascii="Times New Roman" w:eastAsiaTheme="minorHAnsi" w:hAnsi="Times New Roman"/>
                <w:sz w:val="17"/>
                <w:szCs w:val="17"/>
              </w:rPr>
              <w:t>Historic Conservation Policy Area 1 – Rose Park (only for the allotments facing the eastern and western side of Prescott Terrace)</w:t>
            </w:r>
          </w:p>
          <w:p w:rsidR="00FC746F" w:rsidRPr="00FC746F" w:rsidRDefault="00FC746F" w:rsidP="00FC746F">
            <w:pPr>
              <w:numPr>
                <w:ilvl w:val="0"/>
                <w:numId w:val="15"/>
              </w:numPr>
              <w:spacing w:after="0" w:line="240" w:lineRule="auto"/>
              <w:contextualSpacing/>
              <w:jc w:val="left"/>
              <w:rPr>
                <w:rFonts w:ascii="Times New Roman" w:eastAsia="Times New Roman" w:hAnsi="Times New Roman"/>
                <w:sz w:val="17"/>
                <w:szCs w:val="17"/>
              </w:rPr>
            </w:pPr>
            <w:r w:rsidRPr="00FC746F">
              <w:rPr>
                <w:rFonts w:ascii="Times New Roman" w:eastAsiaTheme="minorHAnsi" w:hAnsi="Times New Roman"/>
                <w:sz w:val="17"/>
                <w:szCs w:val="17"/>
              </w:rPr>
              <w:t>Historic Conservation Policy Area 3 – St George’s (</w:t>
            </w:r>
            <w:proofErr w:type="spellStart"/>
            <w:r w:rsidRPr="00FC746F">
              <w:rPr>
                <w:rFonts w:ascii="Times New Roman" w:eastAsiaTheme="minorHAnsi" w:hAnsi="Times New Roman"/>
                <w:sz w:val="17"/>
                <w:szCs w:val="17"/>
              </w:rPr>
              <w:t>Wootoona</w:t>
            </w:r>
            <w:proofErr w:type="spellEnd"/>
            <w:r w:rsidRPr="00FC746F">
              <w:rPr>
                <w:rFonts w:ascii="Times New Roman" w:eastAsiaTheme="minorHAnsi" w:hAnsi="Times New Roman"/>
                <w:sz w:val="17"/>
                <w:szCs w:val="17"/>
              </w:rPr>
              <w:t xml:space="preserve"> Terrace)</w:t>
            </w:r>
          </w:p>
          <w:p w:rsidR="00FC746F" w:rsidRPr="00FC746F" w:rsidRDefault="00FC746F" w:rsidP="00FC746F">
            <w:pPr>
              <w:ind w:left="720"/>
              <w:contextualSpacing/>
              <w:rPr>
                <w:rFonts w:ascii="Times New Roman" w:eastAsia="Times New Roman" w:hAnsi="Times New Roman"/>
                <w:sz w:val="17"/>
                <w:szCs w:val="17"/>
              </w:rPr>
            </w:pPr>
          </w:p>
        </w:tc>
        <w:tc>
          <w:tcPr>
            <w:tcW w:w="3422"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Spatially apply Maximum Building Height (Levels) TNV of 2 and Maximum Building Height (Metres) TNV of 9</w:t>
            </w:r>
          </w:p>
        </w:tc>
      </w:tr>
      <w:tr w:rsidR="00FC746F" w:rsidRPr="00FC746F" w:rsidTr="00976656">
        <w:trPr>
          <w:jc w:val="center"/>
        </w:trPr>
        <w:tc>
          <w:tcPr>
            <w:tcW w:w="5879"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Those parts of the Hills Neighbourhood Zone formerly zoned Residential Zone in the Burnside (City) Development Plan consolidated 19 December 2017 and described below:</w:t>
            </w:r>
          </w:p>
          <w:p w:rsidR="00FC746F" w:rsidRPr="00FC746F" w:rsidRDefault="00FC746F" w:rsidP="00FC746F">
            <w:pPr>
              <w:rPr>
                <w:rFonts w:ascii="Times New Roman" w:eastAsia="Times New Roman" w:hAnsi="Times New Roman"/>
                <w:sz w:val="17"/>
                <w:szCs w:val="17"/>
              </w:rPr>
            </w:pPr>
          </w:p>
          <w:p w:rsidR="00FC746F" w:rsidRPr="00FC746F" w:rsidRDefault="00FC746F" w:rsidP="00FC746F">
            <w:pPr>
              <w:numPr>
                <w:ilvl w:val="0"/>
                <w:numId w:val="15"/>
              </w:numPr>
              <w:spacing w:after="0" w:line="240" w:lineRule="auto"/>
              <w:contextualSpacing/>
              <w:jc w:val="left"/>
              <w:rPr>
                <w:rFonts w:ascii="Times New Roman" w:eastAsia="Times New Roman" w:hAnsi="Times New Roman"/>
                <w:sz w:val="17"/>
                <w:szCs w:val="17"/>
              </w:rPr>
            </w:pPr>
            <w:r w:rsidRPr="00FC746F">
              <w:rPr>
                <w:rFonts w:ascii="Times New Roman" w:eastAsiaTheme="minorHAnsi" w:hAnsi="Times New Roman"/>
                <w:sz w:val="17"/>
                <w:szCs w:val="17"/>
              </w:rPr>
              <w:t>Residential Policy Area 9 Northern Foothills</w:t>
            </w:r>
          </w:p>
          <w:p w:rsidR="00FC746F" w:rsidRPr="00FC746F" w:rsidRDefault="00FC746F" w:rsidP="00FC746F">
            <w:pPr>
              <w:numPr>
                <w:ilvl w:val="0"/>
                <w:numId w:val="15"/>
              </w:numPr>
              <w:spacing w:after="0" w:line="240" w:lineRule="auto"/>
              <w:contextualSpacing/>
              <w:jc w:val="left"/>
              <w:rPr>
                <w:rFonts w:ascii="Times New Roman" w:eastAsia="Times New Roman" w:hAnsi="Times New Roman"/>
                <w:sz w:val="17"/>
                <w:szCs w:val="17"/>
              </w:rPr>
            </w:pPr>
            <w:r w:rsidRPr="00FC746F">
              <w:rPr>
                <w:rFonts w:ascii="Times New Roman" w:eastAsiaTheme="minorHAnsi" w:hAnsi="Times New Roman"/>
                <w:sz w:val="17"/>
                <w:szCs w:val="17"/>
              </w:rPr>
              <w:t>Residential Policy Area 17 Ferguson</w:t>
            </w:r>
          </w:p>
          <w:p w:rsidR="00FC746F" w:rsidRPr="00FC746F" w:rsidRDefault="00FC746F" w:rsidP="00FC746F">
            <w:pPr>
              <w:numPr>
                <w:ilvl w:val="0"/>
                <w:numId w:val="15"/>
              </w:numPr>
              <w:spacing w:after="0" w:line="240" w:lineRule="auto"/>
              <w:contextualSpacing/>
              <w:jc w:val="left"/>
              <w:rPr>
                <w:rFonts w:ascii="Times New Roman" w:eastAsia="Times New Roman" w:hAnsi="Times New Roman"/>
                <w:sz w:val="17"/>
                <w:szCs w:val="17"/>
              </w:rPr>
            </w:pPr>
            <w:r w:rsidRPr="00FC746F">
              <w:rPr>
                <w:rFonts w:ascii="Times New Roman" w:eastAsiaTheme="minorHAnsi" w:hAnsi="Times New Roman"/>
                <w:sz w:val="17"/>
                <w:szCs w:val="17"/>
              </w:rPr>
              <w:t>Residential Policy Area 27 Southern Foothills</w:t>
            </w:r>
          </w:p>
          <w:p w:rsidR="00FC746F" w:rsidRPr="00FC746F" w:rsidRDefault="00FC746F" w:rsidP="00FC746F">
            <w:pPr>
              <w:spacing w:before="20"/>
              <w:rPr>
                <w:rFonts w:ascii="Times New Roman" w:eastAsia="Times New Roman" w:hAnsi="Times New Roman"/>
                <w:sz w:val="17"/>
                <w:szCs w:val="17"/>
              </w:rPr>
            </w:pPr>
          </w:p>
        </w:tc>
        <w:tc>
          <w:tcPr>
            <w:tcW w:w="3422"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Spatially apply Maximum Building Height (Levels) TNV of 2 and Maximum Building Height (Metres) TNV of 9</w:t>
            </w:r>
          </w:p>
        </w:tc>
      </w:tr>
      <w:tr w:rsidR="00FC746F" w:rsidRPr="00FC746F" w:rsidTr="00976656">
        <w:trPr>
          <w:jc w:val="center"/>
        </w:trPr>
        <w:tc>
          <w:tcPr>
            <w:tcW w:w="5879"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Those parts of the Housing Diversity Neighbourhood Zone formerly zoned Residential Zone in the Burnside (City) Development Plan consolidated 19 December 2017 and described below:</w:t>
            </w:r>
          </w:p>
          <w:p w:rsidR="00FC746F" w:rsidRPr="00FC746F" w:rsidRDefault="00FC746F" w:rsidP="00FC746F">
            <w:pPr>
              <w:rPr>
                <w:rFonts w:ascii="Times New Roman" w:eastAsia="Times New Roman" w:hAnsi="Times New Roman"/>
                <w:sz w:val="17"/>
                <w:szCs w:val="17"/>
              </w:rPr>
            </w:pPr>
          </w:p>
          <w:p w:rsidR="00FC746F" w:rsidRPr="00FC746F" w:rsidRDefault="00FC746F" w:rsidP="00FC746F">
            <w:pPr>
              <w:numPr>
                <w:ilvl w:val="0"/>
                <w:numId w:val="15"/>
              </w:numPr>
              <w:spacing w:after="0" w:line="240" w:lineRule="auto"/>
              <w:contextualSpacing/>
              <w:jc w:val="left"/>
              <w:rPr>
                <w:rFonts w:ascii="Times New Roman" w:eastAsia="Times New Roman" w:hAnsi="Times New Roman"/>
                <w:sz w:val="17"/>
                <w:szCs w:val="17"/>
              </w:rPr>
            </w:pPr>
            <w:r w:rsidRPr="00FC746F">
              <w:rPr>
                <w:rFonts w:ascii="Times New Roman" w:eastAsiaTheme="minorHAnsi" w:hAnsi="Times New Roman"/>
                <w:sz w:val="17"/>
                <w:szCs w:val="17"/>
              </w:rPr>
              <w:t>Residential Policy Area 19 Glenside (West)</w:t>
            </w:r>
          </w:p>
          <w:p w:rsidR="00FC746F" w:rsidRPr="00FC746F" w:rsidRDefault="00FC746F" w:rsidP="00FC746F">
            <w:pPr>
              <w:rPr>
                <w:rFonts w:ascii="Times New Roman" w:eastAsia="Times New Roman" w:hAnsi="Times New Roman"/>
                <w:sz w:val="17"/>
                <w:szCs w:val="17"/>
              </w:rPr>
            </w:pPr>
          </w:p>
        </w:tc>
        <w:tc>
          <w:tcPr>
            <w:tcW w:w="3422"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 xml:space="preserve">Spatially apply Maximum Building Height (Levels) TNV of 2 and Maximum Building Height (Metres) TNV of 9 </w:t>
            </w:r>
          </w:p>
        </w:tc>
      </w:tr>
      <w:tr w:rsidR="00FC746F" w:rsidRPr="00FC746F" w:rsidTr="00976656">
        <w:trPr>
          <w:jc w:val="center"/>
        </w:trPr>
        <w:tc>
          <w:tcPr>
            <w:tcW w:w="5879"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Those parts of the Local Activity Centre Zone formerly zoned the Local Centre Zone in the Burnside (City) Development Plan consolidated 19 December 2017.</w:t>
            </w:r>
          </w:p>
          <w:p w:rsidR="00FC746F" w:rsidRPr="00FC746F" w:rsidRDefault="00FC746F" w:rsidP="00FC746F">
            <w:pPr>
              <w:spacing w:before="20"/>
              <w:rPr>
                <w:rFonts w:ascii="Times New Roman" w:eastAsia="Times New Roman" w:hAnsi="Times New Roman"/>
                <w:sz w:val="17"/>
                <w:szCs w:val="17"/>
              </w:rPr>
            </w:pPr>
          </w:p>
        </w:tc>
        <w:tc>
          <w:tcPr>
            <w:tcW w:w="3422"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Spatially apply Maximum Building Height (Levels) TNV of 1 and Maximum Building Height (Metres) TNV of 6</w:t>
            </w:r>
          </w:p>
        </w:tc>
      </w:tr>
      <w:tr w:rsidR="00FC746F" w:rsidRPr="00FC746F" w:rsidTr="00976656">
        <w:trPr>
          <w:jc w:val="center"/>
        </w:trPr>
        <w:tc>
          <w:tcPr>
            <w:tcW w:w="5879"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Those parts of the Established Neighbourhood Zone formerly zoned the Residential Zone, Residential Policy Area 5 Kensington Park (South West) in the Burnside (City) Development Plan consolidated 19 December 2017.</w:t>
            </w:r>
          </w:p>
          <w:p w:rsidR="00FC746F" w:rsidRPr="00FC746F" w:rsidRDefault="00FC746F" w:rsidP="00FC746F">
            <w:pPr>
              <w:spacing w:before="20"/>
              <w:rPr>
                <w:rFonts w:ascii="Times New Roman" w:eastAsia="Times New Roman" w:hAnsi="Times New Roman"/>
                <w:sz w:val="17"/>
                <w:szCs w:val="17"/>
              </w:rPr>
            </w:pPr>
          </w:p>
        </w:tc>
        <w:tc>
          <w:tcPr>
            <w:tcW w:w="3422"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shd w:val="clear" w:color="auto" w:fill="FFFFFF"/>
              </w:rPr>
              <w:t xml:space="preserve">Spatially apply the Minimum Site Area TNV of 350 for detached dwelling </w:t>
            </w:r>
          </w:p>
        </w:tc>
      </w:tr>
    </w:tbl>
    <w:p w:rsidR="00FC746F" w:rsidRPr="00FC746F" w:rsidRDefault="00FC746F" w:rsidP="00FC746F">
      <w:pPr>
        <w:rPr>
          <w:rFonts w:ascii="Times New Roman" w:eastAsia="Times New Roman" w:hAnsi="Times New Roman"/>
          <w:sz w:val="17"/>
          <w:szCs w:val="20"/>
        </w:rPr>
      </w:pPr>
      <w:r w:rsidRPr="00FC746F">
        <w:rPr>
          <w:rFonts w:ascii="Times New Roman" w:eastAsia="Times New Roman" w:hAnsi="Times New Roman"/>
          <w:sz w:val="17"/>
          <w:szCs w:val="20"/>
        </w:rPr>
        <w:br w:type="page"/>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59"/>
        <w:gridCol w:w="3493"/>
      </w:tblGrid>
      <w:tr w:rsidR="00FC746F" w:rsidRPr="00FC746F" w:rsidTr="00976656">
        <w:trPr>
          <w:jc w:val="center"/>
        </w:trPr>
        <w:tc>
          <w:tcPr>
            <w:tcW w:w="9352" w:type="dxa"/>
            <w:gridSpan w:val="2"/>
            <w:tcMar>
              <w:top w:w="0" w:type="dxa"/>
              <w:left w:w="108" w:type="dxa"/>
              <w:bottom w:w="0" w:type="dxa"/>
              <w:right w:w="108" w:type="dxa"/>
            </w:tcMar>
          </w:tcPr>
          <w:p w:rsidR="00FC746F" w:rsidRPr="00FC746F" w:rsidRDefault="00FC746F" w:rsidP="00FC746F">
            <w:pPr>
              <w:spacing w:before="240" w:after="240"/>
              <w:rPr>
                <w:rFonts w:ascii="Times New Roman" w:eastAsia="Times New Roman" w:hAnsi="Times New Roman"/>
                <w:b/>
                <w:sz w:val="17"/>
                <w:szCs w:val="17"/>
              </w:rPr>
            </w:pPr>
            <w:r w:rsidRPr="00FC746F">
              <w:rPr>
                <w:rFonts w:ascii="Times New Roman" w:eastAsia="Times New Roman" w:hAnsi="Times New Roman"/>
                <w:b/>
                <w:sz w:val="17"/>
                <w:szCs w:val="17"/>
              </w:rPr>
              <w:t>City of Norwood Payneham and St Peters</w:t>
            </w:r>
          </w:p>
        </w:tc>
      </w:tr>
      <w:tr w:rsidR="00FC746F" w:rsidRPr="00FC746F" w:rsidTr="00976656">
        <w:trPr>
          <w:jc w:val="center"/>
        </w:trPr>
        <w:tc>
          <w:tcPr>
            <w:tcW w:w="5859" w:type="dxa"/>
            <w:tcMar>
              <w:top w:w="0" w:type="dxa"/>
              <w:left w:w="108" w:type="dxa"/>
              <w:bottom w:w="0" w:type="dxa"/>
              <w:right w:w="108" w:type="dxa"/>
            </w:tcMar>
          </w:tcPr>
          <w:p w:rsidR="00FC746F" w:rsidRPr="00FC746F" w:rsidRDefault="00FC746F" w:rsidP="00FC746F">
            <w:pPr>
              <w:spacing w:before="20" w:after="20"/>
              <w:rPr>
                <w:rFonts w:ascii="Times New Roman" w:eastAsia="Times New Roman" w:hAnsi="Times New Roman"/>
                <w:sz w:val="17"/>
                <w:szCs w:val="17"/>
              </w:rPr>
            </w:pPr>
            <w:r w:rsidRPr="00FC746F">
              <w:rPr>
                <w:rFonts w:ascii="Times New Roman" w:eastAsia="Times New Roman" w:hAnsi="Times New Roman"/>
                <w:sz w:val="17"/>
                <w:szCs w:val="17"/>
              </w:rPr>
              <w:t>Affected Area</w:t>
            </w:r>
          </w:p>
        </w:tc>
        <w:tc>
          <w:tcPr>
            <w:tcW w:w="3493" w:type="dxa"/>
            <w:tcMar>
              <w:top w:w="0" w:type="dxa"/>
              <w:left w:w="108" w:type="dxa"/>
              <w:bottom w:w="0" w:type="dxa"/>
              <w:right w:w="108" w:type="dxa"/>
            </w:tcMar>
          </w:tcPr>
          <w:p w:rsidR="00FC746F" w:rsidRPr="00FC746F" w:rsidRDefault="00FC746F" w:rsidP="00FC746F">
            <w:pPr>
              <w:spacing w:before="20" w:after="20"/>
              <w:rPr>
                <w:rFonts w:ascii="Times New Roman" w:eastAsia="Times New Roman" w:hAnsi="Times New Roman"/>
                <w:sz w:val="17"/>
                <w:szCs w:val="17"/>
              </w:rPr>
            </w:pPr>
            <w:r w:rsidRPr="00FC746F">
              <w:rPr>
                <w:rFonts w:ascii="Times New Roman" w:eastAsia="Times New Roman" w:hAnsi="Times New Roman"/>
                <w:sz w:val="17"/>
                <w:szCs w:val="17"/>
              </w:rPr>
              <w:t>Amendment</w:t>
            </w:r>
          </w:p>
        </w:tc>
      </w:tr>
      <w:tr w:rsidR="00FC746F" w:rsidRPr="00FC746F" w:rsidTr="00976656">
        <w:trPr>
          <w:jc w:val="center"/>
        </w:trPr>
        <w:tc>
          <w:tcPr>
            <w:tcW w:w="5859"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Those parts of the Established Neighbourhood Zone formerly zoned Residential Historic (Conservation) Zone – St Peters Policy Area 12.15 in the Norwood Payneham and St Peters (City) Development Plan consolidated 11 February 2021.</w:t>
            </w:r>
          </w:p>
          <w:p w:rsidR="00FC746F" w:rsidRPr="00FC746F" w:rsidRDefault="00FC746F" w:rsidP="00FC746F">
            <w:pPr>
              <w:rPr>
                <w:rFonts w:ascii="Times New Roman" w:eastAsia="Times New Roman" w:hAnsi="Times New Roman"/>
                <w:sz w:val="17"/>
                <w:szCs w:val="17"/>
              </w:rPr>
            </w:pPr>
          </w:p>
        </w:tc>
        <w:tc>
          <w:tcPr>
            <w:tcW w:w="3493"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 xml:space="preserve">Spatially apply a Maximum Building Height (Levels) TNV of 1 </w:t>
            </w:r>
          </w:p>
        </w:tc>
      </w:tr>
      <w:tr w:rsidR="00FC746F" w:rsidRPr="00FC746F" w:rsidTr="00976656">
        <w:trPr>
          <w:jc w:val="center"/>
        </w:trPr>
        <w:tc>
          <w:tcPr>
            <w:tcW w:w="5859"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Those parts of the Established Neighbourhood Zone formerly zoned the Residential Character Zone – St Peters / Joslin / Royston Park Policy Area 15.4 (within the suburb of Royston Park) in the Norwood Payneham and St Peters (City) Development Plan consolidated 11 February 2021.</w:t>
            </w:r>
          </w:p>
          <w:p w:rsidR="00FC746F" w:rsidRPr="00FC746F" w:rsidRDefault="00FC746F" w:rsidP="00FC746F">
            <w:pPr>
              <w:rPr>
                <w:rFonts w:ascii="Times New Roman" w:eastAsia="Times New Roman" w:hAnsi="Times New Roman"/>
                <w:sz w:val="17"/>
                <w:szCs w:val="17"/>
              </w:rPr>
            </w:pPr>
          </w:p>
        </w:tc>
        <w:tc>
          <w:tcPr>
            <w:tcW w:w="3493" w:type="dxa"/>
            <w:tcMar>
              <w:top w:w="0" w:type="dxa"/>
              <w:left w:w="108" w:type="dxa"/>
              <w:bottom w:w="0" w:type="dxa"/>
              <w:right w:w="108" w:type="dxa"/>
            </w:tcMar>
          </w:tcPr>
          <w:p w:rsidR="00FC746F" w:rsidRPr="00FC746F" w:rsidRDefault="00FC746F" w:rsidP="00FC746F">
            <w:pPr>
              <w:spacing w:before="20" w:after="0" w:line="240" w:lineRule="auto"/>
              <w:rPr>
                <w:rFonts w:ascii="Times New Roman" w:eastAsia="MS Mincho" w:hAnsi="Times New Roman"/>
                <w:sz w:val="17"/>
                <w:szCs w:val="17"/>
                <w:shd w:val="clear" w:color="auto" w:fill="FFFFFF"/>
              </w:rPr>
            </w:pPr>
            <w:r w:rsidRPr="00FC746F">
              <w:rPr>
                <w:rFonts w:ascii="Times New Roman" w:eastAsia="MS Mincho" w:hAnsi="Times New Roman"/>
                <w:sz w:val="17"/>
                <w:szCs w:val="17"/>
                <w:shd w:val="clear" w:color="auto" w:fill="FFFFFF"/>
              </w:rPr>
              <w:t>Spatially apply the Minimum Site Area TNV of 450 for detached dwelling and semi-detached dwelling</w:t>
            </w:r>
          </w:p>
        </w:tc>
      </w:tr>
      <w:tr w:rsidR="00FC746F" w:rsidRPr="00FC746F" w:rsidTr="00976656">
        <w:trPr>
          <w:trHeight w:val="60"/>
          <w:jc w:val="center"/>
        </w:trPr>
        <w:tc>
          <w:tcPr>
            <w:tcW w:w="9352" w:type="dxa"/>
            <w:gridSpan w:val="2"/>
            <w:tcMar>
              <w:top w:w="0" w:type="dxa"/>
              <w:left w:w="108" w:type="dxa"/>
              <w:bottom w:w="0" w:type="dxa"/>
              <w:right w:w="108" w:type="dxa"/>
            </w:tcMar>
          </w:tcPr>
          <w:p w:rsidR="00FC746F" w:rsidRPr="00FC746F" w:rsidRDefault="00FC746F" w:rsidP="00FC746F">
            <w:pPr>
              <w:spacing w:before="240" w:after="240"/>
              <w:rPr>
                <w:rFonts w:ascii="Times New Roman" w:eastAsia="Times New Roman" w:hAnsi="Times New Roman"/>
                <w:b/>
                <w:sz w:val="17"/>
                <w:szCs w:val="17"/>
              </w:rPr>
            </w:pPr>
            <w:r w:rsidRPr="00FC746F">
              <w:rPr>
                <w:rFonts w:ascii="Times New Roman" w:eastAsia="Times New Roman" w:hAnsi="Times New Roman"/>
                <w:b/>
                <w:sz w:val="17"/>
                <w:szCs w:val="17"/>
              </w:rPr>
              <w:t>City of Holdfast Bay</w:t>
            </w:r>
          </w:p>
        </w:tc>
      </w:tr>
      <w:tr w:rsidR="00FC746F" w:rsidRPr="00FC746F" w:rsidTr="00976656">
        <w:trPr>
          <w:jc w:val="center"/>
        </w:trPr>
        <w:tc>
          <w:tcPr>
            <w:tcW w:w="5859" w:type="dxa"/>
            <w:tcMar>
              <w:top w:w="0" w:type="dxa"/>
              <w:left w:w="108" w:type="dxa"/>
              <w:bottom w:w="0" w:type="dxa"/>
              <w:right w:w="108" w:type="dxa"/>
            </w:tcMar>
          </w:tcPr>
          <w:p w:rsidR="00FC746F" w:rsidRPr="00FC746F" w:rsidRDefault="00FC746F" w:rsidP="00FC746F">
            <w:pPr>
              <w:spacing w:before="20" w:after="20"/>
              <w:rPr>
                <w:rFonts w:ascii="Times New Roman" w:eastAsia="Times New Roman" w:hAnsi="Times New Roman"/>
                <w:sz w:val="17"/>
                <w:szCs w:val="17"/>
              </w:rPr>
            </w:pPr>
            <w:r w:rsidRPr="00FC746F">
              <w:rPr>
                <w:rFonts w:ascii="Times New Roman" w:eastAsia="Times New Roman" w:hAnsi="Times New Roman"/>
                <w:sz w:val="17"/>
                <w:szCs w:val="17"/>
              </w:rPr>
              <w:t>Affected Area</w:t>
            </w:r>
          </w:p>
        </w:tc>
        <w:tc>
          <w:tcPr>
            <w:tcW w:w="3493" w:type="dxa"/>
            <w:tcMar>
              <w:top w:w="0" w:type="dxa"/>
              <w:left w:w="108" w:type="dxa"/>
              <w:bottom w:w="0" w:type="dxa"/>
              <w:right w:w="108" w:type="dxa"/>
            </w:tcMar>
          </w:tcPr>
          <w:p w:rsidR="00FC746F" w:rsidRPr="00FC746F" w:rsidRDefault="00FC746F" w:rsidP="00FC746F">
            <w:pPr>
              <w:spacing w:before="20" w:after="20"/>
              <w:rPr>
                <w:rFonts w:ascii="Times New Roman" w:eastAsia="Times New Roman" w:hAnsi="Times New Roman"/>
                <w:sz w:val="17"/>
                <w:szCs w:val="17"/>
              </w:rPr>
            </w:pPr>
            <w:r w:rsidRPr="00FC746F">
              <w:rPr>
                <w:rFonts w:ascii="Times New Roman" w:eastAsia="Times New Roman" w:hAnsi="Times New Roman"/>
                <w:sz w:val="17"/>
                <w:szCs w:val="17"/>
              </w:rPr>
              <w:t>Amendment</w:t>
            </w:r>
          </w:p>
        </w:tc>
      </w:tr>
      <w:tr w:rsidR="00FC746F" w:rsidRPr="00FC746F" w:rsidTr="00976656">
        <w:trPr>
          <w:jc w:val="center"/>
        </w:trPr>
        <w:tc>
          <w:tcPr>
            <w:tcW w:w="5859"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Those parts of the Housing Diversity Neighbourhood Zone formerly zoned Residential Zone, Medium Density Policy Area 5 in the Holdfast Bay Council Development Plan consolidated 26 November 2020.</w:t>
            </w:r>
          </w:p>
          <w:p w:rsidR="00FC746F" w:rsidRPr="00FC746F" w:rsidRDefault="00FC746F" w:rsidP="00FC746F">
            <w:pPr>
              <w:rPr>
                <w:rFonts w:ascii="Times New Roman" w:eastAsia="Times New Roman" w:hAnsi="Times New Roman"/>
                <w:sz w:val="17"/>
                <w:szCs w:val="17"/>
              </w:rPr>
            </w:pPr>
          </w:p>
        </w:tc>
        <w:tc>
          <w:tcPr>
            <w:tcW w:w="3493" w:type="dxa"/>
            <w:tcMar>
              <w:top w:w="0" w:type="dxa"/>
              <w:left w:w="108" w:type="dxa"/>
              <w:bottom w:w="0" w:type="dxa"/>
              <w:right w:w="108" w:type="dxa"/>
            </w:tcMar>
          </w:tcPr>
          <w:p w:rsidR="00FC746F" w:rsidRPr="00FC746F" w:rsidRDefault="00FC746F" w:rsidP="00FC746F">
            <w:pPr>
              <w:spacing w:before="20" w:after="0" w:line="240" w:lineRule="auto"/>
              <w:rPr>
                <w:rFonts w:ascii="Times New Roman" w:eastAsia="MS Mincho" w:hAnsi="Times New Roman"/>
                <w:color w:val="2E2E2E"/>
                <w:spacing w:val="15"/>
                <w:sz w:val="17"/>
                <w:szCs w:val="17"/>
                <w:lang w:eastAsia="en-AU"/>
              </w:rPr>
            </w:pPr>
            <w:r w:rsidRPr="00FC746F">
              <w:rPr>
                <w:rFonts w:ascii="Times New Roman" w:eastAsia="MS Mincho" w:hAnsi="Times New Roman"/>
                <w:sz w:val="17"/>
                <w:szCs w:val="17"/>
                <w:shd w:val="clear" w:color="auto" w:fill="FFFFFF"/>
              </w:rPr>
              <w:t xml:space="preserve">Spatially apply the Minimum Site Area TNV of 200 for Residential Flat Building </w:t>
            </w:r>
          </w:p>
        </w:tc>
      </w:tr>
      <w:tr w:rsidR="00FC746F" w:rsidRPr="00FC746F" w:rsidTr="00976656">
        <w:trPr>
          <w:jc w:val="center"/>
        </w:trPr>
        <w:tc>
          <w:tcPr>
            <w:tcW w:w="9352" w:type="dxa"/>
            <w:gridSpan w:val="2"/>
            <w:tcMar>
              <w:top w:w="0" w:type="dxa"/>
              <w:left w:w="108" w:type="dxa"/>
              <w:bottom w:w="0" w:type="dxa"/>
              <w:right w:w="108" w:type="dxa"/>
            </w:tcMar>
          </w:tcPr>
          <w:p w:rsidR="00FC746F" w:rsidRPr="00FC746F" w:rsidRDefault="00FC746F" w:rsidP="00FC746F">
            <w:pPr>
              <w:spacing w:before="240" w:after="240"/>
              <w:rPr>
                <w:rFonts w:ascii="Times New Roman" w:eastAsia="Times New Roman" w:hAnsi="Times New Roman"/>
                <w:b/>
                <w:sz w:val="17"/>
                <w:szCs w:val="17"/>
              </w:rPr>
            </w:pPr>
            <w:r w:rsidRPr="00FC746F">
              <w:rPr>
                <w:rFonts w:ascii="Times New Roman" w:eastAsia="Times New Roman" w:hAnsi="Times New Roman"/>
                <w:b/>
                <w:sz w:val="17"/>
                <w:szCs w:val="17"/>
              </w:rPr>
              <w:t>City of Prospect</w:t>
            </w:r>
          </w:p>
        </w:tc>
      </w:tr>
      <w:tr w:rsidR="00FC746F" w:rsidRPr="00FC746F" w:rsidTr="00976656">
        <w:trPr>
          <w:jc w:val="center"/>
        </w:trPr>
        <w:tc>
          <w:tcPr>
            <w:tcW w:w="5859" w:type="dxa"/>
            <w:tcMar>
              <w:top w:w="0" w:type="dxa"/>
              <w:left w:w="108" w:type="dxa"/>
              <w:bottom w:w="0" w:type="dxa"/>
              <w:right w:w="108" w:type="dxa"/>
            </w:tcMar>
          </w:tcPr>
          <w:p w:rsidR="00FC746F" w:rsidRPr="00FC746F" w:rsidRDefault="00FC746F" w:rsidP="00FC746F">
            <w:pPr>
              <w:spacing w:before="20" w:after="20"/>
              <w:rPr>
                <w:rFonts w:ascii="Times New Roman" w:eastAsia="Times New Roman" w:hAnsi="Times New Roman"/>
                <w:sz w:val="17"/>
                <w:szCs w:val="17"/>
              </w:rPr>
            </w:pPr>
            <w:r w:rsidRPr="00FC746F">
              <w:rPr>
                <w:rFonts w:ascii="Times New Roman" w:eastAsia="Times New Roman" w:hAnsi="Times New Roman"/>
                <w:sz w:val="17"/>
                <w:szCs w:val="17"/>
              </w:rPr>
              <w:t>Affected Area</w:t>
            </w:r>
          </w:p>
        </w:tc>
        <w:tc>
          <w:tcPr>
            <w:tcW w:w="3493" w:type="dxa"/>
            <w:tcMar>
              <w:top w:w="0" w:type="dxa"/>
              <w:left w:w="108" w:type="dxa"/>
              <w:bottom w:w="0" w:type="dxa"/>
              <w:right w:w="108" w:type="dxa"/>
            </w:tcMar>
          </w:tcPr>
          <w:p w:rsidR="00FC746F" w:rsidRPr="00FC746F" w:rsidRDefault="00FC746F" w:rsidP="00FC746F">
            <w:pPr>
              <w:spacing w:before="20" w:after="20"/>
              <w:rPr>
                <w:rFonts w:ascii="Times New Roman" w:eastAsia="Times New Roman" w:hAnsi="Times New Roman"/>
                <w:sz w:val="17"/>
                <w:szCs w:val="17"/>
              </w:rPr>
            </w:pPr>
            <w:r w:rsidRPr="00FC746F">
              <w:rPr>
                <w:rFonts w:ascii="Times New Roman" w:eastAsia="Times New Roman" w:hAnsi="Times New Roman"/>
                <w:sz w:val="17"/>
                <w:szCs w:val="17"/>
              </w:rPr>
              <w:t>Amendment</w:t>
            </w:r>
          </w:p>
        </w:tc>
      </w:tr>
      <w:tr w:rsidR="00FC746F" w:rsidRPr="00FC746F" w:rsidTr="00976656">
        <w:trPr>
          <w:trHeight w:val="628"/>
          <w:jc w:val="center"/>
        </w:trPr>
        <w:tc>
          <w:tcPr>
            <w:tcW w:w="5859"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Those parts of the Housing Diversity Neighbourhood Zone formerly zoned Residential Zone, Residential Policy Area B200 in the Prospect (City) Development Plan consolidated 13 February 2018.</w:t>
            </w:r>
          </w:p>
          <w:p w:rsidR="00FC746F" w:rsidRPr="00FC746F" w:rsidRDefault="00FC746F" w:rsidP="00FC746F">
            <w:pPr>
              <w:rPr>
                <w:rFonts w:ascii="Times New Roman" w:eastAsia="Times New Roman" w:hAnsi="Times New Roman"/>
                <w:sz w:val="17"/>
                <w:szCs w:val="17"/>
              </w:rPr>
            </w:pPr>
          </w:p>
        </w:tc>
        <w:tc>
          <w:tcPr>
            <w:tcW w:w="3493" w:type="dxa"/>
            <w:tcMar>
              <w:top w:w="0" w:type="dxa"/>
              <w:left w:w="108" w:type="dxa"/>
              <w:bottom w:w="0" w:type="dxa"/>
              <w:right w:w="108" w:type="dxa"/>
            </w:tcMar>
          </w:tcPr>
          <w:p w:rsidR="00FC746F" w:rsidRPr="00FC746F" w:rsidRDefault="00FC746F" w:rsidP="00FC746F">
            <w:pPr>
              <w:spacing w:before="20" w:after="0" w:line="240" w:lineRule="auto"/>
              <w:rPr>
                <w:rFonts w:ascii="Times New Roman" w:eastAsia="MS Mincho" w:hAnsi="Times New Roman"/>
                <w:color w:val="2E2E2E"/>
                <w:spacing w:val="15"/>
                <w:sz w:val="17"/>
                <w:szCs w:val="17"/>
                <w:shd w:val="clear" w:color="auto" w:fill="FFFFFF"/>
              </w:rPr>
            </w:pPr>
            <w:r w:rsidRPr="00FC746F">
              <w:rPr>
                <w:rFonts w:ascii="Times New Roman" w:eastAsia="MS Mincho" w:hAnsi="Times New Roman"/>
                <w:sz w:val="17"/>
                <w:szCs w:val="17"/>
                <w:shd w:val="clear" w:color="auto" w:fill="FFFFFF"/>
              </w:rPr>
              <w:t xml:space="preserve">Spatially apply the Minimum Site Area TNV of 200 </w:t>
            </w:r>
          </w:p>
        </w:tc>
      </w:tr>
      <w:tr w:rsidR="00FC746F" w:rsidRPr="00FC746F" w:rsidTr="00976656">
        <w:trPr>
          <w:jc w:val="center"/>
        </w:trPr>
        <w:tc>
          <w:tcPr>
            <w:tcW w:w="9352" w:type="dxa"/>
            <w:gridSpan w:val="2"/>
            <w:tcMar>
              <w:top w:w="0" w:type="dxa"/>
              <w:left w:w="108" w:type="dxa"/>
              <w:bottom w:w="0" w:type="dxa"/>
              <w:right w:w="108" w:type="dxa"/>
            </w:tcMar>
          </w:tcPr>
          <w:p w:rsidR="00FC746F" w:rsidRPr="00FC746F" w:rsidRDefault="00FC746F" w:rsidP="00FC746F">
            <w:pPr>
              <w:spacing w:before="240" w:after="240"/>
              <w:rPr>
                <w:rFonts w:ascii="Times New Roman" w:eastAsia="Times New Roman" w:hAnsi="Times New Roman"/>
                <w:b/>
                <w:sz w:val="17"/>
                <w:szCs w:val="17"/>
              </w:rPr>
            </w:pPr>
            <w:r w:rsidRPr="00FC746F">
              <w:rPr>
                <w:rFonts w:ascii="Times New Roman" w:eastAsia="Times New Roman" w:hAnsi="Times New Roman"/>
                <w:b/>
                <w:sz w:val="17"/>
                <w:szCs w:val="17"/>
              </w:rPr>
              <w:t>City of Victor Harbor</w:t>
            </w:r>
          </w:p>
        </w:tc>
      </w:tr>
      <w:tr w:rsidR="00FC746F" w:rsidRPr="00FC746F" w:rsidTr="00976656">
        <w:trPr>
          <w:jc w:val="center"/>
        </w:trPr>
        <w:tc>
          <w:tcPr>
            <w:tcW w:w="5859" w:type="dxa"/>
            <w:tcMar>
              <w:top w:w="0" w:type="dxa"/>
              <w:left w:w="108" w:type="dxa"/>
              <w:bottom w:w="0" w:type="dxa"/>
              <w:right w:w="108" w:type="dxa"/>
            </w:tcMar>
          </w:tcPr>
          <w:p w:rsidR="00FC746F" w:rsidRPr="00FC746F" w:rsidRDefault="00FC746F" w:rsidP="00FC746F">
            <w:pPr>
              <w:spacing w:before="20" w:after="20"/>
              <w:rPr>
                <w:rFonts w:ascii="Times New Roman" w:eastAsia="Times New Roman" w:hAnsi="Times New Roman"/>
                <w:sz w:val="17"/>
                <w:szCs w:val="17"/>
              </w:rPr>
            </w:pPr>
            <w:r w:rsidRPr="00FC746F">
              <w:rPr>
                <w:rFonts w:ascii="Times New Roman" w:eastAsia="Times New Roman" w:hAnsi="Times New Roman"/>
                <w:sz w:val="17"/>
                <w:szCs w:val="17"/>
              </w:rPr>
              <w:t>Affected Area</w:t>
            </w:r>
          </w:p>
        </w:tc>
        <w:tc>
          <w:tcPr>
            <w:tcW w:w="3493" w:type="dxa"/>
            <w:tcMar>
              <w:top w:w="0" w:type="dxa"/>
              <w:left w:w="108" w:type="dxa"/>
              <w:bottom w:w="0" w:type="dxa"/>
              <w:right w:w="108" w:type="dxa"/>
            </w:tcMar>
          </w:tcPr>
          <w:p w:rsidR="00FC746F" w:rsidRPr="00FC746F" w:rsidRDefault="00FC746F" w:rsidP="00FC746F">
            <w:pPr>
              <w:spacing w:before="20" w:after="20"/>
              <w:rPr>
                <w:rFonts w:ascii="Times New Roman" w:eastAsia="Times New Roman" w:hAnsi="Times New Roman"/>
                <w:sz w:val="17"/>
                <w:szCs w:val="17"/>
              </w:rPr>
            </w:pPr>
            <w:r w:rsidRPr="00FC746F">
              <w:rPr>
                <w:rFonts w:ascii="Times New Roman" w:eastAsia="Times New Roman" w:hAnsi="Times New Roman"/>
                <w:sz w:val="17"/>
                <w:szCs w:val="17"/>
              </w:rPr>
              <w:t>Amendment</w:t>
            </w:r>
          </w:p>
        </w:tc>
      </w:tr>
      <w:tr w:rsidR="00FC746F" w:rsidRPr="00FC746F" w:rsidTr="00976656">
        <w:trPr>
          <w:trHeight w:val="628"/>
          <w:jc w:val="center"/>
        </w:trPr>
        <w:tc>
          <w:tcPr>
            <w:tcW w:w="5859"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Those parts of the Waterfront Neighbourhood Zone formerly zoned the Residential Zone, Lakeside Policy Area 19 in the Victor Harbor Council Development Plan consolidated 20 June 2017.</w:t>
            </w:r>
          </w:p>
        </w:tc>
        <w:tc>
          <w:tcPr>
            <w:tcW w:w="3493"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Spatially apply the Minimum Frontage TNV of:</w:t>
            </w:r>
          </w:p>
          <w:p w:rsidR="00FC746F" w:rsidRPr="00FC746F" w:rsidRDefault="00FC746F" w:rsidP="00FC746F">
            <w:pPr>
              <w:rPr>
                <w:rFonts w:ascii="Times New Roman" w:eastAsia="Times New Roman" w:hAnsi="Times New Roman"/>
                <w:sz w:val="17"/>
                <w:szCs w:val="17"/>
              </w:rPr>
            </w:pPr>
            <w:r w:rsidRPr="00FC746F">
              <w:rPr>
                <w:rFonts w:ascii="Times New Roman" w:eastAsia="Times New Roman" w:hAnsi="Times New Roman"/>
                <w:sz w:val="17"/>
                <w:szCs w:val="17"/>
              </w:rPr>
              <w:t>Detached Dwelling= 12</w:t>
            </w:r>
          </w:p>
          <w:p w:rsidR="00FC746F" w:rsidRPr="00FC746F" w:rsidRDefault="00FC746F" w:rsidP="00FC746F">
            <w:pPr>
              <w:rPr>
                <w:rFonts w:ascii="Times New Roman" w:eastAsia="Times New Roman" w:hAnsi="Times New Roman"/>
                <w:sz w:val="17"/>
                <w:szCs w:val="17"/>
              </w:rPr>
            </w:pPr>
            <w:r w:rsidRPr="00FC746F">
              <w:rPr>
                <w:rFonts w:ascii="Times New Roman" w:eastAsia="Times New Roman" w:hAnsi="Times New Roman"/>
                <w:sz w:val="17"/>
                <w:szCs w:val="17"/>
              </w:rPr>
              <w:t>Semi-detached Dwelling= 9</w:t>
            </w:r>
          </w:p>
          <w:p w:rsidR="00FC746F" w:rsidRPr="00FC746F" w:rsidRDefault="00FC746F" w:rsidP="00FC746F">
            <w:pPr>
              <w:rPr>
                <w:rFonts w:ascii="Times New Roman" w:eastAsia="Times New Roman" w:hAnsi="Times New Roman"/>
                <w:sz w:val="17"/>
                <w:szCs w:val="17"/>
              </w:rPr>
            </w:pPr>
            <w:r w:rsidRPr="00FC746F">
              <w:rPr>
                <w:rFonts w:ascii="Times New Roman" w:eastAsia="Times New Roman" w:hAnsi="Times New Roman"/>
                <w:sz w:val="17"/>
                <w:szCs w:val="17"/>
              </w:rPr>
              <w:t>Row Dwelling= 7</w:t>
            </w:r>
          </w:p>
          <w:p w:rsidR="00FC746F" w:rsidRPr="00FC746F" w:rsidRDefault="00FC746F" w:rsidP="00FC746F">
            <w:pPr>
              <w:rPr>
                <w:rFonts w:ascii="Times New Roman" w:eastAsia="Times New Roman" w:hAnsi="Times New Roman"/>
                <w:sz w:val="17"/>
                <w:szCs w:val="17"/>
              </w:rPr>
            </w:pPr>
            <w:r w:rsidRPr="00FC746F">
              <w:rPr>
                <w:rFonts w:ascii="Times New Roman" w:eastAsia="Times New Roman" w:hAnsi="Times New Roman"/>
                <w:sz w:val="17"/>
                <w:szCs w:val="17"/>
              </w:rPr>
              <w:t>Group Dwelling= 18</w:t>
            </w:r>
          </w:p>
          <w:p w:rsidR="00FC746F" w:rsidRPr="00FC746F" w:rsidRDefault="00FC746F" w:rsidP="00FC746F">
            <w:pPr>
              <w:rPr>
                <w:rFonts w:ascii="Times New Roman" w:eastAsia="Times New Roman" w:hAnsi="Times New Roman"/>
                <w:sz w:val="17"/>
                <w:szCs w:val="17"/>
              </w:rPr>
            </w:pPr>
            <w:r w:rsidRPr="00FC746F">
              <w:rPr>
                <w:rFonts w:ascii="Times New Roman" w:eastAsia="Times New Roman" w:hAnsi="Times New Roman"/>
                <w:sz w:val="17"/>
                <w:szCs w:val="17"/>
              </w:rPr>
              <w:t>Res Flat Building= 18</w:t>
            </w:r>
          </w:p>
          <w:p w:rsidR="00FC746F" w:rsidRPr="00FC746F" w:rsidRDefault="00FC746F" w:rsidP="00FC746F">
            <w:pPr>
              <w:rPr>
                <w:rFonts w:ascii="Times New Roman" w:eastAsia="Times New Roman" w:hAnsi="Times New Roman"/>
                <w:sz w:val="17"/>
                <w:szCs w:val="17"/>
              </w:rPr>
            </w:pPr>
            <w:r w:rsidRPr="00FC746F">
              <w:rPr>
                <w:rFonts w:ascii="Times New Roman" w:eastAsia="Times New Roman" w:hAnsi="Times New Roman"/>
                <w:sz w:val="17"/>
                <w:szCs w:val="17"/>
              </w:rPr>
              <w:t>And</w:t>
            </w:r>
          </w:p>
          <w:p w:rsidR="00FC746F" w:rsidRPr="00FC746F" w:rsidRDefault="00FC746F" w:rsidP="00FC746F">
            <w:pPr>
              <w:rPr>
                <w:rFonts w:ascii="Times New Roman" w:eastAsia="Times New Roman" w:hAnsi="Times New Roman"/>
                <w:sz w:val="17"/>
                <w:szCs w:val="17"/>
              </w:rPr>
            </w:pPr>
            <w:r w:rsidRPr="00FC746F">
              <w:rPr>
                <w:rFonts w:ascii="Times New Roman" w:eastAsia="Times New Roman" w:hAnsi="Times New Roman"/>
                <w:sz w:val="17"/>
                <w:szCs w:val="17"/>
              </w:rPr>
              <w:t>Spatially apply the Minimum Site Area TNV of:</w:t>
            </w:r>
          </w:p>
          <w:p w:rsidR="00FC746F" w:rsidRPr="00FC746F" w:rsidRDefault="00FC746F" w:rsidP="00FC746F">
            <w:pPr>
              <w:rPr>
                <w:rFonts w:ascii="Times New Roman" w:eastAsia="Times New Roman" w:hAnsi="Times New Roman"/>
                <w:sz w:val="17"/>
                <w:szCs w:val="17"/>
              </w:rPr>
            </w:pPr>
            <w:r w:rsidRPr="00FC746F">
              <w:rPr>
                <w:rFonts w:ascii="Times New Roman" w:eastAsia="Times New Roman" w:hAnsi="Times New Roman"/>
                <w:sz w:val="17"/>
                <w:szCs w:val="17"/>
              </w:rPr>
              <w:t>Detached Dwelling= 390</w:t>
            </w:r>
          </w:p>
          <w:p w:rsidR="00FC746F" w:rsidRPr="00FC746F" w:rsidRDefault="00FC746F" w:rsidP="00FC746F">
            <w:pPr>
              <w:rPr>
                <w:rFonts w:ascii="Times New Roman" w:eastAsia="Times New Roman" w:hAnsi="Times New Roman"/>
                <w:sz w:val="17"/>
                <w:szCs w:val="17"/>
              </w:rPr>
            </w:pPr>
            <w:r w:rsidRPr="00FC746F">
              <w:rPr>
                <w:rFonts w:ascii="Times New Roman" w:eastAsia="Times New Roman" w:hAnsi="Times New Roman"/>
                <w:sz w:val="17"/>
                <w:szCs w:val="17"/>
              </w:rPr>
              <w:t>Semi-detached Dwelling= 270</w:t>
            </w:r>
          </w:p>
          <w:p w:rsidR="00FC746F" w:rsidRPr="00FC746F" w:rsidRDefault="00FC746F" w:rsidP="00FC746F">
            <w:pPr>
              <w:rPr>
                <w:rFonts w:ascii="Times New Roman" w:eastAsia="Times New Roman" w:hAnsi="Times New Roman"/>
                <w:sz w:val="17"/>
                <w:szCs w:val="17"/>
              </w:rPr>
            </w:pPr>
            <w:r w:rsidRPr="00FC746F">
              <w:rPr>
                <w:rFonts w:ascii="Times New Roman" w:eastAsia="Times New Roman" w:hAnsi="Times New Roman"/>
                <w:sz w:val="17"/>
                <w:szCs w:val="17"/>
              </w:rPr>
              <w:t>Row Dwelling= 200</w:t>
            </w:r>
          </w:p>
          <w:p w:rsidR="00FC746F" w:rsidRPr="00FC746F" w:rsidRDefault="00FC746F" w:rsidP="00FC746F">
            <w:pPr>
              <w:rPr>
                <w:rFonts w:ascii="Times New Roman" w:eastAsia="Times New Roman" w:hAnsi="Times New Roman"/>
                <w:sz w:val="17"/>
                <w:szCs w:val="17"/>
              </w:rPr>
            </w:pPr>
            <w:r w:rsidRPr="00FC746F">
              <w:rPr>
                <w:rFonts w:ascii="Times New Roman" w:eastAsia="Times New Roman" w:hAnsi="Times New Roman"/>
                <w:sz w:val="17"/>
                <w:szCs w:val="17"/>
              </w:rPr>
              <w:t>Group Dwelling= 275</w:t>
            </w:r>
          </w:p>
          <w:p w:rsidR="00FC746F" w:rsidRPr="00FC746F" w:rsidRDefault="00FC746F" w:rsidP="00FC746F">
            <w:pPr>
              <w:rPr>
                <w:rFonts w:ascii="Times New Roman" w:eastAsia="Times New Roman" w:hAnsi="Times New Roman"/>
                <w:color w:val="2E2E2E"/>
                <w:spacing w:val="15"/>
                <w:sz w:val="17"/>
                <w:szCs w:val="17"/>
                <w:shd w:val="clear" w:color="auto" w:fill="FFFFFF"/>
              </w:rPr>
            </w:pPr>
            <w:r w:rsidRPr="00FC746F">
              <w:rPr>
                <w:rFonts w:ascii="Times New Roman" w:eastAsia="Times New Roman" w:hAnsi="Times New Roman"/>
                <w:sz w:val="17"/>
                <w:szCs w:val="17"/>
              </w:rPr>
              <w:t>Res Flat Building= 250</w:t>
            </w:r>
          </w:p>
        </w:tc>
      </w:tr>
      <w:tr w:rsidR="00FC746F" w:rsidRPr="00FC746F" w:rsidTr="00976656">
        <w:trPr>
          <w:jc w:val="center"/>
        </w:trPr>
        <w:tc>
          <w:tcPr>
            <w:tcW w:w="9352" w:type="dxa"/>
            <w:gridSpan w:val="2"/>
            <w:tcMar>
              <w:top w:w="0" w:type="dxa"/>
              <w:left w:w="108" w:type="dxa"/>
              <w:bottom w:w="0" w:type="dxa"/>
              <w:right w:w="108" w:type="dxa"/>
            </w:tcMar>
          </w:tcPr>
          <w:p w:rsidR="00FC746F" w:rsidRPr="00FC746F" w:rsidRDefault="00FC746F" w:rsidP="00FC746F">
            <w:pPr>
              <w:spacing w:before="240" w:after="240"/>
              <w:rPr>
                <w:rFonts w:ascii="Times New Roman" w:eastAsia="Times New Roman" w:hAnsi="Times New Roman"/>
                <w:b/>
                <w:sz w:val="17"/>
                <w:szCs w:val="17"/>
              </w:rPr>
            </w:pPr>
            <w:r w:rsidRPr="00FC746F">
              <w:rPr>
                <w:rFonts w:ascii="Times New Roman" w:eastAsia="Times New Roman" w:hAnsi="Times New Roman"/>
                <w:b/>
                <w:sz w:val="17"/>
                <w:szCs w:val="17"/>
              </w:rPr>
              <w:t>Alexandrina Council</w:t>
            </w:r>
          </w:p>
        </w:tc>
      </w:tr>
      <w:tr w:rsidR="00FC746F" w:rsidRPr="00FC746F" w:rsidTr="00976656">
        <w:trPr>
          <w:jc w:val="center"/>
        </w:trPr>
        <w:tc>
          <w:tcPr>
            <w:tcW w:w="5859" w:type="dxa"/>
            <w:tcMar>
              <w:top w:w="0" w:type="dxa"/>
              <w:left w:w="108" w:type="dxa"/>
              <w:bottom w:w="0" w:type="dxa"/>
              <w:right w:w="108" w:type="dxa"/>
            </w:tcMar>
          </w:tcPr>
          <w:p w:rsidR="00FC746F" w:rsidRPr="00FC746F" w:rsidRDefault="00FC746F" w:rsidP="00FC746F">
            <w:pPr>
              <w:spacing w:before="20" w:after="20"/>
              <w:rPr>
                <w:rFonts w:ascii="Times New Roman" w:eastAsia="Times New Roman" w:hAnsi="Times New Roman"/>
                <w:sz w:val="17"/>
                <w:szCs w:val="17"/>
              </w:rPr>
            </w:pPr>
            <w:r w:rsidRPr="00FC746F">
              <w:rPr>
                <w:rFonts w:ascii="Times New Roman" w:eastAsia="Times New Roman" w:hAnsi="Times New Roman"/>
                <w:sz w:val="17"/>
                <w:szCs w:val="17"/>
              </w:rPr>
              <w:t>Affected Area</w:t>
            </w:r>
          </w:p>
        </w:tc>
        <w:tc>
          <w:tcPr>
            <w:tcW w:w="3493" w:type="dxa"/>
            <w:tcMar>
              <w:top w:w="0" w:type="dxa"/>
              <w:left w:w="108" w:type="dxa"/>
              <w:bottom w:w="0" w:type="dxa"/>
              <w:right w:w="108" w:type="dxa"/>
            </w:tcMar>
          </w:tcPr>
          <w:p w:rsidR="00FC746F" w:rsidRPr="00FC746F" w:rsidRDefault="00FC746F" w:rsidP="00FC746F">
            <w:pPr>
              <w:spacing w:before="20" w:after="20"/>
              <w:rPr>
                <w:rFonts w:ascii="Times New Roman" w:eastAsia="Times New Roman" w:hAnsi="Times New Roman"/>
                <w:sz w:val="17"/>
                <w:szCs w:val="17"/>
              </w:rPr>
            </w:pPr>
            <w:r w:rsidRPr="00FC746F">
              <w:rPr>
                <w:rFonts w:ascii="Times New Roman" w:eastAsia="Times New Roman" w:hAnsi="Times New Roman"/>
                <w:sz w:val="17"/>
                <w:szCs w:val="17"/>
              </w:rPr>
              <w:t>Amendment</w:t>
            </w:r>
          </w:p>
        </w:tc>
      </w:tr>
      <w:tr w:rsidR="00FC746F" w:rsidRPr="00FC746F" w:rsidTr="00976656">
        <w:trPr>
          <w:trHeight w:val="628"/>
          <w:jc w:val="center"/>
        </w:trPr>
        <w:tc>
          <w:tcPr>
            <w:tcW w:w="5859"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Rural Neighbourhood Zone</w:t>
            </w:r>
          </w:p>
          <w:p w:rsidR="00FC746F" w:rsidRPr="00FC746F" w:rsidRDefault="00FC746F" w:rsidP="00FC746F">
            <w:pPr>
              <w:rPr>
                <w:rFonts w:ascii="Times New Roman" w:eastAsia="Times New Roman" w:hAnsi="Times New Roman"/>
                <w:sz w:val="17"/>
                <w:szCs w:val="17"/>
              </w:rPr>
            </w:pPr>
            <w:r w:rsidRPr="00FC746F">
              <w:rPr>
                <w:rFonts w:ascii="Times New Roman" w:eastAsia="Times New Roman" w:hAnsi="Times New Roman"/>
                <w:sz w:val="17"/>
                <w:szCs w:val="17"/>
              </w:rPr>
              <w:t>Waterfront Neighbourhood Zone</w:t>
            </w:r>
          </w:p>
          <w:p w:rsidR="00FC746F" w:rsidRPr="00FC746F" w:rsidRDefault="00FC746F" w:rsidP="00FC746F">
            <w:pPr>
              <w:rPr>
                <w:rFonts w:ascii="Times New Roman" w:eastAsia="Times New Roman" w:hAnsi="Times New Roman"/>
                <w:sz w:val="17"/>
                <w:szCs w:val="17"/>
              </w:rPr>
            </w:pPr>
            <w:r w:rsidRPr="00FC746F">
              <w:rPr>
                <w:rFonts w:ascii="Times New Roman" w:eastAsia="Times New Roman" w:hAnsi="Times New Roman"/>
                <w:sz w:val="17"/>
                <w:szCs w:val="17"/>
              </w:rPr>
              <w:t xml:space="preserve">Neighbourhood Zone </w:t>
            </w:r>
          </w:p>
          <w:p w:rsidR="00FC746F" w:rsidRPr="00FC746F" w:rsidRDefault="00FC746F" w:rsidP="00FC746F">
            <w:pPr>
              <w:rPr>
                <w:rFonts w:ascii="Times New Roman" w:eastAsia="Times New Roman" w:hAnsi="Times New Roman"/>
                <w:sz w:val="17"/>
                <w:szCs w:val="17"/>
              </w:rPr>
            </w:pPr>
          </w:p>
        </w:tc>
        <w:tc>
          <w:tcPr>
            <w:tcW w:w="3493"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Remove the spatial application of the Minimum Primary Street Setback TNV</w:t>
            </w:r>
          </w:p>
          <w:p w:rsidR="00FC746F" w:rsidRPr="00FC746F" w:rsidRDefault="00FC746F" w:rsidP="00FC746F">
            <w:pPr>
              <w:rPr>
                <w:rFonts w:ascii="Times New Roman" w:eastAsia="Times New Roman" w:hAnsi="Times New Roman"/>
                <w:color w:val="2E2E2E"/>
                <w:spacing w:val="15"/>
                <w:sz w:val="17"/>
                <w:szCs w:val="17"/>
                <w:shd w:val="clear" w:color="auto" w:fill="FFFFFF"/>
              </w:rPr>
            </w:pPr>
          </w:p>
        </w:tc>
      </w:tr>
      <w:tr w:rsidR="00FC746F" w:rsidRPr="00FC746F" w:rsidTr="00976656">
        <w:trPr>
          <w:trHeight w:val="628"/>
          <w:jc w:val="center"/>
        </w:trPr>
        <w:tc>
          <w:tcPr>
            <w:tcW w:w="5859"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Neighbourhood Zone</w:t>
            </w:r>
          </w:p>
        </w:tc>
        <w:tc>
          <w:tcPr>
            <w:tcW w:w="3493"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Remove the spatial application of the Minimum Side Boundary Setback TNV</w:t>
            </w:r>
          </w:p>
          <w:p w:rsidR="00FC746F" w:rsidRPr="00FC746F" w:rsidRDefault="00FC746F" w:rsidP="00FC746F">
            <w:pPr>
              <w:rPr>
                <w:rFonts w:ascii="Times New Roman" w:eastAsia="Times New Roman" w:hAnsi="Times New Roman"/>
                <w:sz w:val="17"/>
                <w:szCs w:val="17"/>
              </w:rPr>
            </w:pPr>
          </w:p>
        </w:tc>
      </w:tr>
    </w:tbl>
    <w:p w:rsidR="00FC746F" w:rsidRPr="00FC746F" w:rsidRDefault="00FC746F" w:rsidP="00FC746F">
      <w:pPr>
        <w:rPr>
          <w:rFonts w:ascii="Times New Roman" w:eastAsia="Times New Roman" w:hAnsi="Times New Roman"/>
          <w:sz w:val="17"/>
          <w:szCs w:val="20"/>
        </w:rPr>
      </w:pPr>
      <w:r w:rsidRPr="00FC746F">
        <w:rPr>
          <w:rFonts w:ascii="Times New Roman" w:eastAsia="Times New Roman" w:hAnsi="Times New Roman"/>
          <w:sz w:val="17"/>
          <w:szCs w:val="20"/>
        </w:rPr>
        <w:br w:type="page"/>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79"/>
        <w:gridCol w:w="3422"/>
      </w:tblGrid>
      <w:tr w:rsidR="00FC746F" w:rsidRPr="00FC746F" w:rsidTr="00976656">
        <w:trPr>
          <w:jc w:val="center"/>
        </w:trPr>
        <w:tc>
          <w:tcPr>
            <w:tcW w:w="9301" w:type="dxa"/>
            <w:gridSpan w:val="2"/>
            <w:tcMar>
              <w:top w:w="0" w:type="dxa"/>
              <w:left w:w="108" w:type="dxa"/>
              <w:bottom w:w="0" w:type="dxa"/>
              <w:right w:w="108" w:type="dxa"/>
            </w:tcMar>
          </w:tcPr>
          <w:p w:rsidR="00FC746F" w:rsidRPr="00FC746F" w:rsidRDefault="00FC746F" w:rsidP="00FC746F">
            <w:pPr>
              <w:spacing w:before="240" w:after="240"/>
              <w:rPr>
                <w:rFonts w:ascii="Times New Roman" w:eastAsia="Times New Roman" w:hAnsi="Times New Roman"/>
                <w:b/>
                <w:sz w:val="17"/>
                <w:szCs w:val="17"/>
              </w:rPr>
            </w:pPr>
            <w:r w:rsidRPr="00FC746F">
              <w:rPr>
                <w:rFonts w:ascii="Times New Roman" w:eastAsia="Times New Roman" w:hAnsi="Times New Roman"/>
                <w:b/>
                <w:sz w:val="17"/>
                <w:szCs w:val="17"/>
              </w:rPr>
              <w:t>City of West Torrens</w:t>
            </w:r>
          </w:p>
        </w:tc>
      </w:tr>
      <w:tr w:rsidR="00FC746F" w:rsidRPr="00FC746F" w:rsidTr="00976656">
        <w:trPr>
          <w:jc w:val="center"/>
        </w:trPr>
        <w:tc>
          <w:tcPr>
            <w:tcW w:w="5879" w:type="dxa"/>
            <w:tcMar>
              <w:top w:w="0" w:type="dxa"/>
              <w:left w:w="108" w:type="dxa"/>
              <w:bottom w:w="0" w:type="dxa"/>
              <w:right w:w="108" w:type="dxa"/>
            </w:tcMar>
          </w:tcPr>
          <w:p w:rsidR="00FC746F" w:rsidRPr="00FC746F" w:rsidRDefault="00FC746F" w:rsidP="00FC746F">
            <w:pPr>
              <w:spacing w:before="20" w:after="20"/>
              <w:rPr>
                <w:rFonts w:ascii="Times New Roman" w:eastAsia="Times New Roman" w:hAnsi="Times New Roman"/>
                <w:sz w:val="17"/>
                <w:szCs w:val="17"/>
              </w:rPr>
            </w:pPr>
            <w:r w:rsidRPr="00FC746F">
              <w:rPr>
                <w:rFonts w:ascii="Times New Roman" w:eastAsia="Times New Roman" w:hAnsi="Times New Roman"/>
                <w:sz w:val="17"/>
                <w:szCs w:val="17"/>
              </w:rPr>
              <w:t>Affected Area</w:t>
            </w:r>
          </w:p>
        </w:tc>
        <w:tc>
          <w:tcPr>
            <w:tcW w:w="3422" w:type="dxa"/>
            <w:tcMar>
              <w:top w:w="0" w:type="dxa"/>
              <w:left w:w="108" w:type="dxa"/>
              <w:bottom w:w="0" w:type="dxa"/>
              <w:right w:w="108" w:type="dxa"/>
            </w:tcMar>
          </w:tcPr>
          <w:p w:rsidR="00FC746F" w:rsidRPr="00FC746F" w:rsidRDefault="00FC746F" w:rsidP="00FC746F">
            <w:pPr>
              <w:spacing w:before="20" w:after="20"/>
              <w:rPr>
                <w:rFonts w:ascii="Times New Roman" w:eastAsia="Times New Roman" w:hAnsi="Times New Roman"/>
                <w:sz w:val="17"/>
                <w:szCs w:val="17"/>
              </w:rPr>
            </w:pPr>
            <w:r w:rsidRPr="00FC746F">
              <w:rPr>
                <w:rFonts w:ascii="Times New Roman" w:eastAsia="Times New Roman" w:hAnsi="Times New Roman"/>
                <w:sz w:val="17"/>
                <w:szCs w:val="17"/>
              </w:rPr>
              <w:t>Amendment</w:t>
            </w:r>
          </w:p>
        </w:tc>
      </w:tr>
      <w:tr w:rsidR="00FC746F" w:rsidRPr="00FC746F" w:rsidTr="00976656">
        <w:trPr>
          <w:trHeight w:val="763"/>
          <w:jc w:val="center"/>
        </w:trPr>
        <w:tc>
          <w:tcPr>
            <w:tcW w:w="5879"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Those parts of the Housing Diversity Neighbourhood Zone formerly zoned Residential Zone – Medium Density Policy Area 18 (within suburb of Mile End) in the West Torrens Council Development Plan consolidated 21 May 2020.</w:t>
            </w:r>
          </w:p>
        </w:tc>
        <w:tc>
          <w:tcPr>
            <w:tcW w:w="3422"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color w:val="2E2E2E"/>
                <w:spacing w:val="15"/>
                <w:sz w:val="17"/>
                <w:szCs w:val="17"/>
                <w:shd w:val="clear" w:color="auto" w:fill="FFFFFF"/>
              </w:rPr>
            </w:pPr>
            <w:r w:rsidRPr="00FC746F">
              <w:rPr>
                <w:rFonts w:ascii="Times New Roman" w:eastAsia="Times New Roman" w:hAnsi="Times New Roman"/>
                <w:sz w:val="17"/>
                <w:szCs w:val="17"/>
              </w:rPr>
              <w:t>Spatially apply the Maximum Building Height (Metres) TNV of 12.5</w:t>
            </w:r>
          </w:p>
        </w:tc>
      </w:tr>
      <w:tr w:rsidR="00FC746F" w:rsidRPr="00FC746F" w:rsidTr="00976656">
        <w:trPr>
          <w:jc w:val="center"/>
        </w:trPr>
        <w:tc>
          <w:tcPr>
            <w:tcW w:w="9301" w:type="dxa"/>
            <w:gridSpan w:val="2"/>
            <w:tcMar>
              <w:top w:w="0" w:type="dxa"/>
              <w:left w:w="108" w:type="dxa"/>
              <w:bottom w:w="0" w:type="dxa"/>
              <w:right w:w="108" w:type="dxa"/>
            </w:tcMar>
          </w:tcPr>
          <w:p w:rsidR="00FC746F" w:rsidRPr="00FC746F" w:rsidRDefault="00FC746F" w:rsidP="00FC746F">
            <w:pPr>
              <w:spacing w:before="240" w:after="240"/>
              <w:rPr>
                <w:rFonts w:ascii="Times New Roman" w:eastAsia="Times New Roman" w:hAnsi="Times New Roman"/>
                <w:b/>
                <w:sz w:val="17"/>
                <w:szCs w:val="17"/>
              </w:rPr>
            </w:pPr>
            <w:r w:rsidRPr="00FC746F">
              <w:rPr>
                <w:rFonts w:ascii="Times New Roman" w:eastAsia="Times New Roman" w:hAnsi="Times New Roman"/>
                <w:b/>
                <w:sz w:val="17"/>
                <w:szCs w:val="17"/>
              </w:rPr>
              <w:t>Mid Murray Council</w:t>
            </w:r>
          </w:p>
        </w:tc>
      </w:tr>
      <w:tr w:rsidR="00FC746F" w:rsidRPr="00FC746F" w:rsidTr="00976656">
        <w:trPr>
          <w:jc w:val="center"/>
        </w:trPr>
        <w:tc>
          <w:tcPr>
            <w:tcW w:w="5879" w:type="dxa"/>
            <w:tcMar>
              <w:top w:w="0" w:type="dxa"/>
              <w:left w:w="108" w:type="dxa"/>
              <w:bottom w:w="0" w:type="dxa"/>
              <w:right w:w="108" w:type="dxa"/>
            </w:tcMar>
          </w:tcPr>
          <w:p w:rsidR="00FC746F" w:rsidRPr="00FC746F" w:rsidRDefault="00FC746F" w:rsidP="00FC746F">
            <w:pPr>
              <w:spacing w:before="20" w:after="20"/>
              <w:rPr>
                <w:rFonts w:ascii="Times New Roman" w:eastAsia="Times New Roman" w:hAnsi="Times New Roman"/>
                <w:sz w:val="17"/>
                <w:szCs w:val="17"/>
              </w:rPr>
            </w:pPr>
            <w:r w:rsidRPr="00FC746F">
              <w:rPr>
                <w:rFonts w:ascii="Times New Roman" w:eastAsia="Times New Roman" w:hAnsi="Times New Roman"/>
                <w:sz w:val="17"/>
                <w:szCs w:val="17"/>
              </w:rPr>
              <w:t>Affected Area</w:t>
            </w:r>
          </w:p>
        </w:tc>
        <w:tc>
          <w:tcPr>
            <w:tcW w:w="3422" w:type="dxa"/>
            <w:tcMar>
              <w:top w:w="0" w:type="dxa"/>
              <w:left w:w="108" w:type="dxa"/>
              <w:bottom w:w="0" w:type="dxa"/>
              <w:right w:w="108" w:type="dxa"/>
            </w:tcMar>
          </w:tcPr>
          <w:p w:rsidR="00FC746F" w:rsidRPr="00FC746F" w:rsidRDefault="00FC746F" w:rsidP="00FC746F">
            <w:pPr>
              <w:spacing w:before="20" w:after="20"/>
              <w:rPr>
                <w:rFonts w:ascii="Times New Roman" w:eastAsia="Times New Roman" w:hAnsi="Times New Roman"/>
                <w:sz w:val="17"/>
                <w:szCs w:val="17"/>
              </w:rPr>
            </w:pPr>
            <w:r w:rsidRPr="00FC746F">
              <w:rPr>
                <w:rFonts w:ascii="Times New Roman" w:eastAsia="Times New Roman" w:hAnsi="Times New Roman"/>
                <w:sz w:val="17"/>
                <w:szCs w:val="17"/>
              </w:rPr>
              <w:t>Amendment</w:t>
            </w:r>
          </w:p>
        </w:tc>
      </w:tr>
      <w:tr w:rsidR="00FC746F" w:rsidRPr="00FC746F" w:rsidTr="00976656">
        <w:trPr>
          <w:trHeight w:val="628"/>
          <w:jc w:val="center"/>
        </w:trPr>
        <w:tc>
          <w:tcPr>
            <w:tcW w:w="5879"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Those parts of the Suburban Neighbourhood Zone formerly zoned Residential Zone in the Mid Murray Council Development Plan consolidated 25 February 2021.</w:t>
            </w:r>
          </w:p>
          <w:p w:rsidR="00FC746F" w:rsidRPr="00FC746F" w:rsidRDefault="00FC746F" w:rsidP="00FC746F">
            <w:pPr>
              <w:rPr>
                <w:rFonts w:ascii="Times New Roman" w:eastAsia="Times New Roman" w:hAnsi="Times New Roman"/>
                <w:sz w:val="17"/>
                <w:szCs w:val="17"/>
              </w:rPr>
            </w:pPr>
          </w:p>
        </w:tc>
        <w:tc>
          <w:tcPr>
            <w:tcW w:w="3422"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color w:val="2E2E2E"/>
                <w:spacing w:val="15"/>
                <w:sz w:val="17"/>
                <w:szCs w:val="17"/>
                <w:shd w:val="clear" w:color="auto" w:fill="FFFFFF"/>
              </w:rPr>
            </w:pPr>
            <w:r w:rsidRPr="00FC746F">
              <w:rPr>
                <w:rFonts w:ascii="Times New Roman" w:eastAsia="Times New Roman" w:hAnsi="Times New Roman"/>
                <w:sz w:val="17"/>
                <w:szCs w:val="17"/>
              </w:rPr>
              <w:t>Spatially apply Maximum Building Height (Levels) TNV of 2 and Maximum Building Height (Metres) TNV of 9</w:t>
            </w:r>
          </w:p>
        </w:tc>
      </w:tr>
      <w:tr w:rsidR="00FC746F" w:rsidRPr="00FC746F" w:rsidTr="00976656">
        <w:trPr>
          <w:trHeight w:val="805"/>
          <w:jc w:val="center"/>
        </w:trPr>
        <w:tc>
          <w:tcPr>
            <w:tcW w:w="5879"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Those parts of the Established Neighbourhood Zone formerly zoned Residential Character Zone in the Mid Murray Council Development Plan consolidated 25 February 2021.</w:t>
            </w:r>
          </w:p>
        </w:tc>
        <w:tc>
          <w:tcPr>
            <w:tcW w:w="3422"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color w:val="2E2E2E"/>
                <w:spacing w:val="15"/>
                <w:sz w:val="17"/>
                <w:szCs w:val="17"/>
                <w:shd w:val="clear" w:color="auto" w:fill="FFFFFF"/>
              </w:rPr>
            </w:pPr>
            <w:r w:rsidRPr="00FC746F">
              <w:rPr>
                <w:rFonts w:ascii="Times New Roman" w:eastAsia="Times New Roman" w:hAnsi="Times New Roman"/>
                <w:sz w:val="17"/>
                <w:szCs w:val="17"/>
              </w:rPr>
              <w:t>Spatially apply Maximum Building Height (Levels) TNV of 2 and Maximum Building Height (Metres) TNV of 9</w:t>
            </w:r>
          </w:p>
        </w:tc>
      </w:tr>
      <w:tr w:rsidR="00FC746F" w:rsidRPr="00FC746F" w:rsidTr="00976656">
        <w:trPr>
          <w:jc w:val="center"/>
        </w:trPr>
        <w:tc>
          <w:tcPr>
            <w:tcW w:w="9301" w:type="dxa"/>
            <w:gridSpan w:val="2"/>
            <w:tcMar>
              <w:top w:w="0" w:type="dxa"/>
              <w:left w:w="108" w:type="dxa"/>
              <w:bottom w:w="0" w:type="dxa"/>
              <w:right w:w="108" w:type="dxa"/>
            </w:tcMar>
          </w:tcPr>
          <w:p w:rsidR="00FC746F" w:rsidRPr="00FC746F" w:rsidRDefault="00FC746F" w:rsidP="00FC746F">
            <w:pPr>
              <w:spacing w:before="240" w:after="240"/>
              <w:rPr>
                <w:rFonts w:ascii="Times New Roman" w:eastAsia="Times New Roman" w:hAnsi="Times New Roman"/>
                <w:b/>
                <w:sz w:val="17"/>
                <w:szCs w:val="17"/>
              </w:rPr>
            </w:pPr>
            <w:r w:rsidRPr="00FC746F">
              <w:rPr>
                <w:rFonts w:ascii="Times New Roman" w:eastAsia="Times New Roman" w:hAnsi="Times New Roman"/>
                <w:b/>
                <w:sz w:val="17"/>
                <w:szCs w:val="17"/>
              </w:rPr>
              <w:t>City of Onkaparinga</w:t>
            </w:r>
          </w:p>
        </w:tc>
      </w:tr>
      <w:tr w:rsidR="00FC746F" w:rsidRPr="00FC746F" w:rsidTr="00976656">
        <w:trPr>
          <w:jc w:val="center"/>
        </w:trPr>
        <w:tc>
          <w:tcPr>
            <w:tcW w:w="5879" w:type="dxa"/>
            <w:tcMar>
              <w:top w:w="0" w:type="dxa"/>
              <w:left w:w="108" w:type="dxa"/>
              <w:bottom w:w="0" w:type="dxa"/>
              <w:right w:w="108" w:type="dxa"/>
            </w:tcMar>
          </w:tcPr>
          <w:p w:rsidR="00FC746F" w:rsidRPr="00FC746F" w:rsidRDefault="00FC746F" w:rsidP="00FC746F">
            <w:pPr>
              <w:spacing w:before="20" w:after="20"/>
              <w:rPr>
                <w:rFonts w:ascii="Times New Roman" w:eastAsia="Times New Roman" w:hAnsi="Times New Roman"/>
                <w:sz w:val="17"/>
                <w:szCs w:val="17"/>
              </w:rPr>
            </w:pPr>
            <w:r w:rsidRPr="00FC746F">
              <w:rPr>
                <w:rFonts w:ascii="Times New Roman" w:eastAsia="Times New Roman" w:hAnsi="Times New Roman"/>
                <w:sz w:val="17"/>
                <w:szCs w:val="17"/>
              </w:rPr>
              <w:t>Affected Area</w:t>
            </w:r>
          </w:p>
        </w:tc>
        <w:tc>
          <w:tcPr>
            <w:tcW w:w="3422" w:type="dxa"/>
            <w:tcMar>
              <w:top w:w="0" w:type="dxa"/>
              <w:left w:w="108" w:type="dxa"/>
              <w:bottom w:w="0" w:type="dxa"/>
              <w:right w:w="108" w:type="dxa"/>
            </w:tcMar>
          </w:tcPr>
          <w:p w:rsidR="00FC746F" w:rsidRPr="00FC746F" w:rsidRDefault="00FC746F" w:rsidP="00FC746F">
            <w:pPr>
              <w:spacing w:before="20" w:after="20"/>
              <w:rPr>
                <w:rFonts w:ascii="Times New Roman" w:eastAsia="Times New Roman" w:hAnsi="Times New Roman"/>
                <w:sz w:val="17"/>
                <w:szCs w:val="17"/>
              </w:rPr>
            </w:pPr>
            <w:r w:rsidRPr="00FC746F">
              <w:rPr>
                <w:rFonts w:ascii="Times New Roman" w:eastAsia="Times New Roman" w:hAnsi="Times New Roman"/>
                <w:sz w:val="17"/>
                <w:szCs w:val="17"/>
              </w:rPr>
              <w:t>Amendment</w:t>
            </w:r>
          </w:p>
        </w:tc>
      </w:tr>
      <w:tr w:rsidR="00FC746F" w:rsidRPr="00FC746F" w:rsidTr="00976656">
        <w:trPr>
          <w:trHeight w:val="628"/>
          <w:jc w:val="center"/>
        </w:trPr>
        <w:tc>
          <w:tcPr>
            <w:tcW w:w="5879"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Those parts of the Township Neighbourhood Zone formerly zoned Residential Zone, Willunga Policy Area 46 in the Onkaparinga Council Development Plan consolidated 2 July 2020.</w:t>
            </w:r>
          </w:p>
          <w:p w:rsidR="00FC746F" w:rsidRPr="00FC746F" w:rsidRDefault="00FC746F" w:rsidP="00FC746F">
            <w:pPr>
              <w:rPr>
                <w:rFonts w:ascii="Times New Roman" w:eastAsia="Times New Roman" w:hAnsi="Times New Roman"/>
                <w:sz w:val="17"/>
                <w:szCs w:val="17"/>
              </w:rPr>
            </w:pPr>
          </w:p>
        </w:tc>
        <w:tc>
          <w:tcPr>
            <w:tcW w:w="3422"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Remove spatial application of the Maximum Building Height (Metres) TNV</w:t>
            </w:r>
          </w:p>
          <w:p w:rsidR="00FC746F" w:rsidRPr="00FC746F" w:rsidRDefault="00FC746F" w:rsidP="00FC746F">
            <w:pPr>
              <w:rPr>
                <w:rFonts w:ascii="Times New Roman" w:eastAsia="Times New Roman" w:hAnsi="Times New Roman"/>
                <w:color w:val="2E2E2E"/>
                <w:spacing w:val="15"/>
                <w:sz w:val="17"/>
                <w:szCs w:val="17"/>
                <w:shd w:val="clear" w:color="auto" w:fill="FFFFFF"/>
              </w:rPr>
            </w:pPr>
          </w:p>
        </w:tc>
      </w:tr>
      <w:tr w:rsidR="00FC746F" w:rsidRPr="00FC746F" w:rsidTr="00976656">
        <w:trPr>
          <w:trHeight w:val="628"/>
          <w:jc w:val="center"/>
        </w:trPr>
        <w:tc>
          <w:tcPr>
            <w:tcW w:w="5879"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Those parts of the Rural Neighbourhood Zone formerly zoned the Residential Zone, Aldinga Dunes Policy Area 37 of the Onkaparinga Council Development Plan consolidated 2 July 2020.</w:t>
            </w:r>
          </w:p>
          <w:p w:rsidR="00FC746F" w:rsidRPr="00FC746F" w:rsidRDefault="00FC746F" w:rsidP="00FC746F">
            <w:pPr>
              <w:rPr>
                <w:rFonts w:ascii="Times New Roman" w:eastAsia="Times New Roman" w:hAnsi="Times New Roman"/>
                <w:sz w:val="17"/>
                <w:szCs w:val="17"/>
              </w:rPr>
            </w:pPr>
          </w:p>
        </w:tc>
        <w:tc>
          <w:tcPr>
            <w:tcW w:w="3422"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Remove spatial application of the Maximum Building Height (Metres) TNV</w:t>
            </w:r>
          </w:p>
          <w:p w:rsidR="00FC746F" w:rsidRPr="00FC746F" w:rsidRDefault="00FC746F" w:rsidP="00FC746F">
            <w:pPr>
              <w:rPr>
                <w:rFonts w:ascii="Times New Roman" w:eastAsia="Times New Roman" w:hAnsi="Times New Roman"/>
                <w:color w:val="2E2E2E"/>
                <w:spacing w:val="15"/>
                <w:sz w:val="17"/>
                <w:szCs w:val="17"/>
                <w:shd w:val="clear" w:color="auto" w:fill="FFFFFF"/>
              </w:rPr>
            </w:pPr>
          </w:p>
        </w:tc>
      </w:tr>
      <w:tr w:rsidR="00FC746F" w:rsidRPr="00FC746F" w:rsidTr="00976656">
        <w:trPr>
          <w:trHeight w:val="628"/>
          <w:jc w:val="center"/>
        </w:trPr>
        <w:tc>
          <w:tcPr>
            <w:tcW w:w="5879"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Those parts of the Hills Neighbourhood Zone formerly zoned Residential Zone, Coordinated Development Policy Area 67 of the Onkaparinga Council Development Plan consolidated 2 July 2020.</w:t>
            </w:r>
          </w:p>
          <w:p w:rsidR="00FC746F" w:rsidRPr="00FC746F" w:rsidRDefault="00FC746F" w:rsidP="00FC746F">
            <w:pPr>
              <w:rPr>
                <w:rFonts w:ascii="Times New Roman" w:eastAsia="Times New Roman" w:hAnsi="Times New Roman"/>
                <w:sz w:val="17"/>
                <w:szCs w:val="17"/>
              </w:rPr>
            </w:pPr>
          </w:p>
        </w:tc>
        <w:tc>
          <w:tcPr>
            <w:tcW w:w="3422"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Remove spatial application of the Maximum Building Height (Metres) TNV</w:t>
            </w:r>
          </w:p>
          <w:p w:rsidR="00FC746F" w:rsidRPr="00FC746F" w:rsidRDefault="00FC746F" w:rsidP="00FC746F">
            <w:pPr>
              <w:rPr>
                <w:rFonts w:ascii="Times New Roman" w:eastAsia="Times New Roman" w:hAnsi="Times New Roman"/>
                <w:sz w:val="17"/>
                <w:szCs w:val="17"/>
              </w:rPr>
            </w:pPr>
          </w:p>
        </w:tc>
      </w:tr>
      <w:tr w:rsidR="00FC746F" w:rsidRPr="00FC746F" w:rsidTr="00976656">
        <w:trPr>
          <w:trHeight w:val="628"/>
          <w:jc w:val="center"/>
        </w:trPr>
        <w:tc>
          <w:tcPr>
            <w:tcW w:w="5879"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Those parts of the Suburban Neighbourhood Zone formerly zoned Residential Zone, Sellicks Beach Policy Area 45 in the Onkaparinga Council Development Plan consolidated 2 July 2020.</w:t>
            </w:r>
          </w:p>
          <w:p w:rsidR="00FC746F" w:rsidRPr="00FC746F" w:rsidRDefault="00FC746F" w:rsidP="00FC746F">
            <w:pPr>
              <w:rPr>
                <w:rFonts w:ascii="Times New Roman" w:eastAsia="Times New Roman" w:hAnsi="Times New Roman"/>
                <w:sz w:val="17"/>
                <w:szCs w:val="17"/>
              </w:rPr>
            </w:pPr>
          </w:p>
        </w:tc>
        <w:tc>
          <w:tcPr>
            <w:tcW w:w="3422"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Remove spatial application of the Maximum Building Height (Metres) TNV</w:t>
            </w:r>
          </w:p>
          <w:p w:rsidR="00FC746F" w:rsidRPr="00FC746F" w:rsidRDefault="00FC746F" w:rsidP="00FC746F">
            <w:pPr>
              <w:rPr>
                <w:rFonts w:ascii="Times New Roman" w:eastAsia="Times New Roman" w:hAnsi="Times New Roman"/>
                <w:color w:val="2E2E2E"/>
                <w:spacing w:val="15"/>
                <w:sz w:val="17"/>
                <w:szCs w:val="17"/>
                <w:shd w:val="clear" w:color="auto" w:fill="FFFFFF"/>
              </w:rPr>
            </w:pPr>
          </w:p>
        </w:tc>
      </w:tr>
      <w:tr w:rsidR="00FC746F" w:rsidRPr="00FC746F" w:rsidTr="00976656">
        <w:trPr>
          <w:trHeight w:val="628"/>
          <w:jc w:val="center"/>
        </w:trPr>
        <w:tc>
          <w:tcPr>
            <w:tcW w:w="5879"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Those parts of the Suburban Neighbourhood Zone formerly zoned Residential Zone, Old Reynella Policy Area 69 of the Onkaparinga Council Development Plan consolidated 2 July 2020.</w:t>
            </w:r>
          </w:p>
          <w:p w:rsidR="00FC746F" w:rsidRPr="00FC746F" w:rsidRDefault="00FC746F" w:rsidP="00FC746F">
            <w:pPr>
              <w:rPr>
                <w:rFonts w:ascii="Times New Roman" w:eastAsia="Times New Roman" w:hAnsi="Times New Roman"/>
                <w:sz w:val="17"/>
                <w:szCs w:val="17"/>
              </w:rPr>
            </w:pPr>
          </w:p>
        </w:tc>
        <w:tc>
          <w:tcPr>
            <w:tcW w:w="3422"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Remove spatial application of the Maximum Building Height (Metres) TNV</w:t>
            </w:r>
          </w:p>
          <w:p w:rsidR="00FC746F" w:rsidRPr="00FC746F" w:rsidRDefault="00FC746F" w:rsidP="00FC746F">
            <w:pPr>
              <w:rPr>
                <w:rFonts w:ascii="Times New Roman" w:eastAsia="Times New Roman" w:hAnsi="Times New Roman"/>
                <w:sz w:val="17"/>
                <w:szCs w:val="17"/>
              </w:rPr>
            </w:pPr>
          </w:p>
        </w:tc>
      </w:tr>
      <w:tr w:rsidR="00FC746F" w:rsidRPr="00FC746F" w:rsidTr="00976656">
        <w:trPr>
          <w:trHeight w:val="628"/>
          <w:jc w:val="center"/>
        </w:trPr>
        <w:tc>
          <w:tcPr>
            <w:tcW w:w="5879"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Those parts of the Suburban Neighbourhood Zone formerly zoned Residential Zone, Coordinated Development Policy Area 38 in the Onkaparinga Council Development Plan consolidated 2 July 2020.</w:t>
            </w:r>
          </w:p>
          <w:p w:rsidR="00FC746F" w:rsidRPr="00FC746F" w:rsidRDefault="00FC746F" w:rsidP="00FC746F">
            <w:pPr>
              <w:rPr>
                <w:rFonts w:ascii="Times New Roman" w:eastAsia="Times New Roman" w:hAnsi="Times New Roman"/>
                <w:sz w:val="17"/>
                <w:szCs w:val="17"/>
              </w:rPr>
            </w:pPr>
            <w:r w:rsidRPr="00FC746F">
              <w:rPr>
                <w:rFonts w:ascii="Times New Roman" w:eastAsia="Times New Roman" w:hAnsi="Times New Roman"/>
                <w:sz w:val="17"/>
                <w:szCs w:val="17"/>
              </w:rPr>
              <w:t xml:space="preserve"> </w:t>
            </w:r>
          </w:p>
        </w:tc>
        <w:tc>
          <w:tcPr>
            <w:tcW w:w="3422" w:type="dxa"/>
            <w:tcMar>
              <w:top w:w="0" w:type="dxa"/>
              <w:left w:w="108" w:type="dxa"/>
              <w:bottom w:w="0" w:type="dxa"/>
              <w:right w:w="108" w:type="dxa"/>
            </w:tcMar>
          </w:tcPr>
          <w:p w:rsidR="00FC746F" w:rsidRPr="00FC746F" w:rsidRDefault="00FC746F" w:rsidP="00FC746F">
            <w:pPr>
              <w:spacing w:before="20"/>
              <w:rPr>
                <w:rFonts w:ascii="Times New Roman" w:eastAsia="Times New Roman" w:hAnsi="Times New Roman"/>
                <w:sz w:val="17"/>
                <w:szCs w:val="17"/>
              </w:rPr>
            </w:pPr>
            <w:r w:rsidRPr="00FC746F">
              <w:rPr>
                <w:rFonts w:ascii="Times New Roman" w:eastAsia="Times New Roman" w:hAnsi="Times New Roman"/>
                <w:sz w:val="17"/>
                <w:szCs w:val="17"/>
              </w:rPr>
              <w:t>Remove spatial application of the Maximum Building Height (Metres) TNV</w:t>
            </w:r>
          </w:p>
          <w:p w:rsidR="00FC746F" w:rsidRPr="00FC746F" w:rsidRDefault="00FC746F" w:rsidP="00FC746F">
            <w:pPr>
              <w:rPr>
                <w:rFonts w:ascii="Times New Roman" w:eastAsia="Times New Roman" w:hAnsi="Times New Roman"/>
                <w:sz w:val="17"/>
                <w:szCs w:val="17"/>
              </w:rPr>
            </w:pPr>
          </w:p>
        </w:tc>
      </w:tr>
    </w:tbl>
    <w:p w:rsidR="00FC746F" w:rsidRDefault="00FC746F" w:rsidP="0097665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rsidR="00E17C0B" w:rsidRDefault="00E17C0B" w:rsidP="00E17C0B">
      <w:pPr>
        <w:pBdr>
          <w:bottom w:val="single" w:sz="4" w:space="1" w:color="auto"/>
        </w:pBdr>
        <w:spacing w:after="0" w:line="52" w:lineRule="exact"/>
        <w:jc w:val="center"/>
        <w:rPr>
          <w:rFonts w:ascii="Times New Roman" w:eastAsia="Times New Roman" w:hAnsi="Times New Roman"/>
          <w:sz w:val="17"/>
          <w:szCs w:val="17"/>
        </w:rPr>
      </w:pPr>
    </w:p>
    <w:p w:rsidR="00E17C0B" w:rsidRDefault="00E17C0B" w:rsidP="00E17C0B">
      <w:pPr>
        <w:pBdr>
          <w:top w:val="single" w:sz="4" w:space="1" w:color="auto"/>
        </w:pBdr>
        <w:spacing w:before="34" w:after="0" w:line="14" w:lineRule="exact"/>
        <w:jc w:val="center"/>
        <w:rPr>
          <w:rFonts w:ascii="Times New Roman" w:eastAsia="Times New Roman" w:hAnsi="Times New Roman"/>
          <w:sz w:val="17"/>
          <w:szCs w:val="17"/>
        </w:rPr>
      </w:pPr>
    </w:p>
    <w:p w:rsidR="00FC746F" w:rsidRDefault="00FC746F" w:rsidP="00976656">
      <w:pPr>
        <w:spacing w:after="0"/>
        <w:rPr>
          <w:rFonts w:ascii="Times New Roman" w:eastAsia="Times New Roman" w:hAnsi="Times New Roman"/>
          <w:sz w:val="17"/>
          <w:szCs w:val="17"/>
        </w:rPr>
      </w:pPr>
    </w:p>
    <w:p w:rsidR="00976656" w:rsidRDefault="00976656" w:rsidP="00976656">
      <w:pPr>
        <w:spacing w:after="0"/>
        <w:rPr>
          <w:rFonts w:ascii="Times New Roman" w:eastAsia="Times New Roman" w:hAnsi="Times New Roman"/>
          <w:sz w:val="17"/>
          <w:szCs w:val="17"/>
        </w:rPr>
      </w:pPr>
    </w:p>
    <w:p w:rsidR="00976656" w:rsidRDefault="00976656" w:rsidP="00976656">
      <w:pPr>
        <w:spacing w:after="0"/>
        <w:rPr>
          <w:rFonts w:ascii="Times New Roman" w:eastAsia="Times New Roman" w:hAnsi="Times New Roman"/>
          <w:sz w:val="17"/>
          <w:szCs w:val="17"/>
        </w:rPr>
      </w:pPr>
    </w:p>
    <w:p w:rsidR="00976656" w:rsidRDefault="00976656" w:rsidP="00976656">
      <w:pPr>
        <w:spacing w:after="0"/>
        <w:rPr>
          <w:rFonts w:ascii="Times New Roman" w:eastAsia="Times New Roman" w:hAnsi="Times New Roman"/>
          <w:sz w:val="17"/>
          <w:szCs w:val="17"/>
        </w:rPr>
      </w:pPr>
    </w:p>
    <w:p w:rsidR="00976656" w:rsidRDefault="00976656" w:rsidP="00976656">
      <w:pPr>
        <w:spacing w:after="0"/>
        <w:rPr>
          <w:rFonts w:ascii="Times New Roman" w:eastAsia="Times New Roman" w:hAnsi="Times New Roman"/>
          <w:sz w:val="17"/>
          <w:szCs w:val="17"/>
        </w:rPr>
      </w:pPr>
    </w:p>
    <w:p w:rsidR="00976656" w:rsidRDefault="00976656" w:rsidP="00976656">
      <w:pPr>
        <w:spacing w:after="0"/>
        <w:rPr>
          <w:rFonts w:ascii="Times New Roman" w:eastAsia="Times New Roman" w:hAnsi="Times New Roman"/>
          <w:sz w:val="17"/>
          <w:szCs w:val="17"/>
        </w:rPr>
      </w:pPr>
    </w:p>
    <w:p w:rsidR="00976656" w:rsidRDefault="00976656" w:rsidP="00976656">
      <w:pPr>
        <w:spacing w:after="0"/>
        <w:rPr>
          <w:rFonts w:ascii="Times New Roman" w:eastAsia="Times New Roman" w:hAnsi="Times New Roman"/>
          <w:sz w:val="17"/>
          <w:szCs w:val="17"/>
        </w:rPr>
      </w:pPr>
    </w:p>
    <w:p w:rsidR="00976656" w:rsidRDefault="00976656" w:rsidP="00976656">
      <w:pPr>
        <w:spacing w:after="0"/>
        <w:rPr>
          <w:rFonts w:ascii="Times New Roman" w:eastAsia="Times New Roman" w:hAnsi="Times New Roman"/>
          <w:sz w:val="17"/>
          <w:szCs w:val="17"/>
        </w:rPr>
      </w:pPr>
    </w:p>
    <w:p w:rsidR="00976656" w:rsidRDefault="00976656" w:rsidP="00976656">
      <w:pPr>
        <w:spacing w:after="0"/>
        <w:rPr>
          <w:rFonts w:ascii="Times New Roman" w:eastAsia="Times New Roman" w:hAnsi="Times New Roman"/>
          <w:sz w:val="17"/>
          <w:szCs w:val="17"/>
        </w:rPr>
      </w:pPr>
    </w:p>
    <w:p w:rsidR="00976656" w:rsidRDefault="00976656" w:rsidP="00976656">
      <w:pPr>
        <w:spacing w:after="0"/>
        <w:rPr>
          <w:rFonts w:ascii="Times New Roman" w:eastAsia="Times New Roman" w:hAnsi="Times New Roman"/>
          <w:sz w:val="17"/>
          <w:szCs w:val="17"/>
        </w:rPr>
      </w:pPr>
    </w:p>
    <w:p w:rsidR="00F337C8" w:rsidRDefault="00F337C8" w:rsidP="00976656">
      <w:pPr>
        <w:pStyle w:val="GG-body"/>
        <w:spacing w:after="0"/>
      </w:pPr>
    </w:p>
    <w:p w:rsidR="00F337C8" w:rsidRDefault="00F337C8" w:rsidP="00976656">
      <w:pPr>
        <w:pStyle w:val="GG-body"/>
        <w:spacing w:after="0"/>
      </w:pPr>
    </w:p>
    <w:p w:rsidR="00F337C8" w:rsidRDefault="00F337C8" w:rsidP="00976656">
      <w:pPr>
        <w:pStyle w:val="GG-body"/>
        <w:spacing w:after="0"/>
      </w:pPr>
    </w:p>
    <w:p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$7.</w:t>
      </w:r>
      <w:r w:rsidR="00693DF1">
        <w:rPr>
          <w:rFonts w:ascii="Times New Roman" w:hAnsi="Times New Roman"/>
          <w:sz w:val="17"/>
          <w:szCs w:val="17"/>
        </w:rPr>
        <w:t>85</w:t>
      </w:r>
      <w:r w:rsidRPr="00FE60C0">
        <w:rPr>
          <w:rFonts w:ascii="Times New Roman" w:hAnsi="Times New Roman"/>
          <w:sz w:val="17"/>
          <w:szCs w:val="17"/>
        </w:rPr>
        <w:t xml:space="preserve"> per issue (plus postage), $3</w:t>
      </w:r>
      <w:r w:rsidR="00693DF1">
        <w:rPr>
          <w:rFonts w:ascii="Times New Roman" w:hAnsi="Times New Roman"/>
          <w:sz w:val="17"/>
          <w:szCs w:val="17"/>
        </w:rPr>
        <w:t>95.00</w:t>
      </w:r>
      <w:r w:rsidRPr="00FE60C0">
        <w:rPr>
          <w:rFonts w:ascii="Times New Roman" w:hAnsi="Times New Roman"/>
          <w:sz w:val="17"/>
          <w:szCs w:val="17"/>
        </w:rPr>
        <w:t xml:space="preserve"> per annual subscription—GST inclusive</w:t>
      </w:r>
    </w:p>
    <w:p w:rsidR="00F337C8" w:rsidRPr="00D0446B" w:rsidRDefault="00F337C8" w:rsidP="00F337C8">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9"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p w:rsidR="00F337C8" w:rsidRPr="00612978" w:rsidRDefault="00F337C8" w:rsidP="00D0446B">
      <w:pPr>
        <w:spacing w:after="0"/>
        <w:jc w:val="center"/>
        <w:rPr>
          <w:rFonts w:ascii="Times New Roman" w:hAnsi="Times New Roman"/>
          <w:smallCaps/>
          <w:sz w:val="17"/>
          <w:szCs w:val="17"/>
        </w:rPr>
      </w:pPr>
    </w:p>
    <w:sectPr w:rsidR="00F337C8" w:rsidRPr="00612978" w:rsidSect="00C35208">
      <w:headerReference w:type="even" r:id="rId20"/>
      <w:headerReference w:type="default" r:id="rId21"/>
      <w:footerReference w:type="default" r:id="rId22"/>
      <w:pgSz w:w="11906" w:h="16838"/>
      <w:pgMar w:top="1674" w:right="1256" w:bottom="1134" w:left="1290" w:header="1134" w:footer="934" w:gutter="0"/>
      <w:pgNumType w:start="1076"/>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208" w:rsidRDefault="00C35208" w:rsidP="00777F88">
      <w:pPr>
        <w:spacing w:after="0" w:line="240" w:lineRule="auto"/>
      </w:pPr>
      <w:r>
        <w:separator/>
      </w:r>
    </w:p>
  </w:endnote>
  <w:endnote w:type="continuationSeparator" w:id="0">
    <w:p w:rsidR="00C35208" w:rsidRDefault="00C35208"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1B7138" w:rsidRPr="00777F88" w:rsidRDefault="001B7138"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00720680" w:rsidRPr="007A0777">
      <w:rPr>
        <w:rFonts w:ascii="Times New Roman" w:hAnsi="Times New Roman"/>
        <w:smallCaps/>
        <w:sz w:val="17"/>
        <w:szCs w:val="17"/>
      </w:rPr>
      <w:t xml:space="preserve">S. </w:t>
    </w:r>
    <w:r w:rsidR="00665367">
      <w:rPr>
        <w:rFonts w:ascii="Times New Roman" w:hAnsi="Times New Roman"/>
        <w:smallCaps/>
        <w:sz w:val="17"/>
        <w:szCs w:val="17"/>
      </w:rPr>
      <w:t>Smith</w:t>
    </w:r>
    <w:r w:rsidR="00541253"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1B7138" w:rsidRPr="00777F88" w:rsidRDefault="00111C2E" w:rsidP="00D0446B">
    <w:pPr>
      <w:pStyle w:val="Footer"/>
      <w:spacing w:line="170" w:lineRule="exact"/>
      <w:jc w:val="center"/>
      <w:rPr>
        <w:rFonts w:ascii="Times New Roman" w:hAnsi="Times New Roman"/>
        <w:sz w:val="17"/>
        <w:szCs w:val="17"/>
      </w:rPr>
    </w:pPr>
    <w:r>
      <w:rPr>
        <w:rFonts w:ascii="Times New Roman" w:hAnsi="Times New Roman"/>
        <w:sz w:val="17"/>
        <w:szCs w:val="17"/>
      </w:rPr>
      <w:t>$7.85 per issue (plus postage), $395.00 per annual subscription—GST inclusive</w:t>
    </w:r>
  </w:p>
  <w:p w:rsidR="001B7138" w:rsidRPr="00D0446B" w:rsidRDefault="001B7138"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208" w:rsidRDefault="00C35208" w:rsidP="00777F88">
      <w:pPr>
        <w:spacing w:after="0" w:line="240" w:lineRule="auto"/>
      </w:pPr>
      <w:r>
        <w:separator/>
      </w:r>
    </w:p>
  </w:footnote>
  <w:footnote w:type="continuationSeparator" w:id="0">
    <w:p w:rsidR="00C35208" w:rsidRDefault="00C35208"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34074D" w:rsidRDefault="001B7138"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A30CF" w:rsidRDefault="001B7138"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9F15D7" w:rsidRPr="0034074D" w:rsidRDefault="009F15D7"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A30CF" w:rsidRDefault="009F15D7"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111C2E"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7216" behindDoc="0" locked="1" layoutInCell="0" allowOverlap="1">
              <wp:simplePos x="0" y="0"/>
              <wp:positionH relativeFrom="page">
                <wp:posOffset>821055</wp:posOffset>
              </wp:positionH>
              <wp:positionV relativeFrom="page">
                <wp:posOffset>730885</wp:posOffset>
              </wp:positionV>
              <wp:extent cx="5943600" cy="330835"/>
              <wp:effectExtent l="0" t="0" r="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0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C35208">
                            <w:rPr>
                              <w:rStyle w:val="PageNumber"/>
                              <w:rFonts w:ascii="Times New Roman" w:hAnsi="Times New Roman"/>
                              <w:sz w:val="21"/>
                            </w:rPr>
                            <w:t>19</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AE4592">
                            <w:rPr>
                              <w:rStyle w:val="PageNumber"/>
                              <w:rFonts w:ascii="Times New Roman" w:hAnsi="Times New Roman"/>
                              <w:noProof/>
                              <w:sz w:val="21"/>
                            </w:rPr>
                            <w:t>1082</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C35208">
                            <w:rPr>
                              <w:rStyle w:val="PageNumber"/>
                              <w:rFonts w:ascii="Times New Roman" w:hAnsi="Times New Roman"/>
                              <w:sz w:val="21"/>
                            </w:rPr>
                            <w:t>25 March</w:t>
                          </w:r>
                          <w:r w:rsidR="00301E5B">
                            <w:rPr>
                              <w:rStyle w:val="PageNumber"/>
                              <w:rFonts w:ascii="Times New Roman" w:hAnsi="Times New Roman"/>
                              <w:sz w:val="21"/>
                            </w:rPr>
                            <w:t xml:space="preserve"> </w:t>
                          </w:r>
                          <w:r w:rsidR="009F15D7" w:rsidRPr="00C032B2">
                            <w:rPr>
                              <w:rFonts w:ascii="Times New Roman" w:hAnsi="Times New Roman"/>
                              <w:sz w:val="21"/>
                            </w:rPr>
                            <w:t>20</w:t>
                          </w:r>
                          <w:r>
                            <w:rPr>
                              <w:rFonts w:ascii="Times New Roman" w:hAnsi="Times New Roman"/>
                              <w:sz w:val="21"/>
                            </w:rPr>
                            <w:t>2</w:t>
                          </w:r>
                          <w:r w:rsidR="00394729">
                            <w:rPr>
                              <w:rFonts w:ascii="Times New Roman" w:hAnsi="Times New Roman"/>
                              <w:sz w:val="21"/>
                            </w:rPr>
                            <w:t>1</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5pt;margin-top:57.55pt;width:468pt;height:2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KRfbTfkAgAAYQYAAA4AAAAA&#10;AAAAAAAAAAAALgIAAGRycy9lMm9Eb2MueG1sUEsBAi0AFAAGAAgAAAAhACn8TCHhAAAADAEAAA8A&#10;AAAAAAAAAAAAAAAAPgUAAGRycy9kb3ducmV2LnhtbFBLBQYAAAAABAAEAPMAAABMBgAAAAA=&#10;" o:allowincell="f" filled="f" stroked="f">
              <v:textbox inset="0,0,0,0">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C35208">
                      <w:rPr>
                        <w:rStyle w:val="PageNumber"/>
                        <w:rFonts w:ascii="Times New Roman" w:hAnsi="Times New Roman"/>
                        <w:sz w:val="21"/>
                      </w:rPr>
                      <w:t>19</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AE4592">
                      <w:rPr>
                        <w:rStyle w:val="PageNumber"/>
                        <w:rFonts w:ascii="Times New Roman" w:hAnsi="Times New Roman"/>
                        <w:noProof/>
                        <w:sz w:val="21"/>
                      </w:rPr>
                      <w:t>1082</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C35208">
                      <w:rPr>
                        <w:rStyle w:val="PageNumber"/>
                        <w:rFonts w:ascii="Times New Roman" w:hAnsi="Times New Roman"/>
                        <w:sz w:val="21"/>
                      </w:rPr>
                      <w:t>25 March</w:t>
                    </w:r>
                    <w:r w:rsidR="00301E5B">
                      <w:rPr>
                        <w:rStyle w:val="PageNumber"/>
                        <w:rFonts w:ascii="Times New Roman" w:hAnsi="Times New Roman"/>
                        <w:sz w:val="21"/>
                      </w:rPr>
                      <w:t xml:space="preserve"> </w:t>
                    </w:r>
                    <w:r w:rsidR="009F15D7" w:rsidRPr="00C032B2">
                      <w:rPr>
                        <w:rFonts w:ascii="Times New Roman" w:hAnsi="Times New Roman"/>
                        <w:sz w:val="21"/>
                      </w:rPr>
                      <w:t>20</w:t>
                    </w:r>
                    <w:r>
                      <w:rPr>
                        <w:rFonts w:ascii="Times New Roman" w:hAnsi="Times New Roman"/>
                        <w:sz w:val="21"/>
                      </w:rPr>
                      <w:t>2</w:t>
                    </w:r>
                    <w:r w:rsidR="00394729">
                      <w:rPr>
                        <w:rFonts w:ascii="Times New Roman" w:hAnsi="Times New Roman"/>
                        <w:sz w:val="21"/>
                      </w:rPr>
                      <w:t>1</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111C2E"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8240" behindDoc="0" locked="1" layoutInCell="0" allowOverlap="1">
              <wp:simplePos x="0" y="0"/>
              <wp:positionH relativeFrom="page">
                <wp:posOffset>821055</wp:posOffset>
              </wp:positionH>
              <wp:positionV relativeFrom="page">
                <wp:posOffset>735330</wp:posOffset>
              </wp:positionV>
              <wp:extent cx="5943600" cy="344170"/>
              <wp:effectExtent l="0" t="0" r="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4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C35208"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25 March</w:t>
                          </w:r>
                          <w:r w:rsidR="009F15D7" w:rsidRPr="00C032B2">
                            <w:rPr>
                              <w:rFonts w:ascii="Times New Roman" w:hAnsi="Times New Roman"/>
                              <w:sz w:val="21"/>
                            </w:rPr>
                            <w:t xml:space="preserve"> 20</w:t>
                          </w:r>
                          <w:r w:rsidR="00394729">
                            <w:rPr>
                              <w:rFonts w:ascii="Times New Roman" w:hAnsi="Times New Roman"/>
                              <w:sz w:val="21"/>
                            </w:rPr>
                            <w:t>21</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sidR="00E02241">
                            <w:rPr>
                              <w:rStyle w:val="PageNumber"/>
                              <w:rFonts w:ascii="Times New Roman" w:hAnsi="Times New Roman"/>
                              <w:sz w:val="21"/>
                            </w:rPr>
                            <w:t xml:space="preserve">No. </w:t>
                          </w:r>
                          <w:r>
                            <w:rPr>
                              <w:rStyle w:val="PageNumber"/>
                              <w:rFonts w:ascii="Times New Roman" w:hAnsi="Times New Roman"/>
                              <w:sz w:val="21"/>
                            </w:rPr>
                            <w:t>19</w:t>
                          </w:r>
                          <w:r w:rsidR="00E02241">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AE4592">
                            <w:rPr>
                              <w:rStyle w:val="PageNumber"/>
                              <w:rFonts w:ascii="Times New Roman" w:hAnsi="Times New Roman"/>
                              <w:noProof/>
                              <w:sz w:val="21"/>
                            </w:rPr>
                            <w:t>1081</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64.65pt;margin-top:57.9pt;width:468pt;height:2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" o:allowincell="f" filled="f" stroked="f">
              <v:textbox inset="0,0,0,0">
                <w:txbxContent>
                  <w:p w:rsidR="009F15D7" w:rsidRPr="00C032B2" w:rsidRDefault="00C35208"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25 March</w:t>
                    </w:r>
                    <w:r w:rsidR="009F15D7" w:rsidRPr="00C032B2">
                      <w:rPr>
                        <w:rFonts w:ascii="Times New Roman" w:hAnsi="Times New Roman"/>
                        <w:sz w:val="21"/>
                      </w:rPr>
                      <w:t xml:space="preserve"> 20</w:t>
                    </w:r>
                    <w:r w:rsidR="00394729">
                      <w:rPr>
                        <w:rFonts w:ascii="Times New Roman" w:hAnsi="Times New Roman"/>
                        <w:sz w:val="21"/>
                      </w:rPr>
                      <w:t>21</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sidR="00E02241">
                      <w:rPr>
                        <w:rStyle w:val="PageNumber"/>
                        <w:rFonts w:ascii="Times New Roman" w:hAnsi="Times New Roman"/>
                        <w:sz w:val="21"/>
                      </w:rPr>
                      <w:t xml:space="preserve">No. </w:t>
                    </w:r>
                    <w:r>
                      <w:rPr>
                        <w:rStyle w:val="PageNumber"/>
                        <w:rFonts w:ascii="Times New Roman" w:hAnsi="Times New Roman"/>
                        <w:sz w:val="21"/>
                      </w:rPr>
                      <w:t>19</w:t>
                    </w:r>
                    <w:r w:rsidR="00E02241">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AE4592">
                      <w:rPr>
                        <w:rStyle w:val="PageNumber"/>
                        <w:rFonts w:ascii="Times New Roman" w:hAnsi="Times New Roman"/>
                        <w:noProof/>
                        <w:sz w:val="21"/>
                      </w:rPr>
                      <w:t>1081</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673F2"/>
    <w:multiLevelType w:val="hybridMultilevel"/>
    <w:tmpl w:val="AA667A26"/>
    <w:lvl w:ilvl="0" w:tplc="AA68C4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9137A1"/>
    <w:multiLevelType w:val="hybridMultilevel"/>
    <w:tmpl w:val="AAE6CE70"/>
    <w:lvl w:ilvl="0" w:tplc="0C09000F">
      <w:start w:val="1"/>
      <w:numFmt w:val="decimal"/>
      <w:lvlText w:val="%1."/>
      <w:lvlJc w:val="left"/>
      <w:pPr>
        <w:ind w:left="890" w:hanging="360"/>
      </w:p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2" w15:restartNumberingAfterBreak="0">
    <w:nsid w:val="286279A3"/>
    <w:multiLevelType w:val="hybridMultilevel"/>
    <w:tmpl w:val="83B683FC"/>
    <w:lvl w:ilvl="0" w:tplc="1B2A9DFE">
      <w:start w:val="2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CD5077"/>
    <w:multiLevelType w:val="hybridMultilevel"/>
    <w:tmpl w:val="6DD87B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F434F2"/>
    <w:multiLevelType w:val="hybridMultilevel"/>
    <w:tmpl w:val="CEDA2ECE"/>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5" w15:restartNumberingAfterBreak="0">
    <w:nsid w:val="3E3C49D7"/>
    <w:multiLevelType w:val="hybridMultilevel"/>
    <w:tmpl w:val="9F4A59C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3E9770D0"/>
    <w:multiLevelType w:val="hybridMultilevel"/>
    <w:tmpl w:val="4DF62DD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40680D25"/>
    <w:multiLevelType w:val="hybridMultilevel"/>
    <w:tmpl w:val="FB6AA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1071CC"/>
    <w:multiLevelType w:val="hybridMultilevel"/>
    <w:tmpl w:val="8B104AA8"/>
    <w:lvl w:ilvl="0" w:tplc="5C14F068">
      <w:start w:val="1"/>
      <w:numFmt w:val="lowerLetter"/>
      <w:lvlText w:val="(%1)"/>
      <w:lvlJc w:val="left"/>
      <w:pPr>
        <w:ind w:left="1636" w:hanging="360"/>
      </w:pPr>
      <w:rPr>
        <w:rFonts w:hint="default"/>
        <w:i/>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9" w15:restartNumberingAfterBreak="0">
    <w:nsid w:val="52C80C3F"/>
    <w:multiLevelType w:val="hybridMultilevel"/>
    <w:tmpl w:val="1FD8F89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81B55D2"/>
    <w:multiLevelType w:val="hybridMultilevel"/>
    <w:tmpl w:val="F2D8DB7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DA5017"/>
    <w:multiLevelType w:val="hybridMultilevel"/>
    <w:tmpl w:val="9446E78A"/>
    <w:lvl w:ilvl="0" w:tplc="0C090003">
      <w:start w:val="1"/>
      <w:numFmt w:val="bullet"/>
      <w:lvlText w:val="o"/>
      <w:lvlJc w:val="left"/>
      <w:pPr>
        <w:ind w:left="720" w:hanging="360"/>
      </w:pPr>
      <w:rPr>
        <w:rFonts w:ascii="Courier New" w:hAnsi="Courier New" w:cs="Courier New" w:hint="default"/>
      </w:rPr>
    </w:lvl>
    <w:lvl w:ilvl="1" w:tplc="3E1C29A2">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BF103EE0">
      <w:numFmt w:val="bullet"/>
      <w:lvlText w:val="-"/>
      <w:lvlJc w:val="left"/>
      <w:pPr>
        <w:ind w:left="3600" w:hanging="360"/>
      </w:pPr>
      <w:rPr>
        <w:rFonts w:ascii="Arial" w:eastAsia="Times" w:hAnsi="Arial"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BB18C1"/>
    <w:multiLevelType w:val="hybridMultilevel"/>
    <w:tmpl w:val="280C9AD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2"/>
  </w:num>
  <w:num w:numId="2">
    <w:abstractNumId w:val="15"/>
  </w:num>
  <w:num w:numId="3">
    <w:abstractNumId w:val="11"/>
  </w:num>
  <w:num w:numId="4">
    <w:abstractNumId w:val="5"/>
  </w:num>
  <w:num w:numId="5">
    <w:abstractNumId w:val="13"/>
  </w:num>
  <w:num w:numId="6">
    <w:abstractNumId w:val="14"/>
  </w:num>
  <w:num w:numId="7">
    <w:abstractNumId w:val="3"/>
  </w:num>
  <w:num w:numId="8">
    <w:abstractNumId w:val="7"/>
  </w:num>
  <w:num w:numId="9">
    <w:abstractNumId w:val="10"/>
  </w:num>
  <w:num w:numId="10">
    <w:abstractNumId w:val="8"/>
  </w:num>
  <w:num w:numId="11">
    <w:abstractNumId w:val="0"/>
  </w:num>
  <w:num w:numId="12">
    <w:abstractNumId w:val="6"/>
  </w:num>
  <w:num w:numId="13">
    <w:abstractNumId w:val="1"/>
  </w:num>
  <w:num w:numId="14">
    <w:abstractNumId w:val="4"/>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16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208"/>
    <w:rsid w:val="000100A7"/>
    <w:rsid w:val="0002085F"/>
    <w:rsid w:val="00050A2F"/>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9539C"/>
    <w:rsid w:val="00196D44"/>
    <w:rsid w:val="001B7138"/>
    <w:rsid w:val="001C09DA"/>
    <w:rsid w:val="00204C2A"/>
    <w:rsid w:val="002130BD"/>
    <w:rsid w:val="00214B74"/>
    <w:rsid w:val="0027531F"/>
    <w:rsid w:val="0029410F"/>
    <w:rsid w:val="002977EE"/>
    <w:rsid w:val="002A4530"/>
    <w:rsid w:val="002C2B7C"/>
    <w:rsid w:val="002C2E97"/>
    <w:rsid w:val="002D4754"/>
    <w:rsid w:val="00301E5B"/>
    <w:rsid w:val="0034074D"/>
    <w:rsid w:val="00362C85"/>
    <w:rsid w:val="00372CA3"/>
    <w:rsid w:val="00394729"/>
    <w:rsid w:val="003967FE"/>
    <w:rsid w:val="003D2332"/>
    <w:rsid w:val="003E3565"/>
    <w:rsid w:val="00415C6A"/>
    <w:rsid w:val="00421804"/>
    <w:rsid w:val="0042678B"/>
    <w:rsid w:val="0043387B"/>
    <w:rsid w:val="00435ECE"/>
    <w:rsid w:val="004535E8"/>
    <w:rsid w:val="004872C1"/>
    <w:rsid w:val="004A16B7"/>
    <w:rsid w:val="004B1B9B"/>
    <w:rsid w:val="004E545F"/>
    <w:rsid w:val="005115D3"/>
    <w:rsid w:val="00541253"/>
    <w:rsid w:val="0054338C"/>
    <w:rsid w:val="00555C1B"/>
    <w:rsid w:val="00567B3E"/>
    <w:rsid w:val="00571C05"/>
    <w:rsid w:val="00575614"/>
    <w:rsid w:val="00582BEE"/>
    <w:rsid w:val="00595EFB"/>
    <w:rsid w:val="005A3A1B"/>
    <w:rsid w:val="005B4E55"/>
    <w:rsid w:val="005B69B3"/>
    <w:rsid w:val="005C6C9D"/>
    <w:rsid w:val="005D24AC"/>
    <w:rsid w:val="005E7D95"/>
    <w:rsid w:val="005F4618"/>
    <w:rsid w:val="005F5395"/>
    <w:rsid w:val="00612978"/>
    <w:rsid w:val="00665367"/>
    <w:rsid w:val="0068145F"/>
    <w:rsid w:val="00693DF1"/>
    <w:rsid w:val="006B561D"/>
    <w:rsid w:val="006B5B96"/>
    <w:rsid w:val="006C2F10"/>
    <w:rsid w:val="006E0C7D"/>
    <w:rsid w:val="006E60D6"/>
    <w:rsid w:val="00703D70"/>
    <w:rsid w:val="00720680"/>
    <w:rsid w:val="007529D9"/>
    <w:rsid w:val="00777F88"/>
    <w:rsid w:val="007C302D"/>
    <w:rsid w:val="007E60AA"/>
    <w:rsid w:val="0080019C"/>
    <w:rsid w:val="008008DD"/>
    <w:rsid w:val="00802490"/>
    <w:rsid w:val="00842BD5"/>
    <w:rsid w:val="00854962"/>
    <w:rsid w:val="00856E06"/>
    <w:rsid w:val="00867EF2"/>
    <w:rsid w:val="0087319A"/>
    <w:rsid w:val="00873673"/>
    <w:rsid w:val="0090520A"/>
    <w:rsid w:val="00914649"/>
    <w:rsid w:val="0093079E"/>
    <w:rsid w:val="009369DD"/>
    <w:rsid w:val="00947809"/>
    <w:rsid w:val="00976656"/>
    <w:rsid w:val="00977C9F"/>
    <w:rsid w:val="009A605E"/>
    <w:rsid w:val="009A6661"/>
    <w:rsid w:val="009B6FFD"/>
    <w:rsid w:val="009D586E"/>
    <w:rsid w:val="009D64F6"/>
    <w:rsid w:val="009E2997"/>
    <w:rsid w:val="009F15D7"/>
    <w:rsid w:val="009F7976"/>
    <w:rsid w:val="00A00A77"/>
    <w:rsid w:val="00A0211B"/>
    <w:rsid w:val="00A2611B"/>
    <w:rsid w:val="00A2758A"/>
    <w:rsid w:val="00A44FFB"/>
    <w:rsid w:val="00A54E7C"/>
    <w:rsid w:val="00A747D0"/>
    <w:rsid w:val="00A773E8"/>
    <w:rsid w:val="00A97608"/>
    <w:rsid w:val="00AC18FD"/>
    <w:rsid w:val="00AE4592"/>
    <w:rsid w:val="00AF68F7"/>
    <w:rsid w:val="00B07083"/>
    <w:rsid w:val="00B152A8"/>
    <w:rsid w:val="00B22E26"/>
    <w:rsid w:val="00B53F6A"/>
    <w:rsid w:val="00B67220"/>
    <w:rsid w:val="00B8243A"/>
    <w:rsid w:val="00BC4D92"/>
    <w:rsid w:val="00BC56BB"/>
    <w:rsid w:val="00BE137F"/>
    <w:rsid w:val="00BE59CC"/>
    <w:rsid w:val="00BF1895"/>
    <w:rsid w:val="00BF6670"/>
    <w:rsid w:val="00C00001"/>
    <w:rsid w:val="00C032B2"/>
    <w:rsid w:val="00C35208"/>
    <w:rsid w:val="00C67086"/>
    <w:rsid w:val="00C971BF"/>
    <w:rsid w:val="00CD460E"/>
    <w:rsid w:val="00D0446B"/>
    <w:rsid w:val="00D14F34"/>
    <w:rsid w:val="00D15B81"/>
    <w:rsid w:val="00D23AB5"/>
    <w:rsid w:val="00D35BBC"/>
    <w:rsid w:val="00D83C2C"/>
    <w:rsid w:val="00DA30CF"/>
    <w:rsid w:val="00DA6921"/>
    <w:rsid w:val="00DB5A8F"/>
    <w:rsid w:val="00DE347D"/>
    <w:rsid w:val="00DF632D"/>
    <w:rsid w:val="00E02241"/>
    <w:rsid w:val="00E17C0B"/>
    <w:rsid w:val="00E21999"/>
    <w:rsid w:val="00E222C6"/>
    <w:rsid w:val="00E36C01"/>
    <w:rsid w:val="00E4712A"/>
    <w:rsid w:val="00E57D4E"/>
    <w:rsid w:val="00E663DF"/>
    <w:rsid w:val="00E92649"/>
    <w:rsid w:val="00EA0D33"/>
    <w:rsid w:val="00EC2419"/>
    <w:rsid w:val="00ED024C"/>
    <w:rsid w:val="00EE2A33"/>
    <w:rsid w:val="00EE7338"/>
    <w:rsid w:val="00F011AF"/>
    <w:rsid w:val="00F12687"/>
    <w:rsid w:val="00F16F9B"/>
    <w:rsid w:val="00F337C8"/>
    <w:rsid w:val="00F8336F"/>
    <w:rsid w:val="00F84DBC"/>
    <w:rsid w:val="00FA01B5"/>
    <w:rsid w:val="00FB374C"/>
    <w:rsid w:val="00FB48A8"/>
    <w:rsid w:val="00FB5F67"/>
    <w:rsid w:val="00FC746F"/>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4C5B7AF-F4B0-4A3B-BA94-F96CABC4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table" w:styleId="TableGrid">
    <w:name w:val="Table Grid"/>
    <w:basedOn w:val="TableNormal"/>
    <w:uiPriority w:val="39"/>
    <w:rsid w:val="00C3520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130BD"/>
    <w:pPr>
      <w:spacing w:after="100"/>
    </w:pPr>
  </w:style>
  <w:style w:type="paragraph" w:styleId="TOC2">
    <w:name w:val="toc 2"/>
    <w:basedOn w:val="Normal"/>
    <w:next w:val="Normal"/>
    <w:autoRedefine/>
    <w:uiPriority w:val="39"/>
    <w:unhideWhenUsed/>
    <w:rsid w:val="002130BD"/>
    <w:pPr>
      <w:tabs>
        <w:tab w:val="right" w:leader="dot" w:pos="4548"/>
      </w:tab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TEMPLATES%20DOTX%202021\TEMPLATE_SUPP+CONTENTS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6BB3B-C2F5-4F46-9B5A-34A87DAF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TEMPLATE_SUPP+CONTENTS_2021</Template>
  <TotalTime>38</TotalTime>
  <Pages>8</Pages>
  <Words>3154</Words>
  <Characters>17287</Characters>
  <Application>Microsoft Office Word</Application>
  <DocSecurity>0</DocSecurity>
  <Lines>557</Lines>
  <Paragraphs>319</Paragraphs>
  <ScaleCrop>false</ScaleCrop>
  <HeadingPairs>
    <vt:vector size="2" baseType="variant">
      <vt:variant>
        <vt:lpstr>Title</vt:lpstr>
      </vt:variant>
      <vt:variant>
        <vt:i4>1</vt:i4>
      </vt:variant>
    </vt:vector>
  </HeadingPairs>
  <TitlesOfParts>
    <vt:vector size="1" baseType="lpstr">
      <vt:lpstr>No. 19 - Thursday, 25 March 2021 (pp. 1075–1083)</vt:lpstr>
    </vt:vector>
  </TitlesOfParts>
  <Company>SA Government</Company>
  <LinksUpToDate>false</LinksUpToDate>
  <CharactersWithSpaces>20122</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19 - Thursday, 25 March 2021 (pp. 1075–1082)</dc:title>
  <dc:subject/>
  <dc:creator>Anthony Butler</dc:creator>
  <cp:keywords/>
  <cp:lastModifiedBy>Anthony Butler</cp:lastModifiedBy>
  <cp:revision>5</cp:revision>
  <cp:lastPrinted>2017-03-20T23:21:00Z</cp:lastPrinted>
  <dcterms:created xsi:type="dcterms:W3CDTF">2021-03-25T03:30:00Z</dcterms:created>
  <dcterms:modified xsi:type="dcterms:W3CDTF">2021-03-25T04:21:00Z</dcterms:modified>
</cp:coreProperties>
</file>