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14930" w14:textId="5BB555F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C38F6D4" wp14:editId="5061D5D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1B74B8">
        <w:rPr>
          <w:rStyle w:val="StyleTimesNewRoman105pt"/>
        </w:rPr>
        <w:t>87</w:t>
      </w:r>
      <w:r w:rsidRPr="007A0461">
        <w:rPr>
          <w:rStyle w:val="StyleTimesNewRoman105pt"/>
        </w:rPr>
        <w:tab/>
        <w:t xml:space="preserve">p. </w:t>
      </w:r>
      <w:r w:rsidR="001B74B8">
        <w:rPr>
          <w:rStyle w:val="StyleTimesNewRoman105pt"/>
        </w:rPr>
        <w:t>6945</w:t>
      </w:r>
    </w:p>
    <w:p w14:paraId="1781699E"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5ABD8832"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41ED00A"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1D1FDC5D" w14:textId="77777777" w:rsidR="00EB5C72" w:rsidRPr="003471CD" w:rsidRDefault="00EB5C72" w:rsidP="00EB5C72">
      <w:pPr>
        <w:pBdr>
          <w:top w:val="single" w:sz="6" w:space="0" w:color="auto"/>
        </w:pBdr>
        <w:spacing w:after="0" w:line="240" w:lineRule="auto"/>
        <w:jc w:val="center"/>
        <w:rPr>
          <w:color w:val="000000"/>
          <w:sz w:val="20"/>
        </w:rPr>
      </w:pPr>
    </w:p>
    <w:p w14:paraId="6A558F42" w14:textId="52FE7A7E"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B74B8">
        <w:rPr>
          <w:smallCaps/>
          <w:color w:val="000000"/>
          <w:sz w:val="28"/>
          <w:szCs w:val="26"/>
        </w:rPr>
        <w:t>22</w:t>
      </w:r>
      <w:r>
        <w:rPr>
          <w:smallCaps/>
          <w:color w:val="000000"/>
          <w:sz w:val="28"/>
          <w:szCs w:val="26"/>
        </w:rPr>
        <w:t xml:space="preserve"> </w:t>
      </w:r>
      <w:r w:rsidR="001B74B8">
        <w:rPr>
          <w:smallCaps/>
          <w:color w:val="000000"/>
          <w:sz w:val="28"/>
          <w:szCs w:val="26"/>
        </w:rPr>
        <w:t>December</w:t>
      </w:r>
      <w:r w:rsidRPr="003471CD">
        <w:rPr>
          <w:smallCaps/>
          <w:color w:val="000000"/>
          <w:sz w:val="28"/>
          <w:szCs w:val="26"/>
        </w:rPr>
        <w:t xml:space="preserve"> 202</w:t>
      </w:r>
      <w:r>
        <w:rPr>
          <w:smallCaps/>
          <w:color w:val="000000"/>
          <w:sz w:val="28"/>
          <w:szCs w:val="26"/>
        </w:rPr>
        <w:t>2</w:t>
      </w:r>
    </w:p>
    <w:p w14:paraId="6F65CF02" w14:textId="77777777" w:rsidR="00EB5C72" w:rsidRPr="003471CD" w:rsidRDefault="00EB5C72" w:rsidP="00EB5C72">
      <w:pPr>
        <w:spacing w:after="0" w:line="240" w:lineRule="exact"/>
        <w:jc w:val="center"/>
        <w:rPr>
          <w:color w:val="000000"/>
          <w:sz w:val="20"/>
        </w:rPr>
      </w:pPr>
    </w:p>
    <w:p w14:paraId="2FC37F7B" w14:textId="77777777" w:rsidR="008008DD" w:rsidRPr="00612978" w:rsidRDefault="008008DD" w:rsidP="008008DD">
      <w:pPr>
        <w:pBdr>
          <w:top w:val="single" w:sz="6" w:space="1" w:color="auto"/>
        </w:pBdr>
        <w:spacing w:after="0" w:line="360" w:lineRule="exact"/>
        <w:jc w:val="center"/>
        <w:rPr>
          <w:color w:val="000000"/>
          <w:sz w:val="20"/>
          <w:szCs w:val="20"/>
        </w:rPr>
      </w:pPr>
    </w:p>
    <w:p w14:paraId="79FE5FFB"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EB51945" w14:textId="77777777" w:rsidR="001B7138" w:rsidRPr="008008DD" w:rsidRDefault="001B7138" w:rsidP="001B7138">
      <w:pPr>
        <w:spacing w:after="0" w:line="320" w:lineRule="exact"/>
        <w:jc w:val="center"/>
        <w:rPr>
          <w:b/>
          <w:smallCaps/>
          <w:sz w:val="20"/>
          <w:szCs w:val="20"/>
        </w:rPr>
      </w:pPr>
    </w:p>
    <w:p w14:paraId="749733EB"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sdt>
      <w:sdtPr>
        <w:rPr>
          <w:rFonts w:eastAsia="Calibri"/>
          <w:szCs w:val="22"/>
          <w:lang w:eastAsia="en-US"/>
        </w:rPr>
        <w:id w:val="1608692436"/>
        <w:docPartObj>
          <w:docPartGallery w:val="Table of Contents"/>
          <w:docPartUnique/>
        </w:docPartObj>
      </w:sdtPr>
      <w:sdtEndPr>
        <w:rPr>
          <w:b/>
          <w:bCs/>
          <w:noProof/>
        </w:rPr>
      </w:sdtEndPr>
      <w:sdtContent>
        <w:p w14:paraId="59FCA57B" w14:textId="21889C27" w:rsidR="00CD7E9E" w:rsidRPr="00CD7E9E" w:rsidRDefault="00CD7E9E" w:rsidP="001707AB">
          <w:pPr>
            <w:pStyle w:val="Galley"/>
            <w:tabs>
              <w:tab w:val="clear" w:pos="640"/>
              <w:tab w:val="clear" w:pos="800"/>
              <w:tab w:val="clear" w:pos="960"/>
              <w:tab w:val="clear" w:pos="1120"/>
              <w:tab w:val="clear" w:pos="1280"/>
              <w:tab w:val="clear" w:pos="1440"/>
              <w:tab w:val="clear" w:pos="1600"/>
              <w:tab w:val="clear" w:pos="1760"/>
              <w:tab w:val="clear" w:pos="1920"/>
              <w:tab w:val="right" w:leader="dot" w:pos="6804"/>
            </w:tabs>
            <w:spacing w:before="80" w:after="0"/>
            <w:ind w:left="2268"/>
            <w:jc w:val="left"/>
            <w:rPr>
              <w:noProof/>
            </w:rPr>
          </w:pPr>
          <w:r>
            <w:fldChar w:fldCharType="begin"/>
          </w:r>
          <w:r>
            <w:instrText xml:space="preserve"> TOC \o "1-3" \h \z \u </w:instrText>
          </w:r>
          <w:r>
            <w:fldChar w:fldCharType="separate"/>
          </w:r>
          <w:hyperlink w:anchor="_Toc122600828" w:history="1">
            <w:r w:rsidRPr="00CD7E9E">
              <w:rPr>
                <w:b/>
                <w:smallCaps/>
                <w:noProof/>
                <w:lang w:eastAsia="en-US"/>
              </w:rPr>
              <w:t>Rules of Court</w:t>
            </w:r>
          </w:hyperlink>
        </w:p>
        <w:p w14:paraId="4C65589E" w14:textId="6F30959B" w:rsidR="00CD7E9E" w:rsidRDefault="001E29AE" w:rsidP="001707AB">
          <w:pPr>
            <w:pStyle w:val="TOC2"/>
            <w:tabs>
              <w:tab w:val="right" w:leader="dot" w:pos="6804"/>
            </w:tabs>
            <w:ind w:left="2410"/>
            <w:rPr>
              <w:rFonts w:asciiTheme="minorHAnsi" w:eastAsiaTheme="minorEastAsia" w:hAnsiTheme="minorHAnsi" w:cstheme="minorBidi"/>
              <w:noProof/>
              <w:color w:val="auto"/>
              <w:sz w:val="22"/>
              <w:szCs w:val="22"/>
            </w:rPr>
          </w:pPr>
          <w:hyperlink w:anchor="_Toc122600829" w:history="1">
            <w:r w:rsidR="00883CE4" w:rsidRPr="00883CE4">
              <w:rPr>
                <w:rStyle w:val="Hyperlink"/>
                <w:noProof/>
              </w:rPr>
              <w:t>Joint Criminal (No 1) Amending Rules 2022</w:t>
            </w:r>
            <w:r w:rsidR="00CD7E9E">
              <w:rPr>
                <w:noProof/>
                <w:webHidden/>
              </w:rPr>
              <w:tab/>
            </w:r>
            <w:r w:rsidR="00CD7E9E">
              <w:rPr>
                <w:noProof/>
                <w:webHidden/>
              </w:rPr>
              <w:fldChar w:fldCharType="begin"/>
            </w:r>
            <w:r w:rsidR="00CD7E9E">
              <w:rPr>
                <w:noProof/>
                <w:webHidden/>
              </w:rPr>
              <w:instrText xml:space="preserve"> PAGEREF _Toc122600829 \h </w:instrText>
            </w:r>
            <w:r w:rsidR="00CD7E9E">
              <w:rPr>
                <w:noProof/>
                <w:webHidden/>
              </w:rPr>
            </w:r>
            <w:r w:rsidR="00CD7E9E">
              <w:rPr>
                <w:noProof/>
                <w:webHidden/>
              </w:rPr>
              <w:fldChar w:fldCharType="separate"/>
            </w:r>
            <w:r w:rsidR="0060264D">
              <w:rPr>
                <w:noProof/>
                <w:webHidden/>
              </w:rPr>
              <w:t>6946</w:t>
            </w:r>
            <w:r w:rsidR="00CD7E9E">
              <w:rPr>
                <w:noProof/>
                <w:webHidden/>
              </w:rPr>
              <w:fldChar w:fldCharType="end"/>
            </w:r>
          </w:hyperlink>
        </w:p>
        <w:p w14:paraId="670585AE" w14:textId="1BB65971" w:rsidR="00CD7E9E" w:rsidRDefault="001E29AE" w:rsidP="001707AB">
          <w:pPr>
            <w:pStyle w:val="TOC2"/>
            <w:tabs>
              <w:tab w:val="right" w:leader="dot" w:pos="6804"/>
            </w:tabs>
            <w:ind w:left="2410"/>
            <w:rPr>
              <w:rFonts w:asciiTheme="minorHAnsi" w:eastAsiaTheme="minorEastAsia" w:hAnsiTheme="minorHAnsi" w:cstheme="minorBidi"/>
              <w:noProof/>
              <w:color w:val="auto"/>
              <w:sz w:val="22"/>
              <w:szCs w:val="22"/>
            </w:rPr>
          </w:pPr>
          <w:hyperlink w:anchor="_Toc122600830" w:history="1">
            <w:r w:rsidR="00883CE4" w:rsidRPr="00883CE4">
              <w:rPr>
                <w:rStyle w:val="Hyperlink"/>
                <w:noProof/>
              </w:rPr>
              <w:t>Uniform Civil (No 8) Amending Rules 2022</w:t>
            </w:r>
            <w:r w:rsidR="00CD7E9E">
              <w:rPr>
                <w:noProof/>
                <w:webHidden/>
              </w:rPr>
              <w:tab/>
            </w:r>
            <w:r w:rsidR="00CD7E9E">
              <w:rPr>
                <w:noProof/>
                <w:webHidden/>
              </w:rPr>
              <w:fldChar w:fldCharType="begin"/>
            </w:r>
            <w:r w:rsidR="00CD7E9E">
              <w:rPr>
                <w:noProof/>
                <w:webHidden/>
              </w:rPr>
              <w:instrText xml:space="preserve"> PAGEREF _Toc122600830 \h </w:instrText>
            </w:r>
            <w:r w:rsidR="00CD7E9E">
              <w:rPr>
                <w:noProof/>
                <w:webHidden/>
              </w:rPr>
            </w:r>
            <w:r w:rsidR="00CD7E9E">
              <w:rPr>
                <w:noProof/>
                <w:webHidden/>
              </w:rPr>
              <w:fldChar w:fldCharType="separate"/>
            </w:r>
            <w:r w:rsidR="0060264D">
              <w:rPr>
                <w:noProof/>
                <w:webHidden/>
              </w:rPr>
              <w:t>6956</w:t>
            </w:r>
            <w:r w:rsidR="00CD7E9E">
              <w:rPr>
                <w:noProof/>
                <w:webHidden/>
              </w:rPr>
              <w:fldChar w:fldCharType="end"/>
            </w:r>
          </w:hyperlink>
        </w:p>
        <w:p w14:paraId="59E64DB5" w14:textId="2866810C" w:rsidR="00CD7E9E" w:rsidRPr="00CD7E9E" w:rsidRDefault="001E29AE" w:rsidP="001707AB">
          <w:pPr>
            <w:pStyle w:val="Galley"/>
            <w:tabs>
              <w:tab w:val="clear" w:pos="640"/>
              <w:tab w:val="clear" w:pos="800"/>
              <w:tab w:val="clear" w:pos="960"/>
              <w:tab w:val="clear" w:pos="1120"/>
              <w:tab w:val="clear" w:pos="1280"/>
              <w:tab w:val="clear" w:pos="1440"/>
              <w:tab w:val="clear" w:pos="1600"/>
              <w:tab w:val="clear" w:pos="1760"/>
              <w:tab w:val="clear" w:pos="1920"/>
              <w:tab w:val="right" w:leader="dot" w:pos="6804"/>
            </w:tabs>
            <w:spacing w:before="80" w:after="0"/>
            <w:ind w:left="2268"/>
            <w:jc w:val="left"/>
            <w:rPr>
              <w:b/>
              <w:smallCaps/>
              <w:noProof/>
              <w:lang w:eastAsia="en-US"/>
            </w:rPr>
          </w:pPr>
          <w:hyperlink w:anchor="_Toc122600831" w:history="1">
            <w:r w:rsidR="00CD7E9E" w:rsidRPr="00CD7E9E">
              <w:rPr>
                <w:b/>
                <w:smallCaps/>
                <w:noProof/>
                <w:lang w:eastAsia="en-US"/>
              </w:rPr>
              <w:t>State Government Instruments</w:t>
            </w:r>
          </w:hyperlink>
        </w:p>
        <w:p w14:paraId="73400F5D" w14:textId="25EB4F88"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2" w:history="1">
            <w:r w:rsidR="00CD7E9E" w:rsidRPr="00CE1CC5">
              <w:rPr>
                <w:rStyle w:val="Hyperlink"/>
                <w:noProof/>
              </w:rPr>
              <w:t>Building Work Contractors Act 1995</w:t>
            </w:r>
            <w:r w:rsidR="00CD7E9E">
              <w:rPr>
                <w:noProof/>
                <w:webHidden/>
              </w:rPr>
              <w:tab/>
            </w:r>
            <w:r w:rsidR="00CD7E9E">
              <w:rPr>
                <w:noProof/>
                <w:webHidden/>
              </w:rPr>
              <w:fldChar w:fldCharType="begin"/>
            </w:r>
            <w:r w:rsidR="00CD7E9E">
              <w:rPr>
                <w:noProof/>
                <w:webHidden/>
              </w:rPr>
              <w:instrText xml:space="preserve"> PAGEREF _Toc122600832 \h </w:instrText>
            </w:r>
            <w:r w:rsidR="00CD7E9E">
              <w:rPr>
                <w:noProof/>
                <w:webHidden/>
              </w:rPr>
            </w:r>
            <w:r w:rsidR="00CD7E9E">
              <w:rPr>
                <w:noProof/>
                <w:webHidden/>
              </w:rPr>
              <w:fldChar w:fldCharType="separate"/>
            </w:r>
            <w:r w:rsidR="0060264D">
              <w:rPr>
                <w:noProof/>
                <w:webHidden/>
              </w:rPr>
              <w:t>6968</w:t>
            </w:r>
            <w:r w:rsidR="00CD7E9E">
              <w:rPr>
                <w:noProof/>
                <w:webHidden/>
              </w:rPr>
              <w:fldChar w:fldCharType="end"/>
            </w:r>
          </w:hyperlink>
        </w:p>
        <w:p w14:paraId="7B9A513A" w14:textId="546C1F27"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3" w:history="1">
            <w:r w:rsidR="00CD7E9E" w:rsidRPr="00CE1CC5">
              <w:rPr>
                <w:rStyle w:val="Hyperlink"/>
                <w:noProof/>
              </w:rPr>
              <w:t>Explosives Act 1936</w:t>
            </w:r>
            <w:r w:rsidR="00CD7E9E">
              <w:rPr>
                <w:noProof/>
                <w:webHidden/>
              </w:rPr>
              <w:tab/>
            </w:r>
            <w:r w:rsidR="00CD7E9E">
              <w:rPr>
                <w:noProof/>
                <w:webHidden/>
              </w:rPr>
              <w:fldChar w:fldCharType="begin"/>
            </w:r>
            <w:r w:rsidR="00CD7E9E">
              <w:rPr>
                <w:noProof/>
                <w:webHidden/>
              </w:rPr>
              <w:instrText xml:space="preserve"> PAGEREF _Toc122600833 \h </w:instrText>
            </w:r>
            <w:r w:rsidR="00CD7E9E">
              <w:rPr>
                <w:noProof/>
                <w:webHidden/>
              </w:rPr>
            </w:r>
            <w:r w:rsidR="00CD7E9E">
              <w:rPr>
                <w:noProof/>
                <w:webHidden/>
              </w:rPr>
              <w:fldChar w:fldCharType="separate"/>
            </w:r>
            <w:r w:rsidR="0060264D">
              <w:rPr>
                <w:noProof/>
                <w:webHidden/>
              </w:rPr>
              <w:t>6968</w:t>
            </w:r>
            <w:r w:rsidR="00CD7E9E">
              <w:rPr>
                <w:noProof/>
                <w:webHidden/>
              </w:rPr>
              <w:fldChar w:fldCharType="end"/>
            </w:r>
          </w:hyperlink>
        </w:p>
        <w:p w14:paraId="6A2B1461" w14:textId="76BA207D"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4" w:history="1">
            <w:r w:rsidR="00CD7E9E" w:rsidRPr="00CE1CC5">
              <w:rPr>
                <w:rStyle w:val="Hyperlink"/>
                <w:noProof/>
              </w:rPr>
              <w:t>Fisheries Management (General) Regulations 2017</w:t>
            </w:r>
            <w:r w:rsidR="00CD7E9E">
              <w:rPr>
                <w:noProof/>
                <w:webHidden/>
              </w:rPr>
              <w:tab/>
            </w:r>
            <w:r w:rsidR="00CD7E9E">
              <w:rPr>
                <w:noProof/>
                <w:webHidden/>
              </w:rPr>
              <w:fldChar w:fldCharType="begin"/>
            </w:r>
            <w:r w:rsidR="00CD7E9E">
              <w:rPr>
                <w:noProof/>
                <w:webHidden/>
              </w:rPr>
              <w:instrText xml:space="preserve"> PAGEREF _Toc122600834 \h </w:instrText>
            </w:r>
            <w:r w:rsidR="00CD7E9E">
              <w:rPr>
                <w:noProof/>
                <w:webHidden/>
              </w:rPr>
            </w:r>
            <w:r w:rsidR="00CD7E9E">
              <w:rPr>
                <w:noProof/>
                <w:webHidden/>
              </w:rPr>
              <w:fldChar w:fldCharType="separate"/>
            </w:r>
            <w:r w:rsidR="0060264D">
              <w:rPr>
                <w:noProof/>
                <w:webHidden/>
              </w:rPr>
              <w:t>6968</w:t>
            </w:r>
            <w:r w:rsidR="00CD7E9E">
              <w:rPr>
                <w:noProof/>
                <w:webHidden/>
              </w:rPr>
              <w:fldChar w:fldCharType="end"/>
            </w:r>
          </w:hyperlink>
        </w:p>
        <w:p w14:paraId="11B9C640" w14:textId="293F751A"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5" w:history="1">
            <w:r w:rsidR="00CD7E9E" w:rsidRPr="00CE1CC5">
              <w:rPr>
                <w:rStyle w:val="Hyperlink"/>
                <w:noProof/>
              </w:rPr>
              <w:t>Fisheries Management Act 2007</w:t>
            </w:r>
            <w:r w:rsidR="00CD7E9E">
              <w:rPr>
                <w:noProof/>
                <w:webHidden/>
              </w:rPr>
              <w:tab/>
            </w:r>
            <w:r w:rsidR="00CD7E9E">
              <w:rPr>
                <w:noProof/>
                <w:webHidden/>
              </w:rPr>
              <w:fldChar w:fldCharType="begin"/>
            </w:r>
            <w:r w:rsidR="00CD7E9E">
              <w:rPr>
                <w:noProof/>
                <w:webHidden/>
              </w:rPr>
              <w:instrText xml:space="preserve"> PAGEREF _Toc122600835 \h </w:instrText>
            </w:r>
            <w:r w:rsidR="00CD7E9E">
              <w:rPr>
                <w:noProof/>
                <w:webHidden/>
              </w:rPr>
            </w:r>
            <w:r w:rsidR="00CD7E9E">
              <w:rPr>
                <w:noProof/>
                <w:webHidden/>
              </w:rPr>
              <w:fldChar w:fldCharType="separate"/>
            </w:r>
            <w:r w:rsidR="0060264D">
              <w:rPr>
                <w:noProof/>
                <w:webHidden/>
              </w:rPr>
              <w:t>6969</w:t>
            </w:r>
            <w:r w:rsidR="00CD7E9E">
              <w:rPr>
                <w:noProof/>
                <w:webHidden/>
              </w:rPr>
              <w:fldChar w:fldCharType="end"/>
            </w:r>
          </w:hyperlink>
        </w:p>
        <w:p w14:paraId="1EF74624" w14:textId="71F7B67E"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6" w:history="1">
            <w:r w:rsidR="00CD7E9E" w:rsidRPr="00CE1CC5">
              <w:rPr>
                <w:rStyle w:val="Hyperlink"/>
                <w:noProof/>
              </w:rPr>
              <w:t>Harbors and Navigation Act 1993</w:t>
            </w:r>
            <w:r w:rsidR="00CD7E9E">
              <w:rPr>
                <w:noProof/>
                <w:webHidden/>
              </w:rPr>
              <w:tab/>
            </w:r>
            <w:r w:rsidR="00CD7E9E">
              <w:rPr>
                <w:noProof/>
                <w:webHidden/>
              </w:rPr>
              <w:fldChar w:fldCharType="begin"/>
            </w:r>
            <w:r w:rsidR="00CD7E9E">
              <w:rPr>
                <w:noProof/>
                <w:webHidden/>
              </w:rPr>
              <w:instrText xml:space="preserve"> PAGEREF _Toc122600836 \h </w:instrText>
            </w:r>
            <w:r w:rsidR="00CD7E9E">
              <w:rPr>
                <w:noProof/>
                <w:webHidden/>
              </w:rPr>
            </w:r>
            <w:r w:rsidR="00CD7E9E">
              <w:rPr>
                <w:noProof/>
                <w:webHidden/>
              </w:rPr>
              <w:fldChar w:fldCharType="separate"/>
            </w:r>
            <w:r w:rsidR="0060264D">
              <w:rPr>
                <w:noProof/>
                <w:webHidden/>
              </w:rPr>
              <w:t>6972</w:t>
            </w:r>
            <w:r w:rsidR="00CD7E9E">
              <w:rPr>
                <w:noProof/>
                <w:webHidden/>
              </w:rPr>
              <w:fldChar w:fldCharType="end"/>
            </w:r>
          </w:hyperlink>
        </w:p>
        <w:p w14:paraId="0F4A9219" w14:textId="57316C45"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7" w:history="1">
            <w:r w:rsidR="00CD7E9E" w:rsidRPr="00CE1CC5">
              <w:rPr>
                <w:rStyle w:val="Hyperlink"/>
                <w:noProof/>
              </w:rPr>
              <w:t>Housing Improvement Act 2016</w:t>
            </w:r>
            <w:r w:rsidR="00CD7E9E">
              <w:rPr>
                <w:noProof/>
                <w:webHidden/>
              </w:rPr>
              <w:tab/>
            </w:r>
            <w:r w:rsidR="00CD7E9E">
              <w:rPr>
                <w:noProof/>
                <w:webHidden/>
              </w:rPr>
              <w:fldChar w:fldCharType="begin"/>
            </w:r>
            <w:r w:rsidR="00CD7E9E">
              <w:rPr>
                <w:noProof/>
                <w:webHidden/>
              </w:rPr>
              <w:instrText xml:space="preserve"> PAGEREF _Toc122600837 \h </w:instrText>
            </w:r>
            <w:r w:rsidR="00CD7E9E">
              <w:rPr>
                <w:noProof/>
                <w:webHidden/>
              </w:rPr>
            </w:r>
            <w:r w:rsidR="00CD7E9E">
              <w:rPr>
                <w:noProof/>
                <w:webHidden/>
              </w:rPr>
              <w:fldChar w:fldCharType="separate"/>
            </w:r>
            <w:r w:rsidR="0060264D">
              <w:rPr>
                <w:noProof/>
                <w:webHidden/>
              </w:rPr>
              <w:t>6973</w:t>
            </w:r>
            <w:r w:rsidR="00CD7E9E">
              <w:rPr>
                <w:noProof/>
                <w:webHidden/>
              </w:rPr>
              <w:fldChar w:fldCharType="end"/>
            </w:r>
          </w:hyperlink>
        </w:p>
        <w:p w14:paraId="3AD37358" w14:textId="6A377299"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8" w:history="1">
            <w:r w:rsidR="00CD7E9E" w:rsidRPr="00CE1CC5">
              <w:rPr>
                <w:rStyle w:val="Hyperlink"/>
                <w:noProof/>
              </w:rPr>
              <w:t>Landscape South Australia Act 2019</w:t>
            </w:r>
            <w:r w:rsidR="00CD7E9E">
              <w:rPr>
                <w:noProof/>
                <w:webHidden/>
              </w:rPr>
              <w:tab/>
            </w:r>
            <w:r w:rsidR="00CD7E9E">
              <w:rPr>
                <w:noProof/>
                <w:webHidden/>
              </w:rPr>
              <w:fldChar w:fldCharType="begin"/>
            </w:r>
            <w:r w:rsidR="00CD7E9E">
              <w:rPr>
                <w:noProof/>
                <w:webHidden/>
              </w:rPr>
              <w:instrText xml:space="preserve"> PAGEREF _Toc122600838 \h </w:instrText>
            </w:r>
            <w:r w:rsidR="00CD7E9E">
              <w:rPr>
                <w:noProof/>
                <w:webHidden/>
              </w:rPr>
            </w:r>
            <w:r w:rsidR="00CD7E9E">
              <w:rPr>
                <w:noProof/>
                <w:webHidden/>
              </w:rPr>
              <w:fldChar w:fldCharType="separate"/>
            </w:r>
            <w:r w:rsidR="0060264D">
              <w:rPr>
                <w:noProof/>
                <w:webHidden/>
              </w:rPr>
              <w:t>6974</w:t>
            </w:r>
            <w:r w:rsidR="00CD7E9E">
              <w:rPr>
                <w:noProof/>
                <w:webHidden/>
              </w:rPr>
              <w:fldChar w:fldCharType="end"/>
            </w:r>
          </w:hyperlink>
        </w:p>
        <w:p w14:paraId="5CFCBB87" w14:textId="2C5E0B1E"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39" w:history="1">
            <w:r w:rsidR="00CD7E9E" w:rsidRPr="00CE1CC5">
              <w:rPr>
                <w:rStyle w:val="Hyperlink"/>
                <w:noProof/>
                <w:lang w:eastAsia="en-GB"/>
              </w:rPr>
              <w:t>Local Government (Elections) Act 1999</w:t>
            </w:r>
            <w:r w:rsidR="00CD7E9E">
              <w:rPr>
                <w:noProof/>
                <w:webHidden/>
              </w:rPr>
              <w:tab/>
            </w:r>
            <w:r w:rsidR="00CD7E9E">
              <w:rPr>
                <w:noProof/>
                <w:webHidden/>
              </w:rPr>
              <w:fldChar w:fldCharType="begin"/>
            </w:r>
            <w:r w:rsidR="00CD7E9E">
              <w:rPr>
                <w:noProof/>
                <w:webHidden/>
              </w:rPr>
              <w:instrText xml:space="preserve"> PAGEREF _Toc122600839 \h </w:instrText>
            </w:r>
            <w:r w:rsidR="00CD7E9E">
              <w:rPr>
                <w:noProof/>
                <w:webHidden/>
              </w:rPr>
            </w:r>
            <w:r w:rsidR="00CD7E9E">
              <w:rPr>
                <w:noProof/>
                <w:webHidden/>
              </w:rPr>
              <w:fldChar w:fldCharType="separate"/>
            </w:r>
            <w:r w:rsidR="0060264D">
              <w:rPr>
                <w:noProof/>
                <w:webHidden/>
              </w:rPr>
              <w:t>6976</w:t>
            </w:r>
            <w:r w:rsidR="00CD7E9E">
              <w:rPr>
                <w:noProof/>
                <w:webHidden/>
              </w:rPr>
              <w:fldChar w:fldCharType="end"/>
            </w:r>
          </w:hyperlink>
        </w:p>
        <w:p w14:paraId="66B30B99" w14:textId="7D05B91F"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0" w:history="1">
            <w:r w:rsidR="00CD7E9E" w:rsidRPr="00CE1CC5">
              <w:rPr>
                <w:rStyle w:val="Hyperlink"/>
                <w:noProof/>
              </w:rPr>
              <w:t>National Electricity (South Australia) Act 1996</w:t>
            </w:r>
            <w:r w:rsidR="00CD7E9E">
              <w:rPr>
                <w:noProof/>
                <w:webHidden/>
              </w:rPr>
              <w:tab/>
            </w:r>
            <w:r w:rsidR="00CD7E9E">
              <w:rPr>
                <w:noProof/>
                <w:webHidden/>
              </w:rPr>
              <w:fldChar w:fldCharType="begin"/>
            </w:r>
            <w:r w:rsidR="00CD7E9E">
              <w:rPr>
                <w:noProof/>
                <w:webHidden/>
              </w:rPr>
              <w:instrText xml:space="preserve"> PAGEREF _Toc122600840 \h </w:instrText>
            </w:r>
            <w:r w:rsidR="00CD7E9E">
              <w:rPr>
                <w:noProof/>
                <w:webHidden/>
              </w:rPr>
            </w:r>
            <w:r w:rsidR="00CD7E9E">
              <w:rPr>
                <w:noProof/>
                <w:webHidden/>
              </w:rPr>
              <w:fldChar w:fldCharType="separate"/>
            </w:r>
            <w:r w:rsidR="0060264D">
              <w:rPr>
                <w:noProof/>
                <w:webHidden/>
              </w:rPr>
              <w:t>6976</w:t>
            </w:r>
            <w:r w:rsidR="00CD7E9E">
              <w:rPr>
                <w:noProof/>
                <w:webHidden/>
              </w:rPr>
              <w:fldChar w:fldCharType="end"/>
            </w:r>
          </w:hyperlink>
        </w:p>
        <w:p w14:paraId="7DD0D973" w14:textId="7821A419"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1" w:history="1">
            <w:r w:rsidR="00CD7E9E" w:rsidRPr="00CE1CC5">
              <w:rPr>
                <w:rStyle w:val="Hyperlink"/>
                <w:noProof/>
              </w:rPr>
              <w:t>National Energy Retail Law (South Australia) Act 2011</w:t>
            </w:r>
            <w:r w:rsidR="00CD7E9E">
              <w:rPr>
                <w:noProof/>
                <w:webHidden/>
              </w:rPr>
              <w:tab/>
            </w:r>
            <w:r w:rsidR="00CD7E9E">
              <w:rPr>
                <w:noProof/>
                <w:webHidden/>
              </w:rPr>
              <w:fldChar w:fldCharType="begin"/>
            </w:r>
            <w:r w:rsidR="00CD7E9E">
              <w:rPr>
                <w:noProof/>
                <w:webHidden/>
              </w:rPr>
              <w:instrText xml:space="preserve"> PAGEREF _Toc122600841 \h </w:instrText>
            </w:r>
            <w:r w:rsidR="00CD7E9E">
              <w:rPr>
                <w:noProof/>
                <w:webHidden/>
              </w:rPr>
            </w:r>
            <w:r w:rsidR="00CD7E9E">
              <w:rPr>
                <w:noProof/>
                <w:webHidden/>
              </w:rPr>
              <w:fldChar w:fldCharType="separate"/>
            </w:r>
            <w:r w:rsidR="0060264D">
              <w:rPr>
                <w:noProof/>
                <w:webHidden/>
              </w:rPr>
              <w:t>6976</w:t>
            </w:r>
            <w:r w:rsidR="00CD7E9E">
              <w:rPr>
                <w:noProof/>
                <w:webHidden/>
              </w:rPr>
              <w:fldChar w:fldCharType="end"/>
            </w:r>
          </w:hyperlink>
        </w:p>
        <w:p w14:paraId="50330E0F" w14:textId="6D9DF060"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2" w:history="1">
            <w:r w:rsidR="00CD7E9E" w:rsidRPr="00CE1CC5">
              <w:rPr>
                <w:rStyle w:val="Hyperlink"/>
                <w:noProof/>
              </w:rPr>
              <w:t>National Gas (South Australia) Act 2008</w:t>
            </w:r>
            <w:r w:rsidR="00CD7E9E">
              <w:rPr>
                <w:noProof/>
                <w:webHidden/>
              </w:rPr>
              <w:tab/>
            </w:r>
            <w:r w:rsidR="00CD7E9E">
              <w:rPr>
                <w:noProof/>
                <w:webHidden/>
              </w:rPr>
              <w:fldChar w:fldCharType="begin"/>
            </w:r>
            <w:r w:rsidR="00CD7E9E">
              <w:rPr>
                <w:noProof/>
                <w:webHidden/>
              </w:rPr>
              <w:instrText xml:space="preserve"> PAGEREF _Toc122600842 \h </w:instrText>
            </w:r>
            <w:r w:rsidR="00CD7E9E">
              <w:rPr>
                <w:noProof/>
                <w:webHidden/>
              </w:rPr>
            </w:r>
            <w:r w:rsidR="00CD7E9E">
              <w:rPr>
                <w:noProof/>
                <w:webHidden/>
              </w:rPr>
              <w:fldChar w:fldCharType="separate"/>
            </w:r>
            <w:r w:rsidR="0060264D">
              <w:rPr>
                <w:noProof/>
                <w:webHidden/>
              </w:rPr>
              <w:t>6977</w:t>
            </w:r>
            <w:r w:rsidR="00CD7E9E">
              <w:rPr>
                <w:noProof/>
                <w:webHidden/>
              </w:rPr>
              <w:fldChar w:fldCharType="end"/>
            </w:r>
          </w:hyperlink>
        </w:p>
        <w:p w14:paraId="51AF23E6" w14:textId="3D3CF6BD"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3" w:history="1">
            <w:r w:rsidR="00CD7E9E" w:rsidRPr="00CE1CC5">
              <w:rPr>
                <w:rStyle w:val="Hyperlink"/>
                <w:noProof/>
              </w:rPr>
              <w:t>Planning, Development and Infrastructure Act 2016</w:t>
            </w:r>
            <w:r w:rsidR="00CD7E9E">
              <w:rPr>
                <w:noProof/>
                <w:webHidden/>
              </w:rPr>
              <w:tab/>
            </w:r>
            <w:r w:rsidR="00CD7E9E">
              <w:rPr>
                <w:noProof/>
                <w:webHidden/>
              </w:rPr>
              <w:fldChar w:fldCharType="begin"/>
            </w:r>
            <w:r w:rsidR="00CD7E9E">
              <w:rPr>
                <w:noProof/>
                <w:webHidden/>
              </w:rPr>
              <w:instrText xml:space="preserve"> PAGEREF _Toc122600843 \h </w:instrText>
            </w:r>
            <w:r w:rsidR="00CD7E9E">
              <w:rPr>
                <w:noProof/>
                <w:webHidden/>
              </w:rPr>
            </w:r>
            <w:r w:rsidR="00CD7E9E">
              <w:rPr>
                <w:noProof/>
                <w:webHidden/>
              </w:rPr>
              <w:fldChar w:fldCharType="separate"/>
            </w:r>
            <w:r w:rsidR="0060264D">
              <w:rPr>
                <w:noProof/>
                <w:webHidden/>
              </w:rPr>
              <w:t>6977</w:t>
            </w:r>
            <w:r w:rsidR="00CD7E9E">
              <w:rPr>
                <w:noProof/>
                <w:webHidden/>
              </w:rPr>
              <w:fldChar w:fldCharType="end"/>
            </w:r>
          </w:hyperlink>
        </w:p>
        <w:p w14:paraId="0EB17099" w14:textId="35014EB8"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5" w:history="1">
            <w:r w:rsidR="00CD7E9E" w:rsidRPr="00CE1CC5">
              <w:rPr>
                <w:rStyle w:val="Hyperlink"/>
                <w:noProof/>
              </w:rPr>
              <w:t>Retail and Commercial Leases Act 1995</w:t>
            </w:r>
            <w:r w:rsidR="00CD7E9E">
              <w:rPr>
                <w:noProof/>
                <w:webHidden/>
              </w:rPr>
              <w:tab/>
            </w:r>
            <w:r w:rsidR="00CD7E9E">
              <w:rPr>
                <w:noProof/>
                <w:webHidden/>
              </w:rPr>
              <w:fldChar w:fldCharType="begin"/>
            </w:r>
            <w:r w:rsidR="00CD7E9E">
              <w:rPr>
                <w:noProof/>
                <w:webHidden/>
              </w:rPr>
              <w:instrText xml:space="preserve"> PAGEREF _Toc122600845 \h </w:instrText>
            </w:r>
            <w:r w:rsidR="00CD7E9E">
              <w:rPr>
                <w:noProof/>
                <w:webHidden/>
              </w:rPr>
            </w:r>
            <w:r w:rsidR="00CD7E9E">
              <w:rPr>
                <w:noProof/>
                <w:webHidden/>
              </w:rPr>
              <w:fldChar w:fldCharType="separate"/>
            </w:r>
            <w:r w:rsidR="0060264D">
              <w:rPr>
                <w:noProof/>
                <w:webHidden/>
              </w:rPr>
              <w:t>6978</w:t>
            </w:r>
            <w:r w:rsidR="00CD7E9E">
              <w:rPr>
                <w:noProof/>
                <w:webHidden/>
              </w:rPr>
              <w:fldChar w:fldCharType="end"/>
            </w:r>
          </w:hyperlink>
        </w:p>
        <w:p w14:paraId="4839593A" w14:textId="3C138C6F"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6" w:history="1">
            <w:r w:rsidR="00CD7E9E" w:rsidRPr="00CE1CC5">
              <w:rPr>
                <w:rStyle w:val="Hyperlink"/>
                <w:noProof/>
              </w:rPr>
              <w:t>Return to Work Act 2014</w:t>
            </w:r>
            <w:r w:rsidR="00CD7E9E">
              <w:rPr>
                <w:noProof/>
                <w:webHidden/>
              </w:rPr>
              <w:tab/>
            </w:r>
            <w:r w:rsidR="00CD7E9E">
              <w:rPr>
                <w:noProof/>
                <w:webHidden/>
              </w:rPr>
              <w:fldChar w:fldCharType="begin"/>
            </w:r>
            <w:r w:rsidR="00CD7E9E">
              <w:rPr>
                <w:noProof/>
                <w:webHidden/>
              </w:rPr>
              <w:instrText xml:space="preserve"> PAGEREF _Toc122600846 \h </w:instrText>
            </w:r>
            <w:r w:rsidR="00CD7E9E">
              <w:rPr>
                <w:noProof/>
                <w:webHidden/>
              </w:rPr>
            </w:r>
            <w:r w:rsidR="00CD7E9E">
              <w:rPr>
                <w:noProof/>
                <w:webHidden/>
              </w:rPr>
              <w:fldChar w:fldCharType="separate"/>
            </w:r>
            <w:r w:rsidR="0060264D">
              <w:rPr>
                <w:noProof/>
                <w:webHidden/>
              </w:rPr>
              <w:t>6980</w:t>
            </w:r>
            <w:r w:rsidR="00CD7E9E">
              <w:rPr>
                <w:noProof/>
                <w:webHidden/>
              </w:rPr>
              <w:fldChar w:fldCharType="end"/>
            </w:r>
          </w:hyperlink>
        </w:p>
        <w:p w14:paraId="14D95ABD" w14:textId="603CD394"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8" w:history="1">
            <w:r w:rsidR="00CD7E9E" w:rsidRPr="00CE1CC5">
              <w:rPr>
                <w:rStyle w:val="Hyperlink"/>
                <w:noProof/>
              </w:rPr>
              <w:t>South Australian Skills Act 2008</w:t>
            </w:r>
            <w:r w:rsidR="00CD7E9E">
              <w:rPr>
                <w:noProof/>
                <w:webHidden/>
              </w:rPr>
              <w:tab/>
            </w:r>
            <w:r w:rsidR="00CD7E9E">
              <w:rPr>
                <w:noProof/>
                <w:webHidden/>
              </w:rPr>
              <w:fldChar w:fldCharType="begin"/>
            </w:r>
            <w:r w:rsidR="00CD7E9E">
              <w:rPr>
                <w:noProof/>
                <w:webHidden/>
              </w:rPr>
              <w:instrText xml:space="preserve"> PAGEREF _Toc122600848 \h </w:instrText>
            </w:r>
            <w:r w:rsidR="00CD7E9E">
              <w:rPr>
                <w:noProof/>
                <w:webHidden/>
              </w:rPr>
            </w:r>
            <w:r w:rsidR="00CD7E9E">
              <w:rPr>
                <w:noProof/>
                <w:webHidden/>
              </w:rPr>
              <w:fldChar w:fldCharType="separate"/>
            </w:r>
            <w:r w:rsidR="0060264D">
              <w:rPr>
                <w:noProof/>
                <w:webHidden/>
              </w:rPr>
              <w:t>6980</w:t>
            </w:r>
            <w:r w:rsidR="00CD7E9E">
              <w:rPr>
                <w:noProof/>
                <w:webHidden/>
              </w:rPr>
              <w:fldChar w:fldCharType="end"/>
            </w:r>
          </w:hyperlink>
        </w:p>
        <w:p w14:paraId="717AAEFE" w14:textId="1102845E"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49" w:history="1">
            <w:r w:rsidR="00CD7E9E" w:rsidRPr="00CE1CC5">
              <w:rPr>
                <w:rStyle w:val="Hyperlink"/>
                <w:noProof/>
              </w:rPr>
              <w:t>The Remuneration Tribunal</w:t>
            </w:r>
            <w:r w:rsidR="00CD7E9E">
              <w:rPr>
                <w:noProof/>
                <w:webHidden/>
              </w:rPr>
              <w:tab/>
            </w:r>
            <w:r w:rsidR="00CD7E9E">
              <w:rPr>
                <w:noProof/>
                <w:webHidden/>
              </w:rPr>
              <w:fldChar w:fldCharType="begin"/>
            </w:r>
            <w:r w:rsidR="00CD7E9E">
              <w:rPr>
                <w:noProof/>
                <w:webHidden/>
              </w:rPr>
              <w:instrText xml:space="preserve"> PAGEREF _Toc122600849 \h </w:instrText>
            </w:r>
            <w:r w:rsidR="00CD7E9E">
              <w:rPr>
                <w:noProof/>
                <w:webHidden/>
              </w:rPr>
            </w:r>
            <w:r w:rsidR="00CD7E9E">
              <w:rPr>
                <w:noProof/>
                <w:webHidden/>
              </w:rPr>
              <w:fldChar w:fldCharType="separate"/>
            </w:r>
            <w:r w:rsidR="0060264D">
              <w:rPr>
                <w:noProof/>
                <w:webHidden/>
              </w:rPr>
              <w:t>6982</w:t>
            </w:r>
            <w:r w:rsidR="00CD7E9E">
              <w:rPr>
                <w:noProof/>
                <w:webHidden/>
              </w:rPr>
              <w:fldChar w:fldCharType="end"/>
            </w:r>
          </w:hyperlink>
        </w:p>
        <w:p w14:paraId="0CAF80B2" w14:textId="0790936D" w:rsidR="00CD7E9E" w:rsidRPr="00CD7E9E" w:rsidRDefault="001E29AE" w:rsidP="001707AB">
          <w:pPr>
            <w:pStyle w:val="Galley"/>
            <w:tabs>
              <w:tab w:val="clear" w:pos="640"/>
              <w:tab w:val="clear" w:pos="800"/>
              <w:tab w:val="clear" w:pos="960"/>
              <w:tab w:val="clear" w:pos="1120"/>
              <w:tab w:val="clear" w:pos="1280"/>
              <w:tab w:val="clear" w:pos="1440"/>
              <w:tab w:val="clear" w:pos="1600"/>
              <w:tab w:val="clear" w:pos="1760"/>
              <w:tab w:val="clear" w:pos="1920"/>
              <w:tab w:val="right" w:leader="dot" w:pos="6804"/>
            </w:tabs>
            <w:spacing w:before="80" w:after="0"/>
            <w:ind w:left="2268"/>
            <w:jc w:val="left"/>
            <w:rPr>
              <w:b/>
              <w:smallCaps/>
              <w:noProof/>
              <w:lang w:eastAsia="en-US"/>
            </w:rPr>
          </w:pPr>
          <w:hyperlink w:anchor="_Toc122600851" w:history="1">
            <w:r w:rsidR="00CD7E9E" w:rsidRPr="00CD7E9E">
              <w:rPr>
                <w:b/>
                <w:smallCaps/>
                <w:noProof/>
                <w:lang w:eastAsia="en-US"/>
              </w:rPr>
              <w:t>Local Government Instruments</w:t>
            </w:r>
          </w:hyperlink>
        </w:p>
        <w:p w14:paraId="43E8F38C" w14:textId="225F7B10"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52" w:history="1">
            <w:r w:rsidR="00CD7E9E" w:rsidRPr="00CE1CC5">
              <w:rPr>
                <w:rStyle w:val="Hyperlink"/>
                <w:noProof/>
              </w:rPr>
              <w:t>District Council of Franklin Harbour</w:t>
            </w:r>
            <w:r w:rsidR="00CD7E9E">
              <w:rPr>
                <w:noProof/>
                <w:webHidden/>
              </w:rPr>
              <w:tab/>
            </w:r>
            <w:r w:rsidR="00CD7E9E">
              <w:rPr>
                <w:noProof/>
                <w:webHidden/>
              </w:rPr>
              <w:fldChar w:fldCharType="begin"/>
            </w:r>
            <w:r w:rsidR="00CD7E9E">
              <w:rPr>
                <w:noProof/>
                <w:webHidden/>
              </w:rPr>
              <w:instrText xml:space="preserve"> PAGEREF _Toc122600852 \h </w:instrText>
            </w:r>
            <w:r w:rsidR="00CD7E9E">
              <w:rPr>
                <w:noProof/>
                <w:webHidden/>
              </w:rPr>
            </w:r>
            <w:r w:rsidR="00CD7E9E">
              <w:rPr>
                <w:noProof/>
                <w:webHidden/>
              </w:rPr>
              <w:fldChar w:fldCharType="separate"/>
            </w:r>
            <w:r w:rsidR="0060264D">
              <w:rPr>
                <w:noProof/>
                <w:webHidden/>
              </w:rPr>
              <w:t>7028</w:t>
            </w:r>
            <w:r w:rsidR="00CD7E9E">
              <w:rPr>
                <w:noProof/>
                <w:webHidden/>
              </w:rPr>
              <w:fldChar w:fldCharType="end"/>
            </w:r>
          </w:hyperlink>
        </w:p>
        <w:p w14:paraId="5AD41541" w14:textId="70944813"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53" w:history="1">
            <w:r w:rsidR="00CD7E9E" w:rsidRPr="00CE1CC5">
              <w:rPr>
                <w:rStyle w:val="Hyperlink"/>
                <w:noProof/>
              </w:rPr>
              <w:t>District Council of Kimba</w:t>
            </w:r>
            <w:r w:rsidR="00CD7E9E">
              <w:rPr>
                <w:noProof/>
                <w:webHidden/>
              </w:rPr>
              <w:tab/>
            </w:r>
            <w:r w:rsidR="00CD7E9E">
              <w:rPr>
                <w:noProof/>
                <w:webHidden/>
              </w:rPr>
              <w:fldChar w:fldCharType="begin"/>
            </w:r>
            <w:r w:rsidR="00CD7E9E">
              <w:rPr>
                <w:noProof/>
                <w:webHidden/>
              </w:rPr>
              <w:instrText xml:space="preserve"> PAGEREF _Toc122600853 \h </w:instrText>
            </w:r>
            <w:r w:rsidR="00CD7E9E">
              <w:rPr>
                <w:noProof/>
                <w:webHidden/>
              </w:rPr>
            </w:r>
            <w:r w:rsidR="00CD7E9E">
              <w:rPr>
                <w:noProof/>
                <w:webHidden/>
              </w:rPr>
              <w:fldChar w:fldCharType="separate"/>
            </w:r>
            <w:r w:rsidR="0060264D">
              <w:rPr>
                <w:noProof/>
                <w:webHidden/>
              </w:rPr>
              <w:t>7028</w:t>
            </w:r>
            <w:r w:rsidR="00CD7E9E">
              <w:rPr>
                <w:noProof/>
                <w:webHidden/>
              </w:rPr>
              <w:fldChar w:fldCharType="end"/>
            </w:r>
          </w:hyperlink>
        </w:p>
        <w:p w14:paraId="15403ED3" w14:textId="4B6E80FE" w:rsidR="00CD7E9E" w:rsidRPr="00CD7E9E" w:rsidRDefault="001E29AE" w:rsidP="001707AB">
          <w:pPr>
            <w:pStyle w:val="Galley"/>
            <w:tabs>
              <w:tab w:val="clear" w:pos="640"/>
              <w:tab w:val="clear" w:pos="800"/>
              <w:tab w:val="clear" w:pos="960"/>
              <w:tab w:val="clear" w:pos="1120"/>
              <w:tab w:val="clear" w:pos="1280"/>
              <w:tab w:val="clear" w:pos="1440"/>
              <w:tab w:val="clear" w:pos="1600"/>
              <w:tab w:val="clear" w:pos="1760"/>
              <w:tab w:val="clear" w:pos="1920"/>
              <w:tab w:val="right" w:leader="dot" w:pos="6804"/>
            </w:tabs>
            <w:spacing w:before="80" w:after="0"/>
            <w:ind w:left="2268"/>
            <w:jc w:val="left"/>
            <w:rPr>
              <w:b/>
              <w:smallCaps/>
              <w:noProof/>
              <w:lang w:eastAsia="en-US"/>
            </w:rPr>
          </w:pPr>
          <w:hyperlink w:anchor="_Toc122600854" w:history="1">
            <w:r w:rsidR="00CD7E9E" w:rsidRPr="00CD7E9E">
              <w:rPr>
                <w:b/>
                <w:smallCaps/>
                <w:noProof/>
                <w:lang w:eastAsia="en-US"/>
              </w:rPr>
              <w:t>Public Notices</w:t>
            </w:r>
          </w:hyperlink>
        </w:p>
        <w:p w14:paraId="5CB6E0D1" w14:textId="5BF704A9" w:rsidR="00CD7E9E" w:rsidRDefault="001E29AE" w:rsidP="001707AB">
          <w:pPr>
            <w:pStyle w:val="TOC2"/>
            <w:tabs>
              <w:tab w:val="right" w:leader="dot" w:pos="6804"/>
            </w:tabs>
            <w:ind w:left="2268"/>
            <w:rPr>
              <w:rFonts w:asciiTheme="minorHAnsi" w:eastAsiaTheme="minorEastAsia" w:hAnsiTheme="minorHAnsi" w:cstheme="minorBidi"/>
              <w:noProof/>
              <w:color w:val="auto"/>
              <w:sz w:val="22"/>
              <w:szCs w:val="22"/>
            </w:rPr>
          </w:pPr>
          <w:hyperlink w:anchor="_Toc122600855" w:history="1">
            <w:r w:rsidR="00CD7E9E" w:rsidRPr="00CE1CC5">
              <w:rPr>
                <w:rStyle w:val="Hyperlink"/>
                <w:noProof/>
              </w:rPr>
              <w:t>National Electricity Law</w:t>
            </w:r>
            <w:r w:rsidR="00CD7E9E">
              <w:rPr>
                <w:noProof/>
                <w:webHidden/>
              </w:rPr>
              <w:tab/>
            </w:r>
            <w:r w:rsidR="00CD7E9E">
              <w:rPr>
                <w:noProof/>
                <w:webHidden/>
              </w:rPr>
              <w:fldChar w:fldCharType="begin"/>
            </w:r>
            <w:r w:rsidR="00CD7E9E">
              <w:rPr>
                <w:noProof/>
                <w:webHidden/>
              </w:rPr>
              <w:instrText xml:space="preserve"> PAGEREF _Toc122600855 \h </w:instrText>
            </w:r>
            <w:r w:rsidR="00CD7E9E">
              <w:rPr>
                <w:noProof/>
                <w:webHidden/>
              </w:rPr>
            </w:r>
            <w:r w:rsidR="00CD7E9E">
              <w:rPr>
                <w:noProof/>
                <w:webHidden/>
              </w:rPr>
              <w:fldChar w:fldCharType="separate"/>
            </w:r>
            <w:r w:rsidR="0060264D">
              <w:rPr>
                <w:noProof/>
                <w:webHidden/>
              </w:rPr>
              <w:t>7029</w:t>
            </w:r>
            <w:r w:rsidR="00CD7E9E">
              <w:rPr>
                <w:noProof/>
                <w:webHidden/>
              </w:rPr>
              <w:fldChar w:fldCharType="end"/>
            </w:r>
          </w:hyperlink>
        </w:p>
        <w:p w14:paraId="0032743E" w14:textId="5C83A9E2" w:rsidR="00CD7E9E" w:rsidRDefault="00CD7E9E">
          <w:r>
            <w:rPr>
              <w:b/>
              <w:bCs/>
              <w:noProof/>
            </w:rPr>
            <w:fldChar w:fldCharType="end"/>
          </w:r>
        </w:p>
      </w:sdtContent>
    </w:sdt>
    <w:p w14:paraId="50CB4143" w14:textId="77777777" w:rsidR="00CD7E9E" w:rsidRDefault="00CD7E9E" w:rsidP="0079069D">
      <w:pPr>
        <w:pStyle w:val="GG-SDated"/>
      </w:pPr>
    </w:p>
    <w:p w14:paraId="0C12BC2B" w14:textId="77777777" w:rsidR="001B7138" w:rsidRDefault="001B7138" w:rsidP="001B7138">
      <w:pPr>
        <w:spacing w:after="0"/>
        <w:rPr>
          <w:smallCaps/>
          <w:szCs w:val="17"/>
        </w:rPr>
      </w:pPr>
    </w:p>
    <w:p w14:paraId="45C97166" w14:textId="77777777" w:rsidR="00DA30CF" w:rsidRPr="00612978" w:rsidRDefault="00DA30CF" w:rsidP="0087395E">
      <w:pPr>
        <w:spacing w:after="0"/>
        <w:rPr>
          <w:smallCaps/>
          <w:szCs w:val="17"/>
        </w:rPr>
        <w:sectPr w:rsidR="00DA30CF" w:rsidRPr="00612978" w:rsidSect="001707AB">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034C9458" w14:textId="3B025512" w:rsidR="009D1E2E" w:rsidRPr="009D1E2E" w:rsidRDefault="009D1E2E" w:rsidP="00F80EF5">
      <w:pPr>
        <w:pStyle w:val="Heading1"/>
      </w:pPr>
      <w:bookmarkStart w:id="1" w:name="_Toc33707981"/>
      <w:bookmarkStart w:id="2" w:name="_Toc33708152"/>
      <w:bookmarkStart w:id="3" w:name="_Toc122600828"/>
      <w:r w:rsidRPr="009D1E2E">
        <w:lastRenderedPageBreak/>
        <w:t>Rules of Court</w:t>
      </w:r>
      <w:bookmarkEnd w:id="1"/>
      <w:bookmarkEnd w:id="2"/>
      <w:bookmarkEnd w:id="3"/>
    </w:p>
    <w:p w14:paraId="469B5915" w14:textId="77777777" w:rsidR="00DF7C60" w:rsidRPr="00DF7C60" w:rsidRDefault="00DF7C60" w:rsidP="00B80A66">
      <w:pPr>
        <w:pStyle w:val="Heading2"/>
      </w:pPr>
      <w:bookmarkStart w:id="4" w:name="_Toc122600829"/>
      <w:r w:rsidRPr="00DF7C60">
        <w:t>Supreme Court Act 1935</w:t>
      </w:r>
      <w:bookmarkEnd w:id="4"/>
      <w:r w:rsidRPr="00DF7C60">
        <w:t xml:space="preserve"> </w:t>
      </w:r>
    </w:p>
    <w:p w14:paraId="50B55644" w14:textId="77777777" w:rsidR="00DF7C60" w:rsidRPr="00DF7C60" w:rsidRDefault="00DF7C60" w:rsidP="00DF7C60">
      <w:pPr>
        <w:jc w:val="center"/>
        <w:rPr>
          <w:caps/>
          <w:szCs w:val="17"/>
        </w:rPr>
      </w:pPr>
      <w:r w:rsidRPr="00DF7C60">
        <w:rPr>
          <w:caps/>
          <w:szCs w:val="17"/>
        </w:rPr>
        <w:t>District Court Act 1991</w:t>
      </w:r>
    </w:p>
    <w:p w14:paraId="57BB4E29" w14:textId="77777777" w:rsidR="00DF7C60" w:rsidRPr="00DF7C60" w:rsidRDefault="00DF7C60" w:rsidP="00DF7C60">
      <w:pPr>
        <w:jc w:val="center"/>
        <w:rPr>
          <w:caps/>
          <w:szCs w:val="17"/>
        </w:rPr>
      </w:pPr>
      <w:r w:rsidRPr="00DF7C60">
        <w:rPr>
          <w:caps/>
          <w:szCs w:val="17"/>
        </w:rPr>
        <w:t>Environment, Resources and Development Court Act 1993</w:t>
      </w:r>
    </w:p>
    <w:p w14:paraId="47B26478" w14:textId="77777777" w:rsidR="00DF7C60" w:rsidRPr="00DF7C60" w:rsidRDefault="00DF7C60" w:rsidP="00DF7C60">
      <w:pPr>
        <w:jc w:val="center"/>
        <w:rPr>
          <w:caps/>
          <w:szCs w:val="17"/>
        </w:rPr>
      </w:pPr>
      <w:r w:rsidRPr="00DF7C60">
        <w:rPr>
          <w:caps/>
          <w:szCs w:val="17"/>
        </w:rPr>
        <w:t>Magistrates Court Act 1991</w:t>
      </w:r>
    </w:p>
    <w:p w14:paraId="21C526D0" w14:textId="77777777" w:rsidR="00DF7C60" w:rsidRPr="00DF7C60" w:rsidRDefault="00DF7C60" w:rsidP="00DF7C60">
      <w:pPr>
        <w:jc w:val="center"/>
        <w:rPr>
          <w:caps/>
          <w:szCs w:val="17"/>
        </w:rPr>
      </w:pPr>
      <w:r w:rsidRPr="00DF7C60">
        <w:rPr>
          <w:caps/>
          <w:szCs w:val="17"/>
        </w:rPr>
        <w:t>Youth Court Act 1993</w:t>
      </w:r>
    </w:p>
    <w:p w14:paraId="236EBD86" w14:textId="77777777" w:rsidR="00DF7C60" w:rsidRPr="00DF7C60" w:rsidRDefault="00DF7C60" w:rsidP="00DF7C60">
      <w:pPr>
        <w:jc w:val="center"/>
        <w:rPr>
          <w:smallCaps/>
          <w:szCs w:val="17"/>
        </w:rPr>
      </w:pPr>
      <w:r w:rsidRPr="00DF7C60">
        <w:rPr>
          <w:smallCaps/>
          <w:szCs w:val="17"/>
        </w:rPr>
        <w:t>South Australia</w:t>
      </w:r>
    </w:p>
    <w:p w14:paraId="6A698DDA" w14:textId="77777777" w:rsidR="00DF7C60" w:rsidRPr="00DF7C60" w:rsidRDefault="00DF7C60" w:rsidP="00DF7C60">
      <w:pPr>
        <w:jc w:val="center"/>
        <w:rPr>
          <w:i/>
          <w:szCs w:val="17"/>
        </w:rPr>
      </w:pPr>
      <w:r w:rsidRPr="00DF7C60">
        <w:rPr>
          <w:i/>
          <w:szCs w:val="17"/>
        </w:rPr>
        <w:t>Joint Criminal (No 1) Amending Rules 2022</w:t>
      </w:r>
    </w:p>
    <w:p w14:paraId="6E73CBAB" w14:textId="77777777" w:rsidR="00DF7C60" w:rsidRPr="00DF7C60" w:rsidRDefault="00DF7C60" w:rsidP="00DF7C60">
      <w:pPr>
        <w:rPr>
          <w:rFonts w:eastAsia="Times New Roman"/>
          <w:bCs/>
          <w:szCs w:val="17"/>
        </w:rPr>
      </w:pPr>
      <w:r w:rsidRPr="00DF7C60">
        <w:rPr>
          <w:rFonts w:eastAsia="Times New Roman"/>
          <w:bCs/>
          <w:szCs w:val="17"/>
        </w:rPr>
        <w:t xml:space="preserve">By virtue and in pursuance of the </w:t>
      </w:r>
      <w:r w:rsidRPr="00DF7C60">
        <w:rPr>
          <w:rFonts w:eastAsia="Times New Roman"/>
          <w:bCs/>
          <w:i/>
          <w:szCs w:val="17"/>
        </w:rPr>
        <w:t>Supreme Court Act 1935</w:t>
      </w:r>
      <w:r w:rsidRPr="00DF7C60">
        <w:rPr>
          <w:rFonts w:eastAsia="Times New Roman"/>
          <w:bCs/>
          <w:szCs w:val="17"/>
        </w:rPr>
        <w:t xml:space="preserve">, the </w:t>
      </w:r>
      <w:r w:rsidRPr="00DF7C60">
        <w:rPr>
          <w:rFonts w:eastAsia="Times New Roman"/>
          <w:bCs/>
          <w:i/>
          <w:szCs w:val="17"/>
        </w:rPr>
        <w:t>District Court Act 1991</w:t>
      </w:r>
      <w:r w:rsidRPr="00DF7C60">
        <w:rPr>
          <w:rFonts w:eastAsia="Times New Roman"/>
          <w:bCs/>
          <w:iCs/>
          <w:szCs w:val="17"/>
        </w:rPr>
        <w:t>,</w:t>
      </w:r>
      <w:r w:rsidRPr="00DF7C60">
        <w:rPr>
          <w:rFonts w:eastAsia="Times New Roman"/>
          <w:bCs/>
          <w:szCs w:val="17"/>
        </w:rPr>
        <w:t xml:space="preserve"> the </w:t>
      </w:r>
      <w:r w:rsidRPr="00DF7C60">
        <w:rPr>
          <w:rFonts w:eastAsia="Times New Roman"/>
          <w:bCs/>
          <w:i/>
          <w:szCs w:val="17"/>
        </w:rPr>
        <w:t>Environment, Resources and Development Court Act 1993</w:t>
      </w:r>
      <w:r w:rsidRPr="00DF7C60">
        <w:rPr>
          <w:rFonts w:eastAsia="Times New Roman"/>
          <w:bCs/>
          <w:iCs/>
          <w:szCs w:val="17"/>
        </w:rPr>
        <w:t>, the</w:t>
      </w:r>
      <w:r w:rsidRPr="00DF7C60">
        <w:rPr>
          <w:rFonts w:eastAsia="Times New Roman"/>
          <w:bCs/>
          <w:i/>
          <w:szCs w:val="17"/>
        </w:rPr>
        <w:t xml:space="preserve"> Magistrates Court Act 1991 </w:t>
      </w:r>
      <w:r w:rsidRPr="00DF7C60">
        <w:rPr>
          <w:rFonts w:eastAsia="Times New Roman"/>
          <w:bCs/>
          <w:szCs w:val="17"/>
        </w:rPr>
        <w:t xml:space="preserve">and the </w:t>
      </w:r>
      <w:r w:rsidRPr="00DF7C60">
        <w:rPr>
          <w:rFonts w:eastAsia="Times New Roman"/>
          <w:bCs/>
          <w:i/>
          <w:iCs/>
          <w:szCs w:val="17"/>
        </w:rPr>
        <w:t>Youth Court Act 1993</w:t>
      </w:r>
      <w:r w:rsidRPr="00DF7C60">
        <w:rPr>
          <w:rFonts w:eastAsia="Times New Roman"/>
          <w:bCs/>
          <w:szCs w:val="17"/>
        </w:rPr>
        <w:t>, and all other enabling powers, we, the Chief Justice of the Supreme Court, the Chief Judge of the District Court, the Senior Judge of the Environment, Resources and Development Court, the Chief Magistrate of the Magistrates Court, and the Judge of the Youth Court make the following Joint Criminal (No 1) Amending Rules 2022.</w:t>
      </w:r>
    </w:p>
    <w:p w14:paraId="6B595967" w14:textId="77777777" w:rsidR="00DF7C60" w:rsidRPr="00DF7C60" w:rsidRDefault="00DF7C60" w:rsidP="00965F17">
      <w:pPr>
        <w:numPr>
          <w:ilvl w:val="0"/>
          <w:numId w:val="15"/>
        </w:numPr>
        <w:rPr>
          <w:szCs w:val="17"/>
        </w:rPr>
      </w:pPr>
      <w:r w:rsidRPr="00DF7C60">
        <w:rPr>
          <w:szCs w:val="17"/>
        </w:rPr>
        <w:t xml:space="preserve">These Rules may be cited as the </w:t>
      </w:r>
      <w:r w:rsidRPr="00DF7C60">
        <w:rPr>
          <w:i/>
          <w:szCs w:val="17"/>
        </w:rPr>
        <w:t>Joint Criminal (No 1) Amending Rules 2022.</w:t>
      </w:r>
    </w:p>
    <w:p w14:paraId="5DC7AF0A" w14:textId="77777777" w:rsidR="00DF7C60" w:rsidRPr="00DF7C60" w:rsidRDefault="00DF7C60" w:rsidP="00965F17">
      <w:pPr>
        <w:numPr>
          <w:ilvl w:val="0"/>
          <w:numId w:val="15"/>
        </w:numPr>
        <w:rPr>
          <w:szCs w:val="17"/>
        </w:rPr>
      </w:pPr>
      <w:r w:rsidRPr="00DF7C60">
        <w:rPr>
          <w:szCs w:val="17"/>
        </w:rPr>
        <w:t xml:space="preserve">The </w:t>
      </w:r>
      <w:r w:rsidRPr="00DF7C60">
        <w:rPr>
          <w:i/>
          <w:szCs w:val="17"/>
        </w:rPr>
        <w:t xml:space="preserve">Joint Criminal Rules 2022 </w:t>
      </w:r>
      <w:r w:rsidRPr="00DF7C60">
        <w:rPr>
          <w:szCs w:val="17"/>
        </w:rPr>
        <w:t>are amended as set out below.</w:t>
      </w:r>
    </w:p>
    <w:p w14:paraId="5092FEC1" w14:textId="77777777" w:rsidR="00DF7C60" w:rsidRPr="00DF7C60" w:rsidRDefault="00DF7C60" w:rsidP="00965F17">
      <w:pPr>
        <w:numPr>
          <w:ilvl w:val="0"/>
          <w:numId w:val="15"/>
        </w:numPr>
        <w:rPr>
          <w:szCs w:val="17"/>
        </w:rPr>
      </w:pPr>
      <w:r w:rsidRPr="00DF7C60">
        <w:rPr>
          <w:szCs w:val="17"/>
        </w:rPr>
        <w:t>The amendments made by these rules come into effect on the later of—</w:t>
      </w:r>
    </w:p>
    <w:p w14:paraId="32441013" w14:textId="77777777" w:rsidR="00DF7C60" w:rsidRPr="00DF7C60" w:rsidRDefault="00DF7C60" w:rsidP="00DF7C60">
      <w:pPr>
        <w:ind w:left="1287" w:hanging="567"/>
        <w:rPr>
          <w:szCs w:val="17"/>
        </w:rPr>
      </w:pPr>
      <w:r w:rsidRPr="00DF7C60">
        <w:rPr>
          <w:szCs w:val="17"/>
        </w:rPr>
        <w:t>(a)</w:t>
      </w:r>
      <w:r w:rsidRPr="00DF7C60">
        <w:rPr>
          <w:szCs w:val="17"/>
        </w:rPr>
        <w:tab/>
        <w:t>Tuesday 3 January 2023; or</w:t>
      </w:r>
    </w:p>
    <w:p w14:paraId="78297A32" w14:textId="77777777" w:rsidR="00DF7C60" w:rsidRPr="00DF7C60" w:rsidRDefault="00DF7C60" w:rsidP="00DF7C60">
      <w:pPr>
        <w:ind w:left="1287" w:hanging="567"/>
        <w:rPr>
          <w:szCs w:val="17"/>
        </w:rPr>
      </w:pPr>
      <w:r w:rsidRPr="00DF7C60">
        <w:rPr>
          <w:szCs w:val="17"/>
        </w:rPr>
        <w:t>(b)</w:t>
      </w:r>
      <w:r w:rsidRPr="00DF7C60">
        <w:rPr>
          <w:szCs w:val="17"/>
        </w:rPr>
        <w:tab/>
        <w:t>the date of their publication in the Gazette.</w:t>
      </w:r>
    </w:p>
    <w:p w14:paraId="6A41D370" w14:textId="77777777" w:rsidR="00DF7C60" w:rsidRPr="00DF7C60" w:rsidRDefault="00DF7C60" w:rsidP="00965F17">
      <w:pPr>
        <w:numPr>
          <w:ilvl w:val="0"/>
          <w:numId w:val="15"/>
        </w:numPr>
        <w:rPr>
          <w:szCs w:val="17"/>
        </w:rPr>
      </w:pPr>
      <w:r w:rsidRPr="00DF7C60">
        <w:rPr>
          <w:szCs w:val="17"/>
        </w:rPr>
        <w:t xml:space="preserve">In Rule 2.1(1) the definition of </w:t>
      </w:r>
      <w:r w:rsidRPr="00DF7C60">
        <w:rPr>
          <w:b/>
          <w:bCs/>
          <w:i/>
          <w:iCs/>
          <w:szCs w:val="17"/>
        </w:rPr>
        <w:t xml:space="preserve">sensitive material </w:t>
      </w:r>
      <w:r w:rsidRPr="00DF7C60">
        <w:rPr>
          <w:szCs w:val="17"/>
        </w:rPr>
        <w:t>is amended to substitute “section 67H” for “section 67I”</w:t>
      </w:r>
    </w:p>
    <w:p w14:paraId="7A595284" w14:textId="77777777" w:rsidR="00DF7C60" w:rsidRPr="00DF7C60" w:rsidRDefault="00DF7C60" w:rsidP="00965F17">
      <w:pPr>
        <w:numPr>
          <w:ilvl w:val="0"/>
          <w:numId w:val="15"/>
        </w:numPr>
        <w:rPr>
          <w:szCs w:val="17"/>
        </w:rPr>
      </w:pPr>
      <w:r w:rsidRPr="00DF7C60">
        <w:rPr>
          <w:szCs w:val="17"/>
        </w:rPr>
        <w:t xml:space="preserve">In Rule 2.1(1) the definition of </w:t>
      </w:r>
      <w:r w:rsidRPr="00DF7C60">
        <w:rPr>
          <w:b/>
          <w:bCs/>
          <w:i/>
          <w:iCs/>
          <w:szCs w:val="17"/>
        </w:rPr>
        <w:t xml:space="preserve">charge determination appearance </w:t>
      </w:r>
      <w:r w:rsidRPr="00DF7C60">
        <w:rPr>
          <w:szCs w:val="17"/>
        </w:rPr>
        <w:t xml:space="preserve">is amended to substitute “tried” for “tied”. </w:t>
      </w:r>
    </w:p>
    <w:p w14:paraId="4FBF8232" w14:textId="77777777" w:rsidR="00DF7C60" w:rsidRPr="00DF7C60" w:rsidRDefault="00DF7C60" w:rsidP="00965F17">
      <w:pPr>
        <w:numPr>
          <w:ilvl w:val="0"/>
          <w:numId w:val="15"/>
        </w:numPr>
        <w:rPr>
          <w:szCs w:val="17"/>
        </w:rPr>
      </w:pPr>
      <w:r w:rsidRPr="00DF7C60">
        <w:rPr>
          <w:szCs w:val="17"/>
        </w:rPr>
        <w:t>Rule 28.11(2) paragraphs (a) to (e) are amended to substitute the word “</w:t>
      </w:r>
      <w:r w:rsidRPr="00DF7C60">
        <w:rPr>
          <w:szCs w:val="17"/>
          <w:u w:val="single"/>
        </w:rPr>
        <w:t>Principal Registrar</w:t>
      </w:r>
      <w:r w:rsidRPr="00DF7C60">
        <w:rPr>
          <w:szCs w:val="17"/>
        </w:rPr>
        <w:t xml:space="preserve"> or the Court” for the words “Principal Registrar” at every instance. </w:t>
      </w:r>
    </w:p>
    <w:p w14:paraId="00F295E7" w14:textId="77777777" w:rsidR="00DF7C60" w:rsidRPr="00DF7C60" w:rsidRDefault="00DF7C60" w:rsidP="00965F17">
      <w:pPr>
        <w:numPr>
          <w:ilvl w:val="0"/>
          <w:numId w:val="15"/>
        </w:numPr>
        <w:rPr>
          <w:szCs w:val="17"/>
        </w:rPr>
      </w:pPr>
      <w:r w:rsidRPr="00DF7C60">
        <w:rPr>
          <w:szCs w:val="17"/>
        </w:rPr>
        <w:t xml:space="preserve">Rule 28.11(4) is amended to delete the second instance of the word “section”. </w:t>
      </w:r>
    </w:p>
    <w:p w14:paraId="756D7B4F" w14:textId="77777777" w:rsidR="00DF7C60" w:rsidRPr="00DF7C60" w:rsidRDefault="00DF7C60" w:rsidP="00965F17">
      <w:pPr>
        <w:numPr>
          <w:ilvl w:val="0"/>
          <w:numId w:val="15"/>
        </w:numPr>
        <w:rPr>
          <w:szCs w:val="17"/>
        </w:rPr>
      </w:pPr>
      <w:r w:rsidRPr="00DF7C60">
        <w:rPr>
          <w:szCs w:val="17"/>
        </w:rPr>
        <w:t>A new subrule 153.1(4) is inserted immediately after subrule 153.1(3) as follows:</w:t>
      </w:r>
    </w:p>
    <w:p w14:paraId="04206EFB" w14:textId="77777777" w:rsidR="00DF7C60" w:rsidRPr="00DF7C60" w:rsidRDefault="00DF7C60" w:rsidP="00DF7C60">
      <w:pPr>
        <w:ind w:left="1287" w:hanging="567"/>
        <w:rPr>
          <w:szCs w:val="17"/>
        </w:rPr>
      </w:pPr>
      <w:r w:rsidRPr="00DF7C60">
        <w:rPr>
          <w:szCs w:val="17"/>
        </w:rPr>
        <w:t>(4)</w:t>
      </w:r>
      <w:r w:rsidRPr="00DF7C60">
        <w:rPr>
          <w:szCs w:val="17"/>
        </w:rPr>
        <w:tab/>
        <w:t xml:space="preserve">A bond or guarantee governed by this rule may be acknowledged by the defendant before a witness who is a judicial officer, a </w:t>
      </w:r>
      <w:r w:rsidRPr="00DF7C60">
        <w:rPr>
          <w:szCs w:val="17"/>
          <w:u w:val="single"/>
        </w:rPr>
        <w:t>Registrar</w:t>
      </w:r>
      <w:r w:rsidRPr="00DF7C60">
        <w:rPr>
          <w:szCs w:val="17"/>
        </w:rPr>
        <w:t xml:space="preserve"> of the Court, or a Justice of the Peace. </w:t>
      </w:r>
    </w:p>
    <w:p w14:paraId="6B4E33C6" w14:textId="77777777" w:rsidR="00DF7C60" w:rsidRPr="00DF7C60" w:rsidRDefault="00DF7C60" w:rsidP="00965F17">
      <w:pPr>
        <w:numPr>
          <w:ilvl w:val="0"/>
          <w:numId w:val="15"/>
        </w:numPr>
        <w:rPr>
          <w:szCs w:val="17"/>
        </w:rPr>
      </w:pPr>
      <w:r w:rsidRPr="00DF7C60">
        <w:rPr>
          <w:szCs w:val="17"/>
        </w:rPr>
        <w:t xml:space="preserve">Subrule 190.2(1) is amended to insert the words “appellate proceeding” following the words “hearing of an”. </w:t>
      </w:r>
    </w:p>
    <w:p w14:paraId="322533A8" w14:textId="77777777" w:rsidR="00DF7C60" w:rsidRPr="00DF7C60" w:rsidRDefault="00DF7C60" w:rsidP="00965F17">
      <w:pPr>
        <w:numPr>
          <w:ilvl w:val="0"/>
          <w:numId w:val="15"/>
        </w:numPr>
        <w:rPr>
          <w:szCs w:val="17"/>
        </w:rPr>
      </w:pPr>
      <w:r w:rsidRPr="00DF7C60">
        <w:rPr>
          <w:szCs w:val="17"/>
        </w:rPr>
        <w:t>Subrule 190.2(1)(c) is amended to substitute “Form 187” for “Form 102” and to substitute “Form 188” for “Form 103”.</w:t>
      </w:r>
    </w:p>
    <w:p w14:paraId="583B9044" w14:textId="77777777" w:rsidR="00DF7C60" w:rsidRPr="00DF7C60" w:rsidRDefault="00DF7C60" w:rsidP="00965F17">
      <w:pPr>
        <w:numPr>
          <w:ilvl w:val="0"/>
          <w:numId w:val="15"/>
        </w:numPr>
        <w:rPr>
          <w:szCs w:val="17"/>
        </w:rPr>
      </w:pPr>
      <w:r w:rsidRPr="00DF7C60">
        <w:rPr>
          <w:szCs w:val="17"/>
        </w:rPr>
        <w:t>Subrule 195.5(2) and Subrule 195.5(3) are amended to substitute “Form 187” for “Form 102”.</w:t>
      </w:r>
    </w:p>
    <w:p w14:paraId="001A718D" w14:textId="77777777" w:rsidR="00DF7C60" w:rsidRPr="00DF7C60" w:rsidRDefault="00DF7C60" w:rsidP="00965F17">
      <w:pPr>
        <w:numPr>
          <w:ilvl w:val="0"/>
          <w:numId w:val="15"/>
        </w:numPr>
        <w:rPr>
          <w:szCs w:val="17"/>
        </w:rPr>
      </w:pPr>
      <w:r w:rsidRPr="00DF7C60">
        <w:rPr>
          <w:szCs w:val="17"/>
        </w:rPr>
        <w:t xml:space="preserve">Rule 195.6 appearing under Chapter 9, Part 4, Division 4, Subdivision 4 is renumbered as 195.7. </w:t>
      </w:r>
    </w:p>
    <w:p w14:paraId="1182D078" w14:textId="77777777" w:rsidR="00DF7C60" w:rsidRPr="00DF7C60" w:rsidRDefault="00DF7C60" w:rsidP="00965F17">
      <w:pPr>
        <w:numPr>
          <w:ilvl w:val="0"/>
          <w:numId w:val="15"/>
        </w:numPr>
        <w:rPr>
          <w:szCs w:val="17"/>
        </w:rPr>
      </w:pPr>
      <w:r w:rsidRPr="00DF7C60">
        <w:rPr>
          <w:b/>
          <w:bCs/>
          <w:szCs w:val="17"/>
        </w:rPr>
        <w:t>Division 12 – Hearing and determination of appellate proceedings</w:t>
      </w:r>
      <w:r w:rsidRPr="00DF7C60">
        <w:rPr>
          <w:szCs w:val="17"/>
        </w:rPr>
        <w:t xml:space="preserve"> under Chapter 9, Part 4 is renumbered as Division 13.  </w:t>
      </w:r>
    </w:p>
    <w:p w14:paraId="62843F72" w14:textId="77777777" w:rsidR="00DF7C60" w:rsidRPr="00DF7C60" w:rsidRDefault="00DF7C60" w:rsidP="00965F17">
      <w:pPr>
        <w:numPr>
          <w:ilvl w:val="0"/>
          <w:numId w:val="15"/>
        </w:numPr>
        <w:rPr>
          <w:szCs w:val="17"/>
        </w:rPr>
      </w:pPr>
      <w:r w:rsidRPr="00DF7C60">
        <w:rPr>
          <w:szCs w:val="17"/>
        </w:rPr>
        <w:t>The current Schedule 1 will be renumbered as subrule (1) and the following is inserted:</w:t>
      </w:r>
    </w:p>
    <w:p w14:paraId="0682D4F0" w14:textId="77777777" w:rsidR="00DF7C60" w:rsidRPr="00DF7C60" w:rsidRDefault="00DF7C60" w:rsidP="00DF7C60">
      <w:pPr>
        <w:ind w:left="1287" w:hanging="567"/>
        <w:rPr>
          <w:szCs w:val="17"/>
        </w:rPr>
      </w:pPr>
      <w:r w:rsidRPr="00DF7C60">
        <w:rPr>
          <w:szCs w:val="17"/>
        </w:rPr>
        <w:t>“(1)</w:t>
      </w:r>
      <w:r w:rsidRPr="00DF7C60">
        <w:rPr>
          <w:szCs w:val="17"/>
        </w:rPr>
        <w:tab/>
        <w:t xml:space="preserve">The Lower Courts Criminal costs scale in respect of work done from the commencement date to 31 December 2022 is set out in the following tables.” </w:t>
      </w:r>
    </w:p>
    <w:p w14:paraId="642F9CAE" w14:textId="77777777" w:rsidR="00DF7C60" w:rsidRPr="00DF7C60" w:rsidRDefault="00DF7C60" w:rsidP="00965F17">
      <w:pPr>
        <w:numPr>
          <w:ilvl w:val="0"/>
          <w:numId w:val="15"/>
        </w:numPr>
        <w:rPr>
          <w:szCs w:val="17"/>
        </w:rPr>
      </w:pPr>
      <w:r w:rsidRPr="00DF7C60">
        <w:rPr>
          <w:szCs w:val="17"/>
        </w:rPr>
        <w:t xml:space="preserve">A new subrule (2) is added to Schedule 1 as follows: </w:t>
      </w:r>
    </w:p>
    <w:p w14:paraId="119AA079" w14:textId="77777777" w:rsidR="00DF7C60" w:rsidRPr="00DF7C60" w:rsidRDefault="00DF7C60" w:rsidP="00DF7C60">
      <w:pPr>
        <w:ind w:left="1287" w:hanging="567"/>
        <w:rPr>
          <w:szCs w:val="17"/>
        </w:rPr>
      </w:pPr>
      <w:r w:rsidRPr="00DF7C60">
        <w:rPr>
          <w:szCs w:val="17"/>
        </w:rPr>
        <w:t>“(2)</w:t>
      </w:r>
      <w:r w:rsidRPr="00DF7C60">
        <w:rPr>
          <w:szCs w:val="17"/>
        </w:rPr>
        <w:tab/>
        <w:t>The Lower Courts Criminal costs scale in respect of work done on or after 3 January 2023 is set out in the following tables.”</w:t>
      </w:r>
    </w:p>
    <w:p w14:paraId="740AEC97" w14:textId="77777777" w:rsidR="00DF7C60" w:rsidRPr="00DF7C60" w:rsidRDefault="00DF7C60" w:rsidP="00DF7C60">
      <w:pPr>
        <w:rPr>
          <w:szCs w:val="17"/>
        </w:rPr>
      </w:pPr>
      <w:r w:rsidRPr="00DF7C60">
        <w:rPr>
          <w:szCs w:val="17"/>
        </w:rPr>
        <w:t>Notes:</w:t>
      </w:r>
    </w:p>
    <w:p w14:paraId="62234441" w14:textId="77777777" w:rsidR="00DF7C60" w:rsidRPr="00DF7C60" w:rsidRDefault="00DF7C60" w:rsidP="00965F17">
      <w:pPr>
        <w:numPr>
          <w:ilvl w:val="0"/>
          <w:numId w:val="16"/>
        </w:numPr>
        <w:ind w:left="426" w:hanging="426"/>
        <w:rPr>
          <w:szCs w:val="17"/>
        </w:rPr>
      </w:pPr>
      <w:r w:rsidRPr="00DF7C60">
        <w:rPr>
          <w:szCs w:val="17"/>
        </w:rPr>
        <w:t>This cost scale is intended for use in making orders as between party and party.</w:t>
      </w:r>
    </w:p>
    <w:p w14:paraId="7DFE64ED" w14:textId="77777777" w:rsidR="00DF7C60" w:rsidRPr="00DF7C60" w:rsidRDefault="00DF7C60" w:rsidP="00965F17">
      <w:pPr>
        <w:numPr>
          <w:ilvl w:val="0"/>
          <w:numId w:val="16"/>
        </w:numPr>
        <w:ind w:left="426" w:hanging="426"/>
        <w:rPr>
          <w:szCs w:val="17"/>
        </w:rPr>
      </w:pPr>
      <w:r w:rsidRPr="00DF7C60">
        <w:rPr>
          <w:szCs w:val="17"/>
        </w:rPr>
        <w:t>The fees set out in items 1 and 2 are intended to cover all necessary attendances and preparatory work for a trial (other than attendance at a pre-trial conference). Where an attendance is unnecessary as a result of default by one or other party, an order should be sought and made at that hearing. The fee set out in item 4 or 5 should be used for that purpose.</w:t>
      </w:r>
    </w:p>
    <w:tbl>
      <w:tblPr>
        <w:tblW w:w="8400" w:type="dxa"/>
        <w:tblInd w:w="383" w:type="dxa"/>
        <w:tblLayout w:type="fixed"/>
        <w:tblCellMar>
          <w:left w:w="0" w:type="dxa"/>
          <w:right w:w="0" w:type="dxa"/>
        </w:tblCellMar>
        <w:tblLook w:val="04A0" w:firstRow="1" w:lastRow="0" w:firstColumn="1" w:lastColumn="0" w:noHBand="0" w:noVBand="1"/>
      </w:tblPr>
      <w:tblGrid>
        <w:gridCol w:w="536"/>
        <w:gridCol w:w="4462"/>
        <w:gridCol w:w="1701"/>
        <w:gridCol w:w="1701"/>
      </w:tblGrid>
      <w:tr w:rsidR="00DF7C60" w:rsidRPr="00DF7C60" w14:paraId="26FCA35A" w14:textId="77777777" w:rsidTr="0012134E">
        <w:trPr>
          <w:trHeight w:hRule="exact" w:val="754"/>
        </w:trPr>
        <w:tc>
          <w:tcPr>
            <w:tcW w:w="537" w:type="dxa"/>
            <w:tcBorders>
              <w:top w:val="single" w:sz="4" w:space="0" w:color="000000"/>
              <w:left w:val="single" w:sz="4" w:space="0" w:color="000000"/>
              <w:bottom w:val="single" w:sz="4" w:space="0" w:color="000000"/>
              <w:right w:val="single" w:sz="4" w:space="0" w:color="000000"/>
            </w:tcBorders>
            <w:vAlign w:val="center"/>
          </w:tcPr>
          <w:p w14:paraId="2372C6D8"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054311EE" w14:textId="77777777" w:rsidR="00DF7C60" w:rsidRPr="00DF7C60" w:rsidRDefault="00DF7C60" w:rsidP="00DF7C60">
            <w:pPr>
              <w:kinsoku w:val="0"/>
              <w:overflowPunct w:val="0"/>
              <w:autoSpaceDE w:val="0"/>
              <w:autoSpaceDN w:val="0"/>
              <w:adjustRightInd w:val="0"/>
              <w:spacing w:before="20" w:after="20"/>
              <w:ind w:left="97"/>
              <w:jc w:val="center"/>
              <w:rPr>
                <w:rFonts w:eastAsia="Times New Roman"/>
                <w:szCs w:val="17"/>
              </w:rPr>
            </w:pPr>
            <w:r w:rsidRPr="00DF7C60">
              <w:rPr>
                <w:rFonts w:eastAsia="Times New Roman"/>
                <w:b/>
                <w:bCs/>
                <w:w w:val="105"/>
                <w:szCs w:val="17"/>
              </w:rPr>
              <w:t>No.</w:t>
            </w:r>
          </w:p>
        </w:tc>
        <w:tc>
          <w:tcPr>
            <w:tcW w:w="4463" w:type="dxa"/>
            <w:tcBorders>
              <w:top w:val="single" w:sz="4" w:space="0" w:color="000000"/>
              <w:left w:val="single" w:sz="4" w:space="0" w:color="000000"/>
              <w:bottom w:val="single" w:sz="4" w:space="0" w:color="000000"/>
              <w:right w:val="single" w:sz="4" w:space="0" w:color="000000"/>
            </w:tcBorders>
            <w:vAlign w:val="center"/>
          </w:tcPr>
          <w:p w14:paraId="7913998B" w14:textId="77777777" w:rsidR="00DF7C60" w:rsidRPr="00DF7C60" w:rsidRDefault="00DF7C60" w:rsidP="00DF7C60">
            <w:pPr>
              <w:kinsoku w:val="0"/>
              <w:overflowPunct w:val="0"/>
              <w:autoSpaceDE w:val="0"/>
              <w:autoSpaceDN w:val="0"/>
              <w:adjustRightInd w:val="0"/>
              <w:spacing w:before="20" w:after="20"/>
              <w:jc w:val="left"/>
              <w:rPr>
                <w:rFonts w:eastAsia="Times New Roman"/>
                <w:szCs w:val="17"/>
              </w:rPr>
            </w:pPr>
          </w:p>
          <w:p w14:paraId="7FF671A3" w14:textId="77777777" w:rsidR="00DF7C60" w:rsidRPr="00DF7C60" w:rsidRDefault="00DF7C60" w:rsidP="00DF7C60">
            <w:pPr>
              <w:kinsoku w:val="0"/>
              <w:overflowPunct w:val="0"/>
              <w:autoSpaceDE w:val="0"/>
              <w:autoSpaceDN w:val="0"/>
              <w:adjustRightInd w:val="0"/>
              <w:spacing w:before="20" w:after="20"/>
              <w:jc w:val="left"/>
              <w:rPr>
                <w:rFonts w:eastAsia="Times New Roman"/>
                <w:szCs w:val="17"/>
              </w:rPr>
            </w:pPr>
            <w:r w:rsidRPr="00DF7C60">
              <w:rPr>
                <w:rFonts w:eastAsia="Times New Roman"/>
                <w:b/>
                <w:bCs/>
                <w:w w:val="105"/>
                <w:szCs w:val="17"/>
              </w:rPr>
              <w:t>Item</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C727C11" w14:textId="77777777" w:rsidR="00DF7C60" w:rsidRPr="00DF7C60" w:rsidRDefault="00DF7C60" w:rsidP="00DF7C60">
            <w:pPr>
              <w:kinsoku w:val="0"/>
              <w:overflowPunct w:val="0"/>
              <w:autoSpaceDE w:val="0"/>
              <w:autoSpaceDN w:val="0"/>
              <w:adjustRightInd w:val="0"/>
              <w:spacing w:before="20" w:after="20"/>
              <w:ind w:right="227"/>
              <w:jc w:val="center"/>
              <w:rPr>
                <w:rFonts w:eastAsia="Times New Roman"/>
                <w:szCs w:val="17"/>
              </w:rPr>
            </w:pPr>
            <w:r w:rsidRPr="00DF7C60">
              <w:rPr>
                <w:rFonts w:eastAsia="Times New Roman"/>
                <w:b/>
                <w:bCs/>
                <w:szCs w:val="17"/>
              </w:rPr>
              <w:t>Represented</w:t>
            </w:r>
            <w:r w:rsidRPr="00DF7C60">
              <w:rPr>
                <w:rFonts w:eastAsia="Times New Roman"/>
                <w:b/>
                <w:bCs/>
                <w:spacing w:val="-33"/>
                <w:szCs w:val="17"/>
              </w:rPr>
              <w:t xml:space="preserve">        </w:t>
            </w:r>
            <w:r w:rsidRPr="00DF7C60">
              <w:rPr>
                <w:rFonts w:eastAsia="Times New Roman"/>
                <w:b/>
                <w:bCs/>
                <w:w w:val="105"/>
                <w:szCs w:val="17"/>
              </w:rPr>
              <w:t>by</w:t>
            </w:r>
            <w:r w:rsidRPr="00DF7C60">
              <w:rPr>
                <w:rFonts w:eastAsia="Times New Roman"/>
                <w:b/>
                <w:bCs/>
                <w:spacing w:val="-14"/>
                <w:w w:val="105"/>
                <w:szCs w:val="17"/>
              </w:rPr>
              <w:t xml:space="preserve"> </w:t>
            </w:r>
            <w:r w:rsidRPr="00DF7C60">
              <w:rPr>
                <w:rFonts w:eastAsia="Times New Roman"/>
                <w:b/>
                <w:bCs/>
                <w:w w:val="105"/>
                <w:szCs w:val="17"/>
              </w:rPr>
              <w:t>solicitor</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F0E69C6" w14:textId="77777777" w:rsidR="00DF7C60" w:rsidRPr="00DF7C60" w:rsidRDefault="00DF7C60" w:rsidP="00DF7C60">
            <w:pPr>
              <w:kinsoku w:val="0"/>
              <w:overflowPunct w:val="0"/>
              <w:autoSpaceDE w:val="0"/>
              <w:autoSpaceDN w:val="0"/>
              <w:adjustRightInd w:val="0"/>
              <w:spacing w:before="20" w:after="20"/>
              <w:ind w:right="135"/>
              <w:jc w:val="center"/>
              <w:rPr>
                <w:rFonts w:eastAsia="Times New Roman"/>
                <w:szCs w:val="17"/>
              </w:rPr>
            </w:pPr>
            <w:r w:rsidRPr="00DF7C60">
              <w:rPr>
                <w:rFonts w:eastAsia="Times New Roman"/>
                <w:b/>
                <w:bCs/>
                <w:w w:val="105"/>
                <w:szCs w:val="17"/>
              </w:rPr>
              <w:t>Represented</w:t>
            </w:r>
            <w:r w:rsidRPr="00DF7C60">
              <w:rPr>
                <w:rFonts w:eastAsia="Times New Roman"/>
                <w:b/>
                <w:bCs/>
                <w:w w:val="102"/>
                <w:szCs w:val="17"/>
              </w:rPr>
              <w:t xml:space="preserve"> </w:t>
            </w:r>
            <w:r w:rsidRPr="00DF7C60">
              <w:rPr>
                <w:rFonts w:eastAsia="Times New Roman"/>
                <w:b/>
                <w:bCs/>
                <w:w w:val="105"/>
                <w:szCs w:val="17"/>
              </w:rPr>
              <w:t>by</w:t>
            </w:r>
            <w:r w:rsidRPr="00DF7C60">
              <w:rPr>
                <w:rFonts w:eastAsia="Times New Roman"/>
                <w:b/>
                <w:bCs/>
                <w:spacing w:val="-35"/>
                <w:w w:val="105"/>
                <w:szCs w:val="17"/>
              </w:rPr>
              <w:t xml:space="preserve"> </w:t>
            </w:r>
            <w:r w:rsidRPr="00DF7C60">
              <w:rPr>
                <w:rFonts w:eastAsia="Times New Roman"/>
                <w:b/>
                <w:bCs/>
                <w:w w:val="105"/>
                <w:szCs w:val="17"/>
              </w:rPr>
              <w:t>non-legally</w:t>
            </w:r>
            <w:r w:rsidRPr="00DF7C60">
              <w:rPr>
                <w:rFonts w:eastAsia="Times New Roman"/>
                <w:b/>
                <w:bCs/>
                <w:spacing w:val="-1"/>
                <w:w w:val="102"/>
                <w:szCs w:val="17"/>
              </w:rPr>
              <w:t xml:space="preserve"> </w:t>
            </w:r>
            <w:r w:rsidRPr="00DF7C60">
              <w:rPr>
                <w:rFonts w:eastAsia="Times New Roman"/>
                <w:b/>
                <w:bCs/>
                <w:w w:val="105"/>
                <w:szCs w:val="17"/>
              </w:rPr>
              <w:t>qualified</w:t>
            </w:r>
            <w:r w:rsidRPr="00DF7C60">
              <w:rPr>
                <w:rFonts w:eastAsia="Times New Roman"/>
                <w:b/>
                <w:bCs/>
                <w:w w:val="102"/>
                <w:szCs w:val="17"/>
              </w:rPr>
              <w:t xml:space="preserve"> </w:t>
            </w:r>
            <w:r w:rsidRPr="00DF7C60">
              <w:rPr>
                <w:rFonts w:eastAsia="Times New Roman"/>
                <w:b/>
                <w:bCs/>
                <w:w w:val="105"/>
                <w:szCs w:val="17"/>
              </w:rPr>
              <w:t>person</w:t>
            </w:r>
          </w:p>
        </w:tc>
      </w:tr>
      <w:tr w:rsidR="00DF7C60" w:rsidRPr="00DF7C60" w14:paraId="6DCD1B2D" w14:textId="77777777" w:rsidTr="0012134E">
        <w:trPr>
          <w:trHeight w:hRule="exact" w:val="709"/>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4513860B"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1</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190A1F60" w14:textId="77777777" w:rsidR="00DF7C60" w:rsidRPr="00DF7C60" w:rsidRDefault="00DF7C60" w:rsidP="00DF7C60">
            <w:pPr>
              <w:kinsoku w:val="0"/>
              <w:overflowPunct w:val="0"/>
              <w:autoSpaceDE w:val="0"/>
              <w:autoSpaceDN w:val="0"/>
              <w:adjustRightInd w:val="0"/>
              <w:spacing w:before="20" w:after="20"/>
              <w:ind w:left="97" w:right="339"/>
              <w:jc w:val="left"/>
              <w:rPr>
                <w:rFonts w:eastAsia="Times New Roman"/>
                <w:szCs w:val="17"/>
              </w:rPr>
            </w:pPr>
            <w:r w:rsidRPr="00DF7C60">
              <w:rPr>
                <w:rFonts w:eastAsia="Times New Roman"/>
                <w:w w:val="105"/>
                <w:szCs w:val="17"/>
              </w:rPr>
              <w:t>Instructions,</w:t>
            </w:r>
            <w:r w:rsidRPr="00DF7C60">
              <w:rPr>
                <w:rFonts w:eastAsia="Times New Roman"/>
                <w:spacing w:val="-25"/>
                <w:w w:val="105"/>
                <w:szCs w:val="17"/>
              </w:rPr>
              <w:t xml:space="preserve"> </w:t>
            </w:r>
            <w:r w:rsidRPr="00DF7C60">
              <w:rPr>
                <w:rFonts w:eastAsia="Times New Roman"/>
                <w:w w:val="105"/>
                <w:szCs w:val="17"/>
              </w:rPr>
              <w:t>including</w:t>
            </w:r>
            <w:r w:rsidRPr="00DF7C60">
              <w:rPr>
                <w:rFonts w:eastAsia="Times New Roman"/>
                <w:spacing w:val="-25"/>
                <w:w w:val="105"/>
                <w:szCs w:val="17"/>
              </w:rPr>
              <w:t xml:space="preserve"> </w:t>
            </w:r>
            <w:r w:rsidRPr="00DF7C60">
              <w:rPr>
                <w:rFonts w:eastAsia="Times New Roman"/>
                <w:w w:val="105"/>
                <w:szCs w:val="17"/>
              </w:rPr>
              <w:t>all</w:t>
            </w:r>
            <w:r w:rsidRPr="00DF7C60">
              <w:rPr>
                <w:rFonts w:eastAsia="Times New Roman"/>
                <w:spacing w:val="-26"/>
                <w:w w:val="105"/>
                <w:szCs w:val="17"/>
              </w:rPr>
              <w:t xml:space="preserve"> </w:t>
            </w:r>
            <w:r w:rsidRPr="00DF7C60">
              <w:rPr>
                <w:rFonts w:eastAsia="Times New Roman"/>
                <w:w w:val="105"/>
                <w:szCs w:val="17"/>
              </w:rPr>
              <w:t>preparation</w:t>
            </w:r>
            <w:r w:rsidRPr="00DF7C60">
              <w:rPr>
                <w:rFonts w:eastAsia="Times New Roman"/>
                <w:spacing w:val="-25"/>
                <w:w w:val="105"/>
                <w:szCs w:val="17"/>
              </w:rPr>
              <w:t xml:space="preserve"> </w:t>
            </w:r>
            <w:r w:rsidRPr="00DF7C60">
              <w:rPr>
                <w:rFonts w:eastAsia="Times New Roman"/>
                <w:w w:val="105"/>
                <w:szCs w:val="17"/>
              </w:rPr>
              <w:t>for</w:t>
            </w:r>
            <w:r w:rsidRPr="00DF7C60">
              <w:rPr>
                <w:rFonts w:eastAsia="Times New Roman"/>
                <w:spacing w:val="-1"/>
                <w:w w:val="102"/>
                <w:szCs w:val="17"/>
              </w:rPr>
              <w:t xml:space="preserve"> </w:t>
            </w:r>
            <w:r w:rsidRPr="00DF7C60">
              <w:rPr>
                <w:rFonts w:eastAsia="Times New Roman"/>
                <w:w w:val="105"/>
                <w:szCs w:val="17"/>
              </w:rPr>
              <w:t>trial and attendances up to, but</w:t>
            </w:r>
            <w:r w:rsidRPr="00DF7C60">
              <w:rPr>
                <w:rFonts w:eastAsia="Times New Roman"/>
                <w:spacing w:val="-38"/>
                <w:w w:val="105"/>
                <w:szCs w:val="17"/>
              </w:rPr>
              <w:t xml:space="preserve"> </w:t>
            </w:r>
            <w:r w:rsidRPr="00DF7C60">
              <w:rPr>
                <w:rFonts w:eastAsia="Times New Roman"/>
                <w:w w:val="105"/>
                <w:szCs w:val="17"/>
              </w:rPr>
              <w:t>not</w:t>
            </w:r>
            <w:r w:rsidRPr="00DF7C60">
              <w:rPr>
                <w:rFonts w:eastAsia="Times New Roman"/>
                <w:spacing w:val="-1"/>
                <w:w w:val="102"/>
                <w:szCs w:val="17"/>
              </w:rPr>
              <w:t xml:space="preserve"> </w:t>
            </w:r>
            <w:r w:rsidRPr="00DF7C60">
              <w:rPr>
                <w:rFonts w:eastAsia="Times New Roman"/>
                <w:w w:val="105"/>
                <w:szCs w:val="17"/>
              </w:rPr>
              <w:t>including attendance at a Pre</w:t>
            </w:r>
            <w:r w:rsidRPr="00DF7C60">
              <w:rPr>
                <w:rFonts w:eastAsia="Times New Roman"/>
                <w:spacing w:val="-32"/>
                <w:w w:val="105"/>
                <w:szCs w:val="17"/>
              </w:rPr>
              <w:t xml:space="preserve"> -</w:t>
            </w:r>
            <w:r w:rsidRPr="00DF7C60">
              <w:rPr>
                <w:rFonts w:eastAsia="Times New Roman"/>
                <w:w w:val="105"/>
                <w:szCs w:val="17"/>
              </w:rPr>
              <w:t>Trial</w:t>
            </w:r>
            <w:r w:rsidRPr="00DF7C60">
              <w:rPr>
                <w:rFonts w:eastAsia="Times New Roman"/>
                <w:spacing w:val="-1"/>
                <w:w w:val="102"/>
                <w:szCs w:val="17"/>
              </w:rPr>
              <w:t xml:space="preserve"> </w:t>
            </w:r>
            <w:r w:rsidRPr="00DF7C60">
              <w:rPr>
                <w:rFonts w:eastAsia="Times New Roman"/>
                <w:w w:val="105"/>
                <w:szCs w:val="17"/>
              </w:rPr>
              <w:t>Conference</w:t>
            </w:r>
          </w:p>
        </w:tc>
        <w:tc>
          <w:tcPr>
            <w:tcW w:w="1701" w:type="dxa"/>
            <w:tcBorders>
              <w:top w:val="single" w:sz="4" w:space="0" w:color="000000"/>
              <w:left w:val="single" w:sz="4" w:space="0" w:color="000000"/>
              <w:bottom w:val="single" w:sz="4" w:space="0" w:color="000000"/>
              <w:right w:val="single" w:sz="4" w:space="0" w:color="000000"/>
            </w:tcBorders>
            <w:vAlign w:val="center"/>
          </w:tcPr>
          <w:p w14:paraId="34627560"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403DB300"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$1,210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08D9A6"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60927631"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$310</w:t>
            </w:r>
          </w:p>
        </w:tc>
      </w:tr>
      <w:tr w:rsidR="00DF7C60" w:rsidRPr="00DF7C60" w14:paraId="67A4EF62" w14:textId="77777777" w:rsidTr="0012134E">
        <w:trPr>
          <w:trHeight w:hRule="exact" w:val="846"/>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70988455"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2</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26199BCE" w14:textId="77777777" w:rsidR="00DF7C60" w:rsidRPr="00DF7C60" w:rsidRDefault="00DF7C60" w:rsidP="00DF7C60">
            <w:pPr>
              <w:kinsoku w:val="0"/>
              <w:overflowPunct w:val="0"/>
              <w:autoSpaceDE w:val="0"/>
              <w:autoSpaceDN w:val="0"/>
              <w:adjustRightInd w:val="0"/>
              <w:spacing w:before="20" w:after="20"/>
              <w:ind w:left="97" w:right="175" w:hanging="1"/>
              <w:jc w:val="left"/>
              <w:rPr>
                <w:rFonts w:eastAsia="Times New Roman"/>
                <w:szCs w:val="17"/>
              </w:rPr>
            </w:pPr>
            <w:r w:rsidRPr="00DF7C60">
              <w:rPr>
                <w:rFonts w:eastAsia="Times New Roman"/>
                <w:w w:val="105"/>
                <w:szCs w:val="17"/>
              </w:rPr>
              <w:t>All</w:t>
            </w:r>
            <w:r w:rsidRPr="00DF7C60">
              <w:rPr>
                <w:rFonts w:eastAsia="Times New Roman"/>
                <w:spacing w:val="-12"/>
                <w:w w:val="105"/>
                <w:szCs w:val="17"/>
              </w:rPr>
              <w:t xml:space="preserve"> </w:t>
            </w:r>
            <w:r w:rsidRPr="00DF7C60">
              <w:rPr>
                <w:rFonts w:eastAsia="Times New Roman"/>
                <w:w w:val="105"/>
                <w:szCs w:val="17"/>
              </w:rPr>
              <w:t>aspects</w:t>
            </w:r>
            <w:r w:rsidRPr="00DF7C60">
              <w:rPr>
                <w:rFonts w:eastAsia="Times New Roman"/>
                <w:spacing w:val="-11"/>
                <w:w w:val="105"/>
                <w:szCs w:val="17"/>
              </w:rPr>
              <w:t xml:space="preserve"> </w:t>
            </w:r>
            <w:r w:rsidRPr="00DF7C60">
              <w:rPr>
                <w:rFonts w:eastAsia="Times New Roman"/>
                <w:w w:val="105"/>
                <w:szCs w:val="17"/>
              </w:rPr>
              <w:t>not</w:t>
            </w:r>
            <w:r w:rsidRPr="00DF7C60">
              <w:rPr>
                <w:rFonts w:eastAsia="Times New Roman"/>
                <w:spacing w:val="-12"/>
                <w:w w:val="105"/>
                <w:szCs w:val="17"/>
              </w:rPr>
              <w:t xml:space="preserve"> </w:t>
            </w:r>
            <w:r w:rsidRPr="00DF7C60">
              <w:rPr>
                <w:rFonts w:eastAsia="Times New Roman"/>
                <w:w w:val="105"/>
                <w:szCs w:val="17"/>
              </w:rPr>
              <w:t>otherwise</w:t>
            </w:r>
            <w:r w:rsidRPr="00DF7C60">
              <w:rPr>
                <w:rFonts w:eastAsia="Times New Roman"/>
                <w:spacing w:val="-12"/>
                <w:w w:val="105"/>
                <w:szCs w:val="17"/>
              </w:rPr>
              <w:t xml:space="preserve"> </w:t>
            </w:r>
            <w:r w:rsidRPr="00DF7C60">
              <w:rPr>
                <w:rFonts w:eastAsia="Times New Roman"/>
                <w:w w:val="105"/>
                <w:szCs w:val="17"/>
              </w:rPr>
              <w:t>specified</w:t>
            </w:r>
            <w:r w:rsidRPr="00DF7C60">
              <w:rPr>
                <w:rFonts w:eastAsia="Times New Roman"/>
                <w:spacing w:val="-12"/>
                <w:w w:val="105"/>
                <w:szCs w:val="17"/>
              </w:rPr>
              <w:t xml:space="preserve"> </w:t>
            </w:r>
            <w:r w:rsidRPr="00DF7C60">
              <w:rPr>
                <w:rFonts w:eastAsia="Times New Roman"/>
                <w:w w:val="105"/>
                <w:szCs w:val="17"/>
              </w:rPr>
              <w:t>from</w:t>
            </w:r>
            <w:r w:rsidRPr="00DF7C60">
              <w:rPr>
                <w:rFonts w:eastAsia="Times New Roman"/>
                <w:w w:val="102"/>
                <w:szCs w:val="17"/>
              </w:rPr>
              <w:t xml:space="preserve"> </w:t>
            </w:r>
            <w:r w:rsidRPr="00DF7C60">
              <w:rPr>
                <w:rFonts w:eastAsia="Times New Roman"/>
                <w:w w:val="105"/>
                <w:szCs w:val="17"/>
              </w:rPr>
              <w:t>Pre-Trial</w:t>
            </w:r>
            <w:r w:rsidRPr="00DF7C60">
              <w:rPr>
                <w:rFonts w:eastAsia="Times New Roman"/>
                <w:spacing w:val="-13"/>
                <w:w w:val="105"/>
                <w:szCs w:val="17"/>
              </w:rPr>
              <w:t xml:space="preserve"> </w:t>
            </w:r>
            <w:r w:rsidRPr="00DF7C60">
              <w:rPr>
                <w:rFonts w:eastAsia="Times New Roman"/>
                <w:w w:val="105"/>
                <w:szCs w:val="17"/>
              </w:rPr>
              <w:t>Conference</w:t>
            </w:r>
            <w:r w:rsidRPr="00DF7C60">
              <w:rPr>
                <w:rFonts w:eastAsia="Times New Roman"/>
                <w:spacing w:val="-12"/>
                <w:w w:val="105"/>
                <w:szCs w:val="17"/>
              </w:rPr>
              <w:t xml:space="preserve"> </w:t>
            </w:r>
            <w:r w:rsidRPr="00DF7C60">
              <w:rPr>
                <w:rFonts w:eastAsia="Times New Roman"/>
                <w:w w:val="105"/>
                <w:szCs w:val="17"/>
              </w:rPr>
              <w:t>to</w:t>
            </w:r>
            <w:r w:rsidRPr="00DF7C60">
              <w:rPr>
                <w:rFonts w:eastAsia="Times New Roman"/>
                <w:spacing w:val="-12"/>
                <w:w w:val="105"/>
                <w:szCs w:val="17"/>
              </w:rPr>
              <w:t xml:space="preserve"> </w:t>
            </w:r>
            <w:r w:rsidRPr="00DF7C60">
              <w:rPr>
                <w:rFonts w:eastAsia="Times New Roman"/>
                <w:w w:val="105"/>
                <w:szCs w:val="17"/>
              </w:rPr>
              <w:t>Trial,</w:t>
            </w:r>
            <w:r w:rsidRPr="00DF7C60">
              <w:rPr>
                <w:rFonts w:eastAsia="Times New Roman"/>
                <w:spacing w:val="-13"/>
                <w:w w:val="105"/>
                <w:szCs w:val="17"/>
              </w:rPr>
              <w:t xml:space="preserve"> </w:t>
            </w:r>
            <w:r w:rsidRPr="00DF7C60">
              <w:rPr>
                <w:rFonts w:eastAsia="Times New Roman"/>
                <w:w w:val="105"/>
                <w:szCs w:val="17"/>
              </w:rPr>
              <w:t>including</w:t>
            </w:r>
            <w:r w:rsidRPr="00DF7C60">
              <w:rPr>
                <w:rFonts w:eastAsia="Times New Roman"/>
                <w:spacing w:val="-1"/>
                <w:w w:val="102"/>
                <w:szCs w:val="17"/>
              </w:rPr>
              <w:t xml:space="preserve"> </w:t>
            </w:r>
            <w:r w:rsidRPr="00DF7C60">
              <w:rPr>
                <w:rFonts w:eastAsia="Times New Roman"/>
                <w:w w:val="105"/>
                <w:szCs w:val="17"/>
              </w:rPr>
              <w:t>proofing</w:t>
            </w:r>
            <w:r w:rsidRPr="00DF7C60">
              <w:rPr>
                <w:rFonts w:eastAsia="Times New Roman"/>
                <w:spacing w:val="-22"/>
                <w:w w:val="105"/>
                <w:szCs w:val="17"/>
              </w:rPr>
              <w:t xml:space="preserve"> </w:t>
            </w:r>
            <w:r w:rsidRPr="00DF7C60">
              <w:rPr>
                <w:rFonts w:eastAsia="Times New Roman"/>
                <w:w w:val="105"/>
                <w:szCs w:val="17"/>
              </w:rPr>
              <w:t>witnesses,</w:t>
            </w:r>
            <w:r w:rsidRPr="00DF7C60">
              <w:rPr>
                <w:rFonts w:eastAsia="Times New Roman"/>
                <w:spacing w:val="-21"/>
                <w:w w:val="105"/>
                <w:szCs w:val="17"/>
              </w:rPr>
              <w:t xml:space="preserve"> </w:t>
            </w:r>
            <w:r w:rsidRPr="00DF7C60">
              <w:rPr>
                <w:rFonts w:eastAsia="Times New Roman"/>
                <w:w w:val="105"/>
                <w:szCs w:val="17"/>
              </w:rPr>
              <w:t>advice</w:t>
            </w:r>
            <w:r w:rsidRPr="00DF7C60">
              <w:rPr>
                <w:rFonts w:eastAsia="Times New Roman"/>
                <w:spacing w:val="-23"/>
                <w:w w:val="105"/>
                <w:szCs w:val="17"/>
              </w:rPr>
              <w:t xml:space="preserve"> </w:t>
            </w:r>
            <w:r w:rsidRPr="00DF7C60">
              <w:rPr>
                <w:rFonts w:eastAsia="Times New Roman"/>
                <w:w w:val="105"/>
                <w:szCs w:val="17"/>
              </w:rPr>
              <w:t>or</w:t>
            </w:r>
            <w:r w:rsidRPr="00DF7C60">
              <w:rPr>
                <w:rFonts w:eastAsia="Times New Roman"/>
                <w:spacing w:val="-21"/>
                <w:w w:val="105"/>
                <w:szCs w:val="17"/>
              </w:rPr>
              <w:t xml:space="preserve"> </w:t>
            </w:r>
            <w:r w:rsidRPr="00DF7C60">
              <w:rPr>
                <w:rFonts w:eastAsia="Times New Roman"/>
                <w:w w:val="105"/>
                <w:szCs w:val="17"/>
              </w:rPr>
              <w:t>evidence</w:t>
            </w:r>
            <w:r w:rsidRPr="00DF7C60">
              <w:rPr>
                <w:rFonts w:eastAsia="Times New Roman"/>
                <w:spacing w:val="-22"/>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law</w:t>
            </w:r>
            <w:r w:rsidRPr="00DF7C60">
              <w:rPr>
                <w:rFonts w:eastAsia="Times New Roman"/>
                <w:spacing w:val="-13"/>
                <w:w w:val="105"/>
                <w:szCs w:val="17"/>
              </w:rPr>
              <w:t xml:space="preserve"> </w:t>
            </w:r>
            <w:r w:rsidRPr="00DF7C60">
              <w:rPr>
                <w:rFonts w:eastAsia="Times New Roman"/>
                <w:w w:val="105"/>
                <w:szCs w:val="17"/>
              </w:rPr>
              <w:t>(solicitor</w:t>
            </w:r>
            <w:r w:rsidRPr="00DF7C60">
              <w:rPr>
                <w:rFonts w:eastAsia="Times New Roman"/>
                <w:spacing w:val="-13"/>
                <w:w w:val="105"/>
                <w:szCs w:val="17"/>
              </w:rPr>
              <w:t xml:space="preserve"> </w:t>
            </w:r>
            <w:r w:rsidRPr="00DF7C60">
              <w:rPr>
                <w:rFonts w:eastAsia="Times New Roman"/>
                <w:w w:val="105"/>
                <w:szCs w:val="17"/>
              </w:rPr>
              <w:t>and</w:t>
            </w:r>
            <w:r w:rsidRPr="00DF7C60">
              <w:rPr>
                <w:rFonts w:eastAsia="Times New Roman"/>
                <w:spacing w:val="-13"/>
                <w:w w:val="105"/>
                <w:szCs w:val="17"/>
              </w:rPr>
              <w:t xml:space="preserve"> </w:t>
            </w:r>
            <w:r w:rsidRPr="00DF7C60">
              <w:rPr>
                <w:rFonts w:eastAsia="Times New Roman"/>
                <w:w w:val="105"/>
                <w:szCs w:val="17"/>
              </w:rPr>
              <w:t>counsel)</w:t>
            </w:r>
            <w:r w:rsidRPr="00DF7C60">
              <w:rPr>
                <w:rFonts w:eastAsia="Times New Roman"/>
                <w:spacing w:val="-13"/>
                <w:w w:val="105"/>
                <w:szCs w:val="17"/>
              </w:rPr>
              <w:t xml:space="preserve"> </w:t>
            </w:r>
            <w:r w:rsidRPr="00DF7C60">
              <w:rPr>
                <w:rFonts w:eastAsia="Times New Roman"/>
                <w:w w:val="105"/>
                <w:szCs w:val="17"/>
              </w:rPr>
              <w:t>and</w:t>
            </w:r>
            <w:r w:rsidRPr="00DF7C60">
              <w:rPr>
                <w:rFonts w:eastAsia="Times New Roman"/>
                <w:spacing w:val="-13"/>
                <w:w w:val="105"/>
                <w:szCs w:val="17"/>
              </w:rPr>
              <w:t xml:space="preserve"> </w:t>
            </w:r>
            <w:r w:rsidRPr="00DF7C60">
              <w:rPr>
                <w:rFonts w:eastAsia="Times New Roman"/>
                <w:w w:val="105"/>
                <w:szCs w:val="17"/>
              </w:rPr>
              <w:t>delivering</w:t>
            </w:r>
            <w:r w:rsidRPr="00DF7C60">
              <w:rPr>
                <w:rFonts w:eastAsia="Times New Roman"/>
                <w:w w:val="102"/>
                <w:szCs w:val="17"/>
              </w:rPr>
              <w:t xml:space="preserve"> </w:t>
            </w:r>
            <w:r w:rsidRPr="00DF7C60">
              <w:rPr>
                <w:rFonts w:eastAsia="Times New Roman"/>
                <w:w w:val="105"/>
                <w:szCs w:val="17"/>
              </w:rPr>
              <w:t>brief to</w:t>
            </w:r>
            <w:r w:rsidRPr="00DF7C60">
              <w:rPr>
                <w:rFonts w:eastAsia="Times New Roman"/>
                <w:spacing w:val="-5"/>
                <w:w w:val="105"/>
                <w:szCs w:val="17"/>
              </w:rPr>
              <w:t xml:space="preserve"> </w:t>
            </w:r>
            <w:r w:rsidRPr="00DF7C60">
              <w:rPr>
                <w:rFonts w:eastAsia="Times New Roman"/>
                <w:w w:val="105"/>
                <w:szCs w:val="17"/>
              </w:rPr>
              <w:t>counsel.</w:t>
            </w:r>
          </w:p>
        </w:tc>
        <w:tc>
          <w:tcPr>
            <w:tcW w:w="1701" w:type="dxa"/>
            <w:tcBorders>
              <w:top w:val="single" w:sz="4" w:space="0" w:color="000000"/>
              <w:left w:val="single" w:sz="4" w:space="0" w:color="000000"/>
              <w:bottom w:val="single" w:sz="4" w:space="0" w:color="000000"/>
              <w:right w:val="single" w:sz="4" w:space="0" w:color="000000"/>
            </w:tcBorders>
            <w:vAlign w:val="center"/>
          </w:tcPr>
          <w:p w14:paraId="3F7AE91B"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694D7E48"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$1,210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F28950"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5F8AB740"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$220</w:t>
            </w:r>
          </w:p>
        </w:tc>
      </w:tr>
      <w:tr w:rsidR="00DF7C60" w:rsidRPr="00DF7C60" w14:paraId="2EA0EA42" w14:textId="77777777" w:rsidTr="0012134E">
        <w:trPr>
          <w:trHeight w:hRule="exact" w:val="418"/>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3D807A56"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3</w:t>
            </w:r>
          </w:p>
        </w:tc>
        <w:tc>
          <w:tcPr>
            <w:tcW w:w="4463" w:type="dxa"/>
            <w:tcBorders>
              <w:top w:val="single" w:sz="4" w:space="0" w:color="000000"/>
              <w:left w:val="single" w:sz="4" w:space="0" w:color="000000"/>
              <w:bottom w:val="single" w:sz="4" w:space="0" w:color="000000"/>
              <w:right w:val="single" w:sz="4" w:space="0" w:color="000000"/>
            </w:tcBorders>
            <w:vAlign w:val="center"/>
          </w:tcPr>
          <w:p w14:paraId="04E21920" w14:textId="77777777" w:rsidR="00DF7C60" w:rsidRPr="00DF7C60" w:rsidRDefault="00DF7C60" w:rsidP="00DF7C60">
            <w:pPr>
              <w:kinsoku w:val="0"/>
              <w:overflowPunct w:val="0"/>
              <w:autoSpaceDE w:val="0"/>
              <w:autoSpaceDN w:val="0"/>
              <w:adjustRightInd w:val="0"/>
              <w:spacing w:before="20" w:after="20"/>
              <w:ind w:left="97"/>
              <w:jc w:val="left"/>
              <w:rPr>
                <w:rFonts w:eastAsia="Times New Roman"/>
                <w:w w:val="105"/>
                <w:szCs w:val="17"/>
              </w:rPr>
            </w:pPr>
            <w:r w:rsidRPr="00DF7C60">
              <w:rPr>
                <w:rFonts w:eastAsia="Times New Roman"/>
                <w:w w:val="105"/>
                <w:szCs w:val="17"/>
              </w:rPr>
              <w:t>Attendance at pre-trial</w:t>
            </w:r>
            <w:r w:rsidRPr="00DF7C60">
              <w:rPr>
                <w:rFonts w:eastAsia="Times New Roman"/>
                <w:spacing w:val="-18"/>
                <w:w w:val="105"/>
                <w:szCs w:val="17"/>
              </w:rPr>
              <w:t xml:space="preserve"> </w:t>
            </w:r>
            <w:r w:rsidRPr="00DF7C60">
              <w:rPr>
                <w:rFonts w:eastAsia="Times New Roman"/>
                <w:w w:val="105"/>
                <w:szCs w:val="17"/>
              </w:rPr>
              <w:t>conference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0EA98F8"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5"/>
                <w:szCs w:val="17"/>
              </w:rPr>
              <w:t>$330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2FB52B5"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5"/>
                <w:szCs w:val="17"/>
              </w:rPr>
              <w:t>$80</w:t>
            </w:r>
          </w:p>
        </w:tc>
      </w:tr>
      <w:tr w:rsidR="00DF7C60" w:rsidRPr="00DF7C60" w14:paraId="72712F98" w14:textId="77777777" w:rsidTr="0012134E">
        <w:trPr>
          <w:trHeight w:hRule="exact" w:val="427"/>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6E47AD3B"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4</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4ECDA6AB" w14:textId="77777777" w:rsidR="00DF7C60" w:rsidRPr="00DF7C60" w:rsidRDefault="00DF7C60" w:rsidP="00DF7C60">
            <w:pPr>
              <w:kinsoku w:val="0"/>
              <w:overflowPunct w:val="0"/>
              <w:autoSpaceDE w:val="0"/>
              <w:autoSpaceDN w:val="0"/>
              <w:adjustRightInd w:val="0"/>
              <w:spacing w:before="20" w:after="20"/>
              <w:ind w:left="97"/>
              <w:jc w:val="left"/>
              <w:rPr>
                <w:rFonts w:eastAsia="Times New Roman"/>
                <w:szCs w:val="17"/>
              </w:rPr>
            </w:pPr>
            <w:r w:rsidRPr="00DF7C60">
              <w:rPr>
                <w:rFonts w:eastAsia="Times New Roman"/>
                <w:w w:val="105"/>
                <w:szCs w:val="17"/>
              </w:rPr>
              <w:t>Attendance</w:t>
            </w:r>
            <w:r w:rsidRPr="00DF7C60">
              <w:rPr>
                <w:rFonts w:eastAsia="Times New Roman"/>
                <w:spacing w:val="-10"/>
                <w:w w:val="105"/>
                <w:szCs w:val="17"/>
              </w:rPr>
              <w:t xml:space="preserve"> </w:t>
            </w:r>
            <w:r w:rsidRPr="00DF7C60">
              <w:rPr>
                <w:rFonts w:eastAsia="Times New Roman"/>
                <w:w w:val="105"/>
                <w:szCs w:val="17"/>
              </w:rPr>
              <w:t>at</w:t>
            </w:r>
            <w:r w:rsidRPr="00DF7C60">
              <w:rPr>
                <w:rFonts w:eastAsia="Times New Roman"/>
                <w:spacing w:val="-9"/>
                <w:w w:val="105"/>
                <w:szCs w:val="17"/>
              </w:rPr>
              <w:t xml:space="preserve"> </w:t>
            </w:r>
            <w:r w:rsidRPr="00DF7C60">
              <w:rPr>
                <w:rFonts w:eastAsia="Times New Roman"/>
                <w:w w:val="105"/>
                <w:szCs w:val="17"/>
              </w:rPr>
              <w:t>hearing</w:t>
            </w:r>
            <w:r w:rsidRPr="00DF7C60">
              <w:rPr>
                <w:rFonts w:eastAsia="Times New Roman"/>
                <w:spacing w:val="-9"/>
                <w:w w:val="105"/>
                <w:szCs w:val="17"/>
              </w:rPr>
              <w:t xml:space="preserve"> </w:t>
            </w:r>
            <w:r w:rsidRPr="00DF7C60">
              <w:rPr>
                <w:rFonts w:eastAsia="Times New Roman"/>
                <w:w w:val="105"/>
                <w:szCs w:val="17"/>
              </w:rPr>
              <w:t>(see</w:t>
            </w:r>
            <w:r w:rsidRPr="00DF7C60">
              <w:rPr>
                <w:rFonts w:eastAsia="Times New Roman"/>
                <w:spacing w:val="-11"/>
                <w:w w:val="105"/>
                <w:szCs w:val="17"/>
              </w:rPr>
              <w:t xml:space="preserve"> </w:t>
            </w:r>
            <w:r w:rsidRPr="00DF7C60">
              <w:rPr>
                <w:rFonts w:eastAsia="Times New Roman"/>
                <w:w w:val="105"/>
                <w:szCs w:val="17"/>
              </w:rPr>
              <w:t>note</w:t>
            </w:r>
            <w:r w:rsidRPr="00DF7C60">
              <w:rPr>
                <w:rFonts w:eastAsia="Times New Roman"/>
                <w:spacing w:val="-9"/>
                <w:w w:val="105"/>
                <w:szCs w:val="17"/>
              </w:rPr>
              <w:t xml:space="preserve"> </w:t>
            </w:r>
            <w:r w:rsidRPr="00DF7C60">
              <w:rPr>
                <w:rFonts w:eastAsia="Times New Roman"/>
                <w:w w:val="105"/>
                <w:szCs w:val="17"/>
              </w:rPr>
              <w:t>2</w:t>
            </w:r>
            <w:r w:rsidRPr="00DF7C60">
              <w:rPr>
                <w:rFonts w:eastAsia="Times New Roman"/>
                <w:spacing w:val="-8"/>
                <w:w w:val="105"/>
                <w:szCs w:val="17"/>
              </w:rPr>
              <w:t xml:space="preserve"> </w:t>
            </w:r>
            <w:r w:rsidRPr="00DF7C60">
              <w:rPr>
                <w:rFonts w:eastAsia="Times New Roman"/>
                <w:w w:val="105"/>
                <w:szCs w:val="17"/>
              </w:rPr>
              <w:t>above)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27FE03D"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5"/>
                <w:szCs w:val="17"/>
              </w:rPr>
              <w:t>$120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CA5023" w14:textId="77777777" w:rsidR="00DF7C60" w:rsidRPr="00DF7C60" w:rsidRDefault="00DF7C60" w:rsidP="00DF7C60">
            <w:pPr>
              <w:kinsoku w:val="0"/>
              <w:overflowPunct w:val="0"/>
              <w:autoSpaceDE w:val="0"/>
              <w:autoSpaceDN w:val="0"/>
              <w:adjustRightInd w:val="0"/>
              <w:spacing w:before="20" w:after="20"/>
              <w:ind w:left="1"/>
              <w:jc w:val="center"/>
              <w:rPr>
                <w:rFonts w:eastAsia="Times New Roman"/>
                <w:szCs w:val="17"/>
              </w:rPr>
            </w:pPr>
            <w:r w:rsidRPr="00DF7C60">
              <w:rPr>
                <w:rFonts w:eastAsia="Times New Roman"/>
                <w:w w:val="105"/>
                <w:szCs w:val="17"/>
              </w:rPr>
              <w:t>$40</w:t>
            </w:r>
          </w:p>
        </w:tc>
      </w:tr>
      <w:tr w:rsidR="00DF7C60" w:rsidRPr="00DF7C60" w14:paraId="0C3DC391" w14:textId="77777777" w:rsidTr="0012134E">
        <w:trPr>
          <w:trHeight w:hRule="exact" w:val="571"/>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7B3BD519"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5</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416B1C17" w14:textId="77777777" w:rsidR="00DF7C60" w:rsidRPr="00DF7C60" w:rsidRDefault="00DF7C60" w:rsidP="00DF7C60">
            <w:pPr>
              <w:kinsoku w:val="0"/>
              <w:overflowPunct w:val="0"/>
              <w:autoSpaceDE w:val="0"/>
              <w:autoSpaceDN w:val="0"/>
              <w:adjustRightInd w:val="0"/>
              <w:spacing w:before="20" w:after="20"/>
              <w:ind w:left="97" w:right="535" w:hanging="1"/>
              <w:jc w:val="left"/>
              <w:rPr>
                <w:rFonts w:eastAsia="Times New Roman"/>
                <w:szCs w:val="17"/>
              </w:rPr>
            </w:pPr>
            <w:r w:rsidRPr="00DF7C60">
              <w:rPr>
                <w:rFonts w:eastAsia="Times New Roman"/>
                <w:w w:val="105"/>
                <w:szCs w:val="17"/>
              </w:rPr>
              <w:t>Attendance</w:t>
            </w:r>
            <w:r w:rsidRPr="00DF7C60">
              <w:rPr>
                <w:rFonts w:eastAsia="Times New Roman"/>
                <w:spacing w:val="-23"/>
                <w:w w:val="105"/>
                <w:szCs w:val="17"/>
              </w:rPr>
              <w:t xml:space="preserve"> </w:t>
            </w:r>
            <w:r w:rsidRPr="00DF7C60">
              <w:rPr>
                <w:rFonts w:eastAsia="Times New Roman"/>
                <w:w w:val="105"/>
                <w:szCs w:val="17"/>
              </w:rPr>
              <w:t>where</w:t>
            </w:r>
            <w:r w:rsidRPr="00DF7C60">
              <w:rPr>
                <w:rFonts w:eastAsia="Times New Roman"/>
                <w:spacing w:val="-24"/>
                <w:w w:val="105"/>
                <w:szCs w:val="17"/>
              </w:rPr>
              <w:t xml:space="preserve"> </w:t>
            </w:r>
            <w:r w:rsidRPr="00DF7C60">
              <w:rPr>
                <w:rFonts w:eastAsia="Times New Roman"/>
                <w:w w:val="105"/>
                <w:szCs w:val="17"/>
              </w:rPr>
              <w:t>detailed</w:t>
            </w:r>
            <w:r w:rsidRPr="00DF7C60">
              <w:rPr>
                <w:rFonts w:eastAsia="Times New Roman"/>
                <w:spacing w:val="-22"/>
                <w:w w:val="105"/>
                <w:szCs w:val="17"/>
              </w:rPr>
              <w:t xml:space="preserve"> </w:t>
            </w:r>
            <w:r w:rsidRPr="00DF7C60">
              <w:rPr>
                <w:rFonts w:eastAsia="Times New Roman"/>
                <w:w w:val="105"/>
                <w:szCs w:val="17"/>
              </w:rPr>
              <w:t>argument</w:t>
            </w:r>
            <w:r w:rsidRPr="00DF7C60">
              <w:rPr>
                <w:rFonts w:eastAsia="Times New Roman"/>
                <w:spacing w:val="-23"/>
                <w:w w:val="105"/>
                <w:szCs w:val="17"/>
              </w:rPr>
              <w:t xml:space="preserve"> </w:t>
            </w:r>
            <w:r w:rsidRPr="00DF7C60">
              <w:rPr>
                <w:rFonts w:eastAsia="Times New Roman"/>
                <w:w w:val="105"/>
                <w:szCs w:val="17"/>
              </w:rPr>
              <w:t>is</w:t>
            </w:r>
            <w:r w:rsidRPr="00DF7C60">
              <w:rPr>
                <w:rFonts w:eastAsia="Times New Roman"/>
                <w:spacing w:val="-1"/>
                <w:w w:val="102"/>
                <w:szCs w:val="17"/>
              </w:rPr>
              <w:t xml:space="preserve"> </w:t>
            </w:r>
            <w:r w:rsidRPr="00DF7C60">
              <w:rPr>
                <w:rFonts w:eastAsia="Times New Roman"/>
                <w:w w:val="105"/>
                <w:szCs w:val="17"/>
              </w:rPr>
              <w:t>necessary (see note 2</w:t>
            </w:r>
            <w:r w:rsidRPr="00DF7C60">
              <w:rPr>
                <w:rFonts w:eastAsia="Times New Roman"/>
                <w:spacing w:val="-18"/>
                <w:w w:val="105"/>
                <w:szCs w:val="17"/>
              </w:rPr>
              <w:t xml:space="preserve"> </w:t>
            </w:r>
            <w:r w:rsidRPr="00DF7C60">
              <w:rPr>
                <w:rFonts w:eastAsia="Times New Roman"/>
                <w:w w:val="105"/>
                <w:szCs w:val="17"/>
              </w:rPr>
              <w:t>above)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216982"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$20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DD9812F"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$50</w:t>
            </w:r>
          </w:p>
        </w:tc>
      </w:tr>
      <w:tr w:rsidR="00DF7C60" w:rsidRPr="00DF7C60" w14:paraId="55C39B7F" w14:textId="77777777" w:rsidTr="0012134E">
        <w:trPr>
          <w:trHeight w:hRule="exact" w:val="993"/>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38843CD6"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lastRenderedPageBreak/>
              <w:t>6</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441EA932" w14:textId="77777777" w:rsidR="00DF7C60" w:rsidRPr="00DF7C60" w:rsidRDefault="00DF7C60" w:rsidP="00DF7C60">
            <w:pPr>
              <w:kinsoku w:val="0"/>
              <w:overflowPunct w:val="0"/>
              <w:autoSpaceDE w:val="0"/>
              <w:autoSpaceDN w:val="0"/>
              <w:adjustRightInd w:val="0"/>
              <w:spacing w:before="20" w:after="20"/>
              <w:ind w:left="97" w:right="182" w:hanging="1"/>
              <w:jc w:val="left"/>
              <w:rPr>
                <w:rFonts w:eastAsia="Times New Roman"/>
                <w:szCs w:val="17"/>
              </w:rPr>
            </w:pPr>
            <w:r w:rsidRPr="00DF7C60">
              <w:rPr>
                <w:rFonts w:eastAsia="Times New Roman"/>
                <w:w w:val="105"/>
                <w:szCs w:val="17"/>
              </w:rPr>
              <w:t>Arranging attendance of</w:t>
            </w:r>
            <w:r w:rsidRPr="00DF7C60">
              <w:rPr>
                <w:rFonts w:eastAsia="Times New Roman"/>
                <w:spacing w:val="-20"/>
                <w:w w:val="105"/>
                <w:szCs w:val="17"/>
              </w:rPr>
              <w:t xml:space="preserve"> </w:t>
            </w:r>
            <w:r w:rsidRPr="00DF7C60">
              <w:rPr>
                <w:rFonts w:eastAsia="Times New Roman"/>
                <w:w w:val="105"/>
                <w:szCs w:val="17"/>
              </w:rPr>
              <w:t>witnesses</w:t>
            </w:r>
            <w:r w:rsidRPr="00DF7C60">
              <w:rPr>
                <w:rFonts w:eastAsia="Times New Roman"/>
                <w:spacing w:val="-1"/>
                <w:w w:val="102"/>
                <w:szCs w:val="17"/>
              </w:rPr>
              <w:t xml:space="preserve"> </w:t>
            </w:r>
            <w:r w:rsidRPr="00DF7C60">
              <w:rPr>
                <w:rFonts w:eastAsia="Times New Roman"/>
                <w:w w:val="105"/>
                <w:szCs w:val="17"/>
              </w:rPr>
              <w:t>(including</w:t>
            </w:r>
            <w:r w:rsidRPr="00DF7C60">
              <w:rPr>
                <w:rFonts w:eastAsia="Times New Roman"/>
                <w:spacing w:val="-16"/>
                <w:w w:val="105"/>
                <w:szCs w:val="17"/>
              </w:rPr>
              <w:t xml:space="preserve"> </w:t>
            </w:r>
            <w:r w:rsidRPr="00DF7C60">
              <w:rPr>
                <w:rFonts w:eastAsia="Times New Roman"/>
                <w:w w:val="105"/>
                <w:szCs w:val="17"/>
              </w:rPr>
              <w:t>issue</w:t>
            </w:r>
            <w:r w:rsidRPr="00DF7C60">
              <w:rPr>
                <w:rFonts w:eastAsia="Times New Roman"/>
                <w:spacing w:val="-18"/>
                <w:w w:val="105"/>
                <w:szCs w:val="17"/>
              </w:rPr>
              <w:t xml:space="preserve"> </w:t>
            </w:r>
            <w:r w:rsidRPr="00DF7C60">
              <w:rPr>
                <w:rFonts w:eastAsia="Times New Roman"/>
                <w:w w:val="105"/>
                <w:szCs w:val="17"/>
              </w:rPr>
              <w:t>and</w:t>
            </w:r>
            <w:r w:rsidRPr="00DF7C60">
              <w:rPr>
                <w:rFonts w:eastAsia="Times New Roman"/>
                <w:spacing w:val="-18"/>
                <w:w w:val="105"/>
                <w:szCs w:val="17"/>
              </w:rPr>
              <w:t xml:space="preserve"> </w:t>
            </w:r>
            <w:r w:rsidRPr="00DF7C60">
              <w:rPr>
                <w:rFonts w:eastAsia="Times New Roman"/>
                <w:w w:val="105"/>
                <w:szCs w:val="17"/>
              </w:rPr>
              <w:t>service</w:t>
            </w:r>
            <w:r w:rsidRPr="00DF7C60">
              <w:rPr>
                <w:rFonts w:eastAsia="Times New Roman"/>
                <w:spacing w:val="-19"/>
                <w:w w:val="105"/>
                <w:szCs w:val="17"/>
              </w:rPr>
              <w:t xml:space="preserve"> </w:t>
            </w:r>
            <w:r w:rsidRPr="00DF7C60">
              <w:rPr>
                <w:rFonts w:eastAsia="Times New Roman"/>
                <w:w w:val="105"/>
                <w:szCs w:val="17"/>
              </w:rPr>
              <w:t>of</w:t>
            </w:r>
            <w:r w:rsidRPr="00DF7C60">
              <w:rPr>
                <w:rFonts w:eastAsia="Times New Roman"/>
                <w:spacing w:val="-18"/>
                <w:w w:val="105"/>
                <w:szCs w:val="17"/>
              </w:rPr>
              <w:t xml:space="preserve"> </w:t>
            </w:r>
            <w:r w:rsidRPr="00DF7C60">
              <w:rPr>
                <w:rFonts w:eastAsia="Times New Roman"/>
                <w:w w:val="105"/>
                <w:szCs w:val="17"/>
              </w:rPr>
              <w:t>summons</w:t>
            </w:r>
            <w:r w:rsidRPr="00DF7C60">
              <w:rPr>
                <w:rFonts w:eastAsia="Times New Roman"/>
                <w:spacing w:val="-18"/>
                <w:w w:val="105"/>
                <w:szCs w:val="17"/>
              </w:rPr>
              <w:t xml:space="preserve"> </w:t>
            </w:r>
            <w:r w:rsidRPr="00DF7C60">
              <w:rPr>
                <w:rFonts w:eastAsia="Times New Roman"/>
                <w:w w:val="105"/>
                <w:szCs w:val="17"/>
              </w:rPr>
              <w:t>if</w:t>
            </w:r>
            <w:r w:rsidRPr="00DF7C60">
              <w:rPr>
                <w:rFonts w:eastAsia="Times New Roman"/>
                <w:spacing w:val="-1"/>
                <w:w w:val="102"/>
                <w:szCs w:val="17"/>
              </w:rPr>
              <w:t xml:space="preserve"> </w:t>
            </w:r>
            <w:r w:rsidRPr="00DF7C60">
              <w:rPr>
                <w:rFonts w:eastAsia="Times New Roman"/>
                <w:w w:val="105"/>
                <w:szCs w:val="17"/>
              </w:rPr>
              <w:t>necessary) - per</w:t>
            </w:r>
            <w:r w:rsidRPr="00DF7C60">
              <w:rPr>
                <w:rFonts w:eastAsia="Times New Roman"/>
                <w:spacing w:val="-11"/>
                <w:w w:val="105"/>
                <w:szCs w:val="17"/>
              </w:rPr>
              <w:t xml:space="preserve"> </w:t>
            </w:r>
            <w:r w:rsidRPr="00DF7C60">
              <w:rPr>
                <w:rFonts w:eastAsia="Times New Roman"/>
                <w:w w:val="105"/>
                <w:szCs w:val="17"/>
              </w:rPr>
              <w:t>witness</w:t>
            </w:r>
          </w:p>
        </w:tc>
        <w:tc>
          <w:tcPr>
            <w:tcW w:w="1701" w:type="dxa"/>
            <w:tcBorders>
              <w:top w:val="single" w:sz="4" w:space="0" w:color="000000"/>
              <w:left w:val="single" w:sz="4" w:space="0" w:color="000000"/>
              <w:bottom w:val="single" w:sz="4" w:space="0" w:color="000000"/>
              <w:right w:val="single" w:sz="4" w:space="0" w:color="000000"/>
            </w:tcBorders>
            <w:vAlign w:val="center"/>
          </w:tcPr>
          <w:p w14:paraId="674DB9A1"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p>
          <w:p w14:paraId="2BD746DB"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$110</w:t>
            </w:r>
          </w:p>
        </w:tc>
        <w:tc>
          <w:tcPr>
            <w:tcW w:w="1701" w:type="dxa"/>
            <w:tcBorders>
              <w:top w:val="single" w:sz="4" w:space="0" w:color="000000"/>
              <w:left w:val="single" w:sz="4" w:space="0" w:color="000000"/>
              <w:bottom w:val="single" w:sz="4" w:space="0" w:color="000000"/>
              <w:right w:val="single" w:sz="4" w:space="0" w:color="000000"/>
            </w:tcBorders>
            <w:vAlign w:val="center"/>
          </w:tcPr>
          <w:p w14:paraId="7CC61293" w14:textId="77777777" w:rsidR="00DF7C60" w:rsidRPr="00DF7C60" w:rsidRDefault="00DF7C60" w:rsidP="00DF7C60">
            <w:pPr>
              <w:autoSpaceDE w:val="0"/>
              <w:autoSpaceDN w:val="0"/>
              <w:adjustRightInd w:val="0"/>
              <w:spacing w:before="20" w:after="20"/>
              <w:jc w:val="center"/>
              <w:rPr>
                <w:rFonts w:eastAsia="Times New Roman"/>
                <w:szCs w:val="17"/>
              </w:rPr>
            </w:pPr>
          </w:p>
        </w:tc>
      </w:tr>
      <w:tr w:rsidR="00DF7C60" w:rsidRPr="00DF7C60" w14:paraId="3520F049" w14:textId="77777777" w:rsidTr="0012134E">
        <w:trPr>
          <w:trHeight w:hRule="exact" w:val="395"/>
        </w:trPr>
        <w:tc>
          <w:tcPr>
            <w:tcW w:w="537" w:type="dxa"/>
            <w:tcBorders>
              <w:top w:val="single" w:sz="4" w:space="0" w:color="000000"/>
              <w:left w:val="single" w:sz="4" w:space="0" w:color="000000"/>
              <w:bottom w:val="single" w:sz="4" w:space="0" w:color="000000"/>
              <w:right w:val="single" w:sz="4" w:space="0" w:color="000000"/>
            </w:tcBorders>
            <w:vAlign w:val="center"/>
          </w:tcPr>
          <w:p w14:paraId="4C3127FC" w14:textId="77777777" w:rsidR="00DF7C60" w:rsidRPr="00DF7C60" w:rsidRDefault="00DF7C60" w:rsidP="00DF7C60">
            <w:pPr>
              <w:autoSpaceDE w:val="0"/>
              <w:autoSpaceDN w:val="0"/>
              <w:adjustRightInd w:val="0"/>
              <w:spacing w:before="20" w:after="20"/>
              <w:jc w:val="center"/>
              <w:rPr>
                <w:rFonts w:eastAsia="Times New Roman"/>
                <w:szCs w:val="17"/>
              </w:rPr>
            </w:pPr>
          </w:p>
        </w:tc>
        <w:tc>
          <w:tcPr>
            <w:tcW w:w="7865" w:type="dxa"/>
            <w:gridSpan w:val="3"/>
            <w:tcBorders>
              <w:top w:val="single" w:sz="4" w:space="0" w:color="000000"/>
              <w:left w:val="single" w:sz="4" w:space="0" w:color="000000"/>
              <w:bottom w:val="single" w:sz="4" w:space="0" w:color="000000"/>
              <w:right w:val="single" w:sz="4" w:space="0" w:color="000000"/>
            </w:tcBorders>
            <w:vAlign w:val="center"/>
            <w:hideMark/>
          </w:tcPr>
          <w:p w14:paraId="14D7C804" w14:textId="77777777" w:rsidR="00DF7C60" w:rsidRPr="00DF7C60" w:rsidRDefault="00DF7C60" w:rsidP="00DF7C60">
            <w:pPr>
              <w:kinsoku w:val="0"/>
              <w:overflowPunct w:val="0"/>
              <w:autoSpaceDE w:val="0"/>
              <w:autoSpaceDN w:val="0"/>
              <w:adjustRightInd w:val="0"/>
              <w:spacing w:before="20" w:after="20"/>
              <w:ind w:left="153"/>
              <w:jc w:val="left"/>
              <w:rPr>
                <w:rFonts w:eastAsia="Times New Roman"/>
                <w:szCs w:val="17"/>
              </w:rPr>
            </w:pPr>
            <w:r w:rsidRPr="00DF7C60">
              <w:rPr>
                <w:rFonts w:eastAsia="Times New Roman"/>
                <w:b/>
                <w:bCs/>
                <w:w w:val="105"/>
                <w:szCs w:val="17"/>
              </w:rPr>
              <w:t>Counsel</w:t>
            </w:r>
            <w:r w:rsidRPr="00DF7C60">
              <w:rPr>
                <w:rFonts w:eastAsia="Times New Roman"/>
                <w:b/>
                <w:bCs/>
                <w:spacing w:val="-4"/>
                <w:w w:val="105"/>
                <w:szCs w:val="17"/>
              </w:rPr>
              <w:t xml:space="preserve"> </w:t>
            </w:r>
            <w:r w:rsidRPr="00DF7C60">
              <w:rPr>
                <w:rFonts w:eastAsia="Times New Roman"/>
                <w:b/>
                <w:bCs/>
                <w:w w:val="105"/>
                <w:szCs w:val="17"/>
              </w:rPr>
              <w:t>fees</w:t>
            </w:r>
          </w:p>
        </w:tc>
      </w:tr>
      <w:tr w:rsidR="00DF7C60" w:rsidRPr="00DF7C60" w14:paraId="1FBD4925" w14:textId="77777777" w:rsidTr="0012134E">
        <w:trPr>
          <w:trHeight w:hRule="exact" w:val="557"/>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4BAEE827"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7</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100CEC86" w14:textId="77777777" w:rsidR="00DF7C60" w:rsidRPr="00DF7C60" w:rsidRDefault="00DF7C60" w:rsidP="00DF7C60">
            <w:pPr>
              <w:kinsoku w:val="0"/>
              <w:overflowPunct w:val="0"/>
              <w:autoSpaceDE w:val="0"/>
              <w:autoSpaceDN w:val="0"/>
              <w:adjustRightInd w:val="0"/>
              <w:spacing w:before="20" w:after="20"/>
              <w:ind w:left="97" w:right="187" w:hanging="1"/>
              <w:jc w:val="left"/>
              <w:rPr>
                <w:rFonts w:eastAsia="Times New Roman"/>
                <w:szCs w:val="17"/>
              </w:rPr>
            </w:pPr>
            <w:r w:rsidRPr="00DF7C60">
              <w:rPr>
                <w:rFonts w:eastAsia="Times New Roman"/>
                <w:w w:val="105"/>
                <w:szCs w:val="17"/>
              </w:rPr>
              <w:t>Fee</w:t>
            </w:r>
            <w:r w:rsidRPr="00DF7C60">
              <w:rPr>
                <w:rFonts w:eastAsia="Times New Roman"/>
                <w:spacing w:val="-16"/>
                <w:w w:val="105"/>
                <w:szCs w:val="17"/>
              </w:rPr>
              <w:t xml:space="preserve"> </w:t>
            </w:r>
            <w:r w:rsidRPr="00DF7C60">
              <w:rPr>
                <w:rFonts w:eastAsia="Times New Roman"/>
                <w:w w:val="105"/>
                <w:szCs w:val="17"/>
              </w:rPr>
              <w:t>on</w:t>
            </w:r>
            <w:r w:rsidRPr="00DF7C60">
              <w:rPr>
                <w:rFonts w:eastAsia="Times New Roman"/>
                <w:spacing w:val="-16"/>
                <w:w w:val="105"/>
                <w:szCs w:val="17"/>
              </w:rPr>
              <w:t xml:space="preserve"> </w:t>
            </w:r>
            <w:r w:rsidRPr="00DF7C60">
              <w:rPr>
                <w:rFonts w:eastAsia="Times New Roman"/>
                <w:w w:val="105"/>
                <w:szCs w:val="17"/>
              </w:rPr>
              <w:t>brief,</w:t>
            </w:r>
            <w:r w:rsidRPr="00DF7C60">
              <w:rPr>
                <w:rFonts w:eastAsia="Times New Roman"/>
                <w:spacing w:val="-16"/>
                <w:w w:val="105"/>
                <w:szCs w:val="17"/>
              </w:rPr>
              <w:t xml:space="preserve"> </w:t>
            </w:r>
            <w:r w:rsidRPr="00DF7C60">
              <w:rPr>
                <w:rFonts w:eastAsia="Times New Roman"/>
                <w:w w:val="105"/>
                <w:szCs w:val="17"/>
              </w:rPr>
              <w:t>to</w:t>
            </w:r>
            <w:r w:rsidRPr="00DF7C60">
              <w:rPr>
                <w:rFonts w:eastAsia="Times New Roman"/>
                <w:spacing w:val="-16"/>
                <w:w w:val="105"/>
                <w:szCs w:val="17"/>
              </w:rPr>
              <w:t xml:space="preserve"> </w:t>
            </w:r>
            <w:r w:rsidRPr="00DF7C60">
              <w:rPr>
                <w:rFonts w:eastAsia="Times New Roman"/>
                <w:w w:val="105"/>
                <w:szCs w:val="17"/>
              </w:rPr>
              <w:t>include</w:t>
            </w:r>
            <w:r w:rsidRPr="00DF7C60">
              <w:rPr>
                <w:rFonts w:eastAsia="Times New Roman"/>
                <w:spacing w:val="-15"/>
                <w:w w:val="105"/>
                <w:szCs w:val="17"/>
              </w:rPr>
              <w:t xml:space="preserve"> </w:t>
            </w:r>
            <w:r w:rsidRPr="00DF7C60">
              <w:rPr>
                <w:rFonts w:eastAsia="Times New Roman"/>
                <w:w w:val="105"/>
                <w:szCs w:val="17"/>
              </w:rPr>
              <w:t>attendance</w:t>
            </w:r>
            <w:r w:rsidRPr="00DF7C60">
              <w:rPr>
                <w:rFonts w:eastAsia="Times New Roman"/>
                <w:spacing w:val="-16"/>
                <w:w w:val="105"/>
                <w:szCs w:val="17"/>
              </w:rPr>
              <w:t xml:space="preserve"> </w:t>
            </w:r>
            <w:r w:rsidRPr="00DF7C60">
              <w:rPr>
                <w:rFonts w:eastAsia="Times New Roman"/>
                <w:w w:val="105"/>
                <w:szCs w:val="17"/>
              </w:rPr>
              <w:t>for</w:t>
            </w:r>
            <w:r w:rsidRPr="00DF7C60">
              <w:rPr>
                <w:rFonts w:eastAsia="Times New Roman"/>
                <w:spacing w:val="-16"/>
                <w:w w:val="105"/>
                <w:szCs w:val="17"/>
              </w:rPr>
              <w:t xml:space="preserve"> </w:t>
            </w:r>
            <w:r w:rsidRPr="00DF7C60">
              <w:rPr>
                <w:rFonts w:eastAsia="Times New Roman"/>
                <w:w w:val="105"/>
                <w:szCs w:val="17"/>
              </w:rPr>
              <w:t>plea</w:t>
            </w:r>
            <w:r w:rsidRPr="00DF7C60">
              <w:rPr>
                <w:rFonts w:eastAsia="Times New Roman"/>
                <w:spacing w:val="-1"/>
                <w:w w:val="102"/>
                <w:szCs w:val="17"/>
              </w:rPr>
              <w:t xml:space="preserve"> </w:t>
            </w:r>
            <w:r w:rsidRPr="00DF7C60">
              <w:rPr>
                <w:rFonts w:eastAsia="Times New Roman"/>
                <w:w w:val="105"/>
                <w:szCs w:val="17"/>
              </w:rPr>
              <w:t>or</w:t>
            </w:r>
            <w:r w:rsidRPr="00DF7C60">
              <w:rPr>
                <w:rFonts w:eastAsia="Times New Roman"/>
                <w:spacing w:val="-18"/>
                <w:w w:val="105"/>
                <w:szCs w:val="17"/>
              </w:rPr>
              <w:t xml:space="preserve"> </w:t>
            </w:r>
            <w:r w:rsidRPr="00DF7C60">
              <w:rPr>
                <w:rFonts w:eastAsia="Times New Roman"/>
                <w:w w:val="105"/>
                <w:szCs w:val="17"/>
              </w:rPr>
              <w:t>withdrawal</w:t>
            </w:r>
            <w:r w:rsidRPr="00DF7C60">
              <w:rPr>
                <w:rFonts w:eastAsia="Times New Roman"/>
                <w:spacing w:val="-18"/>
                <w:w w:val="105"/>
                <w:szCs w:val="17"/>
              </w:rPr>
              <w:t xml:space="preserve"> </w:t>
            </w:r>
            <w:r w:rsidRPr="00DF7C60">
              <w:rPr>
                <w:rFonts w:eastAsia="Times New Roman"/>
                <w:w w:val="105"/>
                <w:szCs w:val="17"/>
              </w:rPr>
              <w:t>(if</w:t>
            </w:r>
            <w:r w:rsidRPr="00DF7C60">
              <w:rPr>
                <w:rFonts w:eastAsia="Times New Roman"/>
                <w:spacing w:val="-18"/>
                <w:w w:val="105"/>
                <w:szCs w:val="17"/>
              </w:rPr>
              <w:t xml:space="preserve"> </w:t>
            </w:r>
            <w:r w:rsidRPr="00DF7C60">
              <w:rPr>
                <w:rFonts w:eastAsia="Times New Roman"/>
                <w:w w:val="105"/>
                <w:szCs w:val="17"/>
              </w:rPr>
              <w:t>separate</w:t>
            </w:r>
            <w:r w:rsidRPr="00DF7C60">
              <w:rPr>
                <w:rFonts w:eastAsia="Times New Roman"/>
                <w:spacing w:val="-19"/>
                <w:w w:val="105"/>
                <w:szCs w:val="17"/>
              </w:rPr>
              <w:t xml:space="preserve"> </w:t>
            </w:r>
            <w:r w:rsidRPr="00DF7C60">
              <w:rPr>
                <w:rFonts w:eastAsia="Times New Roman"/>
                <w:w w:val="105"/>
                <w:szCs w:val="17"/>
              </w:rPr>
              <w:t>counsel</w:t>
            </w:r>
            <w:r w:rsidRPr="00DF7C60">
              <w:rPr>
                <w:rFonts w:eastAsia="Times New Roman"/>
                <w:spacing w:val="-18"/>
                <w:w w:val="105"/>
                <w:szCs w:val="17"/>
              </w:rPr>
              <w:t xml:space="preserve"> </w:t>
            </w:r>
            <w:r w:rsidRPr="00DF7C60">
              <w:rPr>
                <w:rFonts w:eastAsia="Times New Roman"/>
                <w:w w:val="105"/>
                <w:szCs w:val="17"/>
              </w:rPr>
              <w:t>briefed)</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ADA87AD"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$1,100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C93DE21"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$280</w:t>
            </w:r>
          </w:p>
        </w:tc>
      </w:tr>
      <w:tr w:rsidR="00DF7C60" w:rsidRPr="00DF7C60" w14:paraId="00861C14" w14:textId="77777777" w:rsidTr="0012134E">
        <w:trPr>
          <w:trHeight w:hRule="exact" w:val="432"/>
        </w:trPr>
        <w:tc>
          <w:tcPr>
            <w:tcW w:w="537" w:type="dxa"/>
            <w:tcBorders>
              <w:top w:val="single" w:sz="4" w:space="0" w:color="000000"/>
              <w:left w:val="single" w:sz="4" w:space="0" w:color="000000"/>
              <w:bottom w:val="single" w:sz="4" w:space="0" w:color="000000"/>
              <w:right w:val="single" w:sz="4" w:space="0" w:color="000000"/>
            </w:tcBorders>
            <w:vAlign w:val="center"/>
            <w:hideMark/>
          </w:tcPr>
          <w:p w14:paraId="3BABC9E9" w14:textId="77777777" w:rsidR="00DF7C60" w:rsidRPr="00DF7C60" w:rsidRDefault="00DF7C60" w:rsidP="00DF7C60">
            <w:pPr>
              <w:kinsoku w:val="0"/>
              <w:overflowPunct w:val="0"/>
              <w:autoSpaceDE w:val="0"/>
              <w:autoSpaceDN w:val="0"/>
              <w:adjustRightInd w:val="0"/>
              <w:spacing w:before="20" w:after="20"/>
              <w:jc w:val="center"/>
              <w:rPr>
                <w:rFonts w:eastAsia="Times New Roman"/>
                <w:szCs w:val="17"/>
              </w:rPr>
            </w:pPr>
            <w:r w:rsidRPr="00DF7C60">
              <w:rPr>
                <w:rFonts w:eastAsia="Times New Roman"/>
                <w:w w:val="102"/>
                <w:szCs w:val="17"/>
              </w:rPr>
              <w:t>8</w:t>
            </w:r>
          </w:p>
        </w:tc>
        <w:tc>
          <w:tcPr>
            <w:tcW w:w="4463" w:type="dxa"/>
            <w:tcBorders>
              <w:top w:val="single" w:sz="4" w:space="0" w:color="000000"/>
              <w:left w:val="single" w:sz="4" w:space="0" w:color="000000"/>
              <w:bottom w:val="single" w:sz="4" w:space="0" w:color="000000"/>
              <w:right w:val="single" w:sz="4" w:space="0" w:color="000000"/>
            </w:tcBorders>
            <w:vAlign w:val="center"/>
            <w:hideMark/>
          </w:tcPr>
          <w:p w14:paraId="486DD5B2" w14:textId="77777777" w:rsidR="00DF7C60" w:rsidRPr="00DF7C60" w:rsidRDefault="00DF7C60" w:rsidP="00DF7C60">
            <w:pPr>
              <w:kinsoku w:val="0"/>
              <w:overflowPunct w:val="0"/>
              <w:autoSpaceDE w:val="0"/>
              <w:autoSpaceDN w:val="0"/>
              <w:adjustRightInd w:val="0"/>
              <w:spacing w:before="20" w:after="20"/>
              <w:ind w:left="97"/>
              <w:jc w:val="left"/>
              <w:rPr>
                <w:rFonts w:eastAsia="Times New Roman"/>
                <w:szCs w:val="17"/>
              </w:rPr>
            </w:pPr>
            <w:r w:rsidRPr="00DF7C60">
              <w:rPr>
                <w:rFonts w:eastAsia="Times New Roman"/>
                <w:w w:val="105"/>
                <w:szCs w:val="17"/>
              </w:rPr>
              <w:t>Each</w:t>
            </w:r>
            <w:r w:rsidRPr="00DF7C60">
              <w:rPr>
                <w:rFonts w:eastAsia="Times New Roman"/>
                <w:spacing w:val="-2"/>
                <w:w w:val="105"/>
                <w:szCs w:val="17"/>
              </w:rPr>
              <w:t xml:space="preserve"> </w:t>
            </w:r>
            <w:r w:rsidRPr="00DF7C60">
              <w:rPr>
                <w:rFonts w:eastAsia="Times New Roman"/>
                <w:w w:val="105"/>
                <w:szCs w:val="17"/>
              </w:rPr>
              <w:t>day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ABF6A4" w14:textId="77777777" w:rsidR="00DF7C60" w:rsidRPr="00DF7C60" w:rsidRDefault="00DF7C60" w:rsidP="00DF7C60">
            <w:pPr>
              <w:kinsoku w:val="0"/>
              <w:overflowPunct w:val="0"/>
              <w:autoSpaceDE w:val="0"/>
              <w:autoSpaceDN w:val="0"/>
              <w:adjustRightInd w:val="0"/>
              <w:spacing w:before="20" w:after="20"/>
              <w:ind w:left="547"/>
              <w:rPr>
                <w:rFonts w:eastAsia="Times New Roman"/>
                <w:szCs w:val="17"/>
              </w:rPr>
            </w:pPr>
            <w:r w:rsidRPr="00DF7C60">
              <w:rPr>
                <w:rFonts w:eastAsia="Times New Roman"/>
                <w:w w:val="105"/>
                <w:szCs w:val="17"/>
              </w:rPr>
              <w:t>$1,650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821B769" w14:textId="77777777" w:rsidR="00DF7C60" w:rsidRPr="00DF7C60" w:rsidRDefault="00DF7C60" w:rsidP="00DF7C60">
            <w:pPr>
              <w:kinsoku w:val="0"/>
              <w:overflowPunct w:val="0"/>
              <w:autoSpaceDE w:val="0"/>
              <w:autoSpaceDN w:val="0"/>
              <w:adjustRightInd w:val="0"/>
              <w:spacing w:before="20" w:after="20"/>
              <w:ind w:right="1"/>
              <w:jc w:val="center"/>
              <w:rPr>
                <w:rFonts w:eastAsia="Times New Roman"/>
                <w:szCs w:val="17"/>
              </w:rPr>
            </w:pPr>
            <w:r w:rsidRPr="00DF7C60">
              <w:rPr>
                <w:rFonts w:eastAsia="Times New Roman"/>
                <w:w w:val="105"/>
                <w:szCs w:val="17"/>
              </w:rPr>
              <w:t>$410</w:t>
            </w:r>
          </w:p>
        </w:tc>
      </w:tr>
    </w:tbl>
    <w:p w14:paraId="33EFD214" w14:textId="77777777" w:rsidR="00DF7C60" w:rsidRPr="00DF7C60" w:rsidRDefault="00DF7C60" w:rsidP="00DF7C60">
      <w:pPr>
        <w:rPr>
          <w:rFonts w:eastAsia="Times New Roman"/>
          <w:szCs w:val="17"/>
        </w:rPr>
      </w:pPr>
    </w:p>
    <w:tbl>
      <w:tblPr>
        <w:tblW w:w="5000" w:type="pct"/>
        <w:tblCellMar>
          <w:left w:w="0" w:type="dxa"/>
          <w:right w:w="0" w:type="dxa"/>
        </w:tblCellMar>
        <w:tblLook w:val="04A0" w:firstRow="1" w:lastRow="0" w:firstColumn="1" w:lastColumn="0" w:noHBand="0" w:noVBand="1"/>
      </w:tblPr>
      <w:tblGrid>
        <w:gridCol w:w="4820"/>
        <w:gridCol w:w="4524"/>
      </w:tblGrid>
      <w:tr w:rsidR="00DF7C60" w:rsidRPr="00DF7C60" w14:paraId="4DE2DA08" w14:textId="77777777" w:rsidTr="0012134E">
        <w:trPr>
          <w:trHeight w:val="285"/>
        </w:trPr>
        <w:tc>
          <w:tcPr>
            <w:tcW w:w="5000" w:type="pct"/>
            <w:gridSpan w:val="2"/>
            <w:tcBorders>
              <w:top w:val="single" w:sz="4" w:space="0" w:color="000000"/>
              <w:left w:val="single" w:sz="4" w:space="0" w:color="000000"/>
              <w:bottom w:val="single" w:sz="4" w:space="0" w:color="000000"/>
              <w:right w:val="single" w:sz="4" w:space="0" w:color="auto"/>
            </w:tcBorders>
            <w:hideMark/>
          </w:tcPr>
          <w:p w14:paraId="125B268E" w14:textId="77777777" w:rsidR="00DF7C60" w:rsidRPr="00DF7C60" w:rsidRDefault="00DF7C60" w:rsidP="00DF7C60">
            <w:pPr>
              <w:kinsoku w:val="0"/>
              <w:overflowPunct w:val="0"/>
              <w:autoSpaceDE w:val="0"/>
              <w:autoSpaceDN w:val="0"/>
              <w:adjustRightInd w:val="0"/>
              <w:spacing w:before="40" w:after="40" w:line="242" w:lineRule="auto"/>
              <w:ind w:left="97" w:right="257" w:firstLine="20"/>
              <w:jc w:val="left"/>
              <w:rPr>
                <w:rFonts w:eastAsia="Times New Roman"/>
                <w:w w:val="105"/>
                <w:szCs w:val="17"/>
              </w:rPr>
            </w:pPr>
            <w:bookmarkStart w:id="5" w:name="_Hlk122437089"/>
            <w:r w:rsidRPr="00DF7C60">
              <w:rPr>
                <w:rFonts w:eastAsia="Times New Roman"/>
                <w:b/>
                <w:bCs/>
                <w:w w:val="105"/>
                <w:szCs w:val="17"/>
              </w:rPr>
              <w:t>Witness</w:t>
            </w:r>
            <w:r w:rsidRPr="00DF7C60">
              <w:rPr>
                <w:rFonts w:eastAsia="Times New Roman"/>
                <w:b/>
                <w:bCs/>
                <w:spacing w:val="-2"/>
                <w:w w:val="105"/>
                <w:szCs w:val="17"/>
              </w:rPr>
              <w:t xml:space="preserve"> </w:t>
            </w:r>
            <w:r w:rsidRPr="00DF7C60">
              <w:rPr>
                <w:rFonts w:eastAsia="Times New Roman"/>
                <w:b/>
                <w:bCs/>
                <w:w w:val="105"/>
                <w:szCs w:val="17"/>
              </w:rPr>
              <w:t>fees</w:t>
            </w:r>
          </w:p>
        </w:tc>
      </w:tr>
      <w:tr w:rsidR="00DF7C60" w:rsidRPr="00DF7C60" w14:paraId="2BE60EC7" w14:textId="77777777" w:rsidTr="0012134E">
        <w:trPr>
          <w:trHeight w:hRule="exact" w:val="788"/>
        </w:trPr>
        <w:tc>
          <w:tcPr>
            <w:tcW w:w="2579" w:type="pct"/>
            <w:tcBorders>
              <w:top w:val="single" w:sz="4" w:space="0" w:color="000000"/>
              <w:left w:val="single" w:sz="4" w:space="0" w:color="000000"/>
              <w:bottom w:val="single" w:sz="4" w:space="0" w:color="000000"/>
              <w:right w:val="single" w:sz="4" w:space="0" w:color="000000"/>
            </w:tcBorders>
            <w:hideMark/>
          </w:tcPr>
          <w:p w14:paraId="12D34F32" w14:textId="77777777" w:rsidR="00DF7C60" w:rsidRPr="00DF7C60" w:rsidRDefault="00DF7C60" w:rsidP="00DF7C60">
            <w:pPr>
              <w:kinsoku w:val="0"/>
              <w:overflowPunct w:val="0"/>
              <w:autoSpaceDE w:val="0"/>
              <w:autoSpaceDN w:val="0"/>
              <w:adjustRightInd w:val="0"/>
              <w:spacing w:before="118" w:after="240" w:line="242" w:lineRule="auto"/>
              <w:ind w:left="97" w:right="650" w:firstLine="20"/>
              <w:jc w:val="left"/>
              <w:rPr>
                <w:rFonts w:eastAsia="Times New Roman"/>
                <w:szCs w:val="17"/>
              </w:rPr>
            </w:pPr>
            <w:r w:rsidRPr="00DF7C60">
              <w:rPr>
                <w:rFonts w:eastAsia="Times New Roman"/>
                <w:w w:val="105"/>
                <w:szCs w:val="17"/>
              </w:rPr>
              <w:t>Professional</w:t>
            </w:r>
            <w:r w:rsidRPr="00DF7C60">
              <w:rPr>
                <w:rFonts w:eastAsia="Times New Roman"/>
                <w:spacing w:val="-20"/>
                <w:w w:val="105"/>
                <w:szCs w:val="17"/>
              </w:rPr>
              <w:t xml:space="preserve"> </w:t>
            </w:r>
            <w:r w:rsidRPr="00DF7C60">
              <w:rPr>
                <w:rFonts w:eastAsia="Times New Roman"/>
                <w:w w:val="105"/>
                <w:szCs w:val="17"/>
              </w:rPr>
              <w:t>scientific</w:t>
            </w:r>
            <w:r w:rsidRPr="00DF7C60">
              <w:rPr>
                <w:rFonts w:eastAsia="Times New Roman"/>
                <w:spacing w:val="-21"/>
                <w:w w:val="105"/>
                <w:szCs w:val="17"/>
              </w:rPr>
              <w:t xml:space="preserve"> </w:t>
            </w:r>
            <w:r w:rsidRPr="00DF7C60">
              <w:rPr>
                <w:rFonts w:eastAsia="Times New Roman"/>
                <w:w w:val="105"/>
                <w:szCs w:val="17"/>
              </w:rPr>
              <w:t>or</w:t>
            </w:r>
            <w:r w:rsidRPr="00DF7C60">
              <w:rPr>
                <w:rFonts w:eastAsia="Times New Roman"/>
                <w:spacing w:val="-18"/>
                <w:w w:val="105"/>
                <w:szCs w:val="17"/>
              </w:rPr>
              <w:t xml:space="preserve"> </w:t>
            </w:r>
            <w:r w:rsidRPr="00DF7C60">
              <w:rPr>
                <w:rFonts w:eastAsia="Times New Roman"/>
                <w:w w:val="105"/>
                <w:szCs w:val="17"/>
              </w:rPr>
              <w:t>other</w:t>
            </w:r>
            <w:r w:rsidRPr="00DF7C60">
              <w:rPr>
                <w:rFonts w:eastAsia="Times New Roman"/>
                <w:spacing w:val="-19"/>
                <w:w w:val="105"/>
                <w:szCs w:val="17"/>
              </w:rPr>
              <w:t xml:space="preserve"> </w:t>
            </w:r>
            <w:r w:rsidRPr="00DF7C60">
              <w:rPr>
                <w:rFonts w:eastAsia="Times New Roman"/>
                <w:w w:val="105"/>
                <w:szCs w:val="17"/>
              </w:rPr>
              <w:t>expert</w:t>
            </w:r>
            <w:r w:rsidRPr="00DF7C60">
              <w:rPr>
                <w:rFonts w:eastAsia="Times New Roman"/>
                <w:w w:val="102"/>
                <w:szCs w:val="17"/>
              </w:rPr>
              <w:t xml:space="preserve"> </w:t>
            </w:r>
            <w:r w:rsidRPr="00DF7C60">
              <w:rPr>
                <w:rFonts w:eastAsia="Times New Roman"/>
                <w:w w:val="105"/>
                <w:szCs w:val="17"/>
              </w:rPr>
              <w:t>witnesses per</w:t>
            </w:r>
            <w:r w:rsidRPr="00DF7C60">
              <w:rPr>
                <w:rFonts w:eastAsia="Times New Roman"/>
                <w:spacing w:val="-6"/>
                <w:w w:val="105"/>
                <w:szCs w:val="17"/>
              </w:rPr>
              <w:t xml:space="preserve"> </w:t>
            </w:r>
            <w:r w:rsidRPr="00DF7C60">
              <w:rPr>
                <w:rFonts w:eastAsia="Times New Roman"/>
                <w:w w:val="105"/>
                <w:szCs w:val="17"/>
              </w:rPr>
              <w:t>day</w:t>
            </w:r>
          </w:p>
        </w:tc>
        <w:tc>
          <w:tcPr>
            <w:tcW w:w="2421" w:type="pct"/>
            <w:tcBorders>
              <w:top w:val="single" w:sz="4" w:space="0" w:color="000000"/>
              <w:left w:val="single" w:sz="4" w:space="0" w:color="000000"/>
              <w:bottom w:val="single" w:sz="4" w:space="0" w:color="000000"/>
              <w:right w:val="single" w:sz="4" w:space="0" w:color="auto"/>
            </w:tcBorders>
            <w:hideMark/>
          </w:tcPr>
          <w:p w14:paraId="4F91EAB5" w14:textId="77777777" w:rsidR="00DF7C60" w:rsidRPr="00DF7C60" w:rsidRDefault="00DF7C60" w:rsidP="00DF7C60">
            <w:pPr>
              <w:kinsoku w:val="0"/>
              <w:overflowPunct w:val="0"/>
              <w:autoSpaceDE w:val="0"/>
              <w:autoSpaceDN w:val="0"/>
              <w:adjustRightInd w:val="0"/>
              <w:spacing w:before="118" w:after="240" w:line="242" w:lineRule="auto"/>
              <w:ind w:left="97" w:right="257" w:firstLine="20"/>
              <w:jc w:val="left"/>
              <w:rPr>
                <w:rFonts w:eastAsia="Times New Roman"/>
                <w:szCs w:val="17"/>
              </w:rPr>
            </w:pPr>
            <w:r w:rsidRPr="00DF7C60">
              <w:rPr>
                <w:rFonts w:eastAsia="Times New Roman"/>
                <w:w w:val="105"/>
                <w:szCs w:val="17"/>
              </w:rPr>
              <w:t>$1,100</w:t>
            </w:r>
            <w:r w:rsidRPr="00DF7C60">
              <w:rPr>
                <w:rFonts w:eastAsia="Times New Roman"/>
                <w:spacing w:val="-15"/>
                <w:w w:val="105"/>
                <w:szCs w:val="17"/>
              </w:rPr>
              <w:t xml:space="preserve"> </w:t>
            </w:r>
            <w:r w:rsidRPr="00DF7C60">
              <w:rPr>
                <w:rFonts w:eastAsia="Times New Roman"/>
                <w:w w:val="105"/>
                <w:szCs w:val="17"/>
              </w:rPr>
              <w:t>or</w:t>
            </w:r>
            <w:r w:rsidRPr="00DF7C60">
              <w:rPr>
                <w:rFonts w:eastAsia="Times New Roman"/>
                <w:spacing w:val="-15"/>
                <w:w w:val="105"/>
                <w:szCs w:val="17"/>
              </w:rPr>
              <w:t xml:space="preserve"> </w:t>
            </w:r>
            <w:r w:rsidRPr="00DF7C60">
              <w:rPr>
                <w:rFonts w:eastAsia="Times New Roman"/>
                <w:w w:val="105"/>
                <w:szCs w:val="17"/>
              </w:rPr>
              <w:t>such</w:t>
            </w:r>
            <w:r w:rsidRPr="00DF7C60">
              <w:rPr>
                <w:rFonts w:eastAsia="Times New Roman"/>
                <w:spacing w:val="-14"/>
                <w:w w:val="105"/>
                <w:szCs w:val="17"/>
              </w:rPr>
              <w:t xml:space="preserve"> </w:t>
            </w:r>
            <w:r w:rsidRPr="00DF7C60">
              <w:rPr>
                <w:rFonts w:eastAsia="Times New Roman"/>
                <w:w w:val="105"/>
                <w:szCs w:val="17"/>
              </w:rPr>
              <w:t>amount</w:t>
            </w:r>
            <w:r w:rsidRPr="00DF7C60">
              <w:rPr>
                <w:rFonts w:eastAsia="Times New Roman"/>
                <w:spacing w:val="-15"/>
                <w:w w:val="105"/>
                <w:szCs w:val="17"/>
              </w:rPr>
              <w:t xml:space="preserve"> </w:t>
            </w:r>
            <w:r w:rsidRPr="00DF7C60">
              <w:rPr>
                <w:rFonts w:eastAsia="Times New Roman"/>
                <w:w w:val="105"/>
                <w:szCs w:val="17"/>
              </w:rPr>
              <w:t>ordered</w:t>
            </w:r>
            <w:r w:rsidRPr="00DF7C60">
              <w:rPr>
                <w:rFonts w:eastAsia="Times New Roman"/>
                <w:spacing w:val="-15"/>
                <w:w w:val="105"/>
                <w:szCs w:val="17"/>
              </w:rPr>
              <w:t xml:space="preserve"> </w:t>
            </w:r>
            <w:r w:rsidRPr="00DF7C60">
              <w:rPr>
                <w:rFonts w:eastAsia="Times New Roman"/>
                <w:w w:val="105"/>
                <w:szCs w:val="17"/>
              </w:rPr>
              <w:t>by</w:t>
            </w:r>
            <w:r w:rsidRPr="00DF7C60">
              <w:rPr>
                <w:rFonts w:eastAsia="Times New Roman"/>
                <w:w w:val="102"/>
                <w:szCs w:val="17"/>
              </w:rPr>
              <w:t xml:space="preserve"> </w:t>
            </w:r>
            <w:r w:rsidRPr="00DF7C60">
              <w:rPr>
                <w:rFonts w:eastAsia="Times New Roman"/>
                <w:w w:val="105"/>
                <w:szCs w:val="17"/>
              </w:rPr>
              <w:t>the</w:t>
            </w:r>
            <w:r w:rsidRPr="00DF7C60">
              <w:rPr>
                <w:rFonts w:eastAsia="Times New Roman"/>
                <w:spacing w:val="-3"/>
                <w:w w:val="105"/>
                <w:szCs w:val="17"/>
              </w:rPr>
              <w:t xml:space="preserve"> </w:t>
            </w:r>
            <w:r w:rsidRPr="00DF7C60">
              <w:rPr>
                <w:rFonts w:eastAsia="Times New Roman"/>
                <w:w w:val="105"/>
                <w:szCs w:val="17"/>
              </w:rPr>
              <w:t>Court</w:t>
            </w:r>
          </w:p>
        </w:tc>
      </w:tr>
      <w:tr w:rsidR="00DF7C60" w:rsidRPr="00DF7C60" w14:paraId="28D2197B" w14:textId="77777777" w:rsidTr="0012134E">
        <w:trPr>
          <w:trHeight w:hRule="exact" w:val="516"/>
        </w:trPr>
        <w:tc>
          <w:tcPr>
            <w:tcW w:w="2579" w:type="pct"/>
            <w:tcBorders>
              <w:top w:val="single" w:sz="4" w:space="0" w:color="000000"/>
              <w:left w:val="single" w:sz="4" w:space="0" w:color="000000"/>
              <w:bottom w:val="single" w:sz="4" w:space="0" w:color="000000"/>
              <w:right w:val="single" w:sz="4" w:space="0" w:color="000000"/>
            </w:tcBorders>
            <w:hideMark/>
          </w:tcPr>
          <w:p w14:paraId="33D1A6C9"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Other adult person per</w:t>
            </w:r>
            <w:r w:rsidRPr="00DF7C60">
              <w:rPr>
                <w:rFonts w:eastAsia="Times New Roman"/>
                <w:spacing w:val="-14"/>
                <w:w w:val="105"/>
                <w:szCs w:val="17"/>
              </w:rPr>
              <w:t xml:space="preserve"> </w:t>
            </w:r>
            <w:r w:rsidRPr="00DF7C60">
              <w:rPr>
                <w:rFonts w:eastAsia="Times New Roman"/>
                <w:w w:val="105"/>
                <w:szCs w:val="17"/>
              </w:rPr>
              <w:t>day</w:t>
            </w:r>
          </w:p>
        </w:tc>
        <w:tc>
          <w:tcPr>
            <w:tcW w:w="2421" w:type="pct"/>
            <w:tcBorders>
              <w:top w:val="single" w:sz="4" w:space="0" w:color="000000"/>
              <w:left w:val="single" w:sz="4" w:space="0" w:color="000000"/>
              <w:bottom w:val="single" w:sz="4" w:space="0" w:color="000000"/>
              <w:right w:val="single" w:sz="4" w:space="0" w:color="auto"/>
            </w:tcBorders>
            <w:hideMark/>
          </w:tcPr>
          <w:p w14:paraId="0CF8333B" w14:textId="77777777" w:rsidR="00DF7C60" w:rsidRPr="00DF7C60" w:rsidRDefault="00DF7C60" w:rsidP="00DF7C60">
            <w:pPr>
              <w:kinsoku w:val="0"/>
              <w:overflowPunct w:val="0"/>
              <w:autoSpaceDE w:val="0"/>
              <w:autoSpaceDN w:val="0"/>
              <w:adjustRightInd w:val="0"/>
              <w:spacing w:before="118" w:after="240" w:line="254" w:lineRule="auto"/>
              <w:ind w:left="118"/>
              <w:jc w:val="left"/>
              <w:rPr>
                <w:rFonts w:eastAsia="Times New Roman"/>
                <w:szCs w:val="17"/>
              </w:rPr>
            </w:pPr>
            <w:r w:rsidRPr="00DF7C60">
              <w:rPr>
                <w:rFonts w:eastAsia="Times New Roman"/>
                <w:w w:val="105"/>
                <w:szCs w:val="17"/>
              </w:rPr>
              <w:t>$400</w:t>
            </w:r>
          </w:p>
        </w:tc>
      </w:tr>
      <w:tr w:rsidR="00DF7C60" w:rsidRPr="00DF7C60" w14:paraId="3C6C41A2" w14:textId="77777777" w:rsidTr="0012134E">
        <w:trPr>
          <w:trHeight w:hRule="exact" w:val="518"/>
        </w:trPr>
        <w:tc>
          <w:tcPr>
            <w:tcW w:w="2579" w:type="pct"/>
            <w:tcBorders>
              <w:top w:val="single" w:sz="4" w:space="0" w:color="000000"/>
              <w:left w:val="single" w:sz="4" w:space="0" w:color="000000"/>
              <w:bottom w:val="single" w:sz="4" w:space="0" w:color="000000"/>
              <w:right w:val="single" w:sz="4" w:space="0" w:color="000000"/>
            </w:tcBorders>
            <w:hideMark/>
          </w:tcPr>
          <w:p w14:paraId="1F283C42" w14:textId="77777777" w:rsidR="00DF7C60" w:rsidRPr="00DF7C60" w:rsidRDefault="00DF7C60" w:rsidP="00DF7C60">
            <w:pPr>
              <w:kinsoku w:val="0"/>
              <w:overflowPunct w:val="0"/>
              <w:autoSpaceDE w:val="0"/>
              <w:autoSpaceDN w:val="0"/>
              <w:adjustRightInd w:val="0"/>
              <w:spacing w:before="240" w:after="240" w:line="254" w:lineRule="auto"/>
              <w:ind w:left="117"/>
              <w:jc w:val="left"/>
              <w:rPr>
                <w:rFonts w:eastAsia="Times New Roman"/>
                <w:szCs w:val="17"/>
              </w:rPr>
            </w:pPr>
            <w:r w:rsidRPr="00DF7C60">
              <w:rPr>
                <w:rFonts w:eastAsia="Times New Roman"/>
                <w:w w:val="105"/>
                <w:szCs w:val="17"/>
              </w:rPr>
              <w:t>Persons</w:t>
            </w:r>
            <w:r w:rsidRPr="00DF7C60">
              <w:rPr>
                <w:rFonts w:eastAsia="Times New Roman"/>
                <w:spacing w:val="-6"/>
                <w:w w:val="105"/>
                <w:szCs w:val="17"/>
              </w:rPr>
              <w:t xml:space="preserve"> </w:t>
            </w:r>
            <w:r w:rsidRPr="00DF7C60">
              <w:rPr>
                <w:rFonts w:eastAsia="Times New Roman"/>
                <w:w w:val="105"/>
                <w:szCs w:val="17"/>
              </w:rPr>
              <w:t>under</w:t>
            </w:r>
            <w:r w:rsidRPr="00DF7C60">
              <w:rPr>
                <w:rFonts w:eastAsia="Times New Roman"/>
                <w:spacing w:val="-6"/>
                <w:w w:val="105"/>
                <w:szCs w:val="17"/>
              </w:rPr>
              <w:t xml:space="preserve"> </w:t>
            </w:r>
            <w:r w:rsidRPr="00DF7C60">
              <w:rPr>
                <w:rFonts w:eastAsia="Times New Roman"/>
                <w:w w:val="105"/>
                <w:szCs w:val="17"/>
              </w:rPr>
              <w:t>18</w:t>
            </w:r>
            <w:r w:rsidRPr="00DF7C60">
              <w:rPr>
                <w:rFonts w:eastAsia="Times New Roman"/>
                <w:spacing w:val="-7"/>
                <w:w w:val="105"/>
                <w:szCs w:val="17"/>
              </w:rPr>
              <w:t xml:space="preserve"> </w:t>
            </w:r>
            <w:r w:rsidRPr="00DF7C60">
              <w:rPr>
                <w:rFonts w:eastAsia="Times New Roman"/>
                <w:w w:val="105"/>
                <w:szCs w:val="17"/>
              </w:rPr>
              <w:t>years</w:t>
            </w:r>
            <w:r w:rsidRPr="00DF7C60">
              <w:rPr>
                <w:rFonts w:eastAsia="Times New Roman"/>
                <w:spacing w:val="-6"/>
                <w:w w:val="105"/>
                <w:szCs w:val="17"/>
              </w:rPr>
              <w:t xml:space="preserve"> </w:t>
            </w:r>
            <w:r w:rsidRPr="00DF7C60">
              <w:rPr>
                <w:rFonts w:eastAsia="Times New Roman"/>
                <w:w w:val="105"/>
                <w:szCs w:val="17"/>
              </w:rPr>
              <w:t>of</w:t>
            </w:r>
            <w:r w:rsidRPr="00DF7C60">
              <w:rPr>
                <w:rFonts w:eastAsia="Times New Roman"/>
                <w:spacing w:val="-6"/>
                <w:w w:val="105"/>
                <w:szCs w:val="17"/>
              </w:rPr>
              <w:t xml:space="preserve"> </w:t>
            </w:r>
            <w:r w:rsidRPr="00DF7C60">
              <w:rPr>
                <w:rFonts w:eastAsia="Times New Roman"/>
                <w:w w:val="105"/>
                <w:szCs w:val="17"/>
              </w:rPr>
              <w:t>age</w:t>
            </w:r>
            <w:r w:rsidRPr="00DF7C60">
              <w:rPr>
                <w:rFonts w:eastAsia="Times New Roman"/>
                <w:spacing w:val="-6"/>
                <w:w w:val="105"/>
                <w:szCs w:val="17"/>
              </w:rPr>
              <w:t xml:space="preserve"> </w:t>
            </w:r>
            <w:r w:rsidRPr="00DF7C60">
              <w:rPr>
                <w:rFonts w:eastAsia="Times New Roman"/>
                <w:w w:val="105"/>
                <w:szCs w:val="17"/>
              </w:rPr>
              <w:t>per</w:t>
            </w:r>
            <w:r w:rsidRPr="00DF7C60">
              <w:rPr>
                <w:rFonts w:eastAsia="Times New Roman"/>
                <w:spacing w:val="-5"/>
                <w:w w:val="105"/>
                <w:szCs w:val="17"/>
              </w:rPr>
              <w:t xml:space="preserve"> </w:t>
            </w:r>
            <w:r w:rsidRPr="00DF7C60">
              <w:rPr>
                <w:rFonts w:eastAsia="Times New Roman"/>
                <w:w w:val="105"/>
                <w:szCs w:val="17"/>
              </w:rPr>
              <w:t>day</w:t>
            </w:r>
          </w:p>
        </w:tc>
        <w:tc>
          <w:tcPr>
            <w:tcW w:w="2421" w:type="pct"/>
            <w:tcBorders>
              <w:top w:val="single" w:sz="4" w:space="0" w:color="000000"/>
              <w:left w:val="single" w:sz="4" w:space="0" w:color="000000"/>
              <w:bottom w:val="single" w:sz="4" w:space="0" w:color="000000"/>
              <w:right w:val="single" w:sz="4" w:space="0" w:color="auto"/>
            </w:tcBorders>
            <w:hideMark/>
          </w:tcPr>
          <w:p w14:paraId="659C68C5" w14:textId="77777777" w:rsidR="00DF7C60" w:rsidRPr="00DF7C60" w:rsidRDefault="00DF7C60" w:rsidP="00DF7C60">
            <w:pPr>
              <w:kinsoku w:val="0"/>
              <w:overflowPunct w:val="0"/>
              <w:autoSpaceDE w:val="0"/>
              <w:autoSpaceDN w:val="0"/>
              <w:adjustRightInd w:val="0"/>
              <w:spacing w:before="240" w:after="240" w:line="254" w:lineRule="auto"/>
              <w:ind w:left="117"/>
              <w:jc w:val="left"/>
              <w:rPr>
                <w:rFonts w:eastAsia="Times New Roman"/>
                <w:szCs w:val="17"/>
              </w:rPr>
            </w:pPr>
            <w:r w:rsidRPr="00DF7C60">
              <w:rPr>
                <w:rFonts w:eastAsia="Times New Roman"/>
                <w:w w:val="105"/>
                <w:szCs w:val="17"/>
              </w:rPr>
              <w:t>$170</w:t>
            </w:r>
          </w:p>
        </w:tc>
      </w:tr>
      <w:tr w:rsidR="00DF7C60" w:rsidRPr="00DF7C60" w14:paraId="6020E799" w14:textId="77777777" w:rsidTr="0012134E">
        <w:trPr>
          <w:trHeight w:hRule="exact" w:val="1157"/>
        </w:trPr>
        <w:tc>
          <w:tcPr>
            <w:tcW w:w="2579" w:type="pct"/>
            <w:tcBorders>
              <w:top w:val="single" w:sz="4" w:space="0" w:color="000000"/>
              <w:left w:val="single" w:sz="4" w:space="0" w:color="000000"/>
              <w:bottom w:val="single" w:sz="4" w:space="0" w:color="000000"/>
              <w:right w:val="single" w:sz="4" w:space="0" w:color="000000"/>
            </w:tcBorders>
            <w:hideMark/>
          </w:tcPr>
          <w:p w14:paraId="201EA531"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Travel</w:t>
            </w:r>
            <w:r w:rsidRPr="00DF7C60">
              <w:rPr>
                <w:rFonts w:eastAsia="Times New Roman"/>
                <w:spacing w:val="-3"/>
                <w:w w:val="105"/>
                <w:szCs w:val="17"/>
              </w:rPr>
              <w:t xml:space="preserve"> </w:t>
            </w:r>
            <w:r w:rsidRPr="00DF7C60">
              <w:rPr>
                <w:rFonts w:eastAsia="Times New Roman"/>
                <w:w w:val="105"/>
                <w:szCs w:val="17"/>
              </w:rPr>
              <w:t>expenses</w:t>
            </w:r>
          </w:p>
        </w:tc>
        <w:tc>
          <w:tcPr>
            <w:tcW w:w="2421" w:type="pct"/>
            <w:tcBorders>
              <w:top w:val="single" w:sz="4" w:space="0" w:color="000000"/>
              <w:left w:val="single" w:sz="4" w:space="0" w:color="000000"/>
              <w:bottom w:val="single" w:sz="4" w:space="0" w:color="000000"/>
              <w:right w:val="single" w:sz="4" w:space="0" w:color="auto"/>
            </w:tcBorders>
            <w:hideMark/>
          </w:tcPr>
          <w:p w14:paraId="52B40B43" w14:textId="77777777" w:rsidR="00DF7C60" w:rsidRPr="00DF7C60" w:rsidRDefault="00DF7C60" w:rsidP="00DF7C60">
            <w:pPr>
              <w:kinsoku w:val="0"/>
              <w:overflowPunct w:val="0"/>
              <w:autoSpaceDE w:val="0"/>
              <w:autoSpaceDN w:val="0"/>
              <w:adjustRightInd w:val="0"/>
              <w:spacing w:before="118" w:after="240" w:line="242" w:lineRule="auto"/>
              <w:ind w:left="97" w:right="399" w:firstLine="19"/>
              <w:jc w:val="left"/>
              <w:rPr>
                <w:rFonts w:eastAsia="Times New Roman"/>
                <w:szCs w:val="17"/>
              </w:rPr>
            </w:pPr>
            <w:r w:rsidRPr="00DF7C60">
              <w:rPr>
                <w:rFonts w:eastAsia="Times New Roman"/>
                <w:w w:val="105"/>
                <w:szCs w:val="17"/>
              </w:rPr>
              <w:t>Where</w:t>
            </w:r>
            <w:r w:rsidRPr="00DF7C60">
              <w:rPr>
                <w:rFonts w:eastAsia="Times New Roman"/>
                <w:spacing w:val="-16"/>
                <w:w w:val="105"/>
                <w:szCs w:val="17"/>
              </w:rPr>
              <w:t xml:space="preserve"> </w:t>
            </w:r>
            <w:r w:rsidRPr="00DF7C60">
              <w:rPr>
                <w:rFonts w:eastAsia="Times New Roman"/>
                <w:w w:val="105"/>
                <w:szCs w:val="17"/>
              </w:rPr>
              <w:t>the</w:t>
            </w:r>
            <w:r w:rsidRPr="00DF7C60">
              <w:rPr>
                <w:rFonts w:eastAsia="Times New Roman"/>
                <w:spacing w:val="-16"/>
                <w:w w:val="105"/>
                <w:szCs w:val="17"/>
              </w:rPr>
              <w:t xml:space="preserve"> </w:t>
            </w:r>
            <w:r w:rsidRPr="00DF7C60">
              <w:rPr>
                <w:rFonts w:eastAsia="Times New Roman"/>
                <w:w w:val="105"/>
                <w:szCs w:val="17"/>
              </w:rPr>
              <w:t>witness</w:t>
            </w:r>
            <w:r w:rsidRPr="00DF7C60">
              <w:rPr>
                <w:rFonts w:eastAsia="Times New Roman"/>
                <w:spacing w:val="-16"/>
                <w:w w:val="105"/>
                <w:szCs w:val="17"/>
              </w:rPr>
              <w:t xml:space="preserve"> </w:t>
            </w:r>
            <w:r w:rsidRPr="00DF7C60">
              <w:rPr>
                <w:rFonts w:eastAsia="Times New Roman"/>
                <w:w w:val="105"/>
                <w:szCs w:val="17"/>
              </w:rPr>
              <w:t>is</w:t>
            </w:r>
            <w:r w:rsidRPr="00DF7C60">
              <w:rPr>
                <w:rFonts w:eastAsia="Times New Roman"/>
                <w:spacing w:val="-16"/>
                <w:w w:val="105"/>
                <w:szCs w:val="17"/>
              </w:rPr>
              <w:t xml:space="preserve"> </w:t>
            </w:r>
            <w:r w:rsidRPr="00DF7C60">
              <w:rPr>
                <w:rFonts w:eastAsia="Times New Roman"/>
                <w:w w:val="105"/>
                <w:szCs w:val="17"/>
              </w:rPr>
              <w:t>normally</w:t>
            </w:r>
            <w:r w:rsidRPr="00DF7C60">
              <w:rPr>
                <w:rFonts w:eastAsia="Times New Roman"/>
                <w:w w:val="102"/>
                <w:szCs w:val="17"/>
              </w:rPr>
              <w:t xml:space="preserve"> </w:t>
            </w:r>
            <w:r w:rsidRPr="00DF7C60">
              <w:rPr>
                <w:rFonts w:eastAsia="Times New Roman"/>
                <w:w w:val="105"/>
                <w:szCs w:val="17"/>
              </w:rPr>
              <w:t>resident</w:t>
            </w:r>
            <w:r w:rsidRPr="00DF7C60">
              <w:rPr>
                <w:rFonts w:eastAsia="Times New Roman"/>
                <w:spacing w:val="-14"/>
                <w:w w:val="105"/>
                <w:szCs w:val="17"/>
              </w:rPr>
              <w:t xml:space="preserve"> </w:t>
            </w:r>
            <w:r w:rsidRPr="00DF7C60">
              <w:rPr>
                <w:rFonts w:eastAsia="Times New Roman"/>
                <w:w w:val="105"/>
                <w:szCs w:val="17"/>
              </w:rPr>
              <w:t>more</w:t>
            </w:r>
            <w:r w:rsidRPr="00DF7C60">
              <w:rPr>
                <w:rFonts w:eastAsia="Times New Roman"/>
                <w:spacing w:val="-15"/>
                <w:w w:val="105"/>
                <w:szCs w:val="17"/>
              </w:rPr>
              <w:t xml:space="preserve"> </w:t>
            </w:r>
            <w:r w:rsidRPr="00DF7C60">
              <w:rPr>
                <w:rFonts w:eastAsia="Times New Roman"/>
                <w:w w:val="105"/>
                <w:szCs w:val="17"/>
              </w:rPr>
              <w:t>than</w:t>
            </w:r>
            <w:r w:rsidRPr="00DF7C60">
              <w:rPr>
                <w:rFonts w:eastAsia="Times New Roman"/>
                <w:spacing w:val="-15"/>
                <w:w w:val="105"/>
                <w:szCs w:val="17"/>
              </w:rPr>
              <w:t xml:space="preserve"> </w:t>
            </w:r>
            <w:r w:rsidRPr="00DF7C60">
              <w:rPr>
                <w:rFonts w:eastAsia="Times New Roman"/>
                <w:w w:val="105"/>
                <w:szCs w:val="17"/>
              </w:rPr>
              <w:t>50</w:t>
            </w:r>
            <w:r w:rsidRPr="00DF7C60">
              <w:rPr>
                <w:rFonts w:eastAsia="Times New Roman"/>
                <w:spacing w:val="-15"/>
                <w:w w:val="105"/>
                <w:szCs w:val="17"/>
              </w:rPr>
              <w:t xml:space="preserve"> </w:t>
            </w:r>
            <w:r w:rsidRPr="00DF7C60">
              <w:rPr>
                <w:rFonts w:eastAsia="Times New Roman"/>
                <w:w w:val="105"/>
                <w:szCs w:val="17"/>
              </w:rPr>
              <w:t>km</w:t>
            </w:r>
            <w:r w:rsidRPr="00DF7C60">
              <w:rPr>
                <w:rFonts w:eastAsia="Times New Roman"/>
                <w:spacing w:val="-16"/>
                <w:w w:val="105"/>
                <w:szCs w:val="17"/>
              </w:rPr>
              <w:t xml:space="preserve"> </w:t>
            </w:r>
            <w:r w:rsidRPr="00DF7C60">
              <w:rPr>
                <w:rFonts w:eastAsia="Times New Roman"/>
                <w:w w:val="105"/>
                <w:szCs w:val="17"/>
              </w:rPr>
              <w:t>from</w:t>
            </w:r>
            <w:r w:rsidRPr="00DF7C60">
              <w:rPr>
                <w:rFonts w:eastAsia="Times New Roman"/>
                <w:w w:val="102"/>
                <w:szCs w:val="17"/>
              </w:rPr>
              <w:t xml:space="preserve"> </w:t>
            </w:r>
            <w:r w:rsidRPr="00DF7C60">
              <w:rPr>
                <w:rFonts w:eastAsia="Times New Roman"/>
                <w:w w:val="105"/>
                <w:szCs w:val="17"/>
              </w:rPr>
              <w:t>the</w:t>
            </w:r>
            <w:r w:rsidRPr="00DF7C60">
              <w:rPr>
                <w:rFonts w:eastAsia="Times New Roman"/>
                <w:spacing w:val="-10"/>
                <w:w w:val="105"/>
                <w:szCs w:val="17"/>
              </w:rPr>
              <w:t xml:space="preserve"> </w:t>
            </w:r>
            <w:r w:rsidRPr="00DF7C60">
              <w:rPr>
                <w:rFonts w:eastAsia="Times New Roman"/>
                <w:w w:val="105"/>
                <w:szCs w:val="17"/>
              </w:rPr>
              <w:t>trial</w:t>
            </w:r>
            <w:r w:rsidRPr="00DF7C60">
              <w:rPr>
                <w:rFonts w:eastAsia="Times New Roman"/>
                <w:spacing w:val="-9"/>
                <w:w w:val="105"/>
                <w:szCs w:val="17"/>
              </w:rPr>
              <w:t xml:space="preserve"> </w:t>
            </w:r>
            <w:r w:rsidRPr="00DF7C60">
              <w:rPr>
                <w:rFonts w:eastAsia="Times New Roman"/>
                <w:w w:val="105"/>
                <w:szCs w:val="17"/>
              </w:rPr>
              <w:t>Court</w:t>
            </w:r>
            <w:r w:rsidRPr="00DF7C60">
              <w:rPr>
                <w:rFonts w:eastAsia="Times New Roman"/>
                <w:spacing w:val="-10"/>
                <w:w w:val="105"/>
                <w:szCs w:val="17"/>
              </w:rPr>
              <w:t xml:space="preserve"> </w:t>
            </w:r>
            <w:r w:rsidRPr="00DF7C60">
              <w:rPr>
                <w:rFonts w:eastAsia="Times New Roman"/>
                <w:w w:val="105"/>
                <w:szCs w:val="17"/>
              </w:rPr>
              <w:t>at</w:t>
            </w:r>
            <w:r w:rsidRPr="00DF7C60">
              <w:rPr>
                <w:rFonts w:eastAsia="Times New Roman"/>
                <w:spacing w:val="-9"/>
                <w:w w:val="105"/>
                <w:szCs w:val="17"/>
              </w:rPr>
              <w:t xml:space="preserve"> </w:t>
            </w:r>
            <w:r w:rsidRPr="00DF7C60">
              <w:rPr>
                <w:rFonts w:eastAsia="Times New Roman"/>
                <w:w w:val="105"/>
                <w:szCs w:val="17"/>
              </w:rPr>
              <w:t>the</w:t>
            </w:r>
            <w:r w:rsidRPr="00DF7C60">
              <w:rPr>
                <w:rFonts w:eastAsia="Times New Roman"/>
                <w:spacing w:val="-10"/>
                <w:w w:val="105"/>
                <w:szCs w:val="17"/>
              </w:rPr>
              <w:t xml:space="preserve"> </w:t>
            </w:r>
            <w:r w:rsidRPr="00DF7C60">
              <w:rPr>
                <w:rFonts w:eastAsia="Times New Roman"/>
                <w:w w:val="105"/>
                <w:szCs w:val="17"/>
              </w:rPr>
              <w:t>rate</w:t>
            </w:r>
            <w:r w:rsidRPr="00DF7C60">
              <w:rPr>
                <w:rFonts w:eastAsia="Times New Roman"/>
                <w:spacing w:val="-9"/>
                <w:w w:val="105"/>
                <w:szCs w:val="17"/>
              </w:rPr>
              <w:t xml:space="preserve"> </w:t>
            </w:r>
            <w:r w:rsidRPr="00DF7C60">
              <w:rPr>
                <w:rFonts w:eastAsia="Times New Roman"/>
                <w:w w:val="105"/>
                <w:szCs w:val="17"/>
              </w:rPr>
              <w:t>of</w:t>
            </w:r>
            <w:r w:rsidRPr="00DF7C60">
              <w:rPr>
                <w:rFonts w:eastAsia="Times New Roman"/>
                <w:spacing w:val="-10"/>
                <w:w w:val="105"/>
                <w:szCs w:val="17"/>
              </w:rPr>
              <w:t xml:space="preserve"> </w:t>
            </w:r>
            <w:r w:rsidRPr="00DF7C60">
              <w:rPr>
                <w:rFonts w:eastAsia="Times New Roman"/>
                <w:w w:val="105"/>
                <w:szCs w:val="17"/>
              </w:rPr>
              <w:t>95</w:t>
            </w:r>
            <w:r w:rsidRPr="00DF7C60">
              <w:rPr>
                <w:rFonts w:eastAsia="Times New Roman"/>
                <w:spacing w:val="-1"/>
                <w:w w:val="102"/>
                <w:szCs w:val="17"/>
              </w:rPr>
              <w:t xml:space="preserve"> </w:t>
            </w:r>
            <w:r w:rsidRPr="00DF7C60">
              <w:rPr>
                <w:rFonts w:eastAsia="Times New Roman"/>
                <w:w w:val="105"/>
                <w:szCs w:val="17"/>
              </w:rPr>
              <w:t>cents per km or the</w:t>
            </w:r>
            <w:r w:rsidRPr="00DF7C60">
              <w:rPr>
                <w:rFonts w:eastAsia="Times New Roman"/>
                <w:spacing w:val="-24"/>
                <w:w w:val="105"/>
                <w:szCs w:val="17"/>
              </w:rPr>
              <w:t xml:space="preserve"> </w:t>
            </w:r>
            <w:r w:rsidRPr="00DF7C60">
              <w:rPr>
                <w:rFonts w:eastAsia="Times New Roman"/>
                <w:w w:val="105"/>
                <w:szCs w:val="17"/>
              </w:rPr>
              <w:t>least</w:t>
            </w:r>
            <w:r w:rsidRPr="00DF7C60">
              <w:rPr>
                <w:rFonts w:eastAsia="Times New Roman"/>
                <w:w w:val="102"/>
                <w:szCs w:val="17"/>
              </w:rPr>
              <w:t xml:space="preserve"> </w:t>
            </w:r>
            <w:r w:rsidRPr="00DF7C60">
              <w:rPr>
                <w:rFonts w:eastAsia="Times New Roman"/>
                <w:w w:val="105"/>
                <w:szCs w:val="17"/>
              </w:rPr>
              <w:t>expensive return air</w:t>
            </w:r>
            <w:r w:rsidRPr="00DF7C60">
              <w:rPr>
                <w:rFonts w:eastAsia="Times New Roman"/>
                <w:spacing w:val="-20"/>
                <w:w w:val="105"/>
                <w:szCs w:val="17"/>
              </w:rPr>
              <w:t xml:space="preserve"> </w:t>
            </w:r>
            <w:r w:rsidRPr="00DF7C60">
              <w:rPr>
                <w:rFonts w:eastAsia="Times New Roman"/>
                <w:w w:val="105"/>
                <w:szCs w:val="17"/>
              </w:rPr>
              <w:t>fare</w:t>
            </w:r>
            <w:r w:rsidRPr="00DF7C60">
              <w:rPr>
                <w:rFonts w:eastAsia="Times New Roman"/>
                <w:w w:val="102"/>
                <w:szCs w:val="17"/>
              </w:rPr>
              <w:t xml:space="preserve"> </w:t>
            </w:r>
            <w:r w:rsidRPr="00DF7C60">
              <w:rPr>
                <w:rFonts w:eastAsia="Times New Roman"/>
                <w:w w:val="105"/>
                <w:szCs w:val="17"/>
              </w:rPr>
              <w:t>whichever</w:t>
            </w:r>
            <w:r w:rsidRPr="00DF7C60">
              <w:rPr>
                <w:rFonts w:eastAsia="Times New Roman"/>
                <w:spacing w:val="-9"/>
                <w:w w:val="105"/>
                <w:szCs w:val="17"/>
              </w:rPr>
              <w:t xml:space="preserve"> </w:t>
            </w:r>
            <w:r w:rsidRPr="00DF7C60">
              <w:rPr>
                <w:rFonts w:eastAsia="Times New Roman"/>
                <w:w w:val="105"/>
                <w:szCs w:val="17"/>
              </w:rPr>
              <w:t>is</w:t>
            </w:r>
            <w:r w:rsidRPr="00DF7C60">
              <w:rPr>
                <w:rFonts w:eastAsia="Times New Roman"/>
                <w:spacing w:val="-8"/>
                <w:w w:val="105"/>
                <w:szCs w:val="17"/>
              </w:rPr>
              <w:t xml:space="preserve"> </w:t>
            </w:r>
            <w:r w:rsidRPr="00DF7C60">
              <w:rPr>
                <w:rFonts w:eastAsia="Times New Roman"/>
                <w:w w:val="105"/>
                <w:szCs w:val="17"/>
              </w:rPr>
              <w:t>the</w:t>
            </w:r>
            <w:r w:rsidRPr="00DF7C60">
              <w:rPr>
                <w:rFonts w:eastAsia="Times New Roman"/>
                <w:spacing w:val="-9"/>
                <w:w w:val="105"/>
                <w:szCs w:val="17"/>
              </w:rPr>
              <w:t xml:space="preserve"> </w:t>
            </w:r>
            <w:r w:rsidRPr="00DF7C60">
              <w:rPr>
                <w:rFonts w:eastAsia="Times New Roman"/>
                <w:w w:val="105"/>
                <w:szCs w:val="17"/>
              </w:rPr>
              <w:t>lesser</w:t>
            </w:r>
            <w:r w:rsidRPr="00DF7C60">
              <w:rPr>
                <w:rFonts w:eastAsia="Times New Roman"/>
                <w:spacing w:val="-10"/>
                <w:w w:val="105"/>
                <w:szCs w:val="17"/>
              </w:rPr>
              <w:t xml:space="preserve"> </w:t>
            </w:r>
            <w:r w:rsidRPr="00DF7C60">
              <w:rPr>
                <w:rFonts w:eastAsia="Times New Roman"/>
                <w:w w:val="105"/>
                <w:szCs w:val="17"/>
              </w:rPr>
              <w:t>or</w:t>
            </w:r>
            <w:r w:rsidRPr="00DF7C60">
              <w:rPr>
                <w:rFonts w:eastAsia="Times New Roman"/>
                <w:spacing w:val="-9"/>
                <w:w w:val="105"/>
                <w:szCs w:val="17"/>
              </w:rPr>
              <w:t xml:space="preserve"> </w:t>
            </w:r>
            <w:r w:rsidRPr="00DF7C60">
              <w:rPr>
                <w:rFonts w:eastAsia="Times New Roman"/>
                <w:w w:val="105"/>
                <w:szCs w:val="17"/>
              </w:rPr>
              <w:t>the</w:t>
            </w:r>
            <w:r w:rsidRPr="00DF7C60">
              <w:rPr>
                <w:rFonts w:eastAsia="Times New Roman"/>
                <w:w w:val="102"/>
                <w:szCs w:val="17"/>
              </w:rPr>
              <w:t xml:space="preserve"> </w:t>
            </w:r>
            <w:r w:rsidRPr="00DF7C60">
              <w:rPr>
                <w:rFonts w:eastAsia="Times New Roman"/>
                <w:w w:val="105"/>
                <w:szCs w:val="17"/>
              </w:rPr>
              <w:t>cheapest</w:t>
            </w:r>
            <w:r w:rsidRPr="00DF7C60">
              <w:rPr>
                <w:rFonts w:eastAsia="Times New Roman"/>
                <w:spacing w:val="-16"/>
                <w:w w:val="105"/>
                <w:szCs w:val="17"/>
              </w:rPr>
              <w:t xml:space="preserve"> </w:t>
            </w:r>
            <w:r w:rsidRPr="00DF7C60">
              <w:rPr>
                <w:rFonts w:eastAsia="Times New Roman"/>
                <w:w w:val="105"/>
                <w:szCs w:val="17"/>
              </w:rPr>
              <w:t>combination</w:t>
            </w:r>
            <w:r w:rsidRPr="00DF7C60">
              <w:rPr>
                <w:rFonts w:eastAsia="Times New Roman"/>
                <w:spacing w:val="-17"/>
                <w:w w:val="105"/>
                <w:szCs w:val="17"/>
              </w:rPr>
              <w:t xml:space="preserve"> </w:t>
            </w:r>
            <w:r w:rsidRPr="00DF7C60">
              <w:rPr>
                <w:rFonts w:eastAsia="Times New Roman"/>
                <w:w w:val="105"/>
                <w:szCs w:val="17"/>
              </w:rPr>
              <w:t>of</w:t>
            </w:r>
            <w:r w:rsidRPr="00DF7C60">
              <w:rPr>
                <w:rFonts w:eastAsia="Times New Roman"/>
                <w:spacing w:val="-16"/>
                <w:w w:val="105"/>
                <w:szCs w:val="17"/>
              </w:rPr>
              <w:t xml:space="preserve"> </w:t>
            </w:r>
            <w:r w:rsidRPr="00DF7C60">
              <w:rPr>
                <w:rFonts w:eastAsia="Times New Roman"/>
                <w:w w:val="105"/>
                <w:szCs w:val="17"/>
              </w:rPr>
              <w:t>both.</w:t>
            </w:r>
          </w:p>
        </w:tc>
      </w:tr>
      <w:tr w:rsidR="00DF7C60" w:rsidRPr="00DF7C60" w14:paraId="11CE1777" w14:textId="77777777" w:rsidTr="0012134E">
        <w:trPr>
          <w:trHeight w:hRule="exact" w:val="1287"/>
        </w:trPr>
        <w:tc>
          <w:tcPr>
            <w:tcW w:w="2579" w:type="pct"/>
            <w:tcBorders>
              <w:top w:val="single" w:sz="4" w:space="0" w:color="000000"/>
              <w:left w:val="single" w:sz="4" w:space="0" w:color="000000"/>
              <w:bottom w:val="single" w:sz="4" w:space="0" w:color="000000"/>
              <w:right w:val="single" w:sz="4" w:space="0" w:color="000000"/>
            </w:tcBorders>
            <w:hideMark/>
          </w:tcPr>
          <w:p w14:paraId="6961C5C0"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Accommodation</w:t>
            </w:r>
            <w:r w:rsidRPr="00DF7C60">
              <w:rPr>
                <w:rFonts w:eastAsia="Times New Roman"/>
                <w:spacing w:val="-3"/>
                <w:w w:val="105"/>
                <w:szCs w:val="17"/>
              </w:rPr>
              <w:t xml:space="preserve"> </w:t>
            </w:r>
            <w:r w:rsidRPr="00DF7C60">
              <w:rPr>
                <w:rFonts w:eastAsia="Times New Roman"/>
                <w:w w:val="105"/>
                <w:szCs w:val="17"/>
              </w:rPr>
              <w:t>expenses</w:t>
            </w:r>
          </w:p>
        </w:tc>
        <w:tc>
          <w:tcPr>
            <w:tcW w:w="2421" w:type="pct"/>
            <w:tcBorders>
              <w:top w:val="single" w:sz="4" w:space="0" w:color="000000"/>
              <w:left w:val="single" w:sz="4" w:space="0" w:color="000000"/>
              <w:bottom w:val="single" w:sz="4" w:space="0" w:color="000000"/>
              <w:right w:val="single" w:sz="4" w:space="0" w:color="auto"/>
            </w:tcBorders>
            <w:hideMark/>
          </w:tcPr>
          <w:p w14:paraId="66EC498A" w14:textId="77777777" w:rsidR="00DF7C60" w:rsidRPr="00DF7C60" w:rsidRDefault="00DF7C60" w:rsidP="00DF7C60">
            <w:pPr>
              <w:kinsoku w:val="0"/>
              <w:overflowPunct w:val="0"/>
              <w:autoSpaceDE w:val="0"/>
              <w:autoSpaceDN w:val="0"/>
              <w:adjustRightInd w:val="0"/>
              <w:spacing w:before="118" w:after="240" w:line="242" w:lineRule="auto"/>
              <w:ind w:left="97" w:right="138" w:firstLine="20"/>
              <w:jc w:val="left"/>
              <w:rPr>
                <w:rFonts w:eastAsia="Times New Roman"/>
                <w:szCs w:val="17"/>
              </w:rPr>
            </w:pPr>
            <w:r w:rsidRPr="00DF7C60">
              <w:rPr>
                <w:rFonts w:eastAsia="Times New Roman"/>
                <w:w w:val="105"/>
                <w:szCs w:val="17"/>
              </w:rPr>
              <w:t>In the discretion of the</w:t>
            </w:r>
            <w:r w:rsidRPr="00DF7C60">
              <w:rPr>
                <w:rFonts w:eastAsia="Times New Roman"/>
                <w:spacing w:val="-39"/>
                <w:w w:val="105"/>
                <w:szCs w:val="17"/>
              </w:rPr>
              <w:t xml:space="preserve"> </w:t>
            </w:r>
            <w:r w:rsidRPr="00DF7C60">
              <w:rPr>
                <w:rFonts w:eastAsia="Times New Roman"/>
                <w:w w:val="105"/>
                <w:szCs w:val="17"/>
              </w:rPr>
              <w:t>taxing</w:t>
            </w:r>
            <w:r w:rsidRPr="00DF7C60">
              <w:rPr>
                <w:rFonts w:eastAsia="Times New Roman"/>
                <w:spacing w:val="-1"/>
                <w:w w:val="102"/>
                <w:szCs w:val="17"/>
              </w:rPr>
              <w:t xml:space="preserve"> </w:t>
            </w:r>
            <w:r w:rsidRPr="00DF7C60">
              <w:rPr>
                <w:rFonts w:eastAsia="Times New Roman"/>
                <w:w w:val="105"/>
                <w:szCs w:val="17"/>
              </w:rPr>
              <w:t>officer where the witness</w:t>
            </w:r>
            <w:r w:rsidRPr="00DF7C60">
              <w:rPr>
                <w:rFonts w:eastAsia="Times New Roman"/>
                <w:spacing w:val="-27"/>
                <w:w w:val="105"/>
                <w:szCs w:val="17"/>
              </w:rPr>
              <w:t xml:space="preserve"> </w:t>
            </w:r>
            <w:r w:rsidRPr="00DF7C60">
              <w:rPr>
                <w:rFonts w:eastAsia="Times New Roman"/>
                <w:w w:val="105"/>
                <w:szCs w:val="17"/>
              </w:rPr>
              <w:t>is</w:t>
            </w:r>
            <w:r w:rsidRPr="00DF7C60">
              <w:rPr>
                <w:rFonts w:eastAsia="Times New Roman"/>
                <w:spacing w:val="-1"/>
                <w:w w:val="102"/>
                <w:szCs w:val="17"/>
              </w:rPr>
              <w:t xml:space="preserve"> </w:t>
            </w:r>
            <w:r w:rsidRPr="00DF7C60">
              <w:rPr>
                <w:rFonts w:eastAsia="Times New Roman"/>
                <w:w w:val="105"/>
                <w:szCs w:val="17"/>
              </w:rPr>
              <w:t>required</w:t>
            </w:r>
            <w:r w:rsidRPr="00DF7C60">
              <w:rPr>
                <w:rFonts w:eastAsia="Times New Roman"/>
                <w:spacing w:val="-10"/>
                <w:w w:val="105"/>
                <w:szCs w:val="17"/>
              </w:rPr>
              <w:t xml:space="preserve"> </w:t>
            </w:r>
            <w:r w:rsidRPr="00DF7C60">
              <w:rPr>
                <w:rFonts w:eastAsia="Times New Roman"/>
                <w:w w:val="105"/>
                <w:szCs w:val="17"/>
              </w:rPr>
              <w:t>to</w:t>
            </w:r>
            <w:r w:rsidRPr="00DF7C60">
              <w:rPr>
                <w:rFonts w:eastAsia="Times New Roman"/>
                <w:spacing w:val="-11"/>
                <w:w w:val="105"/>
                <w:szCs w:val="17"/>
              </w:rPr>
              <w:t xml:space="preserve"> </w:t>
            </w:r>
            <w:r w:rsidRPr="00DF7C60">
              <w:rPr>
                <w:rFonts w:eastAsia="Times New Roman"/>
                <w:w w:val="105"/>
                <w:szCs w:val="17"/>
              </w:rPr>
              <w:t>be</w:t>
            </w:r>
            <w:r w:rsidRPr="00DF7C60">
              <w:rPr>
                <w:rFonts w:eastAsia="Times New Roman"/>
                <w:spacing w:val="-10"/>
                <w:w w:val="105"/>
                <w:szCs w:val="17"/>
              </w:rPr>
              <w:t xml:space="preserve"> </w:t>
            </w:r>
            <w:r w:rsidRPr="00DF7C60">
              <w:rPr>
                <w:rFonts w:eastAsia="Times New Roman"/>
                <w:w w:val="105"/>
                <w:szCs w:val="17"/>
              </w:rPr>
              <w:t>absent</w:t>
            </w:r>
            <w:r w:rsidRPr="00DF7C60">
              <w:rPr>
                <w:rFonts w:eastAsia="Times New Roman"/>
                <w:spacing w:val="-12"/>
                <w:w w:val="105"/>
                <w:szCs w:val="17"/>
              </w:rPr>
              <w:t xml:space="preserve"> </w:t>
            </w:r>
            <w:r w:rsidRPr="00DF7C60">
              <w:rPr>
                <w:rFonts w:eastAsia="Times New Roman"/>
                <w:w w:val="105"/>
                <w:szCs w:val="17"/>
              </w:rPr>
              <w:t>from</w:t>
            </w:r>
            <w:r w:rsidRPr="00DF7C60">
              <w:rPr>
                <w:rFonts w:eastAsia="Times New Roman"/>
                <w:spacing w:val="-12"/>
                <w:w w:val="105"/>
                <w:szCs w:val="17"/>
              </w:rPr>
              <w:t xml:space="preserve"> </w:t>
            </w:r>
            <w:r w:rsidRPr="00DF7C60">
              <w:rPr>
                <w:rFonts w:eastAsia="Times New Roman"/>
                <w:w w:val="105"/>
                <w:szCs w:val="17"/>
              </w:rPr>
              <w:t>the witness’s normal place of</w:t>
            </w:r>
            <w:r w:rsidRPr="00DF7C60">
              <w:rPr>
                <w:rFonts w:eastAsia="Times New Roman"/>
                <w:spacing w:val="-35"/>
                <w:w w:val="105"/>
                <w:szCs w:val="17"/>
              </w:rPr>
              <w:t xml:space="preserve"> </w:t>
            </w:r>
            <w:r w:rsidRPr="00DF7C60">
              <w:rPr>
                <w:rFonts w:eastAsia="Times New Roman"/>
                <w:w w:val="105"/>
                <w:szCs w:val="17"/>
              </w:rPr>
              <w:t>residence</w:t>
            </w:r>
            <w:r w:rsidRPr="00DF7C60">
              <w:rPr>
                <w:rFonts w:eastAsia="Times New Roman"/>
                <w:spacing w:val="-1"/>
                <w:w w:val="102"/>
                <w:szCs w:val="17"/>
              </w:rPr>
              <w:t xml:space="preserve"> </w:t>
            </w:r>
            <w:r w:rsidRPr="00DF7C60">
              <w:rPr>
                <w:rFonts w:eastAsia="Times New Roman"/>
                <w:w w:val="105"/>
                <w:szCs w:val="17"/>
              </w:rPr>
              <w:t>overnight</w:t>
            </w:r>
            <w:r w:rsidRPr="00DF7C60">
              <w:rPr>
                <w:rFonts w:eastAsia="Times New Roman"/>
                <w:spacing w:val="-28"/>
                <w:w w:val="105"/>
                <w:szCs w:val="17"/>
              </w:rPr>
              <w:t xml:space="preserve"> </w:t>
            </w:r>
            <w:r w:rsidRPr="00DF7C60">
              <w:rPr>
                <w:rFonts w:eastAsia="Times New Roman"/>
                <w:w w:val="105"/>
                <w:szCs w:val="17"/>
              </w:rPr>
              <w:t>for</w:t>
            </w:r>
            <w:r w:rsidRPr="00DF7C60">
              <w:rPr>
                <w:rFonts w:eastAsia="Times New Roman"/>
                <w:spacing w:val="-27"/>
                <w:w w:val="105"/>
                <w:szCs w:val="17"/>
              </w:rPr>
              <w:t xml:space="preserve"> </w:t>
            </w:r>
            <w:r w:rsidRPr="00DF7C60">
              <w:rPr>
                <w:rFonts w:eastAsia="Times New Roman"/>
                <w:w w:val="105"/>
                <w:szCs w:val="17"/>
              </w:rPr>
              <w:t>accommodation</w:t>
            </w:r>
            <w:r w:rsidRPr="00DF7C60">
              <w:rPr>
                <w:rFonts w:eastAsia="Times New Roman"/>
                <w:spacing w:val="-26"/>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sustenance</w:t>
            </w:r>
            <w:r w:rsidRPr="00DF7C60">
              <w:rPr>
                <w:rFonts w:eastAsia="Times New Roman"/>
                <w:spacing w:val="-17"/>
                <w:w w:val="105"/>
                <w:szCs w:val="17"/>
              </w:rPr>
              <w:t xml:space="preserve"> </w:t>
            </w:r>
            <w:r w:rsidRPr="00DF7C60">
              <w:rPr>
                <w:rFonts w:eastAsia="Times New Roman"/>
                <w:w w:val="105"/>
                <w:szCs w:val="17"/>
              </w:rPr>
              <w:t>per</w:t>
            </w:r>
            <w:r w:rsidRPr="00DF7C60">
              <w:rPr>
                <w:rFonts w:eastAsia="Times New Roman"/>
                <w:spacing w:val="-17"/>
                <w:w w:val="105"/>
                <w:szCs w:val="17"/>
              </w:rPr>
              <w:t xml:space="preserve"> </w:t>
            </w:r>
            <w:r w:rsidRPr="00DF7C60">
              <w:rPr>
                <w:rFonts w:eastAsia="Times New Roman"/>
                <w:w w:val="105"/>
                <w:szCs w:val="17"/>
              </w:rPr>
              <w:t>night</w:t>
            </w:r>
            <w:r w:rsidRPr="00DF7C60">
              <w:rPr>
                <w:rFonts w:eastAsia="Times New Roman"/>
                <w:spacing w:val="-17"/>
                <w:w w:val="105"/>
                <w:szCs w:val="17"/>
              </w:rPr>
              <w:t xml:space="preserve"> </w:t>
            </w:r>
            <w:r w:rsidRPr="00DF7C60">
              <w:rPr>
                <w:rFonts w:eastAsia="Times New Roman"/>
                <w:w w:val="105"/>
                <w:szCs w:val="17"/>
              </w:rPr>
              <w:t>$320</w:t>
            </w:r>
            <w:r w:rsidRPr="00DF7C60">
              <w:rPr>
                <w:rFonts w:eastAsia="Times New Roman"/>
                <w:spacing w:val="-16"/>
                <w:w w:val="105"/>
                <w:szCs w:val="17"/>
              </w:rPr>
              <w:t xml:space="preserve"> </w:t>
            </w:r>
            <w:r w:rsidRPr="00DF7C60">
              <w:rPr>
                <w:rFonts w:eastAsia="Times New Roman"/>
                <w:w w:val="105"/>
                <w:szCs w:val="17"/>
              </w:rPr>
              <w:t>or</w:t>
            </w:r>
            <w:r w:rsidRPr="00DF7C60">
              <w:rPr>
                <w:rFonts w:eastAsia="Times New Roman"/>
                <w:spacing w:val="-17"/>
                <w:w w:val="105"/>
                <w:szCs w:val="17"/>
              </w:rPr>
              <w:t xml:space="preserve"> </w:t>
            </w:r>
            <w:r w:rsidRPr="00DF7C60">
              <w:rPr>
                <w:rFonts w:eastAsia="Times New Roman"/>
                <w:w w:val="105"/>
                <w:szCs w:val="17"/>
              </w:rPr>
              <w:t>such</w:t>
            </w:r>
            <w:r w:rsidRPr="00DF7C60">
              <w:rPr>
                <w:rFonts w:eastAsia="Times New Roman"/>
                <w:spacing w:val="-1"/>
                <w:w w:val="102"/>
                <w:szCs w:val="17"/>
              </w:rPr>
              <w:t xml:space="preserve"> </w:t>
            </w:r>
            <w:r w:rsidRPr="00DF7C60">
              <w:rPr>
                <w:rFonts w:eastAsia="Times New Roman"/>
                <w:w w:val="105"/>
                <w:szCs w:val="17"/>
              </w:rPr>
              <w:t>larger amounts allowed by</w:t>
            </w:r>
            <w:r w:rsidRPr="00DF7C60">
              <w:rPr>
                <w:rFonts w:eastAsia="Times New Roman"/>
                <w:spacing w:val="-33"/>
                <w:w w:val="105"/>
                <w:szCs w:val="17"/>
              </w:rPr>
              <w:t xml:space="preserve"> </w:t>
            </w:r>
            <w:r w:rsidRPr="00DF7C60">
              <w:rPr>
                <w:rFonts w:eastAsia="Times New Roman"/>
                <w:w w:val="105"/>
                <w:szCs w:val="17"/>
              </w:rPr>
              <w:t>the</w:t>
            </w:r>
            <w:r w:rsidRPr="00DF7C60">
              <w:rPr>
                <w:rFonts w:eastAsia="Times New Roman"/>
                <w:spacing w:val="-1"/>
                <w:w w:val="102"/>
                <w:szCs w:val="17"/>
              </w:rPr>
              <w:t xml:space="preserve"> </w:t>
            </w:r>
            <w:r w:rsidRPr="00DF7C60">
              <w:rPr>
                <w:rFonts w:eastAsia="Times New Roman"/>
                <w:w w:val="105"/>
                <w:szCs w:val="17"/>
              </w:rPr>
              <w:t>Court at the time of or</w:t>
            </w:r>
            <w:r w:rsidRPr="00DF7C60">
              <w:rPr>
                <w:rFonts w:eastAsia="Times New Roman"/>
                <w:spacing w:val="-36"/>
                <w:w w:val="105"/>
                <w:szCs w:val="17"/>
              </w:rPr>
              <w:t xml:space="preserve"> </w:t>
            </w:r>
            <w:r w:rsidRPr="00DF7C60">
              <w:rPr>
                <w:rFonts w:eastAsia="Times New Roman"/>
                <w:w w:val="105"/>
                <w:szCs w:val="17"/>
              </w:rPr>
              <w:t>before</w:t>
            </w:r>
            <w:r w:rsidRPr="00DF7C60">
              <w:rPr>
                <w:rFonts w:eastAsia="Times New Roman"/>
                <w:w w:val="102"/>
                <w:szCs w:val="17"/>
              </w:rPr>
              <w:t xml:space="preserve"> </w:t>
            </w:r>
            <w:r w:rsidRPr="00DF7C60">
              <w:rPr>
                <w:rFonts w:eastAsia="Times New Roman"/>
                <w:w w:val="105"/>
                <w:szCs w:val="17"/>
              </w:rPr>
              <w:t>judgment.</w:t>
            </w:r>
          </w:p>
        </w:tc>
      </w:tr>
      <w:tr w:rsidR="00DF7C60" w:rsidRPr="00DF7C60" w14:paraId="544CE0DA" w14:textId="77777777" w:rsidTr="0012134E">
        <w:trPr>
          <w:trHeight w:hRule="exact" w:val="516"/>
        </w:trPr>
        <w:tc>
          <w:tcPr>
            <w:tcW w:w="2579" w:type="pct"/>
            <w:tcBorders>
              <w:top w:val="single" w:sz="4" w:space="0" w:color="000000"/>
              <w:left w:val="single" w:sz="4" w:space="0" w:color="000000"/>
              <w:bottom w:val="single" w:sz="4" w:space="0" w:color="000000"/>
              <w:right w:val="single" w:sz="4" w:space="0" w:color="000000"/>
            </w:tcBorders>
            <w:hideMark/>
          </w:tcPr>
          <w:p w14:paraId="2A66EC06"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Photocopying</w:t>
            </w:r>
          </w:p>
        </w:tc>
        <w:tc>
          <w:tcPr>
            <w:tcW w:w="2421" w:type="pct"/>
            <w:tcBorders>
              <w:top w:val="single" w:sz="4" w:space="0" w:color="000000"/>
              <w:left w:val="single" w:sz="4" w:space="0" w:color="000000"/>
              <w:bottom w:val="single" w:sz="4" w:space="0" w:color="000000"/>
              <w:right w:val="single" w:sz="4" w:space="0" w:color="auto"/>
            </w:tcBorders>
            <w:shd w:val="clear" w:color="auto" w:fill="FFFFFF"/>
            <w:hideMark/>
          </w:tcPr>
          <w:p w14:paraId="49797A12" w14:textId="77777777" w:rsidR="00DF7C60" w:rsidRPr="00DF7C60" w:rsidRDefault="00DF7C60" w:rsidP="00DF7C60">
            <w:pPr>
              <w:kinsoku w:val="0"/>
              <w:overflowPunct w:val="0"/>
              <w:autoSpaceDE w:val="0"/>
              <w:autoSpaceDN w:val="0"/>
              <w:adjustRightInd w:val="0"/>
              <w:spacing w:before="118" w:after="240" w:line="254" w:lineRule="auto"/>
              <w:ind w:left="118"/>
              <w:jc w:val="left"/>
              <w:rPr>
                <w:rFonts w:eastAsia="Times New Roman"/>
                <w:szCs w:val="17"/>
              </w:rPr>
            </w:pPr>
            <w:r w:rsidRPr="00DF7C60">
              <w:rPr>
                <w:rFonts w:eastAsia="Times New Roman"/>
                <w:w w:val="105"/>
                <w:szCs w:val="17"/>
              </w:rPr>
              <w:t>72 cents per</w:t>
            </w:r>
            <w:r w:rsidRPr="00DF7C60">
              <w:rPr>
                <w:rFonts w:eastAsia="Times New Roman"/>
                <w:spacing w:val="-7"/>
                <w:w w:val="105"/>
                <w:szCs w:val="17"/>
              </w:rPr>
              <w:t xml:space="preserve"> </w:t>
            </w:r>
            <w:r w:rsidRPr="00DF7C60">
              <w:rPr>
                <w:rFonts w:eastAsia="Times New Roman"/>
                <w:w w:val="105"/>
                <w:szCs w:val="17"/>
              </w:rPr>
              <w:t>page</w:t>
            </w:r>
          </w:p>
        </w:tc>
      </w:tr>
      <w:tr w:rsidR="00DF7C60" w:rsidRPr="00DF7C60" w14:paraId="4C32B22F" w14:textId="77777777" w:rsidTr="0012134E">
        <w:trPr>
          <w:trHeight w:hRule="exact" w:val="518"/>
        </w:trPr>
        <w:tc>
          <w:tcPr>
            <w:tcW w:w="2579" w:type="pct"/>
            <w:tcBorders>
              <w:top w:val="single" w:sz="4" w:space="0" w:color="000000"/>
              <w:left w:val="single" w:sz="4" w:space="0" w:color="000000"/>
              <w:bottom w:val="single" w:sz="4" w:space="0" w:color="000000"/>
              <w:right w:val="single" w:sz="4" w:space="0" w:color="000000"/>
            </w:tcBorders>
            <w:hideMark/>
          </w:tcPr>
          <w:p w14:paraId="245ADCA5" w14:textId="77777777" w:rsidR="00DF7C60" w:rsidRPr="00DF7C60" w:rsidRDefault="00DF7C60" w:rsidP="00DF7C60">
            <w:pPr>
              <w:kinsoku w:val="0"/>
              <w:overflowPunct w:val="0"/>
              <w:autoSpaceDE w:val="0"/>
              <w:autoSpaceDN w:val="0"/>
              <w:adjustRightInd w:val="0"/>
              <w:spacing w:before="240" w:after="240" w:line="254" w:lineRule="auto"/>
              <w:ind w:left="117"/>
              <w:jc w:val="left"/>
              <w:rPr>
                <w:rFonts w:eastAsia="Times New Roman"/>
                <w:szCs w:val="17"/>
                <w:highlight w:val="yellow"/>
              </w:rPr>
            </w:pPr>
            <w:r w:rsidRPr="00DF7C60">
              <w:rPr>
                <w:rFonts w:eastAsia="Times New Roman"/>
                <w:w w:val="105"/>
                <w:szCs w:val="17"/>
              </w:rPr>
              <w:t>ISD</w:t>
            </w:r>
            <w:r w:rsidRPr="00DF7C60">
              <w:rPr>
                <w:rFonts w:eastAsia="Times New Roman"/>
                <w:spacing w:val="-2"/>
                <w:w w:val="105"/>
                <w:szCs w:val="17"/>
              </w:rPr>
              <w:t xml:space="preserve"> </w:t>
            </w:r>
            <w:r w:rsidRPr="00DF7C60">
              <w:rPr>
                <w:rFonts w:eastAsia="Times New Roman"/>
                <w:w w:val="105"/>
                <w:szCs w:val="17"/>
              </w:rPr>
              <w:t>calls</w:t>
            </w:r>
          </w:p>
        </w:tc>
        <w:tc>
          <w:tcPr>
            <w:tcW w:w="2421" w:type="pct"/>
            <w:tcBorders>
              <w:top w:val="single" w:sz="4" w:space="0" w:color="000000"/>
              <w:left w:val="single" w:sz="4" w:space="0" w:color="000000"/>
              <w:bottom w:val="single" w:sz="4" w:space="0" w:color="000000"/>
              <w:right w:val="single" w:sz="4" w:space="0" w:color="auto"/>
            </w:tcBorders>
            <w:shd w:val="clear" w:color="auto" w:fill="FFFFFF"/>
            <w:hideMark/>
          </w:tcPr>
          <w:p w14:paraId="4CCF6A6D" w14:textId="77777777" w:rsidR="00DF7C60" w:rsidRPr="00DF7C60" w:rsidRDefault="00DF7C60" w:rsidP="00DF7C60">
            <w:pPr>
              <w:kinsoku w:val="0"/>
              <w:overflowPunct w:val="0"/>
              <w:autoSpaceDE w:val="0"/>
              <w:autoSpaceDN w:val="0"/>
              <w:adjustRightInd w:val="0"/>
              <w:spacing w:before="240" w:after="240" w:line="254" w:lineRule="auto"/>
              <w:ind w:left="116"/>
              <w:jc w:val="left"/>
              <w:rPr>
                <w:rFonts w:eastAsia="Times New Roman"/>
                <w:szCs w:val="17"/>
              </w:rPr>
            </w:pPr>
            <w:r w:rsidRPr="00DF7C60">
              <w:rPr>
                <w:rFonts w:eastAsia="Times New Roman"/>
                <w:w w:val="105"/>
                <w:szCs w:val="17"/>
              </w:rPr>
              <w:t>The actual</w:t>
            </w:r>
            <w:r w:rsidRPr="00DF7C60">
              <w:rPr>
                <w:rFonts w:eastAsia="Times New Roman"/>
                <w:spacing w:val="-6"/>
                <w:w w:val="105"/>
                <w:szCs w:val="17"/>
              </w:rPr>
              <w:t xml:space="preserve"> </w:t>
            </w:r>
            <w:r w:rsidRPr="00DF7C60">
              <w:rPr>
                <w:rFonts w:eastAsia="Times New Roman"/>
                <w:w w:val="105"/>
                <w:szCs w:val="17"/>
              </w:rPr>
              <w:t>cost.</w:t>
            </w:r>
          </w:p>
        </w:tc>
      </w:tr>
      <w:tr w:rsidR="00DF7C60" w:rsidRPr="00DF7C60" w14:paraId="0E1554D2" w14:textId="77777777" w:rsidTr="0012134E">
        <w:trPr>
          <w:trHeight w:hRule="exact" w:val="513"/>
        </w:trPr>
        <w:tc>
          <w:tcPr>
            <w:tcW w:w="2579" w:type="pct"/>
            <w:tcBorders>
              <w:top w:val="single" w:sz="4" w:space="0" w:color="000000"/>
              <w:left w:val="single" w:sz="4" w:space="0" w:color="000000"/>
              <w:bottom w:val="single" w:sz="4" w:space="0" w:color="000000"/>
              <w:right w:val="single" w:sz="4" w:space="0" w:color="000000"/>
            </w:tcBorders>
            <w:hideMark/>
          </w:tcPr>
          <w:p w14:paraId="4FEAA611"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Expert</w:t>
            </w:r>
            <w:r w:rsidRPr="00DF7C60">
              <w:rPr>
                <w:rFonts w:eastAsia="Times New Roman"/>
                <w:spacing w:val="-3"/>
                <w:w w:val="105"/>
                <w:szCs w:val="17"/>
              </w:rPr>
              <w:t xml:space="preserve"> </w:t>
            </w:r>
            <w:r w:rsidRPr="00DF7C60">
              <w:rPr>
                <w:rFonts w:eastAsia="Times New Roman"/>
                <w:w w:val="105"/>
                <w:szCs w:val="17"/>
              </w:rPr>
              <w:t>Reports</w:t>
            </w:r>
          </w:p>
        </w:tc>
        <w:tc>
          <w:tcPr>
            <w:tcW w:w="2421" w:type="pct"/>
            <w:tcBorders>
              <w:top w:val="single" w:sz="4" w:space="0" w:color="000000"/>
              <w:left w:val="single" w:sz="4" w:space="0" w:color="000000"/>
              <w:bottom w:val="single" w:sz="4" w:space="0" w:color="000000"/>
              <w:right w:val="single" w:sz="4" w:space="0" w:color="auto"/>
            </w:tcBorders>
            <w:shd w:val="clear" w:color="auto" w:fill="FFFFFF"/>
            <w:hideMark/>
          </w:tcPr>
          <w:p w14:paraId="77F1B0B7" w14:textId="77777777" w:rsidR="00DF7C60" w:rsidRPr="00DF7C60" w:rsidRDefault="00DF7C60" w:rsidP="00DF7C60">
            <w:pPr>
              <w:kinsoku w:val="0"/>
              <w:overflowPunct w:val="0"/>
              <w:autoSpaceDE w:val="0"/>
              <w:autoSpaceDN w:val="0"/>
              <w:adjustRightInd w:val="0"/>
              <w:spacing w:before="118" w:after="240" w:line="242" w:lineRule="auto"/>
              <w:ind w:left="97" w:right="763" w:firstLine="21"/>
              <w:jc w:val="left"/>
              <w:rPr>
                <w:rFonts w:eastAsia="Times New Roman"/>
                <w:szCs w:val="17"/>
              </w:rPr>
            </w:pPr>
            <w:r w:rsidRPr="00DF7C60">
              <w:rPr>
                <w:rFonts w:eastAsia="Times New Roman"/>
                <w:w w:val="105"/>
                <w:szCs w:val="17"/>
              </w:rPr>
              <w:t>$1,100</w:t>
            </w:r>
            <w:r w:rsidRPr="00DF7C60">
              <w:rPr>
                <w:rFonts w:eastAsia="Times New Roman"/>
                <w:spacing w:val="-17"/>
                <w:w w:val="105"/>
                <w:szCs w:val="17"/>
              </w:rPr>
              <w:t xml:space="preserve"> </w:t>
            </w:r>
            <w:r w:rsidRPr="00DF7C60">
              <w:rPr>
                <w:rFonts w:eastAsia="Times New Roman"/>
                <w:w w:val="105"/>
                <w:szCs w:val="17"/>
              </w:rPr>
              <w:t>or</w:t>
            </w:r>
            <w:r w:rsidRPr="00DF7C60">
              <w:rPr>
                <w:rFonts w:eastAsia="Times New Roman"/>
                <w:spacing w:val="-17"/>
                <w:w w:val="105"/>
                <w:szCs w:val="17"/>
              </w:rPr>
              <w:t xml:space="preserve"> </w:t>
            </w:r>
            <w:r w:rsidRPr="00DF7C60">
              <w:rPr>
                <w:rFonts w:eastAsia="Times New Roman"/>
                <w:w w:val="105"/>
                <w:szCs w:val="17"/>
              </w:rPr>
              <w:t>such</w:t>
            </w:r>
            <w:r w:rsidRPr="00DF7C60">
              <w:rPr>
                <w:rFonts w:eastAsia="Times New Roman"/>
                <w:spacing w:val="-17"/>
                <w:w w:val="105"/>
                <w:szCs w:val="17"/>
              </w:rPr>
              <w:t xml:space="preserve"> </w:t>
            </w:r>
            <w:r w:rsidRPr="00DF7C60">
              <w:rPr>
                <w:rFonts w:eastAsia="Times New Roman"/>
                <w:w w:val="105"/>
                <w:szCs w:val="17"/>
              </w:rPr>
              <w:t>other</w:t>
            </w:r>
            <w:r w:rsidRPr="00DF7C60">
              <w:rPr>
                <w:rFonts w:eastAsia="Times New Roman"/>
                <w:spacing w:val="-17"/>
                <w:w w:val="105"/>
                <w:szCs w:val="17"/>
              </w:rPr>
              <w:t xml:space="preserve"> </w:t>
            </w:r>
            <w:r w:rsidRPr="00DF7C60">
              <w:rPr>
                <w:rFonts w:eastAsia="Times New Roman"/>
                <w:w w:val="105"/>
                <w:szCs w:val="17"/>
              </w:rPr>
              <w:t>amount</w:t>
            </w:r>
            <w:r w:rsidRPr="00DF7C60">
              <w:rPr>
                <w:rFonts w:eastAsia="Times New Roman"/>
                <w:spacing w:val="-1"/>
                <w:w w:val="102"/>
                <w:szCs w:val="17"/>
              </w:rPr>
              <w:t xml:space="preserve"> </w:t>
            </w:r>
            <w:r w:rsidRPr="00DF7C60">
              <w:rPr>
                <w:rFonts w:eastAsia="Times New Roman"/>
                <w:w w:val="105"/>
                <w:szCs w:val="17"/>
              </w:rPr>
              <w:t>ordered by the</w:t>
            </w:r>
            <w:r w:rsidRPr="00DF7C60">
              <w:rPr>
                <w:rFonts w:eastAsia="Times New Roman"/>
                <w:spacing w:val="-18"/>
                <w:w w:val="105"/>
                <w:szCs w:val="17"/>
              </w:rPr>
              <w:t xml:space="preserve"> </w:t>
            </w:r>
            <w:r w:rsidRPr="00DF7C60">
              <w:rPr>
                <w:rFonts w:eastAsia="Times New Roman"/>
                <w:w w:val="105"/>
                <w:szCs w:val="17"/>
              </w:rPr>
              <w:t>Court</w:t>
            </w:r>
          </w:p>
        </w:tc>
      </w:tr>
      <w:tr w:rsidR="00DF7C60" w:rsidRPr="00DF7C60" w14:paraId="677DB182" w14:textId="77777777" w:rsidTr="0012134E">
        <w:trPr>
          <w:trHeight w:hRule="exact" w:val="1570"/>
        </w:trPr>
        <w:tc>
          <w:tcPr>
            <w:tcW w:w="2579" w:type="pct"/>
            <w:tcBorders>
              <w:top w:val="single" w:sz="4" w:space="0" w:color="000000"/>
              <w:left w:val="single" w:sz="4" w:space="0" w:color="000000"/>
              <w:bottom w:val="single" w:sz="4" w:space="0" w:color="000000"/>
              <w:right w:val="single" w:sz="4" w:space="0" w:color="000000"/>
            </w:tcBorders>
            <w:hideMark/>
          </w:tcPr>
          <w:p w14:paraId="6363A4F9"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Other</w:t>
            </w:r>
          </w:p>
        </w:tc>
        <w:tc>
          <w:tcPr>
            <w:tcW w:w="2421" w:type="pct"/>
            <w:tcBorders>
              <w:top w:val="single" w:sz="4" w:space="0" w:color="000000"/>
              <w:left w:val="single" w:sz="4" w:space="0" w:color="000000"/>
              <w:bottom w:val="single" w:sz="4" w:space="0" w:color="000000"/>
              <w:right w:val="single" w:sz="4" w:space="0" w:color="auto"/>
            </w:tcBorders>
            <w:shd w:val="clear" w:color="auto" w:fill="FFFFFF"/>
            <w:hideMark/>
          </w:tcPr>
          <w:p w14:paraId="00BCD681" w14:textId="77777777" w:rsidR="00DF7C60" w:rsidRPr="00DF7C60" w:rsidRDefault="00DF7C60" w:rsidP="00DF7C60">
            <w:pPr>
              <w:kinsoku w:val="0"/>
              <w:overflowPunct w:val="0"/>
              <w:autoSpaceDE w:val="0"/>
              <w:autoSpaceDN w:val="0"/>
              <w:adjustRightInd w:val="0"/>
              <w:spacing w:before="118" w:after="240" w:line="242" w:lineRule="auto"/>
              <w:ind w:left="97" w:right="168" w:firstLine="20"/>
              <w:jc w:val="left"/>
              <w:rPr>
                <w:rFonts w:eastAsia="Times New Roman"/>
                <w:szCs w:val="17"/>
              </w:rPr>
            </w:pPr>
            <w:r w:rsidRPr="00DF7C60">
              <w:rPr>
                <w:rFonts w:eastAsia="Times New Roman"/>
                <w:w w:val="105"/>
                <w:szCs w:val="17"/>
              </w:rPr>
              <w:t>All</w:t>
            </w:r>
            <w:r w:rsidRPr="00DF7C60">
              <w:rPr>
                <w:rFonts w:eastAsia="Times New Roman"/>
                <w:spacing w:val="-11"/>
                <w:w w:val="105"/>
                <w:szCs w:val="17"/>
              </w:rPr>
              <w:t xml:space="preserve"> </w:t>
            </w:r>
            <w:r w:rsidRPr="00DF7C60">
              <w:rPr>
                <w:rFonts w:eastAsia="Times New Roman"/>
                <w:w w:val="105"/>
                <w:szCs w:val="17"/>
              </w:rPr>
              <w:t>Court</w:t>
            </w:r>
            <w:r w:rsidRPr="00DF7C60">
              <w:rPr>
                <w:rFonts w:eastAsia="Times New Roman"/>
                <w:spacing w:val="-11"/>
                <w:w w:val="105"/>
                <w:szCs w:val="17"/>
              </w:rPr>
              <w:t xml:space="preserve"> </w:t>
            </w:r>
            <w:r w:rsidRPr="00DF7C60">
              <w:rPr>
                <w:rFonts w:eastAsia="Times New Roman"/>
                <w:w w:val="105"/>
                <w:szCs w:val="17"/>
              </w:rPr>
              <w:t>fees,</w:t>
            </w:r>
            <w:r w:rsidRPr="00DF7C60">
              <w:rPr>
                <w:rFonts w:eastAsia="Times New Roman"/>
                <w:spacing w:val="-11"/>
                <w:w w:val="105"/>
                <w:szCs w:val="17"/>
              </w:rPr>
              <w:t xml:space="preserve"> </w:t>
            </w:r>
            <w:r w:rsidRPr="00DF7C60">
              <w:rPr>
                <w:rFonts w:eastAsia="Times New Roman"/>
                <w:w w:val="105"/>
                <w:szCs w:val="17"/>
              </w:rPr>
              <w:t>search</w:t>
            </w:r>
            <w:r w:rsidRPr="00DF7C60">
              <w:rPr>
                <w:rFonts w:eastAsia="Times New Roman"/>
                <w:spacing w:val="-11"/>
                <w:w w:val="105"/>
                <w:szCs w:val="17"/>
              </w:rPr>
              <w:t xml:space="preserve"> </w:t>
            </w:r>
            <w:r w:rsidRPr="00DF7C60">
              <w:rPr>
                <w:rFonts w:eastAsia="Times New Roman"/>
                <w:w w:val="105"/>
                <w:szCs w:val="17"/>
              </w:rPr>
              <w:t>fees,</w:t>
            </w:r>
            <w:r w:rsidRPr="00DF7C60">
              <w:rPr>
                <w:rFonts w:eastAsia="Times New Roman"/>
                <w:spacing w:val="-11"/>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other fees and payments to</w:t>
            </w:r>
            <w:r w:rsidRPr="00DF7C60">
              <w:rPr>
                <w:rFonts w:eastAsia="Times New Roman"/>
                <w:spacing w:val="-42"/>
                <w:w w:val="105"/>
                <w:szCs w:val="17"/>
              </w:rPr>
              <w:t xml:space="preserve"> </w:t>
            </w:r>
            <w:r w:rsidRPr="00DF7C60">
              <w:rPr>
                <w:rFonts w:eastAsia="Times New Roman"/>
                <w:w w:val="105"/>
                <w:szCs w:val="17"/>
              </w:rPr>
              <w:t>the</w:t>
            </w:r>
            <w:r w:rsidRPr="00DF7C60">
              <w:rPr>
                <w:rFonts w:eastAsia="Times New Roman"/>
                <w:spacing w:val="-1"/>
                <w:w w:val="102"/>
                <w:szCs w:val="17"/>
              </w:rPr>
              <w:t xml:space="preserve"> </w:t>
            </w:r>
            <w:r w:rsidRPr="00DF7C60">
              <w:rPr>
                <w:rFonts w:eastAsia="Times New Roman"/>
                <w:w w:val="105"/>
                <w:szCs w:val="17"/>
              </w:rPr>
              <w:t>extent</w:t>
            </w:r>
            <w:r w:rsidRPr="00DF7C60">
              <w:rPr>
                <w:rFonts w:eastAsia="Times New Roman"/>
                <w:spacing w:val="-11"/>
                <w:w w:val="105"/>
                <w:szCs w:val="17"/>
              </w:rPr>
              <w:t xml:space="preserve"> </w:t>
            </w:r>
            <w:r w:rsidRPr="00DF7C60">
              <w:rPr>
                <w:rFonts w:eastAsia="Times New Roman"/>
                <w:w w:val="105"/>
                <w:szCs w:val="17"/>
              </w:rPr>
              <w:t>to</w:t>
            </w:r>
            <w:r w:rsidRPr="00DF7C60">
              <w:rPr>
                <w:rFonts w:eastAsia="Times New Roman"/>
                <w:spacing w:val="-11"/>
                <w:w w:val="105"/>
                <w:szCs w:val="17"/>
              </w:rPr>
              <w:t xml:space="preserve"> </w:t>
            </w:r>
            <w:r w:rsidRPr="00DF7C60">
              <w:rPr>
                <w:rFonts w:eastAsia="Times New Roman"/>
                <w:w w:val="105"/>
                <w:szCs w:val="17"/>
              </w:rPr>
              <w:t>which</w:t>
            </w:r>
            <w:r w:rsidRPr="00DF7C60">
              <w:rPr>
                <w:rFonts w:eastAsia="Times New Roman"/>
                <w:spacing w:val="-9"/>
                <w:w w:val="105"/>
                <w:szCs w:val="17"/>
              </w:rPr>
              <w:t xml:space="preserve"> </w:t>
            </w:r>
            <w:r w:rsidRPr="00DF7C60">
              <w:rPr>
                <w:rFonts w:eastAsia="Times New Roman"/>
                <w:w w:val="105"/>
                <w:szCs w:val="17"/>
              </w:rPr>
              <w:t>they</w:t>
            </w:r>
            <w:r w:rsidRPr="00DF7C60">
              <w:rPr>
                <w:rFonts w:eastAsia="Times New Roman"/>
                <w:spacing w:val="-8"/>
                <w:w w:val="105"/>
                <w:szCs w:val="17"/>
              </w:rPr>
              <w:t xml:space="preserve"> </w:t>
            </w:r>
            <w:r w:rsidRPr="00DF7C60">
              <w:rPr>
                <w:rFonts w:eastAsia="Times New Roman"/>
                <w:w w:val="105"/>
                <w:szCs w:val="17"/>
              </w:rPr>
              <w:t>have</w:t>
            </w:r>
            <w:r w:rsidRPr="00DF7C60">
              <w:rPr>
                <w:rFonts w:eastAsia="Times New Roman"/>
                <w:spacing w:val="-11"/>
                <w:w w:val="105"/>
                <w:szCs w:val="17"/>
              </w:rPr>
              <w:t xml:space="preserve"> </w:t>
            </w:r>
            <w:r w:rsidRPr="00DF7C60">
              <w:rPr>
                <w:rFonts w:eastAsia="Times New Roman"/>
                <w:w w:val="105"/>
                <w:szCs w:val="17"/>
              </w:rPr>
              <w:t>been</w:t>
            </w:r>
            <w:r w:rsidRPr="00DF7C60">
              <w:rPr>
                <w:rFonts w:eastAsia="Times New Roman"/>
                <w:spacing w:val="-1"/>
                <w:w w:val="102"/>
                <w:szCs w:val="17"/>
              </w:rPr>
              <w:t xml:space="preserve"> </w:t>
            </w:r>
            <w:r w:rsidRPr="00DF7C60">
              <w:rPr>
                <w:rFonts w:eastAsia="Times New Roman"/>
                <w:w w:val="105"/>
                <w:szCs w:val="17"/>
              </w:rPr>
              <w:t>properly</w:t>
            </w:r>
            <w:r w:rsidRPr="00DF7C60">
              <w:rPr>
                <w:rFonts w:eastAsia="Times New Roman"/>
                <w:spacing w:val="-22"/>
                <w:w w:val="105"/>
                <w:szCs w:val="17"/>
              </w:rPr>
              <w:t xml:space="preserve"> </w:t>
            </w:r>
            <w:r w:rsidRPr="00DF7C60">
              <w:rPr>
                <w:rFonts w:eastAsia="Times New Roman"/>
                <w:w w:val="105"/>
                <w:szCs w:val="17"/>
              </w:rPr>
              <w:t>and</w:t>
            </w:r>
            <w:r w:rsidRPr="00DF7C60">
              <w:rPr>
                <w:rFonts w:eastAsia="Times New Roman"/>
                <w:spacing w:val="-23"/>
                <w:w w:val="105"/>
                <w:szCs w:val="17"/>
              </w:rPr>
              <w:t xml:space="preserve"> </w:t>
            </w:r>
            <w:r w:rsidRPr="00DF7C60">
              <w:rPr>
                <w:rFonts w:eastAsia="Times New Roman"/>
                <w:w w:val="105"/>
                <w:szCs w:val="17"/>
              </w:rPr>
              <w:t>reasonably</w:t>
            </w:r>
            <w:r w:rsidRPr="00DF7C60">
              <w:rPr>
                <w:rFonts w:eastAsia="Times New Roman"/>
                <w:spacing w:val="-22"/>
                <w:w w:val="105"/>
                <w:szCs w:val="17"/>
              </w:rPr>
              <w:t xml:space="preserve"> </w:t>
            </w:r>
            <w:r w:rsidRPr="00DF7C60">
              <w:rPr>
                <w:rFonts w:eastAsia="Times New Roman"/>
                <w:w w:val="105"/>
                <w:szCs w:val="17"/>
              </w:rPr>
              <w:t>incurred</w:t>
            </w:r>
            <w:r w:rsidRPr="00DF7C60">
              <w:rPr>
                <w:rFonts w:eastAsia="Times New Roman"/>
                <w:spacing w:val="-1"/>
                <w:w w:val="102"/>
                <w:szCs w:val="17"/>
              </w:rPr>
              <w:t xml:space="preserve"> </w:t>
            </w:r>
            <w:r w:rsidRPr="00DF7C60">
              <w:rPr>
                <w:rFonts w:eastAsia="Times New Roman"/>
                <w:w w:val="105"/>
                <w:szCs w:val="17"/>
              </w:rPr>
              <w:t>and</w:t>
            </w:r>
            <w:r w:rsidRPr="00DF7C60">
              <w:rPr>
                <w:rFonts w:eastAsia="Times New Roman"/>
                <w:spacing w:val="-15"/>
                <w:w w:val="105"/>
                <w:szCs w:val="17"/>
              </w:rPr>
              <w:t xml:space="preserve"> </w:t>
            </w:r>
            <w:r w:rsidRPr="00DF7C60">
              <w:rPr>
                <w:rFonts w:eastAsia="Times New Roman"/>
                <w:w w:val="105"/>
                <w:szCs w:val="17"/>
              </w:rPr>
              <w:t>paid;</w:t>
            </w:r>
            <w:r w:rsidRPr="00DF7C60">
              <w:rPr>
                <w:rFonts w:eastAsia="Times New Roman"/>
                <w:spacing w:val="-15"/>
                <w:w w:val="105"/>
                <w:szCs w:val="17"/>
              </w:rPr>
              <w:t xml:space="preserve"> </w:t>
            </w:r>
            <w:r w:rsidRPr="00DF7C60">
              <w:rPr>
                <w:rFonts w:eastAsia="Times New Roman"/>
                <w:w w:val="105"/>
                <w:szCs w:val="17"/>
              </w:rPr>
              <w:t>but</w:t>
            </w:r>
            <w:r w:rsidRPr="00DF7C60">
              <w:rPr>
                <w:rFonts w:eastAsia="Times New Roman"/>
                <w:spacing w:val="-15"/>
                <w:w w:val="105"/>
                <w:szCs w:val="17"/>
              </w:rPr>
              <w:t xml:space="preserve"> </w:t>
            </w:r>
            <w:r w:rsidRPr="00DF7C60">
              <w:rPr>
                <w:rFonts w:eastAsia="Times New Roman"/>
                <w:w w:val="105"/>
                <w:szCs w:val="17"/>
              </w:rPr>
              <w:t>excluding</w:t>
            </w:r>
            <w:r w:rsidRPr="00DF7C60">
              <w:rPr>
                <w:rFonts w:eastAsia="Times New Roman"/>
                <w:spacing w:val="-14"/>
                <w:w w:val="105"/>
                <w:szCs w:val="17"/>
              </w:rPr>
              <w:t xml:space="preserve"> </w:t>
            </w:r>
            <w:r w:rsidRPr="00DF7C60">
              <w:rPr>
                <w:rFonts w:eastAsia="Times New Roman"/>
                <w:w w:val="105"/>
                <w:szCs w:val="17"/>
              </w:rPr>
              <w:t>the</w:t>
            </w:r>
            <w:r w:rsidRPr="00DF7C60">
              <w:rPr>
                <w:rFonts w:eastAsia="Times New Roman"/>
                <w:spacing w:val="-15"/>
                <w:w w:val="105"/>
                <w:szCs w:val="17"/>
              </w:rPr>
              <w:t xml:space="preserve"> </w:t>
            </w:r>
            <w:r w:rsidRPr="00DF7C60">
              <w:rPr>
                <w:rFonts w:eastAsia="Times New Roman"/>
                <w:w w:val="105"/>
                <w:szCs w:val="17"/>
              </w:rPr>
              <w:t>usual</w:t>
            </w:r>
            <w:r w:rsidRPr="00DF7C60">
              <w:rPr>
                <w:rFonts w:eastAsia="Times New Roman"/>
                <w:w w:val="102"/>
                <w:szCs w:val="17"/>
              </w:rPr>
              <w:t xml:space="preserve"> </w:t>
            </w:r>
            <w:r w:rsidRPr="00DF7C60">
              <w:rPr>
                <w:rFonts w:eastAsia="Times New Roman"/>
                <w:w w:val="105"/>
                <w:szCs w:val="17"/>
              </w:rPr>
              <w:t>and incidental expenses</w:t>
            </w:r>
            <w:r w:rsidRPr="00DF7C60">
              <w:rPr>
                <w:rFonts w:eastAsia="Times New Roman"/>
                <w:spacing w:val="-21"/>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overheads</w:t>
            </w:r>
            <w:r w:rsidRPr="00DF7C60">
              <w:rPr>
                <w:rFonts w:eastAsia="Times New Roman"/>
                <w:spacing w:val="-15"/>
                <w:w w:val="105"/>
                <w:szCs w:val="17"/>
              </w:rPr>
              <w:t xml:space="preserve"> </w:t>
            </w:r>
            <w:r w:rsidRPr="00DF7C60">
              <w:rPr>
                <w:rFonts w:eastAsia="Times New Roman"/>
                <w:w w:val="105"/>
                <w:szCs w:val="17"/>
              </w:rPr>
              <w:t>of</w:t>
            </w:r>
            <w:r w:rsidRPr="00DF7C60">
              <w:rPr>
                <w:rFonts w:eastAsia="Times New Roman"/>
                <w:spacing w:val="-15"/>
                <w:w w:val="105"/>
                <w:szCs w:val="17"/>
              </w:rPr>
              <w:t xml:space="preserve"> </w:t>
            </w:r>
            <w:r w:rsidRPr="00DF7C60">
              <w:rPr>
                <w:rFonts w:eastAsia="Times New Roman"/>
                <w:w w:val="105"/>
                <w:szCs w:val="17"/>
              </w:rPr>
              <w:t>a</w:t>
            </w:r>
            <w:r w:rsidRPr="00DF7C60">
              <w:rPr>
                <w:rFonts w:eastAsia="Times New Roman"/>
                <w:spacing w:val="-15"/>
                <w:w w:val="105"/>
                <w:szCs w:val="17"/>
              </w:rPr>
              <w:t xml:space="preserve"> </w:t>
            </w:r>
            <w:r w:rsidRPr="00DF7C60">
              <w:rPr>
                <w:rFonts w:eastAsia="Times New Roman"/>
                <w:w w:val="105"/>
                <w:szCs w:val="17"/>
              </w:rPr>
              <w:t>legal</w:t>
            </w:r>
            <w:r w:rsidRPr="00DF7C60">
              <w:rPr>
                <w:rFonts w:eastAsia="Times New Roman"/>
                <w:spacing w:val="-15"/>
                <w:w w:val="105"/>
                <w:szCs w:val="17"/>
              </w:rPr>
              <w:t xml:space="preserve"> </w:t>
            </w:r>
            <w:r w:rsidRPr="00DF7C60">
              <w:rPr>
                <w:rFonts w:eastAsia="Times New Roman"/>
                <w:w w:val="105"/>
                <w:szCs w:val="17"/>
              </w:rPr>
              <w:t>practice</w:t>
            </w:r>
            <w:r w:rsidRPr="00DF7C60">
              <w:rPr>
                <w:rFonts w:eastAsia="Times New Roman"/>
                <w:spacing w:val="-15"/>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in particular excluding</w:t>
            </w:r>
            <w:r w:rsidRPr="00DF7C60">
              <w:rPr>
                <w:rFonts w:eastAsia="Times New Roman"/>
                <w:spacing w:val="-38"/>
                <w:w w:val="105"/>
                <w:szCs w:val="17"/>
              </w:rPr>
              <w:t xml:space="preserve"> </w:t>
            </w:r>
            <w:r w:rsidRPr="00DF7C60">
              <w:rPr>
                <w:rFonts w:eastAsia="Times New Roman"/>
                <w:w w:val="105"/>
                <w:szCs w:val="17"/>
              </w:rPr>
              <w:t>postage,</w:t>
            </w:r>
            <w:r w:rsidRPr="00DF7C60">
              <w:rPr>
                <w:rFonts w:eastAsia="Times New Roman"/>
                <w:spacing w:val="-1"/>
                <w:w w:val="102"/>
                <w:szCs w:val="17"/>
              </w:rPr>
              <w:t xml:space="preserve"> </w:t>
            </w:r>
            <w:r w:rsidRPr="00DF7C60">
              <w:rPr>
                <w:rFonts w:eastAsia="Times New Roman"/>
                <w:w w:val="105"/>
                <w:szCs w:val="17"/>
              </w:rPr>
              <w:t>telephone</w:t>
            </w:r>
            <w:r w:rsidRPr="00DF7C60">
              <w:rPr>
                <w:rFonts w:eastAsia="Times New Roman"/>
                <w:spacing w:val="-20"/>
                <w:w w:val="105"/>
                <w:szCs w:val="17"/>
              </w:rPr>
              <w:t xml:space="preserve"> </w:t>
            </w:r>
            <w:r w:rsidRPr="00DF7C60">
              <w:rPr>
                <w:rFonts w:eastAsia="Times New Roman"/>
                <w:w w:val="105"/>
                <w:szCs w:val="17"/>
              </w:rPr>
              <w:t>charges</w:t>
            </w:r>
            <w:r w:rsidRPr="00DF7C60">
              <w:rPr>
                <w:rFonts w:eastAsia="Times New Roman"/>
                <w:spacing w:val="-20"/>
                <w:w w:val="105"/>
                <w:szCs w:val="17"/>
              </w:rPr>
              <w:t xml:space="preserve"> </w:t>
            </w:r>
            <w:r w:rsidRPr="00DF7C60">
              <w:rPr>
                <w:rFonts w:eastAsia="Times New Roman"/>
                <w:w w:val="105"/>
                <w:szCs w:val="17"/>
              </w:rPr>
              <w:t>(non</w:t>
            </w:r>
            <w:r w:rsidRPr="00DF7C60">
              <w:rPr>
                <w:rFonts w:eastAsia="Times New Roman"/>
                <w:spacing w:val="-21"/>
                <w:w w:val="105"/>
                <w:szCs w:val="17"/>
              </w:rPr>
              <w:t xml:space="preserve"> </w:t>
            </w:r>
            <w:r w:rsidRPr="00DF7C60">
              <w:rPr>
                <w:rFonts w:eastAsia="Times New Roman"/>
                <w:w w:val="105"/>
                <w:szCs w:val="17"/>
              </w:rPr>
              <w:t>STD)</w:t>
            </w:r>
            <w:r w:rsidRPr="00DF7C60">
              <w:rPr>
                <w:rFonts w:eastAsia="Times New Roman"/>
                <w:spacing w:val="-21"/>
                <w:w w:val="105"/>
                <w:szCs w:val="17"/>
              </w:rPr>
              <w:t xml:space="preserve"> </w:t>
            </w:r>
            <w:r w:rsidRPr="00DF7C60">
              <w:rPr>
                <w:rFonts w:eastAsia="Times New Roman"/>
                <w:w w:val="105"/>
                <w:szCs w:val="17"/>
              </w:rPr>
              <w:t>and</w:t>
            </w:r>
            <w:r w:rsidRPr="00DF7C60">
              <w:rPr>
                <w:rFonts w:eastAsia="Times New Roman"/>
                <w:spacing w:val="-1"/>
                <w:w w:val="102"/>
                <w:szCs w:val="17"/>
              </w:rPr>
              <w:t xml:space="preserve"> </w:t>
            </w:r>
            <w:r w:rsidRPr="00DF7C60">
              <w:rPr>
                <w:rFonts w:eastAsia="Times New Roman"/>
                <w:w w:val="105"/>
                <w:szCs w:val="17"/>
              </w:rPr>
              <w:t>courier</w:t>
            </w:r>
            <w:r w:rsidRPr="00DF7C60">
              <w:rPr>
                <w:rFonts w:eastAsia="Times New Roman"/>
                <w:spacing w:val="-4"/>
                <w:w w:val="105"/>
                <w:szCs w:val="17"/>
              </w:rPr>
              <w:t xml:space="preserve"> </w:t>
            </w:r>
            <w:r w:rsidRPr="00DF7C60">
              <w:rPr>
                <w:rFonts w:eastAsia="Times New Roman"/>
                <w:w w:val="105"/>
                <w:szCs w:val="17"/>
              </w:rPr>
              <w:t>expenses.</w:t>
            </w:r>
          </w:p>
        </w:tc>
      </w:tr>
      <w:tr w:rsidR="00DF7C60" w:rsidRPr="00DF7C60" w14:paraId="250D2343" w14:textId="77777777" w:rsidTr="0012134E">
        <w:trPr>
          <w:trHeight w:val="3280"/>
        </w:trPr>
        <w:tc>
          <w:tcPr>
            <w:tcW w:w="5000" w:type="pct"/>
            <w:gridSpan w:val="2"/>
            <w:tcBorders>
              <w:top w:val="single" w:sz="4" w:space="0" w:color="000000"/>
              <w:left w:val="single" w:sz="4" w:space="0" w:color="000000"/>
              <w:bottom w:val="single" w:sz="4" w:space="0" w:color="000000"/>
              <w:right w:val="single" w:sz="4" w:space="0" w:color="auto"/>
            </w:tcBorders>
            <w:hideMark/>
          </w:tcPr>
          <w:p w14:paraId="5C0FAD3B" w14:textId="77777777" w:rsidR="00DF7C60" w:rsidRPr="00DF7C60" w:rsidRDefault="00DF7C60" w:rsidP="00DF7C60">
            <w:pPr>
              <w:kinsoku w:val="0"/>
              <w:overflowPunct w:val="0"/>
              <w:autoSpaceDE w:val="0"/>
              <w:autoSpaceDN w:val="0"/>
              <w:adjustRightInd w:val="0"/>
              <w:spacing w:before="118" w:after="240" w:line="254" w:lineRule="auto"/>
              <w:ind w:left="117"/>
              <w:jc w:val="left"/>
              <w:rPr>
                <w:rFonts w:eastAsia="Times New Roman"/>
                <w:szCs w:val="17"/>
              </w:rPr>
            </w:pPr>
            <w:r w:rsidRPr="00DF7C60">
              <w:rPr>
                <w:rFonts w:eastAsia="Times New Roman"/>
                <w:w w:val="105"/>
                <w:szCs w:val="17"/>
              </w:rPr>
              <w:t>NOTE:</w:t>
            </w:r>
          </w:p>
          <w:p w14:paraId="6075900A" w14:textId="77777777" w:rsidR="00DF7C60" w:rsidRPr="00DF7C60" w:rsidRDefault="00DF7C60" w:rsidP="00965F17">
            <w:pPr>
              <w:numPr>
                <w:ilvl w:val="0"/>
                <w:numId w:val="17"/>
              </w:numPr>
              <w:tabs>
                <w:tab w:val="left" w:pos="656"/>
              </w:tabs>
              <w:kinsoku w:val="0"/>
              <w:overflowPunct w:val="0"/>
              <w:autoSpaceDE w:val="0"/>
              <w:autoSpaceDN w:val="0"/>
              <w:adjustRightInd w:val="0"/>
              <w:spacing w:before="119" w:after="120" w:line="240" w:lineRule="auto"/>
              <w:ind w:right="816"/>
              <w:jc w:val="left"/>
              <w:rPr>
                <w:rFonts w:eastAsia="Times New Roman"/>
                <w:szCs w:val="17"/>
              </w:rPr>
            </w:pPr>
            <w:r w:rsidRPr="00DF7C60">
              <w:rPr>
                <w:rFonts w:eastAsia="Times New Roman"/>
                <w:w w:val="105"/>
                <w:szCs w:val="17"/>
              </w:rPr>
              <w:t>If</w:t>
            </w:r>
            <w:r w:rsidRPr="00DF7C60">
              <w:rPr>
                <w:rFonts w:eastAsia="Times New Roman"/>
                <w:spacing w:val="-13"/>
                <w:w w:val="105"/>
                <w:szCs w:val="17"/>
              </w:rPr>
              <w:t xml:space="preserve"> </w:t>
            </w:r>
            <w:r w:rsidRPr="00DF7C60">
              <w:rPr>
                <w:rFonts w:eastAsia="Times New Roman"/>
                <w:w w:val="105"/>
                <w:szCs w:val="17"/>
              </w:rPr>
              <w:t>a</w:t>
            </w:r>
            <w:r w:rsidRPr="00DF7C60">
              <w:rPr>
                <w:rFonts w:eastAsia="Times New Roman"/>
                <w:spacing w:val="-13"/>
                <w:w w:val="105"/>
                <w:szCs w:val="17"/>
              </w:rPr>
              <w:t xml:space="preserve"> </w:t>
            </w:r>
            <w:r w:rsidRPr="00DF7C60">
              <w:rPr>
                <w:rFonts w:eastAsia="Times New Roman"/>
                <w:w w:val="105"/>
                <w:szCs w:val="17"/>
              </w:rPr>
              <w:t>witness</w:t>
            </w:r>
            <w:r w:rsidRPr="00DF7C60">
              <w:rPr>
                <w:rFonts w:eastAsia="Times New Roman"/>
                <w:spacing w:val="-13"/>
                <w:w w:val="105"/>
                <w:szCs w:val="17"/>
              </w:rPr>
              <w:t xml:space="preserve"> </w:t>
            </w:r>
            <w:r w:rsidRPr="00DF7C60">
              <w:rPr>
                <w:rFonts w:eastAsia="Times New Roman"/>
                <w:w w:val="105"/>
                <w:szCs w:val="17"/>
              </w:rPr>
              <w:t>is</w:t>
            </w:r>
            <w:r w:rsidRPr="00DF7C60">
              <w:rPr>
                <w:rFonts w:eastAsia="Times New Roman"/>
                <w:spacing w:val="-13"/>
                <w:w w:val="105"/>
                <w:szCs w:val="17"/>
              </w:rPr>
              <w:t xml:space="preserve"> </w:t>
            </w:r>
            <w:r w:rsidRPr="00DF7C60">
              <w:rPr>
                <w:rFonts w:eastAsia="Times New Roman"/>
                <w:w w:val="105"/>
                <w:szCs w:val="17"/>
              </w:rPr>
              <w:t>released</w:t>
            </w:r>
            <w:r w:rsidRPr="00DF7C60">
              <w:rPr>
                <w:rFonts w:eastAsia="Times New Roman"/>
                <w:spacing w:val="-13"/>
                <w:w w:val="105"/>
                <w:szCs w:val="17"/>
              </w:rPr>
              <w:t xml:space="preserve"> </w:t>
            </w:r>
            <w:r w:rsidRPr="00DF7C60">
              <w:rPr>
                <w:rFonts w:eastAsia="Times New Roman"/>
                <w:w w:val="105"/>
                <w:szCs w:val="17"/>
              </w:rPr>
              <w:t>before</w:t>
            </w:r>
            <w:r w:rsidRPr="00DF7C60">
              <w:rPr>
                <w:rFonts w:eastAsia="Times New Roman"/>
                <w:spacing w:val="-14"/>
                <w:w w:val="105"/>
                <w:szCs w:val="17"/>
              </w:rPr>
              <w:t xml:space="preserve"> </w:t>
            </w:r>
            <w:r w:rsidRPr="00DF7C60">
              <w:rPr>
                <w:rFonts w:eastAsia="Times New Roman"/>
                <w:w w:val="105"/>
                <w:szCs w:val="17"/>
              </w:rPr>
              <w:t>or</w:t>
            </w:r>
            <w:r w:rsidRPr="00DF7C60">
              <w:rPr>
                <w:rFonts w:eastAsia="Times New Roman"/>
                <w:spacing w:val="-13"/>
                <w:w w:val="105"/>
                <w:szCs w:val="17"/>
              </w:rPr>
              <w:t xml:space="preserve"> </w:t>
            </w:r>
            <w:r w:rsidRPr="00DF7C60">
              <w:rPr>
                <w:rFonts w:eastAsia="Times New Roman"/>
                <w:w w:val="105"/>
                <w:szCs w:val="17"/>
              </w:rPr>
              <w:t>is</w:t>
            </w:r>
            <w:r w:rsidRPr="00DF7C60">
              <w:rPr>
                <w:rFonts w:eastAsia="Times New Roman"/>
                <w:spacing w:val="-13"/>
                <w:w w:val="105"/>
                <w:szCs w:val="17"/>
              </w:rPr>
              <w:t xml:space="preserve"> </w:t>
            </w:r>
            <w:r w:rsidRPr="00DF7C60">
              <w:rPr>
                <w:rFonts w:eastAsia="Times New Roman"/>
                <w:w w:val="105"/>
                <w:szCs w:val="17"/>
              </w:rPr>
              <w:t>required</w:t>
            </w:r>
            <w:r w:rsidRPr="00DF7C60">
              <w:rPr>
                <w:rFonts w:eastAsia="Times New Roman"/>
                <w:spacing w:val="-13"/>
                <w:w w:val="105"/>
                <w:szCs w:val="17"/>
              </w:rPr>
              <w:t xml:space="preserve"> </w:t>
            </w:r>
            <w:r w:rsidRPr="00DF7C60">
              <w:rPr>
                <w:rFonts w:eastAsia="Times New Roman"/>
                <w:w w:val="105"/>
                <w:szCs w:val="17"/>
              </w:rPr>
              <w:t>to</w:t>
            </w:r>
            <w:r w:rsidRPr="00DF7C60">
              <w:rPr>
                <w:rFonts w:eastAsia="Times New Roman"/>
                <w:spacing w:val="-13"/>
                <w:w w:val="105"/>
                <w:szCs w:val="17"/>
              </w:rPr>
              <w:t xml:space="preserve"> </w:t>
            </w:r>
            <w:r w:rsidRPr="00DF7C60">
              <w:rPr>
                <w:rFonts w:eastAsia="Times New Roman"/>
                <w:w w:val="105"/>
                <w:szCs w:val="17"/>
              </w:rPr>
              <w:t>first</w:t>
            </w:r>
            <w:r w:rsidRPr="00DF7C60">
              <w:rPr>
                <w:rFonts w:eastAsia="Times New Roman"/>
                <w:spacing w:val="-13"/>
                <w:w w:val="105"/>
                <w:szCs w:val="17"/>
              </w:rPr>
              <w:t xml:space="preserve"> </w:t>
            </w:r>
            <w:r w:rsidRPr="00DF7C60">
              <w:rPr>
                <w:rFonts w:eastAsia="Times New Roman"/>
                <w:w w:val="105"/>
                <w:szCs w:val="17"/>
              </w:rPr>
              <w:t>attend</w:t>
            </w:r>
            <w:r w:rsidRPr="00DF7C60">
              <w:rPr>
                <w:rFonts w:eastAsia="Times New Roman"/>
                <w:spacing w:val="-12"/>
                <w:w w:val="105"/>
                <w:szCs w:val="17"/>
              </w:rPr>
              <w:t xml:space="preserve"> </w:t>
            </w:r>
            <w:r w:rsidRPr="00DF7C60">
              <w:rPr>
                <w:rFonts w:eastAsia="Times New Roman"/>
                <w:w w:val="105"/>
                <w:szCs w:val="17"/>
              </w:rPr>
              <w:t>after</w:t>
            </w:r>
            <w:r w:rsidRPr="00DF7C60">
              <w:rPr>
                <w:rFonts w:eastAsia="Times New Roman"/>
                <w:spacing w:val="-13"/>
                <w:w w:val="105"/>
                <w:szCs w:val="17"/>
              </w:rPr>
              <w:t xml:space="preserve"> </w:t>
            </w:r>
            <w:r w:rsidRPr="00DF7C60">
              <w:rPr>
                <w:rFonts w:eastAsia="Times New Roman"/>
                <w:w w:val="105"/>
                <w:szCs w:val="17"/>
              </w:rPr>
              <w:t>the</w:t>
            </w:r>
            <w:r w:rsidRPr="00DF7C60">
              <w:rPr>
                <w:rFonts w:eastAsia="Times New Roman"/>
                <w:w w:val="102"/>
                <w:szCs w:val="17"/>
              </w:rPr>
              <w:t xml:space="preserve"> </w:t>
            </w:r>
            <w:r w:rsidRPr="00DF7C60">
              <w:rPr>
                <w:rFonts w:eastAsia="Times New Roman"/>
                <w:w w:val="105"/>
                <w:szCs w:val="17"/>
              </w:rPr>
              <w:t>luncheon</w:t>
            </w:r>
            <w:r w:rsidRPr="00DF7C60">
              <w:rPr>
                <w:rFonts w:eastAsia="Times New Roman"/>
                <w:spacing w:val="-15"/>
                <w:w w:val="105"/>
                <w:szCs w:val="17"/>
              </w:rPr>
              <w:t xml:space="preserve"> </w:t>
            </w:r>
            <w:r w:rsidRPr="00DF7C60">
              <w:rPr>
                <w:rFonts w:eastAsia="Times New Roman"/>
                <w:w w:val="105"/>
                <w:szCs w:val="17"/>
              </w:rPr>
              <w:t>break</w:t>
            </w:r>
            <w:r w:rsidRPr="00DF7C60">
              <w:rPr>
                <w:rFonts w:eastAsia="Times New Roman"/>
                <w:spacing w:val="-15"/>
                <w:w w:val="105"/>
                <w:szCs w:val="17"/>
              </w:rPr>
              <w:t xml:space="preserve"> </w:t>
            </w:r>
            <w:r w:rsidRPr="00DF7C60">
              <w:rPr>
                <w:rFonts w:eastAsia="Times New Roman"/>
                <w:w w:val="105"/>
                <w:szCs w:val="17"/>
              </w:rPr>
              <w:t>on</w:t>
            </w:r>
            <w:r w:rsidRPr="00DF7C60">
              <w:rPr>
                <w:rFonts w:eastAsia="Times New Roman"/>
                <w:spacing w:val="-14"/>
                <w:w w:val="105"/>
                <w:szCs w:val="17"/>
              </w:rPr>
              <w:t xml:space="preserve"> </w:t>
            </w:r>
            <w:r w:rsidRPr="00DF7C60">
              <w:rPr>
                <w:rFonts w:eastAsia="Times New Roman"/>
                <w:w w:val="105"/>
                <w:szCs w:val="17"/>
              </w:rPr>
              <w:t>any</w:t>
            </w:r>
            <w:r w:rsidRPr="00DF7C60">
              <w:rPr>
                <w:rFonts w:eastAsia="Times New Roman"/>
                <w:spacing w:val="-12"/>
                <w:w w:val="105"/>
                <w:szCs w:val="17"/>
              </w:rPr>
              <w:t xml:space="preserve"> </w:t>
            </w:r>
            <w:r w:rsidRPr="00DF7C60">
              <w:rPr>
                <w:rFonts w:eastAsia="Times New Roman"/>
                <w:w w:val="105"/>
                <w:szCs w:val="17"/>
              </w:rPr>
              <w:t>day,</w:t>
            </w:r>
            <w:r w:rsidRPr="00DF7C60">
              <w:rPr>
                <w:rFonts w:eastAsia="Times New Roman"/>
                <w:spacing w:val="-15"/>
                <w:w w:val="105"/>
                <w:szCs w:val="17"/>
              </w:rPr>
              <w:t xml:space="preserve"> </w:t>
            </w:r>
            <w:r w:rsidRPr="00DF7C60">
              <w:rPr>
                <w:rFonts w:eastAsia="Times New Roman"/>
                <w:w w:val="105"/>
                <w:szCs w:val="17"/>
              </w:rPr>
              <w:t>half</w:t>
            </w:r>
            <w:r w:rsidRPr="00DF7C60">
              <w:rPr>
                <w:rFonts w:eastAsia="Times New Roman"/>
                <w:spacing w:val="-15"/>
                <w:w w:val="105"/>
                <w:szCs w:val="17"/>
              </w:rPr>
              <w:t xml:space="preserve"> </w:t>
            </w:r>
            <w:r w:rsidRPr="00DF7C60">
              <w:rPr>
                <w:rFonts w:eastAsia="Times New Roman"/>
                <w:w w:val="105"/>
                <w:szCs w:val="17"/>
              </w:rPr>
              <w:t>a</w:t>
            </w:r>
            <w:r w:rsidRPr="00DF7C60">
              <w:rPr>
                <w:rFonts w:eastAsia="Times New Roman"/>
                <w:spacing w:val="-15"/>
                <w:w w:val="105"/>
                <w:szCs w:val="17"/>
              </w:rPr>
              <w:t xml:space="preserve"> </w:t>
            </w:r>
            <w:r w:rsidRPr="00DF7C60">
              <w:rPr>
                <w:rFonts w:eastAsia="Times New Roman"/>
                <w:w w:val="105"/>
                <w:szCs w:val="17"/>
              </w:rPr>
              <w:t>day</w:t>
            </w:r>
            <w:r w:rsidRPr="00DF7C60">
              <w:rPr>
                <w:rFonts w:eastAsia="Times New Roman"/>
                <w:spacing w:val="-15"/>
                <w:w w:val="105"/>
                <w:szCs w:val="17"/>
              </w:rPr>
              <w:t xml:space="preserve"> </w:t>
            </w:r>
            <w:r w:rsidRPr="00DF7C60">
              <w:rPr>
                <w:rFonts w:eastAsia="Times New Roman"/>
                <w:w w:val="105"/>
                <w:szCs w:val="17"/>
              </w:rPr>
              <w:t>will</w:t>
            </w:r>
            <w:r w:rsidRPr="00DF7C60">
              <w:rPr>
                <w:rFonts w:eastAsia="Times New Roman"/>
                <w:spacing w:val="-15"/>
                <w:w w:val="105"/>
                <w:szCs w:val="17"/>
              </w:rPr>
              <w:t xml:space="preserve"> </w:t>
            </w:r>
            <w:r w:rsidRPr="00DF7C60">
              <w:rPr>
                <w:rFonts w:eastAsia="Times New Roman"/>
                <w:w w:val="105"/>
                <w:szCs w:val="17"/>
              </w:rPr>
              <w:t>be</w:t>
            </w:r>
            <w:r w:rsidRPr="00DF7C60">
              <w:rPr>
                <w:rFonts w:eastAsia="Times New Roman"/>
                <w:spacing w:val="-16"/>
                <w:w w:val="105"/>
                <w:szCs w:val="17"/>
              </w:rPr>
              <w:t xml:space="preserve"> </w:t>
            </w:r>
            <w:r w:rsidRPr="00DF7C60">
              <w:rPr>
                <w:rFonts w:eastAsia="Times New Roman"/>
                <w:w w:val="105"/>
                <w:szCs w:val="17"/>
              </w:rPr>
              <w:t>allowed.</w:t>
            </w:r>
          </w:p>
          <w:p w14:paraId="1923C725" w14:textId="77777777" w:rsidR="00DF7C60" w:rsidRPr="00DF7C60" w:rsidRDefault="00DF7C60" w:rsidP="00965F17">
            <w:pPr>
              <w:numPr>
                <w:ilvl w:val="0"/>
                <w:numId w:val="17"/>
              </w:numPr>
              <w:tabs>
                <w:tab w:val="left" w:pos="656"/>
              </w:tabs>
              <w:kinsoku w:val="0"/>
              <w:overflowPunct w:val="0"/>
              <w:autoSpaceDE w:val="0"/>
              <w:autoSpaceDN w:val="0"/>
              <w:adjustRightInd w:val="0"/>
              <w:spacing w:before="115" w:after="120" w:line="254" w:lineRule="auto"/>
              <w:jc w:val="left"/>
              <w:rPr>
                <w:rFonts w:eastAsia="Times New Roman"/>
                <w:szCs w:val="17"/>
              </w:rPr>
            </w:pPr>
            <w:r w:rsidRPr="00DF7C60">
              <w:rPr>
                <w:rFonts w:eastAsia="Times New Roman"/>
                <w:w w:val="105"/>
                <w:szCs w:val="17"/>
              </w:rPr>
              <w:t>Fees</w:t>
            </w:r>
            <w:r w:rsidRPr="00DF7C60">
              <w:rPr>
                <w:rFonts w:eastAsia="Times New Roman"/>
                <w:spacing w:val="-21"/>
                <w:w w:val="105"/>
                <w:szCs w:val="17"/>
              </w:rPr>
              <w:t xml:space="preserve"> </w:t>
            </w:r>
            <w:r w:rsidRPr="00DF7C60">
              <w:rPr>
                <w:rFonts w:eastAsia="Times New Roman"/>
                <w:w w:val="105"/>
                <w:szCs w:val="17"/>
              </w:rPr>
              <w:t>for</w:t>
            </w:r>
            <w:r w:rsidRPr="00DF7C60">
              <w:rPr>
                <w:rFonts w:eastAsia="Times New Roman"/>
                <w:spacing w:val="-20"/>
                <w:w w:val="105"/>
                <w:szCs w:val="17"/>
              </w:rPr>
              <w:t xml:space="preserve"> </w:t>
            </w:r>
            <w:r w:rsidRPr="00DF7C60">
              <w:rPr>
                <w:rFonts w:eastAsia="Times New Roman"/>
                <w:w w:val="105"/>
                <w:szCs w:val="17"/>
              </w:rPr>
              <w:t>non-legally</w:t>
            </w:r>
            <w:r w:rsidRPr="00DF7C60">
              <w:rPr>
                <w:rFonts w:eastAsia="Times New Roman"/>
                <w:spacing w:val="-20"/>
                <w:w w:val="105"/>
                <w:szCs w:val="17"/>
              </w:rPr>
              <w:t xml:space="preserve"> </w:t>
            </w:r>
            <w:r w:rsidRPr="00DF7C60">
              <w:rPr>
                <w:rFonts w:eastAsia="Times New Roman"/>
                <w:w w:val="105"/>
                <w:szCs w:val="17"/>
              </w:rPr>
              <w:t>qualified</w:t>
            </w:r>
            <w:r w:rsidRPr="00DF7C60">
              <w:rPr>
                <w:rFonts w:eastAsia="Times New Roman"/>
                <w:spacing w:val="-21"/>
                <w:w w:val="105"/>
                <w:szCs w:val="17"/>
              </w:rPr>
              <w:t xml:space="preserve"> </w:t>
            </w:r>
            <w:r w:rsidRPr="00DF7C60">
              <w:rPr>
                <w:rFonts w:eastAsia="Times New Roman"/>
                <w:w w:val="105"/>
                <w:szCs w:val="17"/>
              </w:rPr>
              <w:t>people</w:t>
            </w:r>
            <w:r w:rsidRPr="00DF7C60">
              <w:rPr>
                <w:rFonts w:eastAsia="Times New Roman"/>
                <w:spacing w:val="-20"/>
                <w:w w:val="105"/>
                <w:szCs w:val="17"/>
              </w:rPr>
              <w:t xml:space="preserve"> </w:t>
            </w:r>
            <w:r w:rsidRPr="00DF7C60">
              <w:rPr>
                <w:rFonts w:eastAsia="Times New Roman"/>
                <w:w w:val="105"/>
                <w:szCs w:val="17"/>
              </w:rPr>
              <w:t>are</w:t>
            </w:r>
            <w:r w:rsidRPr="00DF7C60">
              <w:rPr>
                <w:rFonts w:eastAsia="Times New Roman"/>
                <w:spacing w:val="-21"/>
                <w:w w:val="105"/>
                <w:szCs w:val="17"/>
              </w:rPr>
              <w:t xml:space="preserve"> </w:t>
            </w:r>
            <w:r w:rsidRPr="00DF7C60">
              <w:rPr>
                <w:rFonts w:eastAsia="Times New Roman"/>
                <w:w w:val="105"/>
                <w:szCs w:val="17"/>
              </w:rPr>
              <w:t>for</w:t>
            </w:r>
            <w:r w:rsidRPr="00DF7C60">
              <w:rPr>
                <w:rFonts w:eastAsia="Times New Roman"/>
                <w:spacing w:val="-21"/>
                <w:w w:val="105"/>
                <w:szCs w:val="17"/>
              </w:rPr>
              <w:t xml:space="preserve"> </w:t>
            </w:r>
            <w:r w:rsidRPr="00DF7C60">
              <w:rPr>
                <w:rFonts w:eastAsia="Times New Roman"/>
                <w:w w:val="105"/>
                <w:szCs w:val="17"/>
              </w:rPr>
              <w:t>attendances</w:t>
            </w:r>
            <w:r w:rsidRPr="00DF7C60">
              <w:rPr>
                <w:rFonts w:eastAsia="Times New Roman"/>
                <w:spacing w:val="-21"/>
                <w:w w:val="105"/>
                <w:szCs w:val="17"/>
              </w:rPr>
              <w:t xml:space="preserve"> </w:t>
            </w:r>
            <w:r w:rsidRPr="00DF7C60">
              <w:rPr>
                <w:rFonts w:eastAsia="Times New Roman"/>
                <w:w w:val="105"/>
                <w:szCs w:val="17"/>
              </w:rPr>
              <w:t>only.</w:t>
            </w:r>
          </w:p>
          <w:p w14:paraId="0C9BA56B" w14:textId="77777777" w:rsidR="00DF7C60" w:rsidRPr="00DF7C60" w:rsidRDefault="00DF7C60" w:rsidP="00965F17">
            <w:pPr>
              <w:numPr>
                <w:ilvl w:val="0"/>
                <w:numId w:val="17"/>
              </w:numPr>
              <w:tabs>
                <w:tab w:val="left" w:pos="656"/>
              </w:tabs>
              <w:kinsoku w:val="0"/>
              <w:overflowPunct w:val="0"/>
              <w:autoSpaceDE w:val="0"/>
              <w:autoSpaceDN w:val="0"/>
              <w:adjustRightInd w:val="0"/>
              <w:spacing w:before="115" w:after="120" w:line="254" w:lineRule="auto"/>
              <w:jc w:val="left"/>
              <w:rPr>
                <w:rFonts w:eastAsia="Times New Roman"/>
                <w:w w:val="105"/>
                <w:szCs w:val="17"/>
              </w:rPr>
            </w:pPr>
            <w:r w:rsidRPr="00DF7C60">
              <w:rPr>
                <w:rFonts w:eastAsia="Times New Roman"/>
                <w:szCs w:val="17"/>
              </w:rPr>
              <w:t>T</w:t>
            </w:r>
            <w:r w:rsidRPr="00DF7C60">
              <w:rPr>
                <w:rFonts w:eastAsia="Times New Roman"/>
                <w:w w:val="105"/>
                <w:szCs w:val="17"/>
              </w:rPr>
              <w:t>he costs allowed in this scale do not include Goods and Services Tax (GST) which is to be added except in the following circumstances:</w:t>
            </w:r>
          </w:p>
          <w:p w14:paraId="4A25BE94" w14:textId="77777777" w:rsidR="00DF7C60" w:rsidRPr="00DF7C60" w:rsidRDefault="00DF7C60" w:rsidP="00DF7C60">
            <w:pPr>
              <w:kinsoku w:val="0"/>
              <w:overflowPunct w:val="0"/>
              <w:autoSpaceDE w:val="0"/>
              <w:autoSpaceDN w:val="0"/>
              <w:adjustRightInd w:val="0"/>
              <w:spacing w:before="118" w:after="240" w:line="242" w:lineRule="auto"/>
              <w:ind w:left="97" w:right="168" w:firstLine="20"/>
              <w:jc w:val="left"/>
              <w:rPr>
                <w:rFonts w:eastAsia="Times New Roman"/>
                <w:w w:val="105"/>
                <w:szCs w:val="17"/>
              </w:rPr>
            </w:pPr>
            <w:r w:rsidRPr="00DF7C60">
              <w:rPr>
                <w:rFonts w:eastAsia="Times New Roman"/>
                <w:w w:val="105"/>
                <w:szCs w:val="17"/>
              </w:rPr>
              <w:t>The GST should not be included in a claim for costs in a party/party Bill of Costs if the receiving party is able to obtain an input tax credit. If the receiving party is able to obtain an input tax credit for a proportion of GST only, only the portion which is not eligible for credit should be claimed in the party/party bill.</w:t>
            </w:r>
          </w:p>
        </w:tc>
      </w:tr>
      <w:bookmarkEnd w:id="5"/>
    </w:tbl>
    <w:p w14:paraId="040E7F9C" w14:textId="77777777" w:rsidR="00DF7C60" w:rsidRPr="00DF7C60" w:rsidRDefault="00DF7C60" w:rsidP="00DF7C60">
      <w:pPr>
        <w:rPr>
          <w:rFonts w:eastAsia="Times New Roman"/>
          <w:szCs w:val="17"/>
        </w:rPr>
      </w:pPr>
    </w:p>
    <w:p w14:paraId="75F72239" w14:textId="77777777" w:rsidR="00DF7C60" w:rsidRPr="00DF7C60" w:rsidRDefault="00DF7C60" w:rsidP="00965F17">
      <w:pPr>
        <w:numPr>
          <w:ilvl w:val="0"/>
          <w:numId w:val="15"/>
        </w:numPr>
        <w:spacing w:after="0" w:line="360" w:lineRule="auto"/>
        <w:ind w:left="851" w:hanging="758"/>
        <w:jc w:val="left"/>
        <w:rPr>
          <w:szCs w:val="17"/>
        </w:rPr>
      </w:pPr>
      <w:r w:rsidRPr="00DF7C60">
        <w:rPr>
          <w:szCs w:val="17"/>
        </w:rPr>
        <w:lastRenderedPageBreak/>
        <w:t>In Schedule 2, Form 181e is deleted and substituted as follows:</w:t>
      </w:r>
    </w:p>
    <w:p w14:paraId="24E8E8E2" w14:textId="77777777" w:rsidR="00DF7C60" w:rsidRPr="00DF7C60" w:rsidRDefault="00DF7C60" w:rsidP="00DF7C60">
      <w:pPr>
        <w:tabs>
          <w:tab w:val="left" w:pos="1408"/>
        </w:tabs>
        <w:overflowPunct w:val="0"/>
        <w:autoSpaceDE w:val="0"/>
        <w:autoSpaceDN w:val="0"/>
        <w:adjustRightInd w:val="0"/>
        <w:spacing w:after="0" w:line="240" w:lineRule="auto"/>
        <w:rPr>
          <w:rFonts w:eastAsia="Times New Roman"/>
          <w:szCs w:val="17"/>
          <w:lang w:val="en-US"/>
        </w:rPr>
      </w:pPr>
      <w:r w:rsidRPr="00DF7C60">
        <w:rPr>
          <w:rFonts w:eastAsia="Times New Roman"/>
          <w:szCs w:val="17"/>
          <w:lang w:val="en-US"/>
        </w:rPr>
        <w:t>Form 181e</w:t>
      </w:r>
    </w:p>
    <w:p w14:paraId="163AE977" w14:textId="77777777" w:rsidR="00DF7C60" w:rsidRPr="00DF7C60" w:rsidRDefault="00DF7C60" w:rsidP="00DF7C60">
      <w:pPr>
        <w:tabs>
          <w:tab w:val="left" w:pos="1408"/>
        </w:tabs>
        <w:overflowPunct w:val="0"/>
        <w:autoSpaceDE w:val="0"/>
        <w:autoSpaceDN w:val="0"/>
        <w:adjustRightInd w:val="0"/>
        <w:spacing w:after="0" w:line="240" w:lineRule="auto"/>
        <w:rPr>
          <w:rFonts w:eastAsia="Times New Roman"/>
          <w:sz w:val="24"/>
          <w:szCs w:val="20"/>
          <w:lang w:val="en-US"/>
        </w:rPr>
      </w:pPr>
    </w:p>
    <w:tbl>
      <w:tblPr>
        <w:tblStyle w:val="TableGrid37"/>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DF7C60" w:rsidRPr="00DF7C60" w14:paraId="3F7D868D" w14:textId="77777777" w:rsidTr="0012134E">
        <w:tc>
          <w:tcPr>
            <w:tcW w:w="3899" w:type="pct"/>
            <w:tcBorders>
              <w:top w:val="single" w:sz="4" w:space="0" w:color="auto"/>
            </w:tcBorders>
          </w:tcPr>
          <w:p w14:paraId="6D1B390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t>To be inserted by Court</w:t>
            </w:r>
          </w:p>
        </w:tc>
        <w:tc>
          <w:tcPr>
            <w:tcW w:w="1101" w:type="pct"/>
            <w:tcBorders>
              <w:top w:val="single" w:sz="4" w:space="0" w:color="auto"/>
            </w:tcBorders>
          </w:tcPr>
          <w:p w14:paraId="486756E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2E2F2FD1" w14:textId="77777777" w:rsidTr="0012134E">
        <w:trPr>
          <w:trHeight w:val="1148"/>
        </w:trPr>
        <w:tc>
          <w:tcPr>
            <w:tcW w:w="3899" w:type="pct"/>
            <w:tcBorders>
              <w:bottom w:val="single" w:sz="2" w:space="0" w:color="auto"/>
            </w:tcBorders>
          </w:tcPr>
          <w:p w14:paraId="4D9FB6A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32DE51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12B9F8A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384BD9F"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Filed:</w:t>
            </w:r>
          </w:p>
          <w:p w14:paraId="166B218E"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26F2FF2F"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53346333"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1BCE6D0D"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593A572D"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bl>
    <w:p w14:paraId="634A2FED" w14:textId="77777777" w:rsidR="00DF7C60" w:rsidRPr="00DF7C60" w:rsidRDefault="00DF7C60" w:rsidP="00DF7C60">
      <w:pPr>
        <w:spacing w:before="240" w:after="160" w:line="259" w:lineRule="auto"/>
        <w:jc w:val="left"/>
        <w:rPr>
          <w:b/>
          <w:sz w:val="12"/>
        </w:rPr>
      </w:pPr>
    </w:p>
    <w:tbl>
      <w:tblPr>
        <w:tblStyle w:val="TableGrid37"/>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DF7C60" w:rsidRPr="00DF7C60" w14:paraId="3D5600B9" w14:textId="77777777" w:rsidTr="0012134E">
        <w:trPr>
          <w:trHeight w:val="410"/>
        </w:trPr>
        <w:tc>
          <w:tcPr>
            <w:tcW w:w="1311" w:type="pct"/>
            <w:tcBorders>
              <w:top w:val="single" w:sz="2" w:space="0" w:color="auto"/>
              <w:bottom w:val="nil"/>
            </w:tcBorders>
          </w:tcPr>
          <w:p w14:paraId="301D907C" w14:textId="77777777" w:rsidR="00DF7C60" w:rsidRPr="00DF7C60" w:rsidRDefault="00DF7C60" w:rsidP="00DF7C60">
            <w:pPr>
              <w:tabs>
                <w:tab w:val="center" w:pos="4153"/>
                <w:tab w:val="right" w:pos="8306"/>
              </w:tabs>
              <w:spacing w:after="0" w:line="240" w:lineRule="auto"/>
              <w:jc w:val="left"/>
              <w:rPr>
                <w:sz w:val="22"/>
              </w:rPr>
            </w:pPr>
            <w:r w:rsidRPr="00DF7C60">
              <w:rPr>
                <w:b/>
                <w:sz w:val="22"/>
              </w:rPr>
              <w:t>Hearing Date and Time:</w:t>
            </w:r>
            <w:r w:rsidRPr="00DF7C60">
              <w:rPr>
                <w:sz w:val="22"/>
              </w:rPr>
              <w:t xml:space="preserve"> </w:t>
            </w:r>
          </w:p>
          <w:p w14:paraId="793CA269" w14:textId="77777777" w:rsidR="00DF7C60" w:rsidRPr="00DF7C60" w:rsidRDefault="00DF7C60" w:rsidP="00DF7C60">
            <w:pPr>
              <w:tabs>
                <w:tab w:val="center" w:pos="4153"/>
                <w:tab w:val="right" w:pos="8306"/>
              </w:tabs>
              <w:spacing w:after="0" w:line="240" w:lineRule="auto"/>
              <w:jc w:val="left"/>
              <w:rPr>
                <w:sz w:val="22"/>
              </w:rPr>
            </w:pPr>
          </w:p>
        </w:tc>
        <w:tc>
          <w:tcPr>
            <w:tcW w:w="2588" w:type="pct"/>
            <w:tcBorders>
              <w:top w:val="single" w:sz="2" w:space="0" w:color="auto"/>
              <w:bottom w:val="nil"/>
            </w:tcBorders>
          </w:tcPr>
          <w:p w14:paraId="262F8D48" w14:textId="77777777" w:rsidR="00DF7C60" w:rsidRPr="00DF7C60" w:rsidRDefault="00DF7C60" w:rsidP="00DF7C60">
            <w:pPr>
              <w:tabs>
                <w:tab w:val="center" w:pos="4153"/>
                <w:tab w:val="right" w:pos="8306"/>
              </w:tabs>
              <w:spacing w:after="0" w:line="240" w:lineRule="auto"/>
              <w:jc w:val="left"/>
              <w:rPr>
                <w:sz w:val="22"/>
              </w:rPr>
            </w:pPr>
          </w:p>
        </w:tc>
        <w:tc>
          <w:tcPr>
            <w:tcW w:w="1101" w:type="pct"/>
            <w:tcBorders>
              <w:top w:val="single" w:sz="2" w:space="0" w:color="auto"/>
              <w:bottom w:val="nil"/>
            </w:tcBorders>
          </w:tcPr>
          <w:p w14:paraId="094BD5CE" w14:textId="77777777" w:rsidR="00DF7C60" w:rsidRPr="00DF7C60" w:rsidRDefault="00DF7C60" w:rsidP="00DF7C60">
            <w:pPr>
              <w:tabs>
                <w:tab w:val="center" w:pos="4153"/>
                <w:tab w:val="right" w:pos="8306"/>
              </w:tabs>
              <w:spacing w:after="0" w:line="240" w:lineRule="auto"/>
              <w:jc w:val="left"/>
              <w:rPr>
                <w:sz w:val="22"/>
              </w:rPr>
            </w:pPr>
          </w:p>
        </w:tc>
      </w:tr>
      <w:tr w:rsidR="00DF7C60" w:rsidRPr="00DF7C60" w14:paraId="5C0B9C13" w14:textId="77777777" w:rsidTr="0012134E">
        <w:trPr>
          <w:trHeight w:val="410"/>
        </w:trPr>
        <w:tc>
          <w:tcPr>
            <w:tcW w:w="1311" w:type="pct"/>
            <w:tcBorders>
              <w:top w:val="nil"/>
              <w:bottom w:val="single" w:sz="4" w:space="0" w:color="auto"/>
            </w:tcBorders>
          </w:tcPr>
          <w:p w14:paraId="27669E96" w14:textId="77777777" w:rsidR="00DF7C60" w:rsidRPr="00DF7C60" w:rsidRDefault="00DF7C60" w:rsidP="00DF7C60">
            <w:pPr>
              <w:tabs>
                <w:tab w:val="center" w:pos="4153"/>
                <w:tab w:val="right" w:pos="8306"/>
              </w:tabs>
              <w:spacing w:after="0" w:line="240" w:lineRule="auto"/>
              <w:jc w:val="left"/>
              <w:rPr>
                <w:b/>
                <w:sz w:val="22"/>
              </w:rPr>
            </w:pPr>
            <w:r w:rsidRPr="00DF7C60">
              <w:rPr>
                <w:b/>
                <w:sz w:val="22"/>
              </w:rPr>
              <w:t>Hearing Location:</w:t>
            </w:r>
          </w:p>
          <w:p w14:paraId="26DEB11E" w14:textId="77777777" w:rsidR="00DF7C60" w:rsidRPr="00DF7C60" w:rsidRDefault="00DF7C60" w:rsidP="00DF7C60">
            <w:pPr>
              <w:tabs>
                <w:tab w:val="center" w:pos="4153"/>
                <w:tab w:val="right" w:pos="8306"/>
              </w:tabs>
              <w:spacing w:after="0" w:line="240" w:lineRule="auto"/>
              <w:jc w:val="left"/>
              <w:rPr>
                <w:b/>
                <w:sz w:val="22"/>
              </w:rPr>
            </w:pPr>
          </w:p>
          <w:p w14:paraId="483D9075" w14:textId="77777777" w:rsidR="00DF7C60" w:rsidRPr="00DF7C60" w:rsidRDefault="00DF7C60" w:rsidP="00DF7C60">
            <w:pPr>
              <w:tabs>
                <w:tab w:val="center" w:pos="4153"/>
                <w:tab w:val="right" w:pos="8306"/>
              </w:tabs>
              <w:spacing w:after="0" w:line="240" w:lineRule="auto"/>
              <w:jc w:val="left"/>
              <w:rPr>
                <w:b/>
                <w:sz w:val="22"/>
              </w:rPr>
            </w:pPr>
          </w:p>
          <w:p w14:paraId="7CDBBA0F" w14:textId="77777777" w:rsidR="00DF7C60" w:rsidRPr="00DF7C60" w:rsidRDefault="00DF7C60" w:rsidP="00DF7C60">
            <w:pPr>
              <w:tabs>
                <w:tab w:val="center" w:pos="4153"/>
                <w:tab w:val="right" w:pos="8306"/>
              </w:tabs>
              <w:spacing w:after="0" w:line="240" w:lineRule="auto"/>
              <w:jc w:val="left"/>
              <w:rPr>
                <w:sz w:val="22"/>
              </w:rPr>
            </w:pPr>
          </w:p>
        </w:tc>
        <w:tc>
          <w:tcPr>
            <w:tcW w:w="2588" w:type="pct"/>
            <w:tcBorders>
              <w:top w:val="nil"/>
              <w:bottom w:val="single" w:sz="2" w:space="0" w:color="auto"/>
            </w:tcBorders>
          </w:tcPr>
          <w:p w14:paraId="147DBE53" w14:textId="77777777" w:rsidR="00DF7C60" w:rsidRPr="00DF7C60" w:rsidRDefault="00DF7C60" w:rsidP="00DF7C60">
            <w:pPr>
              <w:tabs>
                <w:tab w:val="center" w:pos="4153"/>
                <w:tab w:val="right" w:pos="8306"/>
              </w:tabs>
              <w:spacing w:after="0" w:line="240" w:lineRule="auto"/>
              <w:jc w:val="left"/>
              <w:rPr>
                <w:sz w:val="22"/>
              </w:rPr>
            </w:pPr>
          </w:p>
        </w:tc>
        <w:tc>
          <w:tcPr>
            <w:tcW w:w="1101" w:type="pct"/>
            <w:tcBorders>
              <w:top w:val="nil"/>
              <w:bottom w:val="single" w:sz="4" w:space="0" w:color="auto"/>
            </w:tcBorders>
          </w:tcPr>
          <w:p w14:paraId="36FB26C8" w14:textId="77777777" w:rsidR="00DF7C60" w:rsidRPr="00DF7C60" w:rsidRDefault="00DF7C60" w:rsidP="00DF7C60">
            <w:pPr>
              <w:tabs>
                <w:tab w:val="center" w:pos="4153"/>
                <w:tab w:val="right" w:pos="8306"/>
              </w:tabs>
              <w:spacing w:after="0" w:line="240" w:lineRule="auto"/>
              <w:jc w:val="left"/>
              <w:rPr>
                <w:sz w:val="22"/>
              </w:rPr>
            </w:pPr>
          </w:p>
        </w:tc>
      </w:tr>
    </w:tbl>
    <w:p w14:paraId="446F6170"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eastAsia="Times New Roman"/>
          <w:b/>
          <w:bCs/>
          <w:sz w:val="28"/>
          <w:szCs w:val="20"/>
        </w:rPr>
      </w:pPr>
    </w:p>
    <w:p w14:paraId="7FF9EC09"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eastAsia="Times New Roman"/>
          <w:b/>
          <w:bCs/>
          <w:sz w:val="28"/>
          <w:szCs w:val="20"/>
        </w:rPr>
      </w:pPr>
      <w:r w:rsidRPr="00DF7C60">
        <w:rPr>
          <w:rFonts w:eastAsia="Times New Roman"/>
          <w:b/>
          <w:bCs/>
          <w:sz w:val="28"/>
          <w:szCs w:val="20"/>
        </w:rPr>
        <w:t>NOTICE OF REVIEW – BAIL REVIEW</w:t>
      </w:r>
    </w:p>
    <w:p w14:paraId="31E11A1E"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eastAsia="Times New Roman"/>
          <w:b/>
          <w:bCs/>
          <w:sz w:val="20"/>
          <w:szCs w:val="20"/>
        </w:rPr>
      </w:pPr>
      <w:r w:rsidRPr="00DF7C60">
        <w:rPr>
          <w:rFonts w:eastAsia="Times New Roman"/>
          <w:b/>
          <w:bCs/>
          <w:i/>
          <w:sz w:val="20"/>
          <w:szCs w:val="20"/>
        </w:rPr>
        <w:t>Bail Act 1985</w:t>
      </w:r>
      <w:r w:rsidRPr="00DF7C60">
        <w:rPr>
          <w:rFonts w:eastAsia="Times New Roman"/>
          <w:b/>
          <w:bCs/>
          <w:sz w:val="20"/>
          <w:szCs w:val="20"/>
        </w:rPr>
        <w:t xml:space="preserve"> s 14; </w:t>
      </w:r>
      <w:r w:rsidRPr="00DF7C60">
        <w:rPr>
          <w:rFonts w:eastAsia="Times New Roman"/>
          <w:b/>
          <w:bCs/>
          <w:i/>
          <w:sz w:val="20"/>
          <w:szCs w:val="20"/>
        </w:rPr>
        <w:t>Service and Execution of Process Act 1992</w:t>
      </w:r>
      <w:r w:rsidRPr="00DF7C60">
        <w:rPr>
          <w:rFonts w:eastAsia="Times New Roman"/>
          <w:b/>
          <w:i/>
          <w:sz w:val="20"/>
          <w:szCs w:val="20"/>
        </w:rPr>
        <w:t xml:space="preserve"> </w:t>
      </w:r>
      <w:r w:rsidRPr="00DF7C60">
        <w:rPr>
          <w:rFonts w:eastAsia="Times New Roman"/>
          <w:b/>
          <w:sz w:val="20"/>
          <w:szCs w:val="20"/>
        </w:rPr>
        <w:t>s 86 (Cth)</w:t>
      </w:r>
    </w:p>
    <w:p w14:paraId="23B3CCB0"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textAlignment w:val="baseline"/>
        <w:rPr>
          <w:rFonts w:eastAsia="Times New Roman"/>
          <w:b/>
          <w:bCs/>
          <w:sz w:val="20"/>
          <w:szCs w:val="20"/>
        </w:rPr>
      </w:pPr>
    </w:p>
    <w:p w14:paraId="43C042F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Cs/>
          <w:sz w:val="20"/>
          <w:szCs w:val="20"/>
        </w:rPr>
      </w:pPr>
      <w:r w:rsidRPr="00DF7C60">
        <w:rPr>
          <w:rFonts w:eastAsia="Times New Roman"/>
          <w:sz w:val="20"/>
          <w:szCs w:val="20"/>
        </w:rPr>
        <w:t>SUPREME</w:t>
      </w:r>
      <w:r w:rsidRPr="00DF7C60">
        <w:rPr>
          <w:rFonts w:eastAsia="Times New Roman"/>
          <w:b/>
          <w:sz w:val="4"/>
          <w:szCs w:val="20"/>
        </w:rPr>
        <w:t xml:space="preserve"> </w:t>
      </w:r>
      <w:r w:rsidRPr="00DF7C60">
        <w:rPr>
          <w:rFonts w:eastAsia="Times New Roman"/>
          <w:iCs/>
          <w:sz w:val="20"/>
          <w:szCs w:val="20"/>
        </w:rPr>
        <w:t xml:space="preserve">COURT </w:t>
      </w:r>
      <w:r w:rsidRPr="00DF7C60">
        <w:rPr>
          <w:rFonts w:eastAsia="Times New Roman"/>
          <w:bCs/>
          <w:sz w:val="20"/>
          <w:szCs w:val="20"/>
        </w:rPr>
        <w:t xml:space="preserve">OF SOUTH AUSTRALIA </w:t>
      </w:r>
    </w:p>
    <w:p w14:paraId="41D6056D"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iCs/>
          <w:sz w:val="20"/>
          <w:szCs w:val="20"/>
        </w:rPr>
      </w:pPr>
      <w:r w:rsidRPr="00DF7C60">
        <w:rPr>
          <w:rFonts w:eastAsia="Times New Roman"/>
          <w:iCs/>
          <w:sz w:val="20"/>
          <w:szCs w:val="20"/>
        </w:rPr>
        <w:t>CRIMINAL JURISDICTION</w:t>
      </w:r>
    </w:p>
    <w:p w14:paraId="4A9AFE90"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eastAsia="Times New Roman"/>
          <w:b/>
          <w:bCs/>
          <w:sz w:val="20"/>
          <w:szCs w:val="20"/>
        </w:rPr>
      </w:pPr>
      <w:r w:rsidRPr="00DF7C60">
        <w:rPr>
          <w:rFonts w:eastAsia="Times New Roman"/>
          <w:b/>
          <w:bCs/>
          <w:sz w:val="20"/>
          <w:szCs w:val="20"/>
        </w:rPr>
        <w:t>[</w:t>
      </w:r>
      <w:r w:rsidRPr="00DF7C60">
        <w:rPr>
          <w:rFonts w:eastAsia="Times New Roman"/>
          <w:b/>
          <w:bCs/>
          <w:i/>
          <w:sz w:val="20"/>
          <w:szCs w:val="20"/>
        </w:rPr>
        <w:t>FULL NAME</w:t>
      </w:r>
      <w:r w:rsidRPr="00DF7C60">
        <w:rPr>
          <w:rFonts w:eastAsia="Times New Roman"/>
          <w:b/>
          <w:bCs/>
          <w:sz w:val="20"/>
          <w:szCs w:val="20"/>
        </w:rPr>
        <w:t>]</w:t>
      </w:r>
    </w:p>
    <w:p w14:paraId="3724BD9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b/>
          <w:bCs/>
          <w:sz w:val="20"/>
          <w:szCs w:val="20"/>
        </w:rPr>
      </w:pPr>
      <w:r w:rsidRPr="00DF7C60">
        <w:rPr>
          <w:rFonts w:eastAsia="Times New Roman"/>
          <w:b/>
          <w:bCs/>
          <w:sz w:val="20"/>
          <w:szCs w:val="20"/>
        </w:rPr>
        <w:t>Appellant</w:t>
      </w:r>
    </w:p>
    <w:p w14:paraId="178A3D8C" w14:textId="77777777" w:rsidR="00DF7C60" w:rsidRPr="00DF7C60" w:rsidDel="00897A6B" w:rsidRDefault="00DF7C60" w:rsidP="00DF7C60">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eastAsia="Times New Roman"/>
          <w:b/>
          <w:bCs/>
          <w:sz w:val="20"/>
          <w:szCs w:val="20"/>
        </w:rPr>
      </w:pPr>
      <w:r w:rsidRPr="00DF7C60">
        <w:rPr>
          <w:rFonts w:eastAsia="Times New Roman"/>
          <w:b/>
          <w:bCs/>
          <w:sz w:val="20"/>
          <w:szCs w:val="20"/>
        </w:rPr>
        <w:t>v</w:t>
      </w:r>
    </w:p>
    <w:p w14:paraId="2D67E8B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
          <w:sz w:val="20"/>
          <w:szCs w:val="20"/>
        </w:rPr>
      </w:pPr>
      <w:r w:rsidRPr="00DF7C60">
        <w:rPr>
          <w:rFonts w:eastAsia="Times New Roman"/>
          <w:b/>
          <w:sz w:val="20"/>
          <w:szCs w:val="20"/>
        </w:rPr>
        <w:t>[</w:t>
      </w:r>
      <w:r w:rsidRPr="00DF7C60">
        <w:rPr>
          <w:rFonts w:eastAsia="Times New Roman"/>
          <w:b/>
          <w:i/>
          <w:sz w:val="20"/>
          <w:szCs w:val="20"/>
        </w:rPr>
        <w:t xml:space="preserve">FULL </w:t>
      </w:r>
      <w:r w:rsidRPr="00DF7C60">
        <w:rPr>
          <w:rFonts w:eastAsia="Times New Roman"/>
          <w:b/>
          <w:i/>
          <w:iCs/>
          <w:sz w:val="20"/>
          <w:szCs w:val="20"/>
        </w:rPr>
        <w:t>NAME</w:t>
      </w:r>
      <w:r w:rsidRPr="00DF7C60">
        <w:rPr>
          <w:rFonts w:eastAsia="Times New Roman"/>
          <w:b/>
          <w:sz w:val="20"/>
          <w:szCs w:val="20"/>
        </w:rPr>
        <w:t>]</w:t>
      </w:r>
    </w:p>
    <w:p w14:paraId="0657B1EA"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360" w:line="240" w:lineRule="auto"/>
        <w:textAlignment w:val="baseline"/>
        <w:rPr>
          <w:rFonts w:eastAsia="Times New Roman"/>
          <w:b/>
          <w:bCs/>
          <w:sz w:val="20"/>
          <w:szCs w:val="20"/>
        </w:rPr>
      </w:pPr>
      <w:r w:rsidRPr="00DF7C60">
        <w:rPr>
          <w:rFonts w:eastAsia="Times New Roman"/>
          <w:b/>
          <w:bCs/>
          <w:sz w:val="20"/>
          <w:szCs w:val="20"/>
        </w:rPr>
        <w:t>Respondent</w:t>
      </w:r>
    </w:p>
    <w:p w14:paraId="6D511407" w14:textId="77777777" w:rsidR="00DF7C60" w:rsidRPr="00DF7C60" w:rsidRDefault="00DF7C60" w:rsidP="00DF7C60">
      <w:pPr>
        <w:overflowPunct w:val="0"/>
        <w:autoSpaceDE w:val="0"/>
        <w:autoSpaceDN w:val="0"/>
        <w:adjustRightInd w:val="0"/>
        <w:spacing w:after="0" w:line="240" w:lineRule="auto"/>
        <w:jc w:val="left"/>
        <w:textAlignment w:val="baseline"/>
        <w:rPr>
          <w:rFonts w:eastAsia="Times New Roman"/>
          <w:bCs/>
          <w:sz w:val="12"/>
          <w:szCs w:val="12"/>
        </w:rPr>
      </w:pPr>
      <w:bookmarkStart w:id="6" w:name="_Hlk51756172"/>
    </w:p>
    <w:tbl>
      <w:tblPr>
        <w:tblStyle w:val="TableGrid1112"/>
        <w:tblW w:w="5006" w:type="pct"/>
        <w:jc w:val="center"/>
        <w:tblLayout w:type="fixed"/>
        <w:tblLook w:val="04A0" w:firstRow="1" w:lastRow="0" w:firstColumn="1" w:lastColumn="0" w:noHBand="0" w:noVBand="1"/>
      </w:tblPr>
      <w:tblGrid>
        <w:gridCol w:w="2295"/>
        <w:gridCol w:w="1824"/>
        <w:gridCol w:w="1697"/>
        <w:gridCol w:w="9"/>
        <w:gridCol w:w="1951"/>
        <w:gridCol w:w="1579"/>
      </w:tblGrid>
      <w:tr w:rsidR="00DF7C60" w:rsidRPr="00DF7C60" w14:paraId="6C69137A" w14:textId="77777777" w:rsidTr="0012134E">
        <w:trPr>
          <w:cantSplit/>
          <w:trHeight w:val="360"/>
          <w:jc w:val="center"/>
        </w:trPr>
        <w:tc>
          <w:tcPr>
            <w:tcW w:w="2297" w:type="dxa"/>
            <w:tcBorders>
              <w:bottom w:val="nil"/>
            </w:tcBorders>
          </w:tcPr>
          <w:p w14:paraId="5A7A4F52" w14:textId="77777777" w:rsidR="00DF7C60" w:rsidRPr="00DF7C60" w:rsidRDefault="00DF7C60" w:rsidP="00DF7C60">
            <w:pPr>
              <w:spacing w:after="0" w:line="240" w:lineRule="auto"/>
              <w:jc w:val="left"/>
              <w:rPr>
                <w:sz w:val="20"/>
              </w:rPr>
            </w:pPr>
            <w:r w:rsidRPr="00DF7C60">
              <w:rPr>
                <w:b/>
                <w:sz w:val="20"/>
              </w:rPr>
              <w:t>Appellant</w:t>
            </w:r>
          </w:p>
        </w:tc>
        <w:tc>
          <w:tcPr>
            <w:tcW w:w="3532" w:type="dxa"/>
            <w:gridSpan w:val="3"/>
            <w:tcBorders>
              <w:bottom w:val="nil"/>
            </w:tcBorders>
          </w:tcPr>
          <w:p w14:paraId="2141E385" w14:textId="77777777" w:rsidR="00DF7C60" w:rsidRPr="00DF7C60" w:rsidRDefault="00DF7C60" w:rsidP="00DF7C60">
            <w:pPr>
              <w:spacing w:after="0" w:line="240" w:lineRule="auto"/>
              <w:jc w:val="left"/>
              <w:rPr>
                <w:sz w:val="20"/>
              </w:rPr>
            </w:pPr>
          </w:p>
        </w:tc>
        <w:tc>
          <w:tcPr>
            <w:tcW w:w="3532" w:type="dxa"/>
            <w:gridSpan w:val="2"/>
            <w:tcBorders>
              <w:bottom w:val="nil"/>
            </w:tcBorders>
          </w:tcPr>
          <w:p w14:paraId="77C219EA" w14:textId="77777777" w:rsidR="00DF7C60" w:rsidRPr="00DF7C60" w:rsidRDefault="00DF7C60" w:rsidP="00DF7C60">
            <w:pPr>
              <w:spacing w:after="0" w:line="240" w:lineRule="auto"/>
              <w:jc w:val="left"/>
              <w:rPr>
                <w:sz w:val="20"/>
              </w:rPr>
            </w:pPr>
          </w:p>
        </w:tc>
      </w:tr>
      <w:tr w:rsidR="00DF7C60" w:rsidRPr="00DF7C60" w14:paraId="5ACCA2A1" w14:textId="77777777" w:rsidTr="0012134E">
        <w:trPr>
          <w:cantSplit/>
          <w:trHeight w:val="89"/>
          <w:jc w:val="center"/>
        </w:trPr>
        <w:tc>
          <w:tcPr>
            <w:tcW w:w="2297" w:type="dxa"/>
            <w:tcBorders>
              <w:top w:val="nil"/>
              <w:bottom w:val="single" w:sz="4" w:space="0" w:color="auto"/>
            </w:tcBorders>
          </w:tcPr>
          <w:p w14:paraId="161D17B3" w14:textId="77777777" w:rsidR="00DF7C60" w:rsidRPr="00DF7C60" w:rsidRDefault="00DF7C60" w:rsidP="00DF7C60">
            <w:pPr>
              <w:spacing w:after="0" w:line="240" w:lineRule="auto"/>
              <w:jc w:val="left"/>
              <w:rPr>
                <w:b/>
                <w:sz w:val="12"/>
              </w:rPr>
            </w:pPr>
          </w:p>
        </w:tc>
        <w:tc>
          <w:tcPr>
            <w:tcW w:w="3532" w:type="dxa"/>
            <w:gridSpan w:val="3"/>
            <w:tcBorders>
              <w:top w:val="nil"/>
              <w:bottom w:val="single" w:sz="4" w:space="0" w:color="auto"/>
            </w:tcBorders>
          </w:tcPr>
          <w:p w14:paraId="7522E28D" w14:textId="77777777" w:rsidR="00DF7C60" w:rsidRPr="00DF7C60" w:rsidRDefault="00DF7C60" w:rsidP="00DF7C60">
            <w:pPr>
              <w:spacing w:after="0" w:line="240" w:lineRule="auto"/>
              <w:jc w:val="left"/>
              <w:rPr>
                <w:b/>
                <w:sz w:val="12"/>
              </w:rPr>
            </w:pPr>
            <w:r w:rsidRPr="00DF7C60">
              <w:rPr>
                <w:b/>
                <w:sz w:val="12"/>
              </w:rPr>
              <w:t xml:space="preserve">Party title </w:t>
            </w:r>
          </w:p>
        </w:tc>
        <w:tc>
          <w:tcPr>
            <w:tcW w:w="3532" w:type="dxa"/>
            <w:gridSpan w:val="2"/>
            <w:tcBorders>
              <w:top w:val="nil"/>
              <w:bottom w:val="single" w:sz="4" w:space="0" w:color="auto"/>
            </w:tcBorders>
          </w:tcPr>
          <w:p w14:paraId="565A21B9" w14:textId="77777777" w:rsidR="00DF7C60" w:rsidRPr="00DF7C60" w:rsidRDefault="00DF7C60" w:rsidP="00DF7C60">
            <w:pPr>
              <w:spacing w:after="0" w:line="240" w:lineRule="auto"/>
              <w:jc w:val="left"/>
              <w:rPr>
                <w:b/>
                <w:sz w:val="12"/>
              </w:rPr>
            </w:pPr>
            <w:r w:rsidRPr="00DF7C60">
              <w:rPr>
                <w:b/>
                <w:sz w:val="12"/>
              </w:rPr>
              <w:t>Full name of party</w:t>
            </w:r>
          </w:p>
        </w:tc>
      </w:tr>
      <w:tr w:rsidR="00DF7C60" w:rsidRPr="00DF7C60" w14:paraId="2C055ACE" w14:textId="77777777" w:rsidTr="0012134E">
        <w:trPr>
          <w:cantSplit/>
          <w:trHeight w:val="322"/>
          <w:jc w:val="center"/>
        </w:trPr>
        <w:tc>
          <w:tcPr>
            <w:tcW w:w="2297" w:type="dxa"/>
            <w:tcBorders>
              <w:bottom w:val="nil"/>
            </w:tcBorders>
          </w:tcPr>
          <w:p w14:paraId="7787CDF5" w14:textId="77777777" w:rsidR="00DF7C60" w:rsidRPr="00DF7C60" w:rsidRDefault="00DF7C60" w:rsidP="00DF7C60">
            <w:pPr>
              <w:spacing w:after="0" w:line="240" w:lineRule="auto"/>
              <w:jc w:val="left"/>
              <w:rPr>
                <w:sz w:val="20"/>
              </w:rPr>
            </w:pPr>
            <w:r w:rsidRPr="00DF7C60">
              <w:rPr>
                <w:sz w:val="20"/>
              </w:rPr>
              <w:t>Name of law firm/office</w:t>
            </w:r>
          </w:p>
          <w:p w14:paraId="2FF5172E" w14:textId="77777777" w:rsidR="00DF7C60" w:rsidRPr="00DF7C60" w:rsidRDefault="00DF7C60" w:rsidP="00DF7C60">
            <w:pPr>
              <w:spacing w:after="0" w:line="240" w:lineRule="auto"/>
              <w:jc w:val="left"/>
              <w:rPr>
                <w:sz w:val="20"/>
              </w:rPr>
            </w:pPr>
          </w:p>
        </w:tc>
        <w:tc>
          <w:tcPr>
            <w:tcW w:w="3532" w:type="dxa"/>
            <w:gridSpan w:val="3"/>
            <w:tcBorders>
              <w:top w:val="single" w:sz="4" w:space="0" w:color="auto"/>
              <w:bottom w:val="nil"/>
            </w:tcBorders>
          </w:tcPr>
          <w:p w14:paraId="68871E32" w14:textId="77777777" w:rsidR="00DF7C60" w:rsidRPr="00DF7C60" w:rsidRDefault="00DF7C60" w:rsidP="00DF7C60">
            <w:pPr>
              <w:spacing w:after="0" w:line="240" w:lineRule="auto"/>
              <w:jc w:val="left"/>
              <w:rPr>
                <w:sz w:val="20"/>
                <w:szCs w:val="20"/>
              </w:rPr>
            </w:pPr>
          </w:p>
        </w:tc>
        <w:tc>
          <w:tcPr>
            <w:tcW w:w="3532" w:type="dxa"/>
            <w:gridSpan w:val="2"/>
            <w:tcBorders>
              <w:top w:val="single" w:sz="4" w:space="0" w:color="auto"/>
              <w:bottom w:val="nil"/>
            </w:tcBorders>
          </w:tcPr>
          <w:p w14:paraId="229E3FE1" w14:textId="77777777" w:rsidR="00DF7C60" w:rsidRPr="00DF7C60" w:rsidRDefault="00DF7C60" w:rsidP="00DF7C60">
            <w:pPr>
              <w:spacing w:after="0" w:line="240" w:lineRule="auto"/>
              <w:jc w:val="left"/>
              <w:rPr>
                <w:sz w:val="20"/>
                <w:szCs w:val="20"/>
              </w:rPr>
            </w:pPr>
          </w:p>
        </w:tc>
      </w:tr>
      <w:tr w:rsidR="00DF7C60" w:rsidRPr="00DF7C60" w14:paraId="170EA098" w14:textId="77777777" w:rsidTr="0012134E">
        <w:trPr>
          <w:cantSplit/>
          <w:trHeight w:val="138"/>
          <w:jc w:val="center"/>
        </w:trPr>
        <w:tc>
          <w:tcPr>
            <w:tcW w:w="2297" w:type="dxa"/>
            <w:tcBorders>
              <w:top w:val="nil"/>
              <w:bottom w:val="nil"/>
            </w:tcBorders>
          </w:tcPr>
          <w:p w14:paraId="64794FEC" w14:textId="77777777" w:rsidR="00DF7C60" w:rsidRPr="00DF7C60" w:rsidRDefault="00DF7C60" w:rsidP="00DF7C60">
            <w:pPr>
              <w:spacing w:after="0" w:line="240" w:lineRule="auto"/>
              <w:jc w:val="left"/>
              <w:rPr>
                <w:b/>
                <w:sz w:val="12"/>
              </w:rPr>
            </w:pPr>
            <w:r w:rsidRPr="00DF7C60">
              <w:rPr>
                <w:b/>
                <w:sz w:val="12"/>
              </w:rPr>
              <w:t>If applicable</w:t>
            </w:r>
          </w:p>
        </w:tc>
        <w:tc>
          <w:tcPr>
            <w:tcW w:w="3532" w:type="dxa"/>
            <w:gridSpan w:val="3"/>
            <w:tcBorders>
              <w:top w:val="nil"/>
              <w:bottom w:val="nil"/>
            </w:tcBorders>
          </w:tcPr>
          <w:p w14:paraId="1CFC0EB1" w14:textId="77777777" w:rsidR="00DF7C60" w:rsidRPr="00DF7C60" w:rsidRDefault="00DF7C60" w:rsidP="00DF7C60">
            <w:pPr>
              <w:spacing w:after="0" w:line="240" w:lineRule="auto"/>
              <w:jc w:val="left"/>
              <w:rPr>
                <w:b/>
                <w:sz w:val="12"/>
              </w:rPr>
            </w:pPr>
            <w:r w:rsidRPr="00DF7C60">
              <w:rPr>
                <w:b/>
                <w:sz w:val="12"/>
              </w:rPr>
              <w:t>Law firm/office</w:t>
            </w:r>
          </w:p>
        </w:tc>
        <w:tc>
          <w:tcPr>
            <w:tcW w:w="3532" w:type="dxa"/>
            <w:gridSpan w:val="2"/>
            <w:tcBorders>
              <w:top w:val="nil"/>
              <w:bottom w:val="nil"/>
            </w:tcBorders>
          </w:tcPr>
          <w:p w14:paraId="0CCC5CBE" w14:textId="77777777" w:rsidR="00DF7C60" w:rsidRPr="00DF7C60" w:rsidRDefault="00DF7C60" w:rsidP="00DF7C60">
            <w:pPr>
              <w:spacing w:after="0" w:line="240" w:lineRule="auto"/>
              <w:jc w:val="left"/>
              <w:rPr>
                <w:b/>
                <w:sz w:val="12"/>
              </w:rPr>
            </w:pPr>
            <w:r w:rsidRPr="00DF7C60">
              <w:rPr>
                <w:b/>
                <w:sz w:val="12"/>
              </w:rPr>
              <w:t>Responsible Solicitor</w:t>
            </w:r>
          </w:p>
        </w:tc>
      </w:tr>
      <w:tr w:rsidR="00DF7C60" w:rsidRPr="00DF7C60" w14:paraId="464C0C00" w14:textId="77777777" w:rsidTr="0012134E">
        <w:trPr>
          <w:cantSplit/>
          <w:trHeight w:val="454"/>
          <w:jc w:val="center"/>
        </w:trPr>
        <w:tc>
          <w:tcPr>
            <w:tcW w:w="2297" w:type="dxa"/>
            <w:tcBorders>
              <w:bottom w:val="nil"/>
            </w:tcBorders>
          </w:tcPr>
          <w:p w14:paraId="2733AA35" w14:textId="77777777" w:rsidR="00DF7C60" w:rsidRPr="00DF7C60" w:rsidRDefault="00DF7C60" w:rsidP="00DF7C60">
            <w:pPr>
              <w:spacing w:after="0" w:line="240" w:lineRule="auto"/>
              <w:jc w:val="left"/>
              <w:rPr>
                <w:sz w:val="20"/>
              </w:rPr>
            </w:pPr>
            <w:r w:rsidRPr="00DF7C60">
              <w:rPr>
                <w:sz w:val="20"/>
              </w:rPr>
              <w:t>Name of authorised officer</w:t>
            </w:r>
          </w:p>
        </w:tc>
        <w:tc>
          <w:tcPr>
            <w:tcW w:w="7064" w:type="dxa"/>
            <w:gridSpan w:val="5"/>
            <w:tcBorders>
              <w:top w:val="single" w:sz="4" w:space="0" w:color="auto"/>
              <w:bottom w:val="nil"/>
            </w:tcBorders>
          </w:tcPr>
          <w:p w14:paraId="04157592" w14:textId="77777777" w:rsidR="00DF7C60" w:rsidRPr="00DF7C60" w:rsidRDefault="00DF7C60" w:rsidP="00DF7C60">
            <w:pPr>
              <w:spacing w:after="0" w:line="240" w:lineRule="auto"/>
              <w:jc w:val="left"/>
              <w:rPr>
                <w:sz w:val="20"/>
                <w:szCs w:val="20"/>
              </w:rPr>
            </w:pPr>
          </w:p>
        </w:tc>
      </w:tr>
      <w:tr w:rsidR="00DF7C60" w:rsidRPr="00DF7C60" w14:paraId="6F68FD93" w14:textId="77777777" w:rsidTr="0012134E">
        <w:trPr>
          <w:cantSplit/>
          <w:trHeight w:val="85"/>
          <w:jc w:val="center"/>
        </w:trPr>
        <w:tc>
          <w:tcPr>
            <w:tcW w:w="2297" w:type="dxa"/>
            <w:tcBorders>
              <w:top w:val="nil"/>
            </w:tcBorders>
          </w:tcPr>
          <w:p w14:paraId="6E752B0C" w14:textId="77777777" w:rsidR="00DF7C60" w:rsidRPr="00DF7C60" w:rsidRDefault="00DF7C60" w:rsidP="00DF7C60">
            <w:pPr>
              <w:overflowPunct w:val="0"/>
              <w:autoSpaceDE w:val="0"/>
              <w:autoSpaceDN w:val="0"/>
              <w:adjustRightInd w:val="0"/>
              <w:spacing w:after="0" w:line="240" w:lineRule="auto"/>
              <w:jc w:val="left"/>
              <w:textAlignment w:val="baseline"/>
              <w:rPr>
                <w:b/>
                <w:sz w:val="12"/>
              </w:rPr>
            </w:pPr>
            <w:r w:rsidRPr="00DF7C60">
              <w:rPr>
                <w:b/>
                <w:sz w:val="12"/>
              </w:rPr>
              <w:t>If body corporate and no law firm/office</w:t>
            </w:r>
          </w:p>
        </w:tc>
        <w:tc>
          <w:tcPr>
            <w:tcW w:w="7064" w:type="dxa"/>
            <w:gridSpan w:val="5"/>
            <w:tcBorders>
              <w:top w:val="nil"/>
              <w:bottom w:val="single" w:sz="4" w:space="0" w:color="auto"/>
            </w:tcBorders>
            <w:vAlign w:val="bottom"/>
          </w:tcPr>
          <w:p w14:paraId="20015D67" w14:textId="77777777" w:rsidR="00DF7C60" w:rsidRPr="00DF7C60" w:rsidRDefault="00DF7C60" w:rsidP="00DF7C60">
            <w:pPr>
              <w:spacing w:after="0" w:line="240" w:lineRule="auto"/>
              <w:jc w:val="left"/>
              <w:rPr>
                <w:sz w:val="20"/>
              </w:rPr>
            </w:pPr>
            <w:r w:rsidRPr="00DF7C60">
              <w:rPr>
                <w:b/>
                <w:sz w:val="12"/>
              </w:rPr>
              <w:t>Full name</w:t>
            </w:r>
          </w:p>
        </w:tc>
      </w:tr>
      <w:tr w:rsidR="00DF7C60" w:rsidRPr="00DF7C60" w14:paraId="2FA36EAB" w14:textId="77777777" w:rsidTr="0012134E">
        <w:trPr>
          <w:cantSplit/>
          <w:trHeight w:val="454"/>
          <w:jc w:val="center"/>
        </w:trPr>
        <w:tc>
          <w:tcPr>
            <w:tcW w:w="2297" w:type="dxa"/>
            <w:vMerge w:val="restart"/>
          </w:tcPr>
          <w:p w14:paraId="29D4E358" w14:textId="77777777" w:rsidR="00DF7C60" w:rsidRPr="00DF7C60" w:rsidRDefault="00DF7C60" w:rsidP="00DF7C60">
            <w:pPr>
              <w:spacing w:after="0" w:line="240" w:lineRule="auto"/>
              <w:jc w:val="left"/>
              <w:rPr>
                <w:sz w:val="20"/>
              </w:rPr>
            </w:pPr>
            <w:r w:rsidRPr="00DF7C60">
              <w:rPr>
                <w:sz w:val="20"/>
              </w:rPr>
              <w:t>Address for service</w:t>
            </w:r>
          </w:p>
        </w:tc>
        <w:tc>
          <w:tcPr>
            <w:tcW w:w="7064" w:type="dxa"/>
            <w:gridSpan w:val="5"/>
            <w:tcBorders>
              <w:bottom w:val="nil"/>
            </w:tcBorders>
          </w:tcPr>
          <w:p w14:paraId="67227305" w14:textId="77777777" w:rsidR="00DF7C60" w:rsidRPr="00DF7C60" w:rsidRDefault="00DF7C60" w:rsidP="00DF7C60">
            <w:pPr>
              <w:spacing w:after="0" w:line="240" w:lineRule="auto"/>
              <w:jc w:val="left"/>
              <w:rPr>
                <w:sz w:val="20"/>
              </w:rPr>
            </w:pPr>
          </w:p>
        </w:tc>
      </w:tr>
      <w:tr w:rsidR="00DF7C60" w:rsidRPr="00DF7C60" w14:paraId="5B17F4CC" w14:textId="77777777" w:rsidTr="0012134E">
        <w:trPr>
          <w:cantSplit/>
          <w:trHeight w:val="85"/>
          <w:jc w:val="center"/>
        </w:trPr>
        <w:tc>
          <w:tcPr>
            <w:tcW w:w="2297" w:type="dxa"/>
            <w:vMerge/>
          </w:tcPr>
          <w:p w14:paraId="2BD96685" w14:textId="77777777" w:rsidR="00DF7C60" w:rsidRPr="00DF7C60" w:rsidRDefault="00DF7C60" w:rsidP="00DF7C60">
            <w:pPr>
              <w:spacing w:after="0" w:line="240" w:lineRule="auto"/>
              <w:jc w:val="left"/>
              <w:rPr>
                <w:sz w:val="20"/>
              </w:rPr>
            </w:pPr>
          </w:p>
        </w:tc>
        <w:tc>
          <w:tcPr>
            <w:tcW w:w="7064" w:type="dxa"/>
            <w:gridSpan w:val="5"/>
            <w:tcBorders>
              <w:top w:val="nil"/>
              <w:bottom w:val="single" w:sz="4" w:space="0" w:color="auto"/>
            </w:tcBorders>
            <w:vAlign w:val="bottom"/>
          </w:tcPr>
          <w:p w14:paraId="4E3ED255" w14:textId="77777777" w:rsidR="00DF7C60" w:rsidRPr="00DF7C60" w:rsidRDefault="00DF7C60" w:rsidP="00DF7C60">
            <w:pPr>
              <w:spacing w:after="0" w:line="240" w:lineRule="auto"/>
              <w:jc w:val="left"/>
              <w:rPr>
                <w:b/>
                <w:sz w:val="20"/>
              </w:rPr>
            </w:pPr>
            <w:r w:rsidRPr="00DF7C60">
              <w:rPr>
                <w:b/>
                <w:sz w:val="12"/>
              </w:rPr>
              <w:t>Street Address (including unit or level number and name of property if required)</w:t>
            </w:r>
          </w:p>
        </w:tc>
      </w:tr>
      <w:tr w:rsidR="00DF7C60" w:rsidRPr="00DF7C60" w14:paraId="310EA39C" w14:textId="77777777" w:rsidTr="0012134E">
        <w:trPr>
          <w:cantSplit/>
          <w:trHeight w:val="454"/>
          <w:jc w:val="center"/>
        </w:trPr>
        <w:tc>
          <w:tcPr>
            <w:tcW w:w="2297" w:type="dxa"/>
            <w:vMerge/>
          </w:tcPr>
          <w:p w14:paraId="411721DB" w14:textId="77777777" w:rsidR="00DF7C60" w:rsidRPr="00DF7C60" w:rsidRDefault="00DF7C60" w:rsidP="00DF7C60">
            <w:pPr>
              <w:spacing w:after="0" w:line="240" w:lineRule="auto"/>
              <w:jc w:val="left"/>
              <w:rPr>
                <w:sz w:val="20"/>
              </w:rPr>
            </w:pPr>
          </w:p>
        </w:tc>
        <w:tc>
          <w:tcPr>
            <w:tcW w:w="1825" w:type="dxa"/>
            <w:tcBorders>
              <w:bottom w:val="nil"/>
            </w:tcBorders>
          </w:tcPr>
          <w:p w14:paraId="2F7AB00B" w14:textId="77777777" w:rsidR="00DF7C60" w:rsidRPr="00DF7C60" w:rsidRDefault="00DF7C60" w:rsidP="00DF7C60">
            <w:pPr>
              <w:spacing w:after="0" w:line="240" w:lineRule="auto"/>
              <w:jc w:val="left"/>
              <w:rPr>
                <w:sz w:val="20"/>
              </w:rPr>
            </w:pPr>
          </w:p>
        </w:tc>
        <w:tc>
          <w:tcPr>
            <w:tcW w:w="1698" w:type="dxa"/>
            <w:tcBorders>
              <w:bottom w:val="nil"/>
            </w:tcBorders>
          </w:tcPr>
          <w:p w14:paraId="10C0558A" w14:textId="77777777" w:rsidR="00DF7C60" w:rsidRPr="00DF7C60" w:rsidRDefault="00DF7C60" w:rsidP="00DF7C60">
            <w:pPr>
              <w:spacing w:after="0" w:line="240" w:lineRule="auto"/>
              <w:jc w:val="left"/>
              <w:rPr>
                <w:sz w:val="20"/>
              </w:rPr>
            </w:pPr>
          </w:p>
        </w:tc>
        <w:tc>
          <w:tcPr>
            <w:tcW w:w="1961" w:type="dxa"/>
            <w:gridSpan w:val="2"/>
            <w:tcBorders>
              <w:bottom w:val="nil"/>
            </w:tcBorders>
          </w:tcPr>
          <w:p w14:paraId="3D9E43CF" w14:textId="77777777" w:rsidR="00DF7C60" w:rsidRPr="00DF7C60" w:rsidRDefault="00DF7C60" w:rsidP="00DF7C60">
            <w:pPr>
              <w:spacing w:after="0" w:line="240" w:lineRule="auto"/>
              <w:jc w:val="left"/>
              <w:rPr>
                <w:sz w:val="20"/>
              </w:rPr>
            </w:pPr>
          </w:p>
        </w:tc>
        <w:tc>
          <w:tcPr>
            <w:tcW w:w="1580" w:type="dxa"/>
            <w:tcBorders>
              <w:bottom w:val="nil"/>
            </w:tcBorders>
          </w:tcPr>
          <w:p w14:paraId="7B9C2A45" w14:textId="77777777" w:rsidR="00DF7C60" w:rsidRPr="00DF7C60" w:rsidRDefault="00DF7C60" w:rsidP="00DF7C60">
            <w:pPr>
              <w:spacing w:after="0" w:line="240" w:lineRule="auto"/>
              <w:jc w:val="left"/>
              <w:rPr>
                <w:sz w:val="20"/>
              </w:rPr>
            </w:pPr>
          </w:p>
        </w:tc>
      </w:tr>
      <w:tr w:rsidR="00DF7C60" w:rsidRPr="00DF7C60" w14:paraId="113CA7F3" w14:textId="77777777" w:rsidTr="0012134E">
        <w:trPr>
          <w:cantSplit/>
          <w:trHeight w:val="86"/>
          <w:jc w:val="center"/>
        </w:trPr>
        <w:tc>
          <w:tcPr>
            <w:tcW w:w="2297" w:type="dxa"/>
            <w:vMerge/>
          </w:tcPr>
          <w:p w14:paraId="19A76BF8" w14:textId="77777777" w:rsidR="00DF7C60" w:rsidRPr="00DF7C60" w:rsidRDefault="00DF7C60" w:rsidP="00DF7C60">
            <w:pPr>
              <w:spacing w:after="0" w:line="240" w:lineRule="auto"/>
              <w:jc w:val="left"/>
              <w:rPr>
                <w:sz w:val="20"/>
              </w:rPr>
            </w:pPr>
          </w:p>
        </w:tc>
        <w:tc>
          <w:tcPr>
            <w:tcW w:w="1825" w:type="dxa"/>
            <w:tcBorders>
              <w:top w:val="nil"/>
              <w:bottom w:val="single" w:sz="4" w:space="0" w:color="auto"/>
            </w:tcBorders>
            <w:vAlign w:val="bottom"/>
          </w:tcPr>
          <w:p w14:paraId="46E5C9D5" w14:textId="77777777" w:rsidR="00DF7C60" w:rsidRPr="00DF7C60" w:rsidRDefault="00DF7C60" w:rsidP="00DF7C60">
            <w:pPr>
              <w:spacing w:after="0" w:line="240" w:lineRule="auto"/>
              <w:jc w:val="left"/>
              <w:rPr>
                <w:sz w:val="20"/>
              </w:rPr>
            </w:pPr>
            <w:r w:rsidRPr="00DF7C60">
              <w:rPr>
                <w:b/>
                <w:sz w:val="12"/>
              </w:rPr>
              <w:t>City/town/suburb</w:t>
            </w:r>
          </w:p>
        </w:tc>
        <w:tc>
          <w:tcPr>
            <w:tcW w:w="1698" w:type="dxa"/>
            <w:tcBorders>
              <w:top w:val="nil"/>
              <w:bottom w:val="single" w:sz="4" w:space="0" w:color="auto"/>
            </w:tcBorders>
            <w:vAlign w:val="bottom"/>
          </w:tcPr>
          <w:p w14:paraId="787CC7D1" w14:textId="77777777" w:rsidR="00DF7C60" w:rsidRPr="00DF7C60" w:rsidRDefault="00DF7C60" w:rsidP="00DF7C60">
            <w:pPr>
              <w:spacing w:after="0" w:line="240" w:lineRule="auto"/>
              <w:jc w:val="left"/>
              <w:rPr>
                <w:sz w:val="20"/>
              </w:rPr>
            </w:pPr>
            <w:r w:rsidRPr="00DF7C60">
              <w:rPr>
                <w:b/>
                <w:sz w:val="12"/>
              </w:rPr>
              <w:t>State</w:t>
            </w:r>
          </w:p>
        </w:tc>
        <w:tc>
          <w:tcPr>
            <w:tcW w:w="1961" w:type="dxa"/>
            <w:gridSpan w:val="2"/>
            <w:tcBorders>
              <w:top w:val="nil"/>
              <w:bottom w:val="single" w:sz="4" w:space="0" w:color="auto"/>
            </w:tcBorders>
            <w:vAlign w:val="bottom"/>
          </w:tcPr>
          <w:p w14:paraId="660A9C27" w14:textId="77777777" w:rsidR="00DF7C60" w:rsidRPr="00DF7C60" w:rsidRDefault="00DF7C60" w:rsidP="00DF7C60">
            <w:pPr>
              <w:spacing w:after="0" w:line="240" w:lineRule="auto"/>
              <w:jc w:val="left"/>
              <w:rPr>
                <w:sz w:val="20"/>
              </w:rPr>
            </w:pPr>
            <w:r w:rsidRPr="00DF7C60">
              <w:rPr>
                <w:b/>
                <w:sz w:val="12"/>
              </w:rPr>
              <w:t>Postcode</w:t>
            </w:r>
          </w:p>
        </w:tc>
        <w:tc>
          <w:tcPr>
            <w:tcW w:w="1580" w:type="dxa"/>
            <w:tcBorders>
              <w:top w:val="nil"/>
              <w:bottom w:val="single" w:sz="4" w:space="0" w:color="auto"/>
            </w:tcBorders>
            <w:vAlign w:val="bottom"/>
          </w:tcPr>
          <w:p w14:paraId="40156E7E" w14:textId="77777777" w:rsidR="00DF7C60" w:rsidRPr="00DF7C60" w:rsidRDefault="00DF7C60" w:rsidP="00DF7C60">
            <w:pPr>
              <w:spacing w:after="0" w:line="240" w:lineRule="auto"/>
              <w:jc w:val="left"/>
              <w:rPr>
                <w:sz w:val="20"/>
              </w:rPr>
            </w:pPr>
            <w:r w:rsidRPr="00DF7C60">
              <w:rPr>
                <w:b/>
                <w:sz w:val="12"/>
              </w:rPr>
              <w:t>Country</w:t>
            </w:r>
          </w:p>
        </w:tc>
      </w:tr>
      <w:tr w:rsidR="00DF7C60" w:rsidRPr="00DF7C60" w14:paraId="2E11F183" w14:textId="77777777" w:rsidTr="0012134E">
        <w:trPr>
          <w:cantSplit/>
          <w:trHeight w:val="454"/>
          <w:jc w:val="center"/>
        </w:trPr>
        <w:tc>
          <w:tcPr>
            <w:tcW w:w="2297" w:type="dxa"/>
            <w:vMerge/>
          </w:tcPr>
          <w:p w14:paraId="5F03D663" w14:textId="77777777" w:rsidR="00DF7C60" w:rsidRPr="00DF7C60" w:rsidRDefault="00DF7C60" w:rsidP="00DF7C60">
            <w:pPr>
              <w:spacing w:after="0" w:line="240" w:lineRule="auto"/>
              <w:jc w:val="left"/>
              <w:rPr>
                <w:sz w:val="20"/>
              </w:rPr>
            </w:pPr>
          </w:p>
        </w:tc>
        <w:tc>
          <w:tcPr>
            <w:tcW w:w="7064" w:type="dxa"/>
            <w:gridSpan w:val="5"/>
            <w:tcBorders>
              <w:bottom w:val="nil"/>
            </w:tcBorders>
          </w:tcPr>
          <w:p w14:paraId="31448E40" w14:textId="77777777" w:rsidR="00DF7C60" w:rsidRPr="00DF7C60" w:rsidRDefault="00DF7C60" w:rsidP="00DF7C60">
            <w:pPr>
              <w:spacing w:after="0" w:line="240" w:lineRule="auto"/>
              <w:jc w:val="left"/>
              <w:rPr>
                <w:sz w:val="20"/>
              </w:rPr>
            </w:pPr>
          </w:p>
        </w:tc>
      </w:tr>
      <w:tr w:rsidR="00DF7C60" w:rsidRPr="00DF7C60" w14:paraId="082C1CA8" w14:textId="77777777" w:rsidTr="0012134E">
        <w:trPr>
          <w:cantSplit/>
          <w:trHeight w:val="85"/>
          <w:jc w:val="center"/>
        </w:trPr>
        <w:tc>
          <w:tcPr>
            <w:tcW w:w="2297" w:type="dxa"/>
            <w:vMerge/>
          </w:tcPr>
          <w:p w14:paraId="016AF447" w14:textId="77777777" w:rsidR="00DF7C60" w:rsidRPr="00DF7C60" w:rsidRDefault="00DF7C60" w:rsidP="00DF7C60">
            <w:pPr>
              <w:spacing w:after="0" w:line="240" w:lineRule="auto"/>
              <w:jc w:val="left"/>
              <w:rPr>
                <w:sz w:val="20"/>
              </w:rPr>
            </w:pPr>
          </w:p>
        </w:tc>
        <w:tc>
          <w:tcPr>
            <w:tcW w:w="7064" w:type="dxa"/>
            <w:gridSpan w:val="5"/>
            <w:tcBorders>
              <w:top w:val="nil"/>
              <w:bottom w:val="single" w:sz="4" w:space="0" w:color="auto"/>
            </w:tcBorders>
          </w:tcPr>
          <w:p w14:paraId="7F29F86B" w14:textId="77777777" w:rsidR="00DF7C60" w:rsidRPr="00DF7C60" w:rsidRDefault="00DF7C60" w:rsidP="00DF7C60">
            <w:pPr>
              <w:spacing w:after="0" w:line="240" w:lineRule="auto"/>
              <w:jc w:val="left"/>
              <w:rPr>
                <w:b/>
                <w:sz w:val="20"/>
              </w:rPr>
            </w:pPr>
            <w:r w:rsidRPr="00DF7C60">
              <w:rPr>
                <w:b/>
                <w:sz w:val="12"/>
              </w:rPr>
              <w:t>Email address</w:t>
            </w:r>
          </w:p>
        </w:tc>
      </w:tr>
    </w:tbl>
    <w:p w14:paraId="1F541ABF" w14:textId="77777777" w:rsidR="00DF7C60" w:rsidRPr="00DF7C60" w:rsidRDefault="00DF7C60" w:rsidP="00DF7C60">
      <w:pPr>
        <w:rPr>
          <w:rFonts w:ascii="Calibri" w:hAnsi="Calibri"/>
          <w:sz w:val="22"/>
        </w:rPr>
      </w:pPr>
      <w:r w:rsidRPr="00DF7C60">
        <w:rPr>
          <w:rFonts w:ascii="Calibri" w:hAnsi="Calibri"/>
          <w:sz w:val="22"/>
        </w:rPr>
        <w:br w:type="page"/>
      </w:r>
    </w:p>
    <w:tbl>
      <w:tblPr>
        <w:tblStyle w:val="TableGrid1112"/>
        <w:tblW w:w="5006" w:type="pct"/>
        <w:jc w:val="center"/>
        <w:tblLayout w:type="fixed"/>
        <w:tblLook w:val="04A0" w:firstRow="1" w:lastRow="0" w:firstColumn="1" w:lastColumn="0" w:noHBand="0" w:noVBand="1"/>
      </w:tblPr>
      <w:tblGrid>
        <w:gridCol w:w="2296"/>
        <w:gridCol w:w="7059"/>
      </w:tblGrid>
      <w:tr w:rsidR="00DF7C60" w:rsidRPr="00DF7C60" w14:paraId="766090BD" w14:textId="77777777" w:rsidTr="0012134E">
        <w:trPr>
          <w:cantSplit/>
          <w:trHeight w:val="454"/>
          <w:jc w:val="center"/>
        </w:trPr>
        <w:tc>
          <w:tcPr>
            <w:tcW w:w="2297" w:type="dxa"/>
            <w:vMerge w:val="restart"/>
          </w:tcPr>
          <w:p w14:paraId="7892D053" w14:textId="77777777" w:rsidR="00DF7C60" w:rsidRPr="00DF7C60" w:rsidRDefault="00DF7C60" w:rsidP="00DF7C60">
            <w:pPr>
              <w:spacing w:after="0" w:line="240" w:lineRule="auto"/>
              <w:jc w:val="left"/>
              <w:rPr>
                <w:sz w:val="20"/>
              </w:rPr>
            </w:pPr>
            <w:r w:rsidRPr="00DF7C60">
              <w:rPr>
                <w:sz w:val="20"/>
              </w:rPr>
              <w:lastRenderedPageBreak/>
              <w:t>Phone Details</w:t>
            </w:r>
          </w:p>
        </w:tc>
        <w:tc>
          <w:tcPr>
            <w:tcW w:w="7064" w:type="dxa"/>
            <w:tcBorders>
              <w:bottom w:val="nil"/>
            </w:tcBorders>
          </w:tcPr>
          <w:p w14:paraId="334EF02C" w14:textId="77777777" w:rsidR="00DF7C60" w:rsidRPr="00DF7C60" w:rsidRDefault="00DF7C60" w:rsidP="00DF7C60">
            <w:pPr>
              <w:spacing w:after="0" w:line="240" w:lineRule="auto"/>
              <w:jc w:val="left"/>
              <w:rPr>
                <w:sz w:val="20"/>
              </w:rPr>
            </w:pPr>
          </w:p>
        </w:tc>
      </w:tr>
      <w:tr w:rsidR="00DF7C60" w:rsidRPr="00DF7C60" w14:paraId="79748E4E" w14:textId="77777777" w:rsidTr="0012134E">
        <w:trPr>
          <w:cantSplit/>
          <w:trHeight w:val="85"/>
          <w:jc w:val="center"/>
        </w:trPr>
        <w:tc>
          <w:tcPr>
            <w:tcW w:w="2297" w:type="dxa"/>
            <w:vMerge/>
            <w:tcBorders>
              <w:bottom w:val="single" w:sz="4" w:space="0" w:color="auto"/>
            </w:tcBorders>
          </w:tcPr>
          <w:p w14:paraId="719D8ACF" w14:textId="77777777" w:rsidR="00DF7C60" w:rsidRPr="00DF7C60" w:rsidRDefault="00DF7C60" w:rsidP="00DF7C60">
            <w:pPr>
              <w:spacing w:after="0" w:line="240" w:lineRule="auto"/>
              <w:jc w:val="left"/>
              <w:rPr>
                <w:sz w:val="20"/>
              </w:rPr>
            </w:pPr>
          </w:p>
        </w:tc>
        <w:tc>
          <w:tcPr>
            <w:tcW w:w="7064" w:type="dxa"/>
            <w:tcBorders>
              <w:top w:val="nil"/>
            </w:tcBorders>
          </w:tcPr>
          <w:p w14:paraId="43E3139F" w14:textId="77777777" w:rsidR="00DF7C60" w:rsidRPr="00DF7C60" w:rsidRDefault="00DF7C60" w:rsidP="00DF7C60">
            <w:pPr>
              <w:spacing w:after="0" w:line="240" w:lineRule="auto"/>
              <w:jc w:val="left"/>
              <w:rPr>
                <w:b/>
                <w:sz w:val="20"/>
                <w:szCs w:val="20"/>
              </w:rPr>
            </w:pPr>
            <w:r w:rsidRPr="00DF7C60">
              <w:rPr>
                <w:b/>
                <w:sz w:val="12"/>
              </w:rPr>
              <w:t>Type (eg. Home; work; mobile) - Number</w:t>
            </w:r>
          </w:p>
        </w:tc>
      </w:tr>
      <w:bookmarkEnd w:id="6"/>
    </w:tbl>
    <w:p w14:paraId="0784347C"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120" w:after="0" w:line="240" w:lineRule="auto"/>
        <w:textAlignment w:val="baseline"/>
        <w:rPr>
          <w:rFonts w:eastAsia="Times New Roman"/>
          <w:b/>
          <w:bCs/>
          <w:sz w:val="12"/>
          <w:szCs w:val="20"/>
        </w:rPr>
      </w:pPr>
    </w:p>
    <w:tbl>
      <w:tblPr>
        <w:tblStyle w:val="TableGrid132"/>
        <w:tblW w:w="5006" w:type="pct"/>
        <w:jc w:val="center"/>
        <w:tblLayout w:type="fixed"/>
        <w:tblLook w:val="04A0" w:firstRow="1" w:lastRow="0" w:firstColumn="1" w:lastColumn="0" w:noHBand="0" w:noVBand="1"/>
      </w:tblPr>
      <w:tblGrid>
        <w:gridCol w:w="2298"/>
        <w:gridCol w:w="1823"/>
        <w:gridCol w:w="1698"/>
        <w:gridCol w:w="1959"/>
        <w:gridCol w:w="1577"/>
      </w:tblGrid>
      <w:tr w:rsidR="00DF7C60" w:rsidRPr="00DF7C60" w14:paraId="3051BF5C" w14:textId="77777777" w:rsidTr="0012134E">
        <w:trPr>
          <w:cantSplit/>
          <w:trHeight w:val="454"/>
          <w:jc w:val="center"/>
        </w:trPr>
        <w:tc>
          <w:tcPr>
            <w:tcW w:w="2579" w:type="dxa"/>
            <w:vMerge w:val="restart"/>
          </w:tcPr>
          <w:p w14:paraId="75DE2D1E" w14:textId="77777777" w:rsidR="00DF7C60" w:rsidRPr="00DF7C60" w:rsidRDefault="00DF7C60" w:rsidP="00DF7C60">
            <w:pPr>
              <w:spacing w:after="0" w:line="240" w:lineRule="auto"/>
              <w:jc w:val="left"/>
              <w:rPr>
                <w:b/>
                <w:sz w:val="20"/>
              </w:rPr>
            </w:pPr>
            <w:r w:rsidRPr="00DF7C60">
              <w:rPr>
                <w:b/>
                <w:sz w:val="20"/>
              </w:rPr>
              <w:t>Respondent</w:t>
            </w:r>
          </w:p>
        </w:tc>
        <w:tc>
          <w:tcPr>
            <w:tcW w:w="7891" w:type="dxa"/>
            <w:gridSpan w:val="4"/>
            <w:tcBorders>
              <w:bottom w:val="nil"/>
            </w:tcBorders>
          </w:tcPr>
          <w:p w14:paraId="6775E151" w14:textId="77777777" w:rsidR="00DF7C60" w:rsidRPr="00DF7C60" w:rsidRDefault="00DF7C60" w:rsidP="00DF7C60">
            <w:pPr>
              <w:spacing w:after="0" w:line="240" w:lineRule="auto"/>
              <w:jc w:val="left"/>
              <w:rPr>
                <w:sz w:val="20"/>
              </w:rPr>
            </w:pPr>
          </w:p>
        </w:tc>
      </w:tr>
      <w:tr w:rsidR="00DF7C60" w:rsidRPr="00DF7C60" w14:paraId="379C4CB8" w14:textId="77777777" w:rsidTr="0012134E">
        <w:trPr>
          <w:cantSplit/>
          <w:trHeight w:val="85"/>
          <w:jc w:val="center"/>
        </w:trPr>
        <w:tc>
          <w:tcPr>
            <w:tcW w:w="2579" w:type="dxa"/>
            <w:vMerge/>
          </w:tcPr>
          <w:p w14:paraId="4B270B95" w14:textId="77777777" w:rsidR="00DF7C60" w:rsidRPr="00DF7C60" w:rsidRDefault="00DF7C60" w:rsidP="00DF7C60">
            <w:pPr>
              <w:spacing w:after="0" w:line="240" w:lineRule="auto"/>
              <w:jc w:val="left"/>
              <w:rPr>
                <w:sz w:val="20"/>
              </w:rPr>
            </w:pPr>
          </w:p>
        </w:tc>
        <w:tc>
          <w:tcPr>
            <w:tcW w:w="7891" w:type="dxa"/>
            <w:gridSpan w:val="4"/>
            <w:tcBorders>
              <w:top w:val="nil"/>
              <w:bottom w:val="single" w:sz="4" w:space="0" w:color="auto"/>
            </w:tcBorders>
          </w:tcPr>
          <w:p w14:paraId="33F420D5" w14:textId="77777777" w:rsidR="00DF7C60" w:rsidRPr="00DF7C60" w:rsidRDefault="00DF7C60" w:rsidP="00DF7C60">
            <w:pPr>
              <w:spacing w:after="0" w:line="240" w:lineRule="auto"/>
              <w:jc w:val="left"/>
              <w:rPr>
                <w:b/>
                <w:sz w:val="12"/>
              </w:rPr>
            </w:pPr>
            <w:r w:rsidRPr="00DF7C60">
              <w:rPr>
                <w:b/>
                <w:sz w:val="12"/>
              </w:rPr>
              <w:t>Full Name</w:t>
            </w:r>
          </w:p>
        </w:tc>
      </w:tr>
      <w:tr w:rsidR="00DF7C60" w:rsidRPr="00DF7C60" w14:paraId="71FC8364" w14:textId="77777777" w:rsidTr="0012134E">
        <w:trPr>
          <w:cantSplit/>
          <w:trHeight w:val="454"/>
          <w:jc w:val="center"/>
        </w:trPr>
        <w:tc>
          <w:tcPr>
            <w:tcW w:w="2579" w:type="dxa"/>
            <w:vMerge w:val="restart"/>
          </w:tcPr>
          <w:p w14:paraId="0237F14F" w14:textId="77777777" w:rsidR="00DF7C60" w:rsidRPr="00DF7C60" w:rsidRDefault="00DF7C60" w:rsidP="00DF7C60">
            <w:pPr>
              <w:spacing w:after="0" w:line="240" w:lineRule="auto"/>
              <w:jc w:val="left"/>
              <w:rPr>
                <w:b/>
                <w:sz w:val="12"/>
              </w:rPr>
            </w:pPr>
            <w:r w:rsidRPr="00DF7C60">
              <w:rPr>
                <w:sz w:val="20"/>
              </w:rPr>
              <w:t>Address</w:t>
            </w:r>
          </w:p>
        </w:tc>
        <w:tc>
          <w:tcPr>
            <w:tcW w:w="7891" w:type="dxa"/>
            <w:gridSpan w:val="4"/>
            <w:tcBorders>
              <w:top w:val="single" w:sz="4" w:space="0" w:color="auto"/>
              <w:bottom w:val="nil"/>
            </w:tcBorders>
          </w:tcPr>
          <w:p w14:paraId="37311B99" w14:textId="77777777" w:rsidR="00DF7C60" w:rsidRPr="00DF7C60" w:rsidRDefault="00DF7C60" w:rsidP="00DF7C60">
            <w:pPr>
              <w:spacing w:after="0" w:line="240" w:lineRule="auto"/>
              <w:jc w:val="left"/>
              <w:rPr>
                <w:sz w:val="20"/>
              </w:rPr>
            </w:pPr>
          </w:p>
        </w:tc>
      </w:tr>
      <w:tr w:rsidR="00DF7C60" w:rsidRPr="00DF7C60" w14:paraId="6960D495" w14:textId="77777777" w:rsidTr="0012134E">
        <w:trPr>
          <w:cantSplit/>
          <w:trHeight w:val="85"/>
          <w:jc w:val="center"/>
        </w:trPr>
        <w:tc>
          <w:tcPr>
            <w:tcW w:w="2579" w:type="dxa"/>
            <w:vMerge/>
          </w:tcPr>
          <w:p w14:paraId="7F4976C1" w14:textId="77777777" w:rsidR="00DF7C60" w:rsidRPr="00DF7C60" w:rsidRDefault="00DF7C60" w:rsidP="00DF7C60">
            <w:pPr>
              <w:spacing w:after="0" w:line="240" w:lineRule="auto"/>
              <w:jc w:val="left"/>
              <w:rPr>
                <w:sz w:val="20"/>
              </w:rPr>
            </w:pPr>
          </w:p>
        </w:tc>
        <w:tc>
          <w:tcPr>
            <w:tcW w:w="7891" w:type="dxa"/>
            <w:gridSpan w:val="4"/>
            <w:tcBorders>
              <w:top w:val="nil"/>
              <w:bottom w:val="single" w:sz="4" w:space="0" w:color="auto"/>
            </w:tcBorders>
            <w:vAlign w:val="bottom"/>
          </w:tcPr>
          <w:p w14:paraId="405DCBD1" w14:textId="77777777" w:rsidR="00DF7C60" w:rsidRPr="00DF7C60" w:rsidRDefault="00DF7C60" w:rsidP="00DF7C60">
            <w:pPr>
              <w:spacing w:after="0" w:line="240" w:lineRule="auto"/>
              <w:jc w:val="left"/>
              <w:rPr>
                <w:b/>
                <w:sz w:val="20"/>
              </w:rPr>
            </w:pPr>
            <w:r w:rsidRPr="00DF7C60">
              <w:rPr>
                <w:b/>
                <w:sz w:val="12"/>
              </w:rPr>
              <w:t>Street Address (including unit or level number and name of property if required)</w:t>
            </w:r>
          </w:p>
        </w:tc>
      </w:tr>
      <w:tr w:rsidR="00DF7C60" w:rsidRPr="00DF7C60" w14:paraId="0CE1E78A" w14:textId="77777777" w:rsidTr="0012134E">
        <w:trPr>
          <w:cantSplit/>
          <w:trHeight w:val="454"/>
          <w:jc w:val="center"/>
        </w:trPr>
        <w:tc>
          <w:tcPr>
            <w:tcW w:w="2579" w:type="dxa"/>
            <w:vMerge/>
          </w:tcPr>
          <w:p w14:paraId="42C85928" w14:textId="77777777" w:rsidR="00DF7C60" w:rsidRPr="00DF7C60" w:rsidRDefault="00DF7C60" w:rsidP="00DF7C60">
            <w:pPr>
              <w:spacing w:after="0" w:line="240" w:lineRule="auto"/>
              <w:jc w:val="left"/>
              <w:rPr>
                <w:sz w:val="20"/>
              </w:rPr>
            </w:pPr>
          </w:p>
        </w:tc>
        <w:tc>
          <w:tcPr>
            <w:tcW w:w="2040" w:type="dxa"/>
            <w:tcBorders>
              <w:bottom w:val="nil"/>
            </w:tcBorders>
          </w:tcPr>
          <w:p w14:paraId="1B112521" w14:textId="77777777" w:rsidR="00DF7C60" w:rsidRPr="00DF7C60" w:rsidRDefault="00DF7C60" w:rsidP="00DF7C60">
            <w:pPr>
              <w:spacing w:after="0" w:line="240" w:lineRule="auto"/>
              <w:jc w:val="left"/>
              <w:rPr>
                <w:sz w:val="20"/>
              </w:rPr>
            </w:pPr>
          </w:p>
        </w:tc>
        <w:tc>
          <w:tcPr>
            <w:tcW w:w="1897" w:type="dxa"/>
            <w:tcBorders>
              <w:bottom w:val="nil"/>
            </w:tcBorders>
          </w:tcPr>
          <w:p w14:paraId="7BCA3568" w14:textId="77777777" w:rsidR="00DF7C60" w:rsidRPr="00DF7C60" w:rsidRDefault="00DF7C60" w:rsidP="00DF7C60">
            <w:pPr>
              <w:spacing w:after="0" w:line="240" w:lineRule="auto"/>
              <w:jc w:val="left"/>
              <w:rPr>
                <w:sz w:val="20"/>
              </w:rPr>
            </w:pPr>
          </w:p>
        </w:tc>
        <w:tc>
          <w:tcPr>
            <w:tcW w:w="2194" w:type="dxa"/>
            <w:tcBorders>
              <w:bottom w:val="nil"/>
            </w:tcBorders>
          </w:tcPr>
          <w:p w14:paraId="176FCF7E" w14:textId="77777777" w:rsidR="00DF7C60" w:rsidRPr="00DF7C60" w:rsidRDefault="00DF7C60" w:rsidP="00DF7C60">
            <w:pPr>
              <w:spacing w:after="0" w:line="240" w:lineRule="auto"/>
              <w:jc w:val="left"/>
              <w:rPr>
                <w:sz w:val="20"/>
              </w:rPr>
            </w:pPr>
          </w:p>
        </w:tc>
        <w:tc>
          <w:tcPr>
            <w:tcW w:w="1760" w:type="dxa"/>
            <w:tcBorders>
              <w:bottom w:val="nil"/>
            </w:tcBorders>
          </w:tcPr>
          <w:p w14:paraId="3777E03A" w14:textId="77777777" w:rsidR="00DF7C60" w:rsidRPr="00DF7C60" w:rsidRDefault="00DF7C60" w:rsidP="00DF7C60">
            <w:pPr>
              <w:spacing w:after="0" w:line="240" w:lineRule="auto"/>
              <w:jc w:val="left"/>
              <w:rPr>
                <w:sz w:val="20"/>
              </w:rPr>
            </w:pPr>
          </w:p>
        </w:tc>
      </w:tr>
      <w:tr w:rsidR="00DF7C60" w:rsidRPr="00DF7C60" w14:paraId="1127820D" w14:textId="77777777" w:rsidTr="0012134E">
        <w:trPr>
          <w:cantSplit/>
          <w:trHeight w:val="86"/>
          <w:jc w:val="center"/>
        </w:trPr>
        <w:tc>
          <w:tcPr>
            <w:tcW w:w="2579" w:type="dxa"/>
            <w:vMerge/>
          </w:tcPr>
          <w:p w14:paraId="517C6423" w14:textId="77777777" w:rsidR="00DF7C60" w:rsidRPr="00DF7C60" w:rsidRDefault="00DF7C60" w:rsidP="00DF7C60">
            <w:pPr>
              <w:spacing w:after="0" w:line="240" w:lineRule="auto"/>
              <w:jc w:val="left"/>
              <w:rPr>
                <w:sz w:val="20"/>
              </w:rPr>
            </w:pPr>
          </w:p>
        </w:tc>
        <w:tc>
          <w:tcPr>
            <w:tcW w:w="2040" w:type="dxa"/>
            <w:tcBorders>
              <w:top w:val="nil"/>
              <w:bottom w:val="single" w:sz="4" w:space="0" w:color="auto"/>
            </w:tcBorders>
            <w:vAlign w:val="bottom"/>
          </w:tcPr>
          <w:p w14:paraId="2C1A65BD" w14:textId="77777777" w:rsidR="00DF7C60" w:rsidRPr="00DF7C60" w:rsidRDefault="00DF7C60" w:rsidP="00DF7C60">
            <w:pPr>
              <w:spacing w:after="0" w:line="240" w:lineRule="auto"/>
              <w:jc w:val="left"/>
              <w:rPr>
                <w:sz w:val="20"/>
              </w:rPr>
            </w:pPr>
            <w:r w:rsidRPr="00DF7C60">
              <w:rPr>
                <w:b/>
                <w:sz w:val="12"/>
              </w:rPr>
              <w:t>City/town/suburb</w:t>
            </w:r>
          </w:p>
        </w:tc>
        <w:tc>
          <w:tcPr>
            <w:tcW w:w="1897" w:type="dxa"/>
            <w:tcBorders>
              <w:top w:val="nil"/>
              <w:bottom w:val="single" w:sz="4" w:space="0" w:color="auto"/>
            </w:tcBorders>
            <w:vAlign w:val="bottom"/>
          </w:tcPr>
          <w:p w14:paraId="0BBDC108" w14:textId="77777777" w:rsidR="00DF7C60" w:rsidRPr="00DF7C60" w:rsidRDefault="00DF7C60" w:rsidP="00DF7C60">
            <w:pPr>
              <w:spacing w:after="0" w:line="240" w:lineRule="auto"/>
              <w:jc w:val="left"/>
              <w:rPr>
                <w:sz w:val="20"/>
              </w:rPr>
            </w:pPr>
            <w:r w:rsidRPr="00DF7C60">
              <w:rPr>
                <w:b/>
                <w:sz w:val="12"/>
              </w:rPr>
              <w:t>State</w:t>
            </w:r>
          </w:p>
        </w:tc>
        <w:tc>
          <w:tcPr>
            <w:tcW w:w="2194" w:type="dxa"/>
            <w:tcBorders>
              <w:top w:val="nil"/>
              <w:bottom w:val="single" w:sz="4" w:space="0" w:color="auto"/>
            </w:tcBorders>
            <w:vAlign w:val="bottom"/>
          </w:tcPr>
          <w:p w14:paraId="09A2FA52" w14:textId="77777777" w:rsidR="00DF7C60" w:rsidRPr="00DF7C60" w:rsidRDefault="00DF7C60" w:rsidP="00DF7C60">
            <w:pPr>
              <w:spacing w:after="0" w:line="240" w:lineRule="auto"/>
              <w:jc w:val="left"/>
              <w:rPr>
                <w:sz w:val="20"/>
              </w:rPr>
            </w:pPr>
            <w:r w:rsidRPr="00DF7C60">
              <w:rPr>
                <w:b/>
                <w:sz w:val="12"/>
              </w:rPr>
              <w:t>Postcode</w:t>
            </w:r>
          </w:p>
        </w:tc>
        <w:tc>
          <w:tcPr>
            <w:tcW w:w="1760" w:type="dxa"/>
            <w:tcBorders>
              <w:top w:val="nil"/>
              <w:bottom w:val="single" w:sz="4" w:space="0" w:color="auto"/>
            </w:tcBorders>
            <w:vAlign w:val="bottom"/>
          </w:tcPr>
          <w:p w14:paraId="4C69C7EC" w14:textId="77777777" w:rsidR="00DF7C60" w:rsidRPr="00DF7C60" w:rsidRDefault="00DF7C60" w:rsidP="00DF7C60">
            <w:pPr>
              <w:spacing w:after="0" w:line="240" w:lineRule="auto"/>
              <w:jc w:val="left"/>
              <w:rPr>
                <w:sz w:val="20"/>
              </w:rPr>
            </w:pPr>
            <w:r w:rsidRPr="00DF7C60">
              <w:rPr>
                <w:b/>
                <w:sz w:val="12"/>
              </w:rPr>
              <w:t>Country</w:t>
            </w:r>
          </w:p>
        </w:tc>
      </w:tr>
      <w:tr w:rsidR="00DF7C60" w:rsidRPr="00DF7C60" w14:paraId="76086F0D" w14:textId="77777777" w:rsidTr="0012134E">
        <w:trPr>
          <w:cantSplit/>
          <w:trHeight w:val="454"/>
          <w:jc w:val="center"/>
        </w:trPr>
        <w:tc>
          <w:tcPr>
            <w:tcW w:w="2579" w:type="dxa"/>
            <w:vMerge/>
          </w:tcPr>
          <w:p w14:paraId="33B4F3FB" w14:textId="77777777" w:rsidR="00DF7C60" w:rsidRPr="00DF7C60" w:rsidRDefault="00DF7C60" w:rsidP="00DF7C60">
            <w:pPr>
              <w:spacing w:after="0" w:line="240" w:lineRule="auto"/>
              <w:jc w:val="left"/>
              <w:rPr>
                <w:sz w:val="20"/>
              </w:rPr>
            </w:pPr>
          </w:p>
        </w:tc>
        <w:tc>
          <w:tcPr>
            <w:tcW w:w="7891" w:type="dxa"/>
            <w:gridSpan w:val="4"/>
            <w:tcBorders>
              <w:bottom w:val="nil"/>
            </w:tcBorders>
          </w:tcPr>
          <w:p w14:paraId="4000B40F" w14:textId="77777777" w:rsidR="00DF7C60" w:rsidRPr="00DF7C60" w:rsidRDefault="00DF7C60" w:rsidP="00DF7C60">
            <w:pPr>
              <w:spacing w:after="0" w:line="240" w:lineRule="auto"/>
              <w:jc w:val="left"/>
              <w:rPr>
                <w:sz w:val="20"/>
              </w:rPr>
            </w:pPr>
          </w:p>
        </w:tc>
      </w:tr>
      <w:tr w:rsidR="00DF7C60" w:rsidRPr="00DF7C60" w14:paraId="0F93F786" w14:textId="77777777" w:rsidTr="0012134E">
        <w:trPr>
          <w:cantSplit/>
          <w:trHeight w:val="85"/>
          <w:jc w:val="center"/>
        </w:trPr>
        <w:tc>
          <w:tcPr>
            <w:tcW w:w="2579" w:type="dxa"/>
            <w:vMerge/>
          </w:tcPr>
          <w:p w14:paraId="3C992A21" w14:textId="77777777" w:rsidR="00DF7C60" w:rsidRPr="00DF7C60" w:rsidRDefault="00DF7C60" w:rsidP="00DF7C60">
            <w:pPr>
              <w:spacing w:after="0" w:line="240" w:lineRule="auto"/>
              <w:jc w:val="left"/>
              <w:rPr>
                <w:sz w:val="20"/>
              </w:rPr>
            </w:pPr>
          </w:p>
        </w:tc>
        <w:tc>
          <w:tcPr>
            <w:tcW w:w="7891" w:type="dxa"/>
            <w:gridSpan w:val="4"/>
            <w:tcBorders>
              <w:top w:val="nil"/>
              <w:bottom w:val="single" w:sz="4" w:space="0" w:color="auto"/>
            </w:tcBorders>
          </w:tcPr>
          <w:p w14:paraId="5AF1F6C0" w14:textId="77777777" w:rsidR="00DF7C60" w:rsidRPr="00DF7C60" w:rsidRDefault="00DF7C60" w:rsidP="00DF7C60">
            <w:pPr>
              <w:spacing w:after="0" w:line="240" w:lineRule="auto"/>
              <w:jc w:val="left"/>
              <w:rPr>
                <w:b/>
                <w:sz w:val="20"/>
              </w:rPr>
            </w:pPr>
            <w:r w:rsidRPr="00DF7C60">
              <w:rPr>
                <w:b/>
                <w:sz w:val="12"/>
              </w:rPr>
              <w:t>Email address</w:t>
            </w:r>
          </w:p>
        </w:tc>
      </w:tr>
      <w:tr w:rsidR="00DF7C60" w:rsidRPr="00DF7C60" w14:paraId="42DF7260" w14:textId="77777777" w:rsidTr="0012134E">
        <w:trPr>
          <w:cantSplit/>
          <w:trHeight w:val="454"/>
          <w:jc w:val="center"/>
        </w:trPr>
        <w:tc>
          <w:tcPr>
            <w:tcW w:w="2579" w:type="dxa"/>
            <w:vMerge w:val="restart"/>
          </w:tcPr>
          <w:p w14:paraId="3A8B8601" w14:textId="77777777" w:rsidR="00DF7C60" w:rsidRPr="00DF7C60" w:rsidRDefault="00DF7C60" w:rsidP="00DF7C60">
            <w:pPr>
              <w:spacing w:after="0" w:line="240" w:lineRule="auto"/>
              <w:jc w:val="left"/>
              <w:rPr>
                <w:sz w:val="20"/>
              </w:rPr>
            </w:pPr>
            <w:r w:rsidRPr="00DF7C60">
              <w:rPr>
                <w:sz w:val="20"/>
              </w:rPr>
              <w:t>Phone Details</w:t>
            </w:r>
          </w:p>
          <w:p w14:paraId="15A0A24B" w14:textId="77777777" w:rsidR="00DF7C60" w:rsidRPr="00DF7C60" w:rsidRDefault="00DF7C60" w:rsidP="00DF7C60">
            <w:pPr>
              <w:overflowPunct w:val="0"/>
              <w:autoSpaceDE w:val="0"/>
              <w:autoSpaceDN w:val="0"/>
              <w:adjustRightInd w:val="0"/>
              <w:spacing w:after="0" w:line="240" w:lineRule="auto"/>
              <w:jc w:val="center"/>
              <w:textAlignment w:val="baseline"/>
              <w:rPr>
                <w:sz w:val="20"/>
              </w:rPr>
            </w:pPr>
          </w:p>
        </w:tc>
        <w:tc>
          <w:tcPr>
            <w:tcW w:w="3937" w:type="dxa"/>
            <w:gridSpan w:val="2"/>
            <w:tcBorders>
              <w:bottom w:val="nil"/>
            </w:tcBorders>
          </w:tcPr>
          <w:p w14:paraId="4E7EC720" w14:textId="77777777" w:rsidR="00DF7C60" w:rsidRPr="00DF7C60" w:rsidRDefault="00DF7C60" w:rsidP="00DF7C60">
            <w:pPr>
              <w:spacing w:after="0" w:line="240" w:lineRule="auto"/>
              <w:jc w:val="left"/>
              <w:rPr>
                <w:sz w:val="20"/>
              </w:rPr>
            </w:pPr>
          </w:p>
        </w:tc>
        <w:tc>
          <w:tcPr>
            <w:tcW w:w="3954" w:type="dxa"/>
            <w:gridSpan w:val="2"/>
            <w:tcBorders>
              <w:bottom w:val="nil"/>
            </w:tcBorders>
          </w:tcPr>
          <w:p w14:paraId="70A9F315" w14:textId="77777777" w:rsidR="00DF7C60" w:rsidRPr="00DF7C60" w:rsidRDefault="00DF7C60" w:rsidP="00DF7C60">
            <w:pPr>
              <w:spacing w:after="0" w:line="240" w:lineRule="auto"/>
              <w:jc w:val="left"/>
              <w:rPr>
                <w:sz w:val="20"/>
              </w:rPr>
            </w:pPr>
          </w:p>
        </w:tc>
      </w:tr>
      <w:tr w:rsidR="00DF7C60" w:rsidRPr="00DF7C60" w14:paraId="08706D1B" w14:textId="77777777" w:rsidTr="0012134E">
        <w:trPr>
          <w:cantSplit/>
          <w:trHeight w:val="85"/>
          <w:jc w:val="center"/>
        </w:trPr>
        <w:tc>
          <w:tcPr>
            <w:tcW w:w="2579" w:type="dxa"/>
            <w:vMerge/>
          </w:tcPr>
          <w:p w14:paraId="1133AF8F" w14:textId="77777777" w:rsidR="00DF7C60" w:rsidRPr="00DF7C60" w:rsidRDefault="00DF7C60" w:rsidP="00DF7C60">
            <w:pPr>
              <w:spacing w:after="0" w:line="240" w:lineRule="auto"/>
              <w:jc w:val="left"/>
              <w:rPr>
                <w:sz w:val="20"/>
              </w:rPr>
            </w:pPr>
          </w:p>
        </w:tc>
        <w:tc>
          <w:tcPr>
            <w:tcW w:w="3937" w:type="dxa"/>
            <w:gridSpan w:val="2"/>
            <w:tcBorders>
              <w:top w:val="nil"/>
              <w:bottom w:val="single" w:sz="4" w:space="0" w:color="auto"/>
            </w:tcBorders>
          </w:tcPr>
          <w:p w14:paraId="06E2BCE5" w14:textId="77777777" w:rsidR="00DF7C60" w:rsidRPr="00DF7C60" w:rsidRDefault="00DF7C60" w:rsidP="00DF7C60">
            <w:pPr>
              <w:spacing w:after="0" w:line="240" w:lineRule="auto"/>
              <w:jc w:val="left"/>
              <w:rPr>
                <w:b/>
                <w:sz w:val="12"/>
                <w:szCs w:val="20"/>
              </w:rPr>
            </w:pPr>
            <w:r w:rsidRPr="00DF7C60">
              <w:rPr>
                <w:b/>
                <w:sz w:val="12"/>
                <w:szCs w:val="20"/>
              </w:rPr>
              <w:t xml:space="preserve">Type </w:t>
            </w:r>
            <w:r w:rsidRPr="00DF7C60">
              <w:rPr>
                <w:b/>
                <w:sz w:val="12"/>
              </w:rPr>
              <w:t xml:space="preserve">(eg. Home; work; mobile) </w:t>
            </w:r>
            <w:r w:rsidRPr="00DF7C60">
              <w:rPr>
                <w:b/>
                <w:sz w:val="12"/>
                <w:szCs w:val="20"/>
              </w:rPr>
              <w:t>– Number</w:t>
            </w:r>
          </w:p>
        </w:tc>
        <w:tc>
          <w:tcPr>
            <w:tcW w:w="3954" w:type="dxa"/>
            <w:gridSpan w:val="2"/>
            <w:tcBorders>
              <w:top w:val="nil"/>
            </w:tcBorders>
          </w:tcPr>
          <w:p w14:paraId="43755CA8" w14:textId="77777777" w:rsidR="00DF7C60" w:rsidRPr="00DF7C60" w:rsidRDefault="00DF7C60" w:rsidP="00DF7C60">
            <w:pPr>
              <w:spacing w:after="0" w:line="240" w:lineRule="auto"/>
              <w:jc w:val="left"/>
              <w:rPr>
                <w:b/>
                <w:sz w:val="12"/>
                <w:szCs w:val="20"/>
              </w:rPr>
            </w:pPr>
            <w:r w:rsidRPr="00DF7C60">
              <w:rPr>
                <w:b/>
                <w:sz w:val="12"/>
                <w:szCs w:val="20"/>
              </w:rPr>
              <w:t>Another number</w:t>
            </w:r>
          </w:p>
        </w:tc>
      </w:tr>
    </w:tbl>
    <w:p w14:paraId="5C1650A4"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eastAsia="Times New Roman"/>
          <w:bCs/>
          <w:sz w:val="12"/>
          <w:szCs w:val="20"/>
        </w:rPr>
      </w:pPr>
    </w:p>
    <w:tbl>
      <w:tblPr>
        <w:tblW w:w="5000" w:type="pct"/>
        <w:tblCellMar>
          <w:left w:w="107" w:type="dxa"/>
          <w:right w:w="107" w:type="dxa"/>
        </w:tblCellMar>
        <w:tblLook w:val="0000" w:firstRow="0" w:lastRow="0" w:firstColumn="0" w:lastColumn="0" w:noHBand="0" w:noVBand="0"/>
      </w:tblPr>
      <w:tblGrid>
        <w:gridCol w:w="9344"/>
      </w:tblGrid>
      <w:tr w:rsidR="00DF7C60" w:rsidRPr="00DF7C60" w14:paraId="738C5FDD" w14:textId="77777777" w:rsidTr="0012134E">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5F208762" w14:textId="77777777" w:rsidR="00DF7C60" w:rsidRPr="00DF7C60" w:rsidRDefault="00DF7C60" w:rsidP="00DF7C60">
            <w:pPr>
              <w:overflowPunct w:val="0"/>
              <w:autoSpaceDE w:val="0"/>
              <w:autoSpaceDN w:val="0"/>
              <w:adjustRightInd w:val="0"/>
              <w:spacing w:before="120" w:after="0" w:line="276" w:lineRule="auto"/>
              <w:ind w:right="57"/>
              <w:textAlignment w:val="baseline"/>
              <w:rPr>
                <w:rFonts w:eastAsia="Times New Roman"/>
                <w:b/>
                <w:sz w:val="22"/>
              </w:rPr>
            </w:pPr>
            <w:r w:rsidRPr="00DF7C60">
              <w:rPr>
                <w:rFonts w:eastAsia="Times New Roman"/>
                <w:b/>
                <w:sz w:val="22"/>
              </w:rPr>
              <w:t>Review details</w:t>
            </w:r>
          </w:p>
          <w:p w14:paraId="7DF69257" w14:textId="77777777" w:rsidR="00DF7C60" w:rsidRPr="00DF7C60" w:rsidRDefault="00DF7C60" w:rsidP="00DF7C60">
            <w:pPr>
              <w:overflowPunct w:val="0"/>
              <w:autoSpaceDE w:val="0"/>
              <w:autoSpaceDN w:val="0"/>
              <w:adjustRightInd w:val="0"/>
              <w:spacing w:before="120" w:after="120" w:line="276" w:lineRule="auto"/>
              <w:textAlignment w:val="baseline"/>
              <w:rPr>
                <w:rFonts w:eastAsia="Times New Roman"/>
                <w:sz w:val="18"/>
                <w:szCs w:val="18"/>
              </w:rPr>
            </w:pPr>
            <w:r w:rsidRPr="00DF7C60">
              <w:rPr>
                <w:rFonts w:eastAsia="Times New Roman"/>
                <w:sz w:val="20"/>
                <w:szCs w:val="20"/>
              </w:rPr>
              <w:t>The Appellant applies to the Supreme Court for review of bail decision identified below.</w:t>
            </w:r>
          </w:p>
          <w:p w14:paraId="77590857" w14:textId="77777777" w:rsidR="00DF7C60" w:rsidRPr="00DF7C60" w:rsidRDefault="00DF7C60" w:rsidP="00DF7C60">
            <w:pPr>
              <w:overflowPunct w:val="0"/>
              <w:autoSpaceDE w:val="0"/>
              <w:autoSpaceDN w:val="0"/>
              <w:adjustRightInd w:val="0"/>
              <w:spacing w:after="0" w:line="276" w:lineRule="auto"/>
              <w:textAlignment w:val="baseline"/>
              <w:rPr>
                <w:rFonts w:eastAsia="Times New Roman"/>
                <w:sz w:val="18"/>
                <w:szCs w:val="18"/>
              </w:rPr>
            </w:pPr>
            <w:r w:rsidRPr="00DF7C60">
              <w:rPr>
                <w:rFonts w:eastAsia="Times New Roman"/>
                <w:sz w:val="20"/>
                <w:szCs w:val="20"/>
              </w:rPr>
              <w:t xml:space="preserve">This application for review is made under  </w:t>
            </w:r>
          </w:p>
          <w:p w14:paraId="2DA1F1CF" w14:textId="77777777" w:rsidR="00DF7C60" w:rsidRPr="00DF7C60" w:rsidRDefault="00DF7C60" w:rsidP="00965F17">
            <w:pPr>
              <w:numPr>
                <w:ilvl w:val="0"/>
                <w:numId w:val="25"/>
              </w:numPr>
              <w:overflowPunct w:val="0"/>
              <w:autoSpaceDE w:val="0"/>
              <w:autoSpaceDN w:val="0"/>
              <w:adjustRightInd w:val="0"/>
              <w:spacing w:after="0" w:line="276" w:lineRule="auto"/>
              <w:ind w:right="57"/>
              <w:contextualSpacing/>
              <w:jc w:val="left"/>
              <w:textAlignment w:val="baseline"/>
              <w:rPr>
                <w:rFonts w:eastAsia="Times New Roman"/>
                <w:b/>
                <w:sz w:val="20"/>
                <w:szCs w:val="20"/>
              </w:rPr>
            </w:pPr>
            <w:r w:rsidRPr="00DF7C60">
              <w:rPr>
                <w:rFonts w:eastAsia="Times New Roman"/>
                <w:sz w:val="20"/>
                <w:szCs w:val="20"/>
              </w:rPr>
              <w:t>section 14(2)(a) of the</w:t>
            </w:r>
            <w:r w:rsidRPr="00DF7C60">
              <w:rPr>
                <w:rFonts w:eastAsia="Times New Roman"/>
                <w:i/>
                <w:sz w:val="20"/>
                <w:szCs w:val="20"/>
              </w:rPr>
              <w:t xml:space="preserve"> Bail Act 1985 </w:t>
            </w:r>
            <w:r w:rsidRPr="00DF7C60">
              <w:rPr>
                <w:rFonts w:eastAsia="Times New Roman"/>
                <w:b/>
                <w:sz w:val="12"/>
                <w:szCs w:val="20"/>
              </w:rPr>
              <w:t>review of bail authority decision</w:t>
            </w:r>
          </w:p>
          <w:p w14:paraId="38C663F2" w14:textId="77777777" w:rsidR="00DF7C60" w:rsidRPr="00DF7C60" w:rsidRDefault="00DF7C60" w:rsidP="00965F17">
            <w:pPr>
              <w:numPr>
                <w:ilvl w:val="0"/>
                <w:numId w:val="25"/>
              </w:numPr>
              <w:overflowPunct w:val="0"/>
              <w:autoSpaceDE w:val="0"/>
              <w:autoSpaceDN w:val="0"/>
              <w:adjustRightInd w:val="0"/>
              <w:spacing w:after="0" w:line="276" w:lineRule="auto"/>
              <w:ind w:right="57"/>
              <w:contextualSpacing/>
              <w:jc w:val="left"/>
              <w:textAlignment w:val="baseline"/>
              <w:rPr>
                <w:rFonts w:eastAsia="Times New Roman"/>
                <w:b/>
                <w:sz w:val="20"/>
                <w:szCs w:val="20"/>
              </w:rPr>
            </w:pPr>
            <w:r w:rsidRPr="00DF7C60">
              <w:rPr>
                <w:rFonts w:eastAsia="Times New Roman"/>
                <w:sz w:val="20"/>
                <w:szCs w:val="20"/>
                <w:lang w:val="en-US"/>
              </w:rPr>
              <w:t xml:space="preserve">section </w:t>
            </w:r>
            <w:r w:rsidRPr="00DF7C60">
              <w:rPr>
                <w:rFonts w:eastAsia="Times New Roman"/>
                <w:sz w:val="20"/>
                <w:szCs w:val="20"/>
              </w:rPr>
              <w:t xml:space="preserve">86 of the </w:t>
            </w:r>
            <w:r w:rsidRPr="00DF7C60">
              <w:rPr>
                <w:rFonts w:eastAsia="Times New Roman"/>
                <w:i/>
                <w:sz w:val="20"/>
                <w:szCs w:val="20"/>
              </w:rPr>
              <w:t>Service and Execution of Process Act 1992</w:t>
            </w:r>
            <w:r w:rsidRPr="00DF7C60">
              <w:rPr>
                <w:rFonts w:eastAsia="Times New Roman"/>
                <w:sz w:val="20"/>
                <w:szCs w:val="20"/>
              </w:rPr>
              <w:t xml:space="preserve"> (Cth)</w:t>
            </w:r>
            <w:r w:rsidRPr="00DF7C60">
              <w:rPr>
                <w:rFonts w:eastAsia="Times New Roman"/>
                <w:b/>
                <w:sz w:val="20"/>
                <w:szCs w:val="20"/>
              </w:rPr>
              <w:t xml:space="preserve"> </w:t>
            </w:r>
            <w:r w:rsidRPr="00DF7C60">
              <w:rPr>
                <w:rFonts w:eastAsia="Times New Roman"/>
                <w:b/>
                <w:sz w:val="12"/>
                <w:szCs w:val="20"/>
              </w:rPr>
              <w:t>review in relation to extradition proceedings</w:t>
            </w:r>
          </w:p>
          <w:p w14:paraId="2DF51B46" w14:textId="77777777" w:rsidR="00DF7C60" w:rsidRPr="00DF7C60" w:rsidRDefault="00DF7C60" w:rsidP="00965F17">
            <w:pPr>
              <w:numPr>
                <w:ilvl w:val="0"/>
                <w:numId w:val="25"/>
              </w:numPr>
              <w:overflowPunct w:val="0"/>
              <w:autoSpaceDE w:val="0"/>
              <w:autoSpaceDN w:val="0"/>
              <w:adjustRightInd w:val="0"/>
              <w:spacing w:after="0" w:line="276" w:lineRule="auto"/>
              <w:ind w:right="57"/>
              <w:contextualSpacing/>
              <w:jc w:val="left"/>
              <w:textAlignment w:val="baseline"/>
              <w:rPr>
                <w:rFonts w:eastAsia="Times New Roman"/>
                <w:b/>
                <w:sz w:val="20"/>
                <w:szCs w:val="20"/>
              </w:rPr>
            </w:pPr>
            <w:r w:rsidRPr="00DF7C60">
              <w:rPr>
                <w:rFonts w:eastAsia="Times New Roman"/>
                <w:sz w:val="20"/>
                <w:szCs w:val="20"/>
              </w:rPr>
              <w:t>[</w:t>
            </w:r>
            <w:r w:rsidRPr="00DF7C60">
              <w:rPr>
                <w:rFonts w:eastAsia="Times New Roman"/>
                <w:i/>
                <w:sz w:val="20"/>
                <w:szCs w:val="20"/>
              </w:rPr>
              <w:t>other – specify legislative provision</w:t>
            </w:r>
            <w:r w:rsidRPr="00DF7C60">
              <w:rPr>
                <w:rFonts w:eastAsia="Times New Roman"/>
                <w:sz w:val="20"/>
                <w:szCs w:val="20"/>
              </w:rPr>
              <w:t>]</w:t>
            </w:r>
          </w:p>
          <w:p w14:paraId="2F241689" w14:textId="77777777" w:rsidR="00DF7C60" w:rsidRPr="00DF7C60" w:rsidRDefault="00DF7C60" w:rsidP="00DF7C60">
            <w:pPr>
              <w:overflowPunct w:val="0"/>
              <w:autoSpaceDE w:val="0"/>
              <w:autoSpaceDN w:val="0"/>
              <w:adjustRightInd w:val="0"/>
              <w:spacing w:before="240" w:after="120" w:line="276" w:lineRule="auto"/>
              <w:ind w:right="57"/>
              <w:textAlignment w:val="baseline"/>
              <w:rPr>
                <w:rFonts w:eastAsia="Times New Roman"/>
                <w:b/>
                <w:bCs/>
                <w:sz w:val="20"/>
                <w:szCs w:val="20"/>
              </w:rPr>
            </w:pPr>
            <w:r w:rsidRPr="00DF7C60">
              <w:rPr>
                <w:rFonts w:eastAsia="Times New Roman"/>
                <w:b/>
                <w:sz w:val="20"/>
                <w:szCs w:val="20"/>
              </w:rPr>
              <w:t xml:space="preserve">Bail decision </w:t>
            </w:r>
            <w:r w:rsidRPr="00DF7C60">
              <w:rPr>
                <w:rFonts w:eastAsia="Times New Roman"/>
                <w:b/>
                <w:bCs/>
                <w:sz w:val="20"/>
                <w:szCs w:val="20"/>
              </w:rPr>
              <w:t>subject of review</w:t>
            </w:r>
          </w:p>
          <w:p w14:paraId="168151E6" w14:textId="77777777" w:rsidR="00DF7C60" w:rsidRPr="00DF7C60" w:rsidRDefault="00DF7C60" w:rsidP="00DF7C60">
            <w:pPr>
              <w:tabs>
                <w:tab w:val="left" w:pos="6237"/>
                <w:tab w:val="right" w:leader="dot" w:pos="10206"/>
              </w:tabs>
              <w:overflowPunct w:val="0"/>
              <w:autoSpaceDE w:val="0"/>
              <w:autoSpaceDN w:val="0"/>
              <w:adjustRightInd w:val="0"/>
              <w:spacing w:after="240" w:line="276" w:lineRule="auto"/>
              <w:textAlignment w:val="baseline"/>
              <w:rPr>
                <w:rFonts w:eastAsia="Times New Roman"/>
                <w:sz w:val="20"/>
                <w:szCs w:val="20"/>
              </w:rPr>
            </w:pPr>
            <w:r w:rsidRPr="00DF7C60">
              <w:rPr>
                <w:rFonts w:eastAsia="Times New Roman"/>
                <w:bCs/>
                <w:sz w:val="20"/>
                <w:szCs w:val="20"/>
              </w:rPr>
              <w:t>Date of bail decision: [</w:t>
            </w:r>
            <w:r w:rsidRPr="00DF7C60">
              <w:rPr>
                <w:rFonts w:eastAsia="Times New Roman"/>
                <w:bCs/>
                <w:i/>
                <w:sz w:val="20"/>
                <w:szCs w:val="20"/>
              </w:rPr>
              <w:t>date</w:t>
            </w:r>
            <w:r w:rsidRPr="00DF7C60">
              <w:rPr>
                <w:rFonts w:eastAsia="Times New Roman"/>
                <w:bCs/>
                <w:sz w:val="20"/>
                <w:szCs w:val="20"/>
              </w:rPr>
              <w:t>]</w:t>
            </w:r>
          </w:p>
          <w:p w14:paraId="7A2FAD02" w14:textId="77777777" w:rsidR="00DF7C60" w:rsidRPr="00DF7C60" w:rsidRDefault="00DF7C60" w:rsidP="00DF7C60">
            <w:pPr>
              <w:tabs>
                <w:tab w:val="left" w:pos="6237"/>
                <w:tab w:val="right" w:leader="dot" w:pos="10206"/>
              </w:tabs>
              <w:overflowPunct w:val="0"/>
              <w:autoSpaceDE w:val="0"/>
              <w:autoSpaceDN w:val="0"/>
              <w:adjustRightInd w:val="0"/>
              <w:spacing w:after="240" w:line="276" w:lineRule="auto"/>
              <w:textAlignment w:val="baseline"/>
              <w:rPr>
                <w:rFonts w:eastAsia="Times New Roman"/>
                <w:sz w:val="20"/>
                <w:szCs w:val="20"/>
              </w:rPr>
            </w:pPr>
            <w:r w:rsidRPr="00DF7C60">
              <w:rPr>
                <w:rFonts w:eastAsia="Times New Roman"/>
                <w:bCs/>
                <w:sz w:val="20"/>
                <w:szCs w:val="20"/>
              </w:rPr>
              <w:t>Court or other bail authority: [</w:t>
            </w:r>
            <w:r w:rsidRPr="00DF7C60">
              <w:rPr>
                <w:rFonts w:eastAsia="Times New Roman"/>
                <w:bCs/>
                <w:i/>
                <w:sz w:val="20"/>
                <w:szCs w:val="20"/>
              </w:rPr>
              <w:t>name</w:t>
            </w:r>
            <w:r w:rsidRPr="00DF7C60">
              <w:rPr>
                <w:rFonts w:eastAsia="Times New Roman"/>
                <w:bCs/>
                <w:sz w:val="20"/>
                <w:szCs w:val="20"/>
              </w:rPr>
              <w:t>]</w:t>
            </w:r>
          </w:p>
          <w:p w14:paraId="120D185F" w14:textId="77777777" w:rsidR="00DF7C60" w:rsidRPr="00DF7C60" w:rsidRDefault="00DF7C60" w:rsidP="00DF7C60">
            <w:pPr>
              <w:tabs>
                <w:tab w:val="left" w:pos="6237"/>
                <w:tab w:val="right" w:leader="dot" w:pos="10206"/>
              </w:tabs>
              <w:overflowPunct w:val="0"/>
              <w:autoSpaceDE w:val="0"/>
              <w:autoSpaceDN w:val="0"/>
              <w:adjustRightInd w:val="0"/>
              <w:spacing w:after="240" w:line="276" w:lineRule="auto"/>
              <w:textAlignment w:val="baseline"/>
              <w:rPr>
                <w:rFonts w:eastAsia="Times New Roman"/>
                <w:sz w:val="20"/>
                <w:szCs w:val="20"/>
              </w:rPr>
            </w:pPr>
            <w:r w:rsidRPr="00DF7C60">
              <w:rPr>
                <w:rFonts w:eastAsia="Times New Roman"/>
                <w:bCs/>
                <w:sz w:val="20"/>
                <w:szCs w:val="20"/>
              </w:rPr>
              <w:t>Judicial Officer or individual decision maker: [</w:t>
            </w:r>
            <w:r w:rsidRPr="00DF7C60">
              <w:rPr>
                <w:rFonts w:eastAsia="Times New Roman"/>
                <w:bCs/>
                <w:i/>
                <w:sz w:val="20"/>
                <w:szCs w:val="20"/>
              </w:rPr>
              <w:t>title and name</w:t>
            </w:r>
            <w:r w:rsidRPr="00DF7C60">
              <w:rPr>
                <w:rFonts w:eastAsia="Times New Roman"/>
                <w:bCs/>
                <w:sz w:val="20"/>
                <w:szCs w:val="20"/>
              </w:rPr>
              <w:t>]</w:t>
            </w:r>
          </w:p>
          <w:p w14:paraId="1B6CA4B1" w14:textId="77777777" w:rsidR="00DF7C60" w:rsidRPr="00DF7C60" w:rsidRDefault="00DF7C60" w:rsidP="00DF7C60">
            <w:pPr>
              <w:overflowPunct w:val="0"/>
              <w:autoSpaceDE w:val="0"/>
              <w:autoSpaceDN w:val="0"/>
              <w:adjustRightInd w:val="0"/>
              <w:spacing w:before="120" w:after="0" w:line="276" w:lineRule="auto"/>
              <w:ind w:right="57"/>
              <w:textAlignment w:val="baseline"/>
              <w:rPr>
                <w:rFonts w:eastAsia="Times New Roman"/>
                <w:bCs/>
                <w:sz w:val="20"/>
                <w:szCs w:val="20"/>
              </w:rPr>
            </w:pPr>
            <w:r w:rsidRPr="00DF7C60">
              <w:rPr>
                <w:rFonts w:eastAsia="Times New Roman"/>
                <w:bCs/>
                <w:sz w:val="20"/>
                <w:szCs w:val="20"/>
              </w:rPr>
              <w:t>Case number of Court or other bail authority: [</w:t>
            </w:r>
            <w:r w:rsidRPr="00DF7C60">
              <w:rPr>
                <w:rFonts w:eastAsia="Times New Roman"/>
                <w:bCs/>
                <w:i/>
                <w:sz w:val="20"/>
                <w:szCs w:val="20"/>
              </w:rPr>
              <w:t>number</w:t>
            </w:r>
            <w:r w:rsidRPr="00DF7C60">
              <w:rPr>
                <w:rFonts w:eastAsia="Times New Roman"/>
                <w:bCs/>
                <w:sz w:val="20"/>
                <w:szCs w:val="20"/>
              </w:rPr>
              <w:t>]</w:t>
            </w:r>
          </w:p>
          <w:p w14:paraId="31F6EC46" w14:textId="77777777" w:rsidR="00DF7C60" w:rsidRPr="00DF7C60" w:rsidRDefault="00DF7C60" w:rsidP="00DF7C60">
            <w:pPr>
              <w:overflowPunct w:val="0"/>
              <w:autoSpaceDE w:val="0"/>
              <w:autoSpaceDN w:val="0"/>
              <w:adjustRightInd w:val="0"/>
              <w:spacing w:before="240" w:after="0" w:line="276" w:lineRule="auto"/>
              <w:ind w:right="57"/>
              <w:textAlignment w:val="baseline"/>
              <w:rPr>
                <w:rFonts w:eastAsia="Times New Roman"/>
                <w:bCs/>
                <w:sz w:val="20"/>
                <w:szCs w:val="20"/>
              </w:rPr>
            </w:pPr>
            <w:r w:rsidRPr="00DF7C60">
              <w:rPr>
                <w:rFonts w:eastAsia="Times New Roman"/>
                <w:bCs/>
                <w:sz w:val="20"/>
                <w:szCs w:val="20"/>
              </w:rPr>
              <w:t>Relevant terms of bail decision: [</w:t>
            </w:r>
            <w:r w:rsidRPr="00DF7C60">
              <w:rPr>
                <w:rFonts w:eastAsia="Times New Roman"/>
                <w:bCs/>
                <w:i/>
                <w:sz w:val="20"/>
                <w:szCs w:val="20"/>
              </w:rPr>
              <w:t>terms</w:t>
            </w:r>
            <w:r w:rsidRPr="00DF7C60">
              <w:rPr>
                <w:rFonts w:eastAsia="Times New Roman"/>
                <w:bCs/>
                <w:sz w:val="20"/>
                <w:szCs w:val="20"/>
              </w:rPr>
              <w:t>]</w:t>
            </w:r>
          </w:p>
          <w:p w14:paraId="68D30854" w14:textId="77777777" w:rsidR="00DF7C60" w:rsidRPr="00DF7C60" w:rsidRDefault="00DF7C60" w:rsidP="00DF7C60">
            <w:pPr>
              <w:overflowPunct w:val="0"/>
              <w:autoSpaceDE w:val="0"/>
              <w:autoSpaceDN w:val="0"/>
              <w:adjustRightInd w:val="0"/>
              <w:spacing w:before="240" w:after="0" w:line="276" w:lineRule="auto"/>
              <w:textAlignment w:val="baseline"/>
              <w:rPr>
                <w:rFonts w:eastAsia="Times New Roman"/>
                <w:b/>
                <w:sz w:val="12"/>
                <w:szCs w:val="18"/>
              </w:rPr>
            </w:pPr>
            <w:r w:rsidRPr="00DF7C60">
              <w:rPr>
                <w:rFonts w:eastAsia="Times New Roman"/>
                <w:b/>
                <w:sz w:val="12"/>
                <w:szCs w:val="18"/>
              </w:rPr>
              <w:t xml:space="preserve">following line only displayed if application under section 86 of the </w:t>
            </w:r>
            <w:r w:rsidRPr="00DF7C60">
              <w:rPr>
                <w:rFonts w:eastAsia="Times New Roman"/>
                <w:b/>
                <w:i/>
                <w:sz w:val="12"/>
                <w:szCs w:val="18"/>
              </w:rPr>
              <w:t>Service and Execution of Process Act 1992</w:t>
            </w:r>
            <w:r w:rsidRPr="00DF7C60">
              <w:rPr>
                <w:rFonts w:eastAsia="Times New Roman"/>
                <w:b/>
                <w:sz w:val="12"/>
                <w:szCs w:val="18"/>
              </w:rPr>
              <w:t xml:space="preserve"> (Cth)</w:t>
            </w:r>
          </w:p>
          <w:p w14:paraId="02F362A0" w14:textId="77777777" w:rsidR="00DF7C60" w:rsidRPr="00DF7C60" w:rsidRDefault="00DF7C60" w:rsidP="00DF7C60">
            <w:pPr>
              <w:overflowPunct w:val="0"/>
              <w:autoSpaceDE w:val="0"/>
              <w:autoSpaceDN w:val="0"/>
              <w:adjustRightInd w:val="0"/>
              <w:spacing w:after="0" w:line="276" w:lineRule="auto"/>
              <w:ind w:right="57"/>
              <w:textAlignment w:val="baseline"/>
              <w:rPr>
                <w:rFonts w:eastAsia="Times New Roman"/>
                <w:sz w:val="20"/>
                <w:szCs w:val="20"/>
              </w:rPr>
            </w:pPr>
            <w:r w:rsidRPr="00DF7C60">
              <w:rPr>
                <w:rFonts w:eastAsia="Times New Roman"/>
                <w:sz w:val="20"/>
                <w:szCs w:val="20"/>
              </w:rPr>
              <w:t>Warrant issued by: [</w:t>
            </w:r>
            <w:r w:rsidRPr="00DF7C60">
              <w:rPr>
                <w:rFonts w:eastAsia="Times New Roman"/>
                <w:i/>
                <w:sz w:val="20"/>
                <w:szCs w:val="20"/>
              </w:rPr>
              <w:t>name</w:t>
            </w:r>
            <w:r w:rsidRPr="00DF7C60">
              <w:rPr>
                <w:rFonts w:eastAsia="Times New Roman"/>
                <w:sz w:val="20"/>
                <w:szCs w:val="20"/>
              </w:rPr>
              <w:t>].</w:t>
            </w:r>
          </w:p>
          <w:p w14:paraId="4E1B3B03" w14:textId="77777777" w:rsidR="00DF7C60" w:rsidRPr="00DF7C60" w:rsidRDefault="00DF7C60" w:rsidP="00DF7C60">
            <w:pPr>
              <w:overflowPunct w:val="0"/>
              <w:autoSpaceDE w:val="0"/>
              <w:autoSpaceDN w:val="0"/>
              <w:adjustRightInd w:val="0"/>
              <w:spacing w:before="240" w:after="120" w:line="276" w:lineRule="auto"/>
              <w:ind w:right="57"/>
              <w:textAlignment w:val="baseline"/>
              <w:rPr>
                <w:rFonts w:eastAsia="Times New Roman"/>
                <w:sz w:val="20"/>
                <w:szCs w:val="20"/>
              </w:rPr>
            </w:pPr>
            <w:r w:rsidRPr="00DF7C60">
              <w:rPr>
                <w:rFonts w:eastAsia="Times New Roman"/>
                <w:b/>
                <w:sz w:val="20"/>
                <w:szCs w:val="20"/>
              </w:rPr>
              <w:t>Grounds of Review</w:t>
            </w:r>
          </w:p>
          <w:p w14:paraId="05B3C65A" w14:textId="77777777" w:rsidR="00DF7C60" w:rsidRPr="00DF7C60" w:rsidRDefault="00DF7C60" w:rsidP="00DF7C60">
            <w:pPr>
              <w:overflowPunct w:val="0"/>
              <w:autoSpaceDE w:val="0"/>
              <w:autoSpaceDN w:val="0"/>
              <w:adjustRightInd w:val="0"/>
              <w:spacing w:before="120" w:after="120" w:line="276" w:lineRule="auto"/>
              <w:ind w:right="57"/>
              <w:textAlignment w:val="baseline"/>
              <w:rPr>
                <w:rFonts w:eastAsia="Times New Roman"/>
                <w:sz w:val="20"/>
                <w:szCs w:val="20"/>
              </w:rPr>
            </w:pPr>
            <w:r w:rsidRPr="00DF7C60">
              <w:rPr>
                <w:rFonts w:eastAsia="Times New Roman"/>
                <w:sz w:val="20"/>
                <w:szCs w:val="20"/>
              </w:rPr>
              <w:t>This Application is made on the grounds set out in</w:t>
            </w:r>
          </w:p>
          <w:p w14:paraId="5CCD1028" w14:textId="77777777" w:rsidR="00DF7C60" w:rsidRPr="00DF7C60" w:rsidRDefault="00DF7C60" w:rsidP="00965F17">
            <w:pPr>
              <w:numPr>
                <w:ilvl w:val="0"/>
                <w:numId w:val="26"/>
              </w:numPr>
              <w:overflowPunct w:val="0"/>
              <w:autoSpaceDE w:val="0"/>
              <w:autoSpaceDN w:val="0"/>
              <w:adjustRightInd w:val="0"/>
              <w:spacing w:before="120" w:after="120" w:line="276" w:lineRule="auto"/>
              <w:ind w:right="57"/>
              <w:contextualSpacing/>
              <w:jc w:val="left"/>
              <w:textAlignment w:val="baseline"/>
              <w:rPr>
                <w:rFonts w:eastAsia="Times New Roman"/>
                <w:sz w:val="20"/>
                <w:szCs w:val="20"/>
              </w:rPr>
            </w:pPr>
            <w:r w:rsidRPr="00DF7C60">
              <w:rPr>
                <w:rFonts w:eastAsia="Times New Roman"/>
                <w:sz w:val="20"/>
                <w:szCs w:val="20"/>
              </w:rPr>
              <w:t>the accompanying affidavit sworn by [</w:t>
            </w:r>
            <w:r w:rsidRPr="00DF7C60">
              <w:rPr>
                <w:rFonts w:eastAsia="Times New Roman"/>
                <w:i/>
                <w:sz w:val="20"/>
                <w:szCs w:val="20"/>
              </w:rPr>
              <w:t>name</w:t>
            </w:r>
            <w:r w:rsidRPr="00DF7C60">
              <w:rPr>
                <w:rFonts w:eastAsia="Times New Roman"/>
                <w:sz w:val="20"/>
                <w:szCs w:val="20"/>
              </w:rPr>
              <w:t>] on [</w:t>
            </w:r>
            <w:r w:rsidRPr="00DF7C60">
              <w:rPr>
                <w:rFonts w:eastAsia="Times New Roman"/>
                <w:i/>
                <w:sz w:val="20"/>
                <w:szCs w:val="20"/>
              </w:rPr>
              <w:t>date</w:t>
            </w:r>
            <w:r w:rsidRPr="00DF7C60">
              <w:rPr>
                <w:rFonts w:eastAsia="Times New Roman"/>
                <w:sz w:val="20"/>
                <w:szCs w:val="20"/>
              </w:rPr>
              <w:t>].</w:t>
            </w:r>
          </w:p>
          <w:p w14:paraId="41F1C7D7" w14:textId="77777777" w:rsidR="00DF7C60" w:rsidRPr="00DF7C60" w:rsidRDefault="00DF7C60" w:rsidP="00965F17">
            <w:pPr>
              <w:numPr>
                <w:ilvl w:val="0"/>
                <w:numId w:val="26"/>
              </w:numPr>
              <w:overflowPunct w:val="0"/>
              <w:autoSpaceDE w:val="0"/>
              <w:autoSpaceDN w:val="0"/>
              <w:adjustRightInd w:val="0"/>
              <w:spacing w:before="120" w:after="120" w:line="276" w:lineRule="auto"/>
              <w:ind w:right="57"/>
              <w:contextualSpacing/>
              <w:jc w:val="left"/>
              <w:textAlignment w:val="baseline"/>
              <w:rPr>
                <w:rFonts w:eastAsia="Times New Roman"/>
                <w:sz w:val="20"/>
                <w:szCs w:val="20"/>
              </w:rPr>
            </w:pPr>
            <w:r w:rsidRPr="00DF7C60">
              <w:rPr>
                <w:rFonts w:eastAsia="Times New Roman"/>
                <w:sz w:val="20"/>
                <w:szCs w:val="20"/>
              </w:rPr>
              <w:t>a supporting affidavit which will be filed as soon as practicable.</w:t>
            </w:r>
          </w:p>
        </w:tc>
      </w:tr>
    </w:tbl>
    <w:p w14:paraId="6B469C8A"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eastAsia="Times New Roman"/>
          <w:bCs/>
          <w:sz w:val="12"/>
          <w:szCs w:val="20"/>
        </w:rPr>
      </w:pPr>
      <w:r w:rsidRPr="00DF7C60">
        <w:rPr>
          <w:rFonts w:eastAsia="Times New Roman"/>
          <w:b/>
          <w:sz w:val="12"/>
          <w:szCs w:val="18"/>
        </w:rPr>
        <w:t>Following box only displayed if application is by a defendant or youth</w:t>
      </w:r>
    </w:p>
    <w:tbl>
      <w:tblPr>
        <w:tblStyle w:val="TableGrid102"/>
        <w:tblW w:w="0" w:type="auto"/>
        <w:tblLook w:val="04A0" w:firstRow="1" w:lastRow="0" w:firstColumn="1" w:lastColumn="0" w:noHBand="0" w:noVBand="1"/>
      </w:tblPr>
      <w:tblGrid>
        <w:gridCol w:w="9344"/>
      </w:tblGrid>
      <w:tr w:rsidR="00DF7C60" w:rsidRPr="00DF7C60" w14:paraId="3A9D1C39" w14:textId="77777777" w:rsidTr="0012134E">
        <w:trPr>
          <w:cantSplit/>
        </w:trPr>
        <w:tc>
          <w:tcPr>
            <w:tcW w:w="10457" w:type="dxa"/>
          </w:tcPr>
          <w:p w14:paraId="0EF052B2" w14:textId="77777777" w:rsidR="00DF7C60" w:rsidRPr="00DF7C60" w:rsidRDefault="00DF7C60" w:rsidP="00DF7C60">
            <w:pPr>
              <w:overflowPunct w:val="0"/>
              <w:autoSpaceDE w:val="0"/>
              <w:autoSpaceDN w:val="0"/>
              <w:adjustRightInd w:val="0"/>
              <w:spacing w:before="120" w:after="0" w:line="276" w:lineRule="auto"/>
              <w:textAlignment w:val="baseline"/>
              <w:rPr>
                <w:b/>
                <w:sz w:val="20"/>
                <w:szCs w:val="20"/>
              </w:rPr>
            </w:pPr>
            <w:r w:rsidRPr="00DF7C60">
              <w:rPr>
                <w:b/>
                <w:sz w:val="20"/>
                <w:szCs w:val="20"/>
              </w:rPr>
              <w:lastRenderedPageBreak/>
              <w:t>Hearing of review</w:t>
            </w:r>
          </w:p>
          <w:p w14:paraId="34A1342E" w14:textId="77777777" w:rsidR="00DF7C60" w:rsidRPr="00DF7C60" w:rsidRDefault="00DF7C60" w:rsidP="00DF7C60">
            <w:pPr>
              <w:overflowPunct w:val="0"/>
              <w:autoSpaceDE w:val="0"/>
              <w:autoSpaceDN w:val="0"/>
              <w:adjustRightInd w:val="0"/>
              <w:spacing w:before="240" w:after="120" w:line="276" w:lineRule="auto"/>
              <w:textAlignment w:val="baseline"/>
              <w:rPr>
                <w:b/>
                <w:sz w:val="20"/>
                <w:szCs w:val="20"/>
              </w:rPr>
            </w:pPr>
            <w:r w:rsidRPr="00DF7C60">
              <w:rPr>
                <w:sz w:val="20"/>
                <w:szCs w:val="20"/>
              </w:rPr>
              <w:t>The Appellant is in custody:</w:t>
            </w:r>
            <w:r w:rsidRPr="00DF7C60">
              <w:rPr>
                <w:i/>
                <w:sz w:val="20"/>
                <w:szCs w:val="20"/>
              </w:rPr>
              <w:t xml:space="preserve"> </w:t>
            </w:r>
            <w:r w:rsidRPr="00DF7C60">
              <w:rPr>
                <w:sz w:val="20"/>
                <w:szCs w:val="20"/>
              </w:rPr>
              <w:t>[</w:t>
            </w:r>
            <w:r w:rsidRPr="00DF7C60">
              <w:rPr>
                <w:i/>
                <w:sz w:val="20"/>
                <w:szCs w:val="20"/>
              </w:rPr>
              <w:t>yes/no</w:t>
            </w:r>
            <w:r w:rsidRPr="00DF7C60">
              <w:rPr>
                <w:sz w:val="20"/>
                <w:szCs w:val="20"/>
              </w:rPr>
              <w:t>]</w:t>
            </w:r>
            <w:r w:rsidRPr="00DF7C60">
              <w:rPr>
                <w:bCs/>
                <w:sz w:val="20"/>
                <w:szCs w:val="20"/>
              </w:rPr>
              <w:t>.</w:t>
            </w:r>
            <w:r w:rsidRPr="00DF7C60">
              <w:rPr>
                <w:sz w:val="12"/>
                <w:szCs w:val="12"/>
              </w:rPr>
              <w:t xml:space="preserve"> Select one</w:t>
            </w:r>
            <w:r w:rsidRPr="00DF7C60">
              <w:rPr>
                <w:i/>
                <w:sz w:val="20"/>
                <w:szCs w:val="20"/>
              </w:rPr>
              <w:t xml:space="preserve"> </w:t>
            </w:r>
          </w:p>
          <w:p w14:paraId="275BA76C" w14:textId="77777777" w:rsidR="00DF7C60" w:rsidRPr="00DF7C60" w:rsidRDefault="00DF7C60" w:rsidP="00DF7C60">
            <w:pPr>
              <w:overflowPunct w:val="0"/>
              <w:autoSpaceDE w:val="0"/>
              <w:autoSpaceDN w:val="0"/>
              <w:adjustRightInd w:val="0"/>
              <w:spacing w:before="240" w:after="240" w:line="276" w:lineRule="auto"/>
              <w:textAlignment w:val="baseline"/>
              <w:rPr>
                <w:b/>
                <w:sz w:val="12"/>
                <w:szCs w:val="18"/>
              </w:rPr>
            </w:pPr>
            <w:r w:rsidRPr="00DF7C60">
              <w:rPr>
                <w:b/>
                <w:sz w:val="12"/>
                <w:szCs w:val="18"/>
              </w:rPr>
              <w:t xml:space="preserve">Complete the following if appellant is in custody  </w:t>
            </w:r>
          </w:p>
          <w:p w14:paraId="0232A47E"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r w:rsidRPr="00DF7C60">
              <w:rPr>
                <w:sz w:val="20"/>
                <w:szCs w:val="20"/>
              </w:rPr>
              <w:t>At the hearing of the bail review, the Appellant wishes to:</w:t>
            </w:r>
          </w:p>
          <w:p w14:paraId="6BDD2979" w14:textId="77777777" w:rsidR="00DF7C60" w:rsidRPr="00DF7C60" w:rsidRDefault="00DF7C60" w:rsidP="00965F17">
            <w:pPr>
              <w:numPr>
                <w:ilvl w:val="0"/>
                <w:numId w:val="24"/>
              </w:numPr>
              <w:overflowPunct w:val="0"/>
              <w:autoSpaceDE w:val="0"/>
              <w:autoSpaceDN w:val="0"/>
              <w:adjustRightInd w:val="0"/>
              <w:spacing w:before="120" w:after="0" w:line="276" w:lineRule="auto"/>
              <w:ind w:right="57"/>
              <w:contextualSpacing/>
              <w:jc w:val="left"/>
              <w:textAlignment w:val="baseline"/>
              <w:rPr>
                <w:sz w:val="20"/>
                <w:szCs w:val="20"/>
              </w:rPr>
            </w:pPr>
            <w:r w:rsidRPr="00DF7C60">
              <w:rPr>
                <w:sz w:val="20"/>
                <w:szCs w:val="20"/>
              </w:rPr>
              <w:t>be present in person</w:t>
            </w:r>
            <w:r w:rsidRPr="00DF7C60">
              <w:rPr>
                <w:bCs/>
                <w:sz w:val="20"/>
                <w:szCs w:val="20"/>
              </w:rPr>
              <w:t>.</w:t>
            </w:r>
          </w:p>
          <w:p w14:paraId="1E8CED8A" w14:textId="77777777" w:rsidR="00DF7C60" w:rsidRPr="00DF7C60" w:rsidRDefault="00DF7C60" w:rsidP="00965F17">
            <w:pPr>
              <w:numPr>
                <w:ilvl w:val="0"/>
                <w:numId w:val="24"/>
              </w:numPr>
              <w:overflowPunct w:val="0"/>
              <w:autoSpaceDE w:val="0"/>
              <w:autoSpaceDN w:val="0"/>
              <w:adjustRightInd w:val="0"/>
              <w:spacing w:before="120" w:after="0" w:line="276" w:lineRule="auto"/>
              <w:ind w:right="57"/>
              <w:contextualSpacing/>
              <w:jc w:val="left"/>
              <w:textAlignment w:val="baseline"/>
              <w:rPr>
                <w:sz w:val="20"/>
                <w:szCs w:val="20"/>
              </w:rPr>
            </w:pPr>
            <w:r w:rsidRPr="00DF7C60">
              <w:rPr>
                <w:sz w:val="20"/>
                <w:szCs w:val="20"/>
              </w:rPr>
              <w:t>appear by audiovisual link</w:t>
            </w:r>
            <w:r w:rsidRPr="00DF7C60">
              <w:rPr>
                <w:bCs/>
                <w:sz w:val="20"/>
                <w:szCs w:val="20"/>
              </w:rPr>
              <w:t>.</w:t>
            </w:r>
          </w:p>
          <w:p w14:paraId="1F8184CD" w14:textId="77777777" w:rsidR="00DF7C60" w:rsidRPr="00DF7C60" w:rsidRDefault="00DF7C60" w:rsidP="00965F17">
            <w:pPr>
              <w:numPr>
                <w:ilvl w:val="0"/>
                <w:numId w:val="24"/>
              </w:numPr>
              <w:overflowPunct w:val="0"/>
              <w:autoSpaceDE w:val="0"/>
              <w:autoSpaceDN w:val="0"/>
              <w:adjustRightInd w:val="0"/>
              <w:spacing w:after="240" w:line="276" w:lineRule="auto"/>
              <w:ind w:right="57"/>
              <w:contextualSpacing/>
              <w:jc w:val="left"/>
              <w:textAlignment w:val="baseline"/>
              <w:rPr>
                <w:sz w:val="20"/>
                <w:szCs w:val="20"/>
              </w:rPr>
            </w:pPr>
            <w:r w:rsidRPr="00DF7C60">
              <w:rPr>
                <w:sz w:val="20"/>
                <w:szCs w:val="20"/>
              </w:rPr>
              <w:t>not appear</w:t>
            </w:r>
            <w:r w:rsidRPr="00DF7C60">
              <w:rPr>
                <w:bCs/>
                <w:sz w:val="20"/>
                <w:szCs w:val="20"/>
              </w:rPr>
              <w:t>.</w:t>
            </w:r>
          </w:p>
          <w:p w14:paraId="46D072C1" w14:textId="77777777" w:rsidR="00DF7C60" w:rsidRPr="00DF7C60" w:rsidRDefault="00DF7C60" w:rsidP="00DF7C60">
            <w:pPr>
              <w:overflowPunct w:val="0"/>
              <w:autoSpaceDE w:val="0"/>
              <w:autoSpaceDN w:val="0"/>
              <w:adjustRightInd w:val="0"/>
              <w:spacing w:after="240" w:line="276" w:lineRule="auto"/>
              <w:textAlignment w:val="baseline"/>
              <w:rPr>
                <w:b/>
                <w:sz w:val="20"/>
                <w:szCs w:val="20"/>
              </w:rPr>
            </w:pPr>
            <w:r w:rsidRPr="00DF7C60">
              <w:rPr>
                <w:sz w:val="20"/>
                <w:szCs w:val="20"/>
              </w:rPr>
              <w:t>Reasons why Appellant wishes to be present in person:</w:t>
            </w:r>
            <w:r w:rsidRPr="00DF7C60">
              <w:rPr>
                <w:b/>
                <w:sz w:val="20"/>
                <w:szCs w:val="20"/>
              </w:rPr>
              <w:t xml:space="preserve"> </w:t>
            </w:r>
            <w:r w:rsidRPr="00DF7C60">
              <w:rPr>
                <w:sz w:val="20"/>
                <w:szCs w:val="20"/>
              </w:rPr>
              <w:t>[</w:t>
            </w:r>
            <w:r w:rsidRPr="00DF7C60">
              <w:rPr>
                <w:i/>
                <w:sz w:val="20"/>
                <w:szCs w:val="20"/>
              </w:rPr>
              <w:t>reasons</w:t>
            </w:r>
            <w:r w:rsidRPr="00DF7C60">
              <w:rPr>
                <w:sz w:val="20"/>
                <w:szCs w:val="20"/>
              </w:rPr>
              <w:t>]</w:t>
            </w:r>
            <w:r w:rsidRPr="00DF7C60">
              <w:rPr>
                <w:bCs/>
                <w:sz w:val="20"/>
                <w:szCs w:val="20"/>
              </w:rPr>
              <w:t>.</w:t>
            </w:r>
            <w:r w:rsidRPr="00DF7C60">
              <w:rPr>
                <w:b/>
                <w:sz w:val="20"/>
                <w:szCs w:val="20"/>
              </w:rPr>
              <w:t xml:space="preserve"> </w:t>
            </w:r>
            <w:r w:rsidRPr="00DF7C60">
              <w:rPr>
                <w:b/>
                <w:sz w:val="12"/>
                <w:szCs w:val="18"/>
              </w:rPr>
              <w:t>audiovisual link is the usual form of appearance at a hearing of a bail review for persons in custody. Special reasons need to be given for the Court to direct personal attendance</w:t>
            </w:r>
          </w:p>
          <w:p w14:paraId="45CF3E7D" w14:textId="77777777" w:rsidR="00DF7C60" w:rsidRPr="00DF7C60" w:rsidRDefault="00DF7C60" w:rsidP="00DF7C60">
            <w:pPr>
              <w:overflowPunct w:val="0"/>
              <w:autoSpaceDE w:val="0"/>
              <w:autoSpaceDN w:val="0"/>
              <w:adjustRightInd w:val="0"/>
              <w:spacing w:after="120" w:line="276" w:lineRule="auto"/>
              <w:textAlignment w:val="baseline"/>
              <w:rPr>
                <w:b/>
                <w:sz w:val="20"/>
                <w:szCs w:val="20"/>
              </w:rPr>
            </w:pPr>
          </w:p>
        </w:tc>
      </w:tr>
    </w:tbl>
    <w:p w14:paraId="3850963E" w14:textId="77777777" w:rsidR="00DF7C60" w:rsidRPr="00DF7C60" w:rsidRDefault="00DF7C60" w:rsidP="00DF7C60">
      <w:pPr>
        <w:overflowPunct w:val="0"/>
        <w:autoSpaceDE w:val="0"/>
        <w:autoSpaceDN w:val="0"/>
        <w:adjustRightInd w:val="0"/>
        <w:spacing w:before="240" w:after="0" w:line="276" w:lineRule="auto"/>
        <w:jc w:val="left"/>
        <w:textAlignment w:val="baseline"/>
        <w:rPr>
          <w:rFonts w:eastAsia="Times New Roman"/>
          <w:b/>
          <w:sz w:val="12"/>
          <w:szCs w:val="18"/>
        </w:rPr>
      </w:pPr>
    </w:p>
    <w:tbl>
      <w:tblPr>
        <w:tblStyle w:val="TableGrid102"/>
        <w:tblW w:w="0" w:type="auto"/>
        <w:tblBorders>
          <w:insideH w:val="none" w:sz="0" w:space="0" w:color="auto"/>
          <w:insideV w:val="none" w:sz="0" w:space="0" w:color="auto"/>
        </w:tblBorders>
        <w:tblLook w:val="04A0" w:firstRow="1" w:lastRow="0" w:firstColumn="1" w:lastColumn="0" w:noHBand="0" w:noVBand="1"/>
      </w:tblPr>
      <w:tblGrid>
        <w:gridCol w:w="9344"/>
      </w:tblGrid>
      <w:tr w:rsidR="00DF7C60" w:rsidRPr="00DF7C60" w14:paraId="1F7BB8C3" w14:textId="77777777" w:rsidTr="0012134E">
        <w:trPr>
          <w:trHeight w:val="139"/>
        </w:trPr>
        <w:tc>
          <w:tcPr>
            <w:tcW w:w="10457" w:type="dxa"/>
          </w:tcPr>
          <w:p w14:paraId="06A092B5" w14:textId="77777777" w:rsidR="00DF7C60" w:rsidRPr="00DF7C60" w:rsidRDefault="00DF7C60" w:rsidP="00DF7C60">
            <w:pPr>
              <w:spacing w:before="120" w:after="0" w:line="276" w:lineRule="auto"/>
              <w:ind w:right="142"/>
              <w:rPr>
                <w:b/>
                <w:sz w:val="20"/>
                <w:szCs w:val="20"/>
              </w:rPr>
            </w:pPr>
            <w:r w:rsidRPr="00DF7C60">
              <w:rPr>
                <w:b/>
                <w:sz w:val="20"/>
                <w:szCs w:val="20"/>
              </w:rPr>
              <w:t>Accompanying documents</w:t>
            </w:r>
          </w:p>
          <w:p w14:paraId="5928D67C" w14:textId="77777777" w:rsidR="00DF7C60" w:rsidRPr="00DF7C60" w:rsidRDefault="00DF7C60" w:rsidP="00DF7C60">
            <w:pPr>
              <w:overflowPunct w:val="0"/>
              <w:autoSpaceDE w:val="0"/>
              <w:autoSpaceDN w:val="0"/>
              <w:adjustRightInd w:val="0"/>
              <w:spacing w:before="120" w:after="0" w:line="276" w:lineRule="auto"/>
              <w:ind w:right="142"/>
              <w:textAlignment w:val="baseline"/>
              <w:rPr>
                <w:sz w:val="20"/>
                <w:szCs w:val="20"/>
              </w:rPr>
            </w:pPr>
            <w:r w:rsidRPr="00DF7C60">
              <w:rPr>
                <w:sz w:val="20"/>
                <w:szCs w:val="20"/>
              </w:rPr>
              <w:t>Accompanying this Application is a:</w:t>
            </w:r>
          </w:p>
          <w:p w14:paraId="0EB93DC0" w14:textId="77777777" w:rsidR="00DF7C60" w:rsidRPr="00DF7C60" w:rsidRDefault="00DF7C60" w:rsidP="00965F17">
            <w:pPr>
              <w:numPr>
                <w:ilvl w:val="0"/>
                <w:numId w:val="23"/>
              </w:numPr>
              <w:overflowPunct w:val="0"/>
              <w:autoSpaceDE w:val="0"/>
              <w:autoSpaceDN w:val="0"/>
              <w:adjustRightInd w:val="0"/>
              <w:spacing w:after="0" w:line="276" w:lineRule="auto"/>
              <w:ind w:right="141"/>
              <w:contextualSpacing/>
              <w:jc w:val="left"/>
              <w:textAlignment w:val="baseline"/>
              <w:rPr>
                <w:sz w:val="20"/>
                <w:szCs w:val="20"/>
              </w:rPr>
            </w:pPr>
            <w:r w:rsidRPr="00DF7C60">
              <w:rPr>
                <w:sz w:val="20"/>
                <w:szCs w:val="20"/>
              </w:rPr>
              <w:t xml:space="preserve">Supporting Affidavit </w:t>
            </w:r>
            <w:r w:rsidRPr="00DF7C60">
              <w:rPr>
                <w:b/>
                <w:sz w:val="12"/>
                <w:szCs w:val="18"/>
              </w:rPr>
              <w:t>mandatory unless urgency requires filing the application without a supporting affidavit in which event one must be filed as soon as practicable</w:t>
            </w:r>
          </w:p>
          <w:p w14:paraId="73829509" w14:textId="77777777" w:rsidR="00DF7C60" w:rsidRPr="00DF7C60" w:rsidRDefault="00DF7C60" w:rsidP="00965F17">
            <w:pPr>
              <w:numPr>
                <w:ilvl w:val="0"/>
                <w:numId w:val="23"/>
              </w:numPr>
              <w:overflowPunct w:val="0"/>
              <w:autoSpaceDE w:val="0"/>
              <w:autoSpaceDN w:val="0"/>
              <w:adjustRightInd w:val="0"/>
              <w:spacing w:after="0" w:line="276" w:lineRule="auto"/>
              <w:ind w:right="141"/>
              <w:contextualSpacing/>
              <w:jc w:val="left"/>
              <w:textAlignment w:val="baseline"/>
              <w:rPr>
                <w:sz w:val="20"/>
                <w:szCs w:val="20"/>
              </w:rPr>
            </w:pPr>
            <w:r w:rsidRPr="00DF7C60">
              <w:rPr>
                <w:sz w:val="20"/>
                <w:szCs w:val="20"/>
              </w:rPr>
              <w:t xml:space="preserve">Information containing charges subject of bail decision </w:t>
            </w:r>
            <w:r w:rsidRPr="00DF7C60">
              <w:rPr>
                <w:b/>
                <w:sz w:val="12"/>
                <w:szCs w:val="18"/>
              </w:rPr>
              <w:t>exhibited to supporting affidavit</w:t>
            </w:r>
          </w:p>
          <w:p w14:paraId="739C7380" w14:textId="77777777" w:rsidR="00DF7C60" w:rsidRPr="00DF7C60" w:rsidRDefault="00DF7C60" w:rsidP="00965F17">
            <w:pPr>
              <w:numPr>
                <w:ilvl w:val="0"/>
                <w:numId w:val="23"/>
              </w:numPr>
              <w:overflowPunct w:val="0"/>
              <w:autoSpaceDE w:val="0"/>
              <w:autoSpaceDN w:val="0"/>
              <w:adjustRightInd w:val="0"/>
              <w:spacing w:after="0" w:line="276" w:lineRule="auto"/>
              <w:ind w:right="141"/>
              <w:contextualSpacing/>
              <w:jc w:val="left"/>
              <w:textAlignment w:val="baseline"/>
              <w:rPr>
                <w:sz w:val="20"/>
                <w:szCs w:val="20"/>
              </w:rPr>
            </w:pPr>
            <w:r w:rsidRPr="00DF7C60">
              <w:rPr>
                <w:sz w:val="20"/>
                <w:szCs w:val="20"/>
              </w:rPr>
              <w:t xml:space="preserve">Record of reasons of bail authority </w:t>
            </w:r>
            <w:r w:rsidRPr="00DF7C60">
              <w:rPr>
                <w:b/>
                <w:sz w:val="12"/>
                <w:szCs w:val="18"/>
              </w:rPr>
              <w:t>exhibited to supporting affidavit</w:t>
            </w:r>
          </w:p>
          <w:p w14:paraId="5407F1CE" w14:textId="77777777" w:rsidR="00DF7C60" w:rsidRPr="00DF7C60" w:rsidRDefault="00DF7C60" w:rsidP="00965F17">
            <w:pPr>
              <w:numPr>
                <w:ilvl w:val="0"/>
                <w:numId w:val="23"/>
              </w:numPr>
              <w:overflowPunct w:val="0"/>
              <w:autoSpaceDE w:val="0"/>
              <w:autoSpaceDN w:val="0"/>
              <w:adjustRightInd w:val="0"/>
              <w:spacing w:after="120" w:line="276" w:lineRule="auto"/>
              <w:ind w:right="142"/>
              <w:contextualSpacing/>
              <w:jc w:val="left"/>
              <w:textAlignment w:val="baseline"/>
              <w:rPr>
                <w:color w:val="000000"/>
                <w:sz w:val="20"/>
                <w:szCs w:val="20"/>
              </w:rPr>
            </w:pPr>
            <w:r w:rsidRPr="00DF7C60">
              <w:rPr>
                <w:color w:val="000000"/>
                <w:sz w:val="20"/>
                <w:szCs w:val="20"/>
              </w:rPr>
              <w:t>If other additional document(s) please list them below:</w:t>
            </w:r>
          </w:p>
          <w:p w14:paraId="4FD452DD" w14:textId="77777777" w:rsidR="00DF7C60" w:rsidRPr="00DF7C60" w:rsidRDefault="00DF7C60" w:rsidP="00DF7C60">
            <w:pPr>
              <w:overflowPunct w:val="0"/>
              <w:autoSpaceDE w:val="0"/>
              <w:autoSpaceDN w:val="0"/>
              <w:adjustRightInd w:val="0"/>
              <w:spacing w:after="120" w:line="276" w:lineRule="auto"/>
              <w:ind w:right="142"/>
              <w:textAlignment w:val="baseline"/>
              <w:rPr>
                <w:b/>
                <w:sz w:val="20"/>
                <w:szCs w:val="20"/>
              </w:rPr>
            </w:pPr>
          </w:p>
        </w:tc>
      </w:tr>
    </w:tbl>
    <w:p w14:paraId="686BC776"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eastAsia="Times New Roman"/>
          <w:bCs/>
          <w:sz w:val="12"/>
          <w:szCs w:val="20"/>
        </w:rPr>
      </w:pPr>
    </w:p>
    <w:tbl>
      <w:tblPr>
        <w:tblStyle w:val="TableGrid102"/>
        <w:tblW w:w="0" w:type="auto"/>
        <w:tblLook w:val="04A0" w:firstRow="1" w:lastRow="0" w:firstColumn="1" w:lastColumn="0" w:noHBand="0" w:noVBand="1"/>
      </w:tblPr>
      <w:tblGrid>
        <w:gridCol w:w="9344"/>
      </w:tblGrid>
      <w:tr w:rsidR="00DF7C60" w:rsidRPr="00DF7C60" w14:paraId="1D4F8154" w14:textId="77777777" w:rsidTr="0012134E">
        <w:tc>
          <w:tcPr>
            <w:tcW w:w="10457" w:type="dxa"/>
          </w:tcPr>
          <w:p w14:paraId="09CFE3AB" w14:textId="77777777" w:rsidR="00DF7C60" w:rsidRPr="00DF7C60" w:rsidRDefault="00DF7C60" w:rsidP="00DF7C60">
            <w:pPr>
              <w:overflowPunct w:val="0"/>
              <w:autoSpaceDE w:val="0"/>
              <w:autoSpaceDN w:val="0"/>
              <w:adjustRightInd w:val="0"/>
              <w:spacing w:before="120" w:after="240" w:line="276" w:lineRule="auto"/>
              <w:jc w:val="left"/>
              <w:textAlignment w:val="baseline"/>
              <w:rPr>
                <w:b/>
                <w:sz w:val="20"/>
                <w:szCs w:val="20"/>
              </w:rPr>
            </w:pPr>
            <w:r w:rsidRPr="00DF7C60">
              <w:rPr>
                <w:b/>
                <w:sz w:val="20"/>
                <w:szCs w:val="20"/>
              </w:rPr>
              <w:t>To the Parties: WARNING</w:t>
            </w:r>
          </w:p>
          <w:p w14:paraId="075DDCE2" w14:textId="77777777" w:rsidR="00DF7C60" w:rsidRPr="00DF7C60" w:rsidRDefault="00DF7C60" w:rsidP="00DF7C60">
            <w:pPr>
              <w:overflowPunct w:val="0"/>
              <w:autoSpaceDE w:val="0"/>
              <w:autoSpaceDN w:val="0"/>
              <w:adjustRightInd w:val="0"/>
              <w:spacing w:after="120" w:line="276" w:lineRule="auto"/>
              <w:jc w:val="left"/>
              <w:textAlignment w:val="baseline"/>
              <w:rPr>
                <w:sz w:val="20"/>
                <w:szCs w:val="20"/>
              </w:rPr>
            </w:pPr>
            <w:r w:rsidRPr="00DF7C60">
              <w:rPr>
                <w:sz w:val="20"/>
                <w:szCs w:val="20"/>
              </w:rPr>
              <w:t xml:space="preserve">This Application will be considered at the hearing at the date and time set out at the top of this document. </w:t>
            </w:r>
          </w:p>
          <w:p w14:paraId="36EF81B3" w14:textId="77777777" w:rsidR="00DF7C60" w:rsidRPr="00DF7C60" w:rsidRDefault="00DF7C60" w:rsidP="00DF7C60">
            <w:pPr>
              <w:overflowPunct w:val="0"/>
              <w:autoSpaceDE w:val="0"/>
              <w:autoSpaceDN w:val="0"/>
              <w:adjustRightInd w:val="0"/>
              <w:spacing w:after="120" w:line="276" w:lineRule="auto"/>
              <w:jc w:val="left"/>
              <w:textAlignment w:val="baseline"/>
              <w:rPr>
                <w:b/>
                <w:sz w:val="20"/>
                <w:szCs w:val="20"/>
              </w:rPr>
            </w:pPr>
            <w:r w:rsidRPr="00DF7C60">
              <w:rPr>
                <w:sz w:val="20"/>
                <w:szCs w:val="20"/>
              </w:rPr>
              <w:t xml:space="preserve">You </w:t>
            </w:r>
            <w:r w:rsidRPr="00DF7C60">
              <w:rPr>
                <w:b/>
                <w:sz w:val="20"/>
                <w:szCs w:val="20"/>
              </w:rPr>
              <w:t>must</w:t>
            </w:r>
            <w:r w:rsidRPr="00DF7C60">
              <w:rPr>
                <w:sz w:val="20"/>
                <w:szCs w:val="20"/>
              </w:rPr>
              <w:t xml:space="preserve"> attend the hearing. If you do not do so, the Court may </w:t>
            </w:r>
            <w:r w:rsidRPr="00DF7C60">
              <w:rPr>
                <w:sz w:val="20"/>
              </w:rPr>
              <w:t>proceed in your absence</w:t>
            </w:r>
            <w:r w:rsidRPr="00DF7C60">
              <w:rPr>
                <w:sz w:val="20"/>
                <w:szCs w:val="20"/>
              </w:rPr>
              <w:t xml:space="preserve"> and orders may be made </w:t>
            </w:r>
            <w:r w:rsidRPr="00DF7C60">
              <w:rPr>
                <w:b/>
                <w:sz w:val="20"/>
                <w:szCs w:val="20"/>
              </w:rPr>
              <w:t>finally determining</w:t>
            </w:r>
            <w:r w:rsidRPr="00DF7C60">
              <w:rPr>
                <w:sz w:val="20"/>
                <w:szCs w:val="20"/>
              </w:rPr>
              <w:t xml:space="preserve"> this proceeding without further warning.  </w:t>
            </w:r>
          </w:p>
        </w:tc>
      </w:tr>
    </w:tbl>
    <w:p w14:paraId="0E212A11"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eastAsia="Times New Roman"/>
          <w:bCs/>
          <w:sz w:val="12"/>
          <w:szCs w:val="20"/>
        </w:rPr>
      </w:pPr>
    </w:p>
    <w:tbl>
      <w:tblPr>
        <w:tblStyle w:val="TableGrid102"/>
        <w:tblW w:w="0" w:type="auto"/>
        <w:tblLook w:val="04A0" w:firstRow="1" w:lastRow="0" w:firstColumn="1" w:lastColumn="0" w:noHBand="0" w:noVBand="1"/>
      </w:tblPr>
      <w:tblGrid>
        <w:gridCol w:w="9344"/>
      </w:tblGrid>
      <w:tr w:rsidR="00DF7C60" w:rsidRPr="00DF7C60" w14:paraId="15DC46E1" w14:textId="77777777" w:rsidTr="0012134E">
        <w:tc>
          <w:tcPr>
            <w:tcW w:w="10457" w:type="dxa"/>
          </w:tcPr>
          <w:p w14:paraId="29578AA5" w14:textId="77777777" w:rsidR="00DF7C60" w:rsidRPr="00DF7C60" w:rsidRDefault="00DF7C60" w:rsidP="00DF7C60">
            <w:pPr>
              <w:overflowPunct w:val="0"/>
              <w:autoSpaceDE w:val="0"/>
              <w:autoSpaceDN w:val="0"/>
              <w:adjustRightInd w:val="0"/>
              <w:spacing w:before="120" w:after="240" w:line="276" w:lineRule="auto"/>
              <w:jc w:val="left"/>
              <w:textAlignment w:val="baseline"/>
              <w:rPr>
                <w:b/>
                <w:sz w:val="20"/>
                <w:szCs w:val="20"/>
              </w:rPr>
            </w:pPr>
            <w:r w:rsidRPr="00DF7C60">
              <w:rPr>
                <w:b/>
                <w:sz w:val="20"/>
                <w:szCs w:val="20"/>
              </w:rPr>
              <w:t>Service</w:t>
            </w:r>
          </w:p>
          <w:p w14:paraId="1E6EA5D3" w14:textId="77777777" w:rsidR="00DF7C60" w:rsidRPr="00DF7C60" w:rsidRDefault="00DF7C60" w:rsidP="00DF7C60">
            <w:pPr>
              <w:overflowPunct w:val="0"/>
              <w:autoSpaceDE w:val="0"/>
              <w:autoSpaceDN w:val="0"/>
              <w:adjustRightInd w:val="0"/>
              <w:spacing w:after="120" w:line="276" w:lineRule="auto"/>
              <w:ind w:left="28"/>
              <w:textAlignment w:val="baseline"/>
              <w:rPr>
                <w:color w:val="000000"/>
                <w:sz w:val="20"/>
                <w:szCs w:val="20"/>
              </w:rPr>
            </w:pPr>
            <w:r w:rsidRPr="00DF7C60">
              <w:rPr>
                <w:color w:val="000000"/>
                <w:sz w:val="20"/>
                <w:szCs w:val="20"/>
              </w:rPr>
              <w:t xml:space="preserve">The party filing this </w:t>
            </w:r>
            <w:r w:rsidRPr="00DF7C60">
              <w:rPr>
                <w:sz w:val="20"/>
                <w:szCs w:val="20"/>
              </w:rPr>
              <w:t>document is required to serve it on all other parties in accordance with the Rules of Court.</w:t>
            </w:r>
          </w:p>
        </w:tc>
      </w:tr>
    </w:tbl>
    <w:p w14:paraId="3E97D432" w14:textId="77777777" w:rsidR="00DF7C60" w:rsidRPr="00DF7C60" w:rsidRDefault="00DF7C60" w:rsidP="00DF7C60">
      <w:pPr>
        <w:spacing w:after="0" w:line="360" w:lineRule="auto"/>
        <w:rPr>
          <w:sz w:val="24"/>
          <w:szCs w:val="24"/>
        </w:rPr>
      </w:pPr>
    </w:p>
    <w:p w14:paraId="61B44D51" w14:textId="77777777" w:rsidR="00DF7C60" w:rsidRPr="00DF7C60" w:rsidRDefault="00DF7C60" w:rsidP="00965F17">
      <w:pPr>
        <w:numPr>
          <w:ilvl w:val="0"/>
          <w:numId w:val="15"/>
        </w:numPr>
        <w:spacing w:after="0" w:line="360" w:lineRule="auto"/>
        <w:ind w:left="851" w:hanging="758"/>
        <w:jc w:val="left"/>
        <w:rPr>
          <w:szCs w:val="17"/>
        </w:rPr>
      </w:pPr>
      <w:r w:rsidRPr="00DF7C60">
        <w:rPr>
          <w:szCs w:val="17"/>
        </w:rPr>
        <w:t>In Schedule 2, Form 173– Record of Outcome is deleted and substituted as follows:</w:t>
      </w:r>
    </w:p>
    <w:p w14:paraId="5D06FD62"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Cs w:val="17"/>
          <w:lang w:val="en-US"/>
        </w:rPr>
      </w:pPr>
      <w:r w:rsidRPr="00DF7C60">
        <w:rPr>
          <w:rFonts w:eastAsia="Times New Roman"/>
          <w:szCs w:val="17"/>
          <w:lang w:val="en-US"/>
        </w:rPr>
        <w:t>Form 173</w:t>
      </w:r>
    </w:p>
    <w:p w14:paraId="70337416"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Cs w:val="17"/>
          <w:lang w:val="en-US"/>
        </w:rPr>
      </w:pPr>
    </w:p>
    <w:tbl>
      <w:tblPr>
        <w:tblStyle w:val="TableGrid37"/>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DF7C60" w:rsidRPr="00DF7C60" w14:paraId="2048A445" w14:textId="77777777" w:rsidTr="0012134E">
        <w:tc>
          <w:tcPr>
            <w:tcW w:w="3899" w:type="pct"/>
            <w:tcBorders>
              <w:top w:val="single" w:sz="4" w:space="0" w:color="auto"/>
            </w:tcBorders>
          </w:tcPr>
          <w:p w14:paraId="00F967E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t>To be inserted by Court</w:t>
            </w:r>
          </w:p>
        </w:tc>
        <w:tc>
          <w:tcPr>
            <w:tcW w:w="1101" w:type="pct"/>
            <w:tcBorders>
              <w:top w:val="single" w:sz="4" w:space="0" w:color="auto"/>
            </w:tcBorders>
          </w:tcPr>
          <w:p w14:paraId="7B12EE3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0BBBB573" w14:textId="77777777" w:rsidTr="0012134E">
        <w:trPr>
          <w:trHeight w:val="1148"/>
        </w:trPr>
        <w:tc>
          <w:tcPr>
            <w:tcW w:w="3899" w:type="pct"/>
            <w:tcBorders>
              <w:bottom w:val="single" w:sz="2" w:space="0" w:color="auto"/>
            </w:tcBorders>
          </w:tcPr>
          <w:p w14:paraId="1DD2C19C"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395A4FA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58AE3BD7"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2F3A8B3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Signed:</w:t>
            </w:r>
          </w:p>
          <w:p w14:paraId="73FB63DE"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0E331FE8"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5A5BBC4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C51F39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3EF9AF0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bl>
    <w:p w14:paraId="3B478CBC" w14:textId="77777777" w:rsidR="00DF7C60" w:rsidRPr="00DF7C60" w:rsidRDefault="00DF7C60" w:rsidP="00DF7C60">
      <w:pPr>
        <w:spacing w:after="0" w:line="240" w:lineRule="auto"/>
        <w:jc w:val="left"/>
        <w:rPr>
          <w:rFonts w:eastAsia="Times New Roman"/>
          <w:b/>
          <w:bCs/>
          <w:sz w:val="28"/>
          <w:szCs w:val="20"/>
        </w:rPr>
      </w:pPr>
      <w:r w:rsidRPr="00DF7C60">
        <w:rPr>
          <w:rFonts w:eastAsia="Times New Roman"/>
          <w:b/>
          <w:bCs/>
          <w:sz w:val="28"/>
          <w:szCs w:val="20"/>
        </w:rPr>
        <w:br w:type="page"/>
      </w:r>
    </w:p>
    <w:p w14:paraId="42EEE84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eastAsia="Times New Roman"/>
          <w:b/>
          <w:bCs/>
          <w:sz w:val="28"/>
          <w:szCs w:val="20"/>
        </w:rPr>
      </w:pPr>
      <w:r w:rsidRPr="00DF7C60">
        <w:rPr>
          <w:rFonts w:eastAsia="Times New Roman"/>
          <w:b/>
          <w:bCs/>
          <w:sz w:val="28"/>
          <w:szCs w:val="20"/>
        </w:rPr>
        <w:lastRenderedPageBreak/>
        <w:t>RECORD OF OUTCOME</w:t>
      </w:r>
    </w:p>
    <w:p w14:paraId="6251DFC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eastAsia="Times New Roman"/>
          <w:b/>
          <w:bCs/>
          <w:sz w:val="22"/>
          <w:szCs w:val="20"/>
        </w:rPr>
      </w:pPr>
    </w:p>
    <w:p w14:paraId="7A02DC63"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Cs/>
          <w:sz w:val="20"/>
          <w:szCs w:val="20"/>
        </w:rPr>
      </w:pPr>
      <w:r w:rsidRPr="00DF7C60">
        <w:rPr>
          <w:rFonts w:eastAsia="Times New Roman"/>
          <w:iCs/>
          <w:sz w:val="20"/>
          <w:szCs w:val="20"/>
        </w:rPr>
        <w:t>[</w:t>
      </w:r>
      <w:r w:rsidRPr="00DF7C60">
        <w:rPr>
          <w:rFonts w:eastAsia="Times New Roman"/>
          <w:i/>
          <w:iCs/>
          <w:sz w:val="20"/>
          <w:szCs w:val="20"/>
        </w:rPr>
        <w:t>SUPREME/DISTRICT/MAGISTRATES/YOUTH/ENVIRONMENT RESOURCES AND DEVELOPMENT</w:t>
      </w:r>
      <w:r w:rsidRPr="00DF7C60">
        <w:rPr>
          <w:rFonts w:eastAsia="Times New Roman"/>
          <w:iCs/>
          <w:sz w:val="20"/>
          <w:szCs w:val="20"/>
        </w:rPr>
        <w:t xml:space="preserve">] </w:t>
      </w:r>
      <w:r w:rsidRPr="00DF7C60">
        <w:rPr>
          <w:rFonts w:eastAsia="Times New Roman"/>
          <w:b/>
          <w:sz w:val="12"/>
          <w:szCs w:val="20"/>
        </w:rPr>
        <w:t xml:space="preserve">Select one </w:t>
      </w:r>
      <w:r w:rsidRPr="00DF7C60">
        <w:rPr>
          <w:rFonts w:eastAsia="Times New Roman"/>
          <w:iCs/>
          <w:sz w:val="20"/>
          <w:szCs w:val="20"/>
        </w:rPr>
        <w:t xml:space="preserve">COURT </w:t>
      </w:r>
      <w:r w:rsidRPr="00DF7C60">
        <w:rPr>
          <w:rFonts w:eastAsia="Times New Roman"/>
          <w:bCs/>
          <w:sz w:val="20"/>
          <w:szCs w:val="20"/>
        </w:rPr>
        <w:t xml:space="preserve">OF SOUTH AUSTRALIA </w:t>
      </w:r>
    </w:p>
    <w:p w14:paraId="5ACDAEE9"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iCs/>
          <w:sz w:val="20"/>
          <w:szCs w:val="20"/>
        </w:rPr>
      </w:pPr>
      <w:r w:rsidRPr="00DF7C60">
        <w:rPr>
          <w:rFonts w:eastAsia="Times New Roman"/>
          <w:iCs/>
          <w:sz w:val="20"/>
          <w:szCs w:val="20"/>
        </w:rPr>
        <w:t>CRIMINAL JURISDICTION</w:t>
      </w:r>
    </w:p>
    <w:p w14:paraId="1FBBFEAF"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
          <w:bCs/>
          <w:sz w:val="12"/>
          <w:szCs w:val="12"/>
        </w:rPr>
      </w:pPr>
      <w:r w:rsidRPr="00DF7C60">
        <w:rPr>
          <w:rFonts w:eastAsia="Times New Roman"/>
          <w:b/>
          <w:bCs/>
          <w:sz w:val="20"/>
          <w:szCs w:val="20"/>
        </w:rPr>
        <w:t>[</w:t>
      </w:r>
      <w:r w:rsidRPr="00DF7C60">
        <w:rPr>
          <w:rFonts w:eastAsia="Times New Roman"/>
          <w:b/>
          <w:bCs/>
          <w:i/>
          <w:sz w:val="20"/>
          <w:szCs w:val="20"/>
        </w:rPr>
        <w:t>FULL NAME</w:t>
      </w:r>
      <w:r w:rsidRPr="00DF7C60">
        <w:rPr>
          <w:rFonts w:eastAsia="Times New Roman"/>
          <w:b/>
          <w:bCs/>
          <w:sz w:val="20"/>
          <w:szCs w:val="20"/>
        </w:rPr>
        <w:t>]</w:t>
      </w:r>
    </w:p>
    <w:p w14:paraId="0A26317B"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b/>
          <w:bCs/>
          <w:i/>
          <w:iCs/>
          <w:sz w:val="20"/>
          <w:szCs w:val="20"/>
        </w:rPr>
      </w:pPr>
      <w:r w:rsidRPr="00DF7C60">
        <w:rPr>
          <w:rFonts w:eastAsia="Times New Roman"/>
          <w:b/>
          <w:bCs/>
          <w:sz w:val="20"/>
          <w:szCs w:val="20"/>
        </w:rPr>
        <w:t>Informant/Applicant</w:t>
      </w:r>
    </w:p>
    <w:p w14:paraId="7644EE1B"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b/>
          <w:bCs/>
          <w:sz w:val="20"/>
          <w:szCs w:val="20"/>
        </w:rPr>
      </w:pPr>
      <w:r w:rsidRPr="00DF7C60">
        <w:rPr>
          <w:rFonts w:eastAsia="Times New Roman"/>
          <w:b/>
          <w:bCs/>
          <w:sz w:val="20"/>
          <w:szCs w:val="20"/>
        </w:rPr>
        <w:t>v</w:t>
      </w:r>
    </w:p>
    <w:p w14:paraId="4D6F8B60"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eastAsia="Times New Roman"/>
          <w:b/>
          <w:sz w:val="20"/>
          <w:szCs w:val="20"/>
        </w:rPr>
      </w:pPr>
      <w:r w:rsidRPr="00DF7C60">
        <w:rPr>
          <w:rFonts w:eastAsia="Times New Roman"/>
          <w:b/>
          <w:sz w:val="20"/>
          <w:szCs w:val="20"/>
        </w:rPr>
        <w:t>[</w:t>
      </w:r>
      <w:r w:rsidRPr="00DF7C60">
        <w:rPr>
          <w:rFonts w:eastAsia="Times New Roman"/>
          <w:b/>
          <w:i/>
          <w:sz w:val="20"/>
          <w:szCs w:val="20"/>
        </w:rPr>
        <w:t xml:space="preserve">FULL </w:t>
      </w:r>
      <w:r w:rsidRPr="00DF7C60">
        <w:rPr>
          <w:rFonts w:eastAsia="Times New Roman"/>
          <w:b/>
          <w:i/>
          <w:iCs/>
          <w:sz w:val="20"/>
          <w:szCs w:val="20"/>
        </w:rPr>
        <w:t>NAME</w:t>
      </w:r>
      <w:r w:rsidRPr="00DF7C60">
        <w:rPr>
          <w:rFonts w:eastAsia="Times New Roman"/>
          <w:b/>
          <w:sz w:val="20"/>
          <w:szCs w:val="20"/>
        </w:rPr>
        <w:t>]</w:t>
      </w:r>
    </w:p>
    <w:p w14:paraId="4B42CE9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720" w:line="240" w:lineRule="auto"/>
        <w:textAlignment w:val="baseline"/>
        <w:rPr>
          <w:rFonts w:eastAsia="Times New Roman"/>
          <w:b/>
          <w:bCs/>
          <w:sz w:val="20"/>
          <w:szCs w:val="20"/>
        </w:rPr>
      </w:pPr>
      <w:r w:rsidRPr="00DF7C60">
        <w:rPr>
          <w:rFonts w:eastAsia="Times New Roman"/>
          <w:b/>
          <w:bCs/>
          <w:sz w:val="20"/>
          <w:szCs w:val="20"/>
        </w:rPr>
        <w:t>Defendant/Youth/Respondent</w:t>
      </w:r>
    </w:p>
    <w:tbl>
      <w:tblPr>
        <w:tblStyle w:val="TableGrid37"/>
        <w:tblW w:w="5000" w:type="pct"/>
        <w:tblLook w:val="04A0" w:firstRow="1" w:lastRow="0" w:firstColumn="1" w:lastColumn="0" w:noHBand="0" w:noVBand="1"/>
      </w:tblPr>
      <w:tblGrid>
        <w:gridCol w:w="9344"/>
      </w:tblGrid>
      <w:tr w:rsidR="00DF7C60" w:rsidRPr="00DF7C60" w14:paraId="53CACB0A" w14:textId="77777777" w:rsidTr="0012134E">
        <w:tc>
          <w:tcPr>
            <w:tcW w:w="5000" w:type="pct"/>
          </w:tcPr>
          <w:p w14:paraId="5CFC8C90" w14:textId="77777777" w:rsidR="00DF7C60" w:rsidRPr="00DF7C60" w:rsidRDefault="00DF7C60" w:rsidP="00DF7C60">
            <w:pPr>
              <w:spacing w:before="120" w:after="240" w:line="240" w:lineRule="auto"/>
              <w:ind w:right="142"/>
              <w:jc w:val="left"/>
              <w:textAlignment w:val="baseline"/>
              <w:rPr>
                <w:sz w:val="22"/>
              </w:rPr>
            </w:pPr>
            <w:r w:rsidRPr="00DF7C60">
              <w:rPr>
                <w:b/>
                <w:sz w:val="22"/>
              </w:rPr>
              <w:t>Introduction</w:t>
            </w:r>
          </w:p>
          <w:p w14:paraId="5FA94701" w14:textId="77777777" w:rsidR="00DF7C60" w:rsidRPr="00DF7C60" w:rsidRDefault="00DF7C60" w:rsidP="00DF7C60">
            <w:pPr>
              <w:spacing w:before="120" w:after="0" w:line="240" w:lineRule="auto"/>
              <w:ind w:right="141"/>
              <w:jc w:val="left"/>
              <w:textAlignment w:val="baseline"/>
              <w:rPr>
                <w:b/>
                <w:sz w:val="20"/>
              </w:rPr>
            </w:pPr>
            <w:r w:rsidRPr="00DF7C60">
              <w:rPr>
                <w:b/>
                <w:sz w:val="20"/>
              </w:rPr>
              <w:t>Hearing</w:t>
            </w:r>
          </w:p>
          <w:p w14:paraId="7C15D145" w14:textId="77777777" w:rsidR="00DF7C60" w:rsidRPr="00DF7C60" w:rsidRDefault="00DF7C60" w:rsidP="00DF7C60">
            <w:pPr>
              <w:widowControl w:val="0"/>
              <w:spacing w:before="120" w:after="0" w:line="240" w:lineRule="auto"/>
              <w:jc w:val="left"/>
              <w:textAlignment w:val="baseline"/>
              <w:rPr>
                <w:sz w:val="20"/>
              </w:rPr>
            </w:pPr>
            <w:r w:rsidRPr="00DF7C60">
              <w:rPr>
                <w:sz w:val="20"/>
              </w:rPr>
              <w:t>Hearing Location: [suburb]</w:t>
            </w:r>
          </w:p>
          <w:p w14:paraId="6C0A3116" w14:textId="77777777" w:rsidR="00DF7C60" w:rsidRPr="00DF7C60" w:rsidRDefault="00DF7C60" w:rsidP="00DF7C60">
            <w:pPr>
              <w:widowControl w:val="0"/>
              <w:spacing w:after="0" w:line="240" w:lineRule="auto"/>
              <w:contextualSpacing/>
              <w:jc w:val="left"/>
              <w:textAlignment w:val="baseline"/>
              <w:rPr>
                <w:rFonts w:eastAsia="Arial"/>
                <w:sz w:val="20"/>
              </w:rPr>
            </w:pPr>
            <w:r w:rsidRPr="00DF7C60">
              <w:rPr>
                <w:rFonts w:eastAsia="Arial"/>
                <w:sz w:val="20"/>
              </w:rPr>
              <w:t>[Hearing date] [Listed starting time]</w:t>
            </w:r>
          </w:p>
          <w:p w14:paraId="5E09FDEB" w14:textId="77777777" w:rsidR="00DF7C60" w:rsidRPr="00DF7C60" w:rsidRDefault="00DF7C60" w:rsidP="00DF7C60">
            <w:pPr>
              <w:widowControl w:val="0"/>
              <w:spacing w:before="240" w:after="240" w:line="240" w:lineRule="auto"/>
              <w:jc w:val="left"/>
              <w:textAlignment w:val="baseline"/>
              <w:rPr>
                <w:rFonts w:eastAsia="Arial"/>
                <w:sz w:val="22"/>
                <w:szCs w:val="24"/>
              </w:rPr>
            </w:pPr>
            <w:r w:rsidRPr="00DF7C60">
              <w:rPr>
                <w:rFonts w:eastAsia="Arial"/>
                <w:sz w:val="20"/>
                <w:szCs w:val="24"/>
              </w:rPr>
              <w:t>Hearing type</w:t>
            </w:r>
            <w:r w:rsidRPr="00DF7C60">
              <w:rPr>
                <w:rFonts w:eastAsia="Arial"/>
                <w:sz w:val="22"/>
                <w:szCs w:val="24"/>
              </w:rPr>
              <w:t>:</w:t>
            </w:r>
          </w:p>
          <w:p w14:paraId="405F13FC" w14:textId="77777777" w:rsidR="00DF7C60" w:rsidRPr="00DF7C60" w:rsidRDefault="00DF7C60" w:rsidP="00DF7C60">
            <w:pPr>
              <w:widowControl w:val="0"/>
              <w:spacing w:after="0" w:line="240" w:lineRule="auto"/>
              <w:jc w:val="left"/>
              <w:textAlignment w:val="baseline"/>
              <w:rPr>
                <w:b/>
                <w:sz w:val="12"/>
                <w:szCs w:val="12"/>
              </w:rPr>
            </w:pPr>
            <w:r w:rsidRPr="00DF7C60">
              <w:rPr>
                <w:b/>
                <w:sz w:val="12"/>
                <w:szCs w:val="12"/>
              </w:rPr>
              <w:t>Supreme and District Court only</w:t>
            </w:r>
          </w:p>
          <w:p w14:paraId="1A8E8ECE" w14:textId="77777777" w:rsidR="00DF7C60" w:rsidRPr="00DF7C60" w:rsidRDefault="00DF7C60" w:rsidP="00DF7C60">
            <w:pPr>
              <w:widowControl w:val="0"/>
              <w:spacing w:after="0" w:line="240" w:lineRule="auto"/>
              <w:contextualSpacing/>
              <w:jc w:val="left"/>
              <w:textAlignment w:val="baseline"/>
              <w:rPr>
                <w:sz w:val="20"/>
              </w:rPr>
            </w:pPr>
            <w:r w:rsidRPr="00DF7C60">
              <w:rPr>
                <w:rFonts w:eastAsia="Arial"/>
                <w:sz w:val="20"/>
              </w:rPr>
              <w:t>[Actual hearing start time] - [Actual hearing end time]</w:t>
            </w:r>
          </w:p>
          <w:p w14:paraId="6A0929A8" w14:textId="77777777" w:rsidR="00DF7C60" w:rsidRPr="00DF7C60" w:rsidRDefault="00DF7C60" w:rsidP="00DF7C60">
            <w:pPr>
              <w:spacing w:before="240" w:after="0" w:line="240" w:lineRule="auto"/>
              <w:ind w:right="141"/>
              <w:jc w:val="left"/>
              <w:textAlignment w:val="baseline"/>
              <w:rPr>
                <w:rFonts w:eastAsia="Arial"/>
                <w:sz w:val="20"/>
              </w:rPr>
            </w:pPr>
            <w:r w:rsidRPr="00DF7C60">
              <w:rPr>
                <w:rFonts w:eastAsia="Arial"/>
                <w:sz w:val="20"/>
              </w:rPr>
              <w:t>[Presiding Officer]</w:t>
            </w:r>
          </w:p>
          <w:p w14:paraId="7C901467" w14:textId="77777777" w:rsidR="00DF7C60" w:rsidRPr="00DF7C60" w:rsidRDefault="00DF7C60" w:rsidP="00DF7C60">
            <w:pPr>
              <w:widowControl w:val="0"/>
              <w:spacing w:before="240" w:after="0" w:line="240" w:lineRule="auto"/>
              <w:jc w:val="left"/>
              <w:textAlignment w:val="baseline"/>
              <w:rPr>
                <w:b/>
                <w:sz w:val="20"/>
              </w:rPr>
            </w:pPr>
            <w:r w:rsidRPr="00DF7C60">
              <w:rPr>
                <w:b/>
                <w:sz w:val="20"/>
              </w:rPr>
              <w:t>Appearances</w:t>
            </w:r>
          </w:p>
          <w:p w14:paraId="3E6BB5B8" w14:textId="77777777" w:rsidR="00DF7C60" w:rsidRPr="00DF7C60" w:rsidRDefault="00DF7C60" w:rsidP="00DF7C60">
            <w:pPr>
              <w:widowControl w:val="0"/>
              <w:spacing w:after="0" w:line="240" w:lineRule="auto"/>
              <w:contextualSpacing/>
              <w:jc w:val="left"/>
              <w:textAlignment w:val="baseline"/>
              <w:rPr>
                <w:sz w:val="20"/>
              </w:rPr>
            </w:pPr>
            <w:r w:rsidRPr="00DF7C60">
              <w:rPr>
                <w:sz w:val="20"/>
              </w:rPr>
              <w:t>[Informant/Applicant Appearance Information]</w:t>
            </w:r>
          </w:p>
          <w:p w14:paraId="452728E3" w14:textId="77777777" w:rsidR="00DF7C60" w:rsidRPr="00DF7C60" w:rsidRDefault="00DF7C60" w:rsidP="00DF7C60">
            <w:pPr>
              <w:widowControl w:val="0"/>
              <w:spacing w:after="0" w:line="240" w:lineRule="auto"/>
              <w:contextualSpacing/>
              <w:jc w:val="left"/>
              <w:textAlignment w:val="baseline"/>
              <w:rPr>
                <w:sz w:val="20"/>
              </w:rPr>
            </w:pPr>
            <w:r w:rsidRPr="00DF7C60">
              <w:rPr>
                <w:sz w:val="20"/>
              </w:rPr>
              <w:t>[Defendant/Youth/Respondent Appearance Information]</w:t>
            </w:r>
          </w:p>
          <w:p w14:paraId="0A586C87" w14:textId="77777777" w:rsidR="00DF7C60" w:rsidRPr="00DF7C60" w:rsidRDefault="00DF7C60" w:rsidP="00DF7C60">
            <w:pPr>
              <w:widowControl w:val="0"/>
              <w:spacing w:before="240" w:after="120" w:line="240" w:lineRule="auto"/>
              <w:jc w:val="left"/>
              <w:textAlignment w:val="baseline"/>
              <w:rPr>
                <w:b/>
                <w:sz w:val="20"/>
              </w:rPr>
            </w:pPr>
            <w:r w:rsidRPr="00DF7C60">
              <w:rPr>
                <w:b/>
                <w:sz w:val="20"/>
              </w:rPr>
              <w:t>Remarks</w:t>
            </w:r>
          </w:p>
          <w:p w14:paraId="7D482545" w14:textId="77777777" w:rsidR="00DF7C60" w:rsidRPr="00DF7C60" w:rsidRDefault="00DF7C60" w:rsidP="00DF7C60">
            <w:pPr>
              <w:spacing w:after="120" w:line="240" w:lineRule="auto"/>
              <w:jc w:val="left"/>
              <w:textAlignment w:val="baseline"/>
              <w:rPr>
                <w:rFonts w:eastAsia="Arial"/>
                <w:sz w:val="22"/>
              </w:rPr>
            </w:pPr>
            <w:r w:rsidRPr="00DF7C60">
              <w:rPr>
                <w:rFonts w:eastAsia="Arial"/>
                <w:sz w:val="22"/>
              </w:rPr>
              <w:t>[</w:t>
            </w:r>
            <w:r w:rsidRPr="00DF7C60">
              <w:rPr>
                <w:rFonts w:eastAsia="Arial"/>
                <w:sz w:val="20"/>
                <w:szCs w:val="18"/>
              </w:rPr>
              <w:t>Notes</w:t>
            </w:r>
            <w:r w:rsidRPr="00DF7C60">
              <w:rPr>
                <w:rFonts w:eastAsia="Arial"/>
                <w:sz w:val="22"/>
              </w:rPr>
              <w:t>]</w:t>
            </w:r>
          </w:p>
        </w:tc>
      </w:tr>
    </w:tbl>
    <w:p w14:paraId="25DC2BF5" w14:textId="77777777" w:rsidR="00DF7C60" w:rsidRPr="00DF7C60" w:rsidRDefault="00DF7C60" w:rsidP="00DF7C60">
      <w:pPr>
        <w:overflowPunct w:val="0"/>
        <w:autoSpaceDE w:val="0"/>
        <w:autoSpaceDN w:val="0"/>
        <w:adjustRightInd w:val="0"/>
        <w:spacing w:before="120" w:after="120" w:line="240" w:lineRule="auto"/>
        <w:textAlignment w:val="baseline"/>
        <w:rPr>
          <w:rFonts w:eastAsia="Times New Roman"/>
          <w:b/>
          <w:sz w:val="20"/>
          <w:szCs w:val="20"/>
        </w:rPr>
      </w:pPr>
    </w:p>
    <w:tbl>
      <w:tblPr>
        <w:tblStyle w:val="TableGrid115"/>
        <w:tblW w:w="5000" w:type="pct"/>
        <w:tblLook w:val="04A0" w:firstRow="1" w:lastRow="0" w:firstColumn="1" w:lastColumn="0" w:noHBand="0" w:noVBand="1"/>
      </w:tblPr>
      <w:tblGrid>
        <w:gridCol w:w="9344"/>
      </w:tblGrid>
      <w:tr w:rsidR="00DF7C60" w:rsidRPr="00DF7C60" w14:paraId="3616579C" w14:textId="77777777" w:rsidTr="0012134E">
        <w:tc>
          <w:tcPr>
            <w:tcW w:w="5000" w:type="pct"/>
          </w:tcPr>
          <w:p w14:paraId="0A8F0A02" w14:textId="77777777" w:rsidR="00DF7C60" w:rsidRPr="00DF7C60" w:rsidRDefault="00DF7C60" w:rsidP="00DF7C60">
            <w:pPr>
              <w:overflowPunct w:val="0"/>
              <w:autoSpaceDE w:val="0"/>
              <w:autoSpaceDN w:val="0"/>
              <w:adjustRightInd w:val="0"/>
              <w:spacing w:after="240" w:line="240" w:lineRule="auto"/>
              <w:jc w:val="left"/>
              <w:textAlignment w:val="baseline"/>
              <w:rPr>
                <w:b/>
                <w:sz w:val="22"/>
              </w:rPr>
            </w:pPr>
            <w:r w:rsidRPr="00DF7C60">
              <w:rPr>
                <w:b/>
                <w:sz w:val="22"/>
              </w:rPr>
              <w:t>Order</w:t>
            </w:r>
          </w:p>
          <w:p w14:paraId="2C7FA474" w14:textId="77777777" w:rsidR="00DF7C60" w:rsidRPr="00DF7C60" w:rsidRDefault="00DF7C60" w:rsidP="00DF7C60">
            <w:pPr>
              <w:overflowPunct w:val="0"/>
              <w:autoSpaceDE w:val="0"/>
              <w:autoSpaceDN w:val="0"/>
              <w:adjustRightInd w:val="0"/>
              <w:spacing w:before="240" w:after="240" w:line="240" w:lineRule="auto"/>
              <w:jc w:val="left"/>
              <w:textAlignment w:val="baseline"/>
              <w:rPr>
                <w:sz w:val="20"/>
                <w:szCs w:val="20"/>
              </w:rPr>
            </w:pPr>
            <w:r w:rsidRPr="00DF7C60">
              <w:rPr>
                <w:b/>
                <w:sz w:val="20"/>
                <w:szCs w:val="20"/>
              </w:rPr>
              <w:t>Date of Order</w:t>
            </w:r>
            <w:r w:rsidRPr="00DF7C60">
              <w:rPr>
                <w:sz w:val="20"/>
                <w:szCs w:val="20"/>
              </w:rPr>
              <w:t xml:space="preserve">: </w:t>
            </w:r>
            <w:r w:rsidRPr="00DF7C60">
              <w:rPr>
                <w:iCs/>
                <w:sz w:val="20"/>
                <w:szCs w:val="20"/>
              </w:rPr>
              <w:t>[</w:t>
            </w:r>
            <w:r w:rsidRPr="00DF7C60">
              <w:rPr>
                <w:i/>
                <w:iCs/>
                <w:sz w:val="20"/>
                <w:szCs w:val="20"/>
              </w:rPr>
              <w:t>date</w:t>
            </w:r>
            <w:r w:rsidRPr="00DF7C60">
              <w:rPr>
                <w:iCs/>
                <w:sz w:val="20"/>
                <w:szCs w:val="20"/>
              </w:rPr>
              <w:t>]</w:t>
            </w:r>
          </w:p>
          <w:p w14:paraId="37D4B2AF" w14:textId="77777777" w:rsidR="00DF7C60" w:rsidRPr="00DF7C60" w:rsidRDefault="00DF7C60" w:rsidP="00DF7C60">
            <w:pPr>
              <w:widowControl w:val="0"/>
              <w:overflowPunct w:val="0"/>
              <w:autoSpaceDE w:val="0"/>
              <w:autoSpaceDN w:val="0"/>
              <w:adjustRightInd w:val="0"/>
              <w:spacing w:before="240" w:after="240" w:line="240" w:lineRule="auto"/>
              <w:jc w:val="left"/>
              <w:textAlignment w:val="baseline"/>
              <w:rPr>
                <w:b/>
                <w:sz w:val="22"/>
              </w:rPr>
            </w:pPr>
            <w:r w:rsidRPr="00DF7C60">
              <w:rPr>
                <w:b/>
                <w:sz w:val="20"/>
              </w:rPr>
              <w:t>Terms of Order</w:t>
            </w:r>
          </w:p>
          <w:p w14:paraId="75D7B46B" w14:textId="77777777" w:rsidR="00DF7C60" w:rsidRPr="00DF7C60" w:rsidRDefault="00DF7C60" w:rsidP="00DF7C60">
            <w:pPr>
              <w:widowControl w:val="0"/>
              <w:overflowPunct w:val="0"/>
              <w:autoSpaceDE w:val="0"/>
              <w:autoSpaceDN w:val="0"/>
              <w:adjustRightInd w:val="0"/>
              <w:spacing w:after="0" w:line="240" w:lineRule="auto"/>
              <w:jc w:val="left"/>
              <w:textAlignment w:val="baseline"/>
              <w:rPr>
                <w:sz w:val="20"/>
                <w:szCs w:val="20"/>
              </w:rPr>
            </w:pPr>
            <w:r w:rsidRPr="00DF7C60">
              <w:rPr>
                <w:sz w:val="20"/>
                <w:szCs w:val="20"/>
              </w:rPr>
              <w:t>It is ordered that:</w:t>
            </w:r>
          </w:p>
          <w:p w14:paraId="6F316CB2" w14:textId="77777777" w:rsidR="00DF7C60" w:rsidRPr="00DF7C60" w:rsidRDefault="00DF7C60" w:rsidP="00DF7C60">
            <w:pPr>
              <w:overflowPunct w:val="0"/>
              <w:autoSpaceDE w:val="0"/>
              <w:autoSpaceDN w:val="0"/>
              <w:adjustRightInd w:val="0"/>
              <w:spacing w:after="0" w:line="240" w:lineRule="auto"/>
              <w:jc w:val="left"/>
              <w:textAlignment w:val="baseline"/>
              <w:rPr>
                <w:b/>
                <w:sz w:val="12"/>
                <w:szCs w:val="12"/>
              </w:rPr>
            </w:pPr>
            <w:r w:rsidRPr="00DF7C60">
              <w:rPr>
                <w:rFonts w:eastAsia="Arial"/>
                <w:b/>
                <w:sz w:val="12"/>
                <w:szCs w:val="12"/>
              </w:rPr>
              <w:t>Orders in separately numbered paragraphs.</w:t>
            </w:r>
          </w:p>
          <w:p w14:paraId="5623E45F" w14:textId="77777777" w:rsidR="00DF7C60" w:rsidRPr="00DF7C60" w:rsidRDefault="00DF7C60" w:rsidP="00DF7C60">
            <w:pPr>
              <w:tabs>
                <w:tab w:val="left" w:pos="593"/>
              </w:tabs>
              <w:overflowPunct w:val="0"/>
              <w:autoSpaceDE w:val="0"/>
              <w:autoSpaceDN w:val="0"/>
              <w:adjustRightInd w:val="0"/>
              <w:spacing w:after="0" w:line="240" w:lineRule="auto"/>
              <w:ind w:left="593" w:hanging="593"/>
              <w:jc w:val="left"/>
              <w:textAlignment w:val="baseline"/>
              <w:rPr>
                <w:sz w:val="20"/>
                <w:szCs w:val="20"/>
              </w:rPr>
            </w:pPr>
            <w:r w:rsidRPr="00DF7C60">
              <w:rPr>
                <w:sz w:val="20"/>
                <w:szCs w:val="20"/>
              </w:rPr>
              <w:t>1.</w:t>
            </w:r>
            <w:r w:rsidRPr="00DF7C60">
              <w:rPr>
                <w:sz w:val="20"/>
                <w:szCs w:val="20"/>
              </w:rPr>
              <w:tab/>
            </w:r>
          </w:p>
          <w:p w14:paraId="39FCE628" w14:textId="77777777" w:rsidR="00DF7C60" w:rsidRPr="00DF7C60" w:rsidRDefault="00DF7C60" w:rsidP="00DF7C60">
            <w:pPr>
              <w:tabs>
                <w:tab w:val="left" w:pos="593"/>
              </w:tabs>
              <w:overflowPunct w:val="0"/>
              <w:autoSpaceDE w:val="0"/>
              <w:autoSpaceDN w:val="0"/>
              <w:adjustRightInd w:val="0"/>
              <w:spacing w:after="0" w:line="240" w:lineRule="auto"/>
              <w:ind w:left="593" w:hanging="593"/>
              <w:jc w:val="left"/>
              <w:textAlignment w:val="baseline"/>
              <w:rPr>
                <w:sz w:val="20"/>
                <w:szCs w:val="20"/>
              </w:rPr>
            </w:pPr>
            <w:r w:rsidRPr="00DF7C60">
              <w:rPr>
                <w:sz w:val="20"/>
                <w:szCs w:val="20"/>
              </w:rPr>
              <w:t xml:space="preserve"> </w:t>
            </w:r>
          </w:p>
        </w:tc>
      </w:tr>
    </w:tbl>
    <w:p w14:paraId="122BD5AA" w14:textId="517FECE8" w:rsidR="00DF7C60" w:rsidRDefault="00DF7C60" w:rsidP="00DF7C60">
      <w:pPr>
        <w:overflowPunct w:val="0"/>
        <w:autoSpaceDE w:val="0"/>
        <w:autoSpaceDN w:val="0"/>
        <w:adjustRightInd w:val="0"/>
        <w:spacing w:before="240" w:after="0" w:line="240" w:lineRule="auto"/>
        <w:textAlignment w:val="baseline"/>
        <w:rPr>
          <w:rFonts w:eastAsia="Times New Roman"/>
          <w:b/>
          <w:sz w:val="12"/>
          <w:szCs w:val="20"/>
        </w:rPr>
      </w:pPr>
    </w:p>
    <w:p w14:paraId="33B06848" w14:textId="77777777" w:rsidR="00DF7C60" w:rsidRDefault="00DF7C60">
      <w:pPr>
        <w:spacing w:after="0" w:line="240" w:lineRule="auto"/>
        <w:jc w:val="left"/>
        <w:rPr>
          <w:rFonts w:eastAsia="Times New Roman"/>
          <w:b/>
          <w:sz w:val="12"/>
          <w:szCs w:val="20"/>
        </w:rPr>
      </w:pPr>
      <w:r>
        <w:rPr>
          <w:rFonts w:eastAsia="Times New Roman"/>
          <w:b/>
          <w:sz w:val="12"/>
          <w:szCs w:val="20"/>
        </w:rPr>
        <w:br w:type="page"/>
      </w:r>
    </w:p>
    <w:tbl>
      <w:tblPr>
        <w:tblStyle w:val="TableGrid37"/>
        <w:tblW w:w="5000" w:type="pct"/>
        <w:tblLook w:val="04A0" w:firstRow="1" w:lastRow="0" w:firstColumn="1" w:lastColumn="0" w:noHBand="0" w:noVBand="1"/>
      </w:tblPr>
      <w:tblGrid>
        <w:gridCol w:w="9344"/>
      </w:tblGrid>
      <w:tr w:rsidR="00DF7C60" w:rsidRPr="00DF7C60" w14:paraId="53935918" w14:textId="77777777" w:rsidTr="00DF7C60">
        <w:trPr>
          <w:cantSplit/>
        </w:trPr>
        <w:tc>
          <w:tcPr>
            <w:tcW w:w="9344" w:type="dxa"/>
          </w:tcPr>
          <w:p w14:paraId="36B09401" w14:textId="77777777" w:rsidR="00DF7C60" w:rsidRPr="00DF7C60" w:rsidRDefault="00DF7C60" w:rsidP="00DF7C60">
            <w:pPr>
              <w:widowControl w:val="0"/>
              <w:spacing w:before="120" w:after="0" w:line="240" w:lineRule="auto"/>
              <w:ind w:right="176"/>
              <w:jc w:val="left"/>
              <w:textAlignment w:val="baseline"/>
              <w:rPr>
                <w:b/>
                <w:sz w:val="20"/>
              </w:rPr>
            </w:pPr>
            <w:r w:rsidRPr="00DF7C60">
              <w:rPr>
                <w:b/>
                <w:sz w:val="20"/>
              </w:rPr>
              <w:lastRenderedPageBreak/>
              <w:t>Authentication</w:t>
            </w:r>
          </w:p>
          <w:p w14:paraId="2F2ABB83" w14:textId="77777777" w:rsidR="00DF7C60" w:rsidRPr="00DF7C60" w:rsidRDefault="00DF7C60" w:rsidP="00DF7C60">
            <w:pPr>
              <w:widowControl w:val="0"/>
              <w:spacing w:before="600" w:after="0" w:line="240" w:lineRule="auto"/>
              <w:ind w:right="176"/>
              <w:jc w:val="left"/>
              <w:textAlignment w:val="baseline"/>
              <w:rPr>
                <w:sz w:val="20"/>
              </w:rPr>
            </w:pPr>
            <w:r w:rsidRPr="00DF7C60">
              <w:rPr>
                <w:sz w:val="20"/>
              </w:rPr>
              <w:t>…………………………………………</w:t>
            </w:r>
          </w:p>
          <w:p w14:paraId="15685F91" w14:textId="77777777" w:rsidR="00DF7C60" w:rsidRPr="00DF7C60" w:rsidRDefault="00DF7C60" w:rsidP="00DF7C60">
            <w:pPr>
              <w:widowControl w:val="0"/>
              <w:spacing w:after="0" w:line="240" w:lineRule="auto"/>
              <w:ind w:right="176"/>
              <w:jc w:val="left"/>
              <w:textAlignment w:val="baseline"/>
              <w:rPr>
                <w:sz w:val="20"/>
              </w:rPr>
            </w:pPr>
            <w:r w:rsidRPr="00DF7C60">
              <w:rPr>
                <w:sz w:val="20"/>
              </w:rPr>
              <w:t>Signature of Judicial Officer</w:t>
            </w:r>
          </w:p>
          <w:p w14:paraId="60270262" w14:textId="77777777" w:rsidR="00DF7C60" w:rsidRPr="00DF7C60" w:rsidRDefault="00DF7C60" w:rsidP="00DF7C60">
            <w:pPr>
              <w:widowControl w:val="0"/>
              <w:spacing w:after="120" w:line="240" w:lineRule="auto"/>
              <w:ind w:right="176"/>
              <w:jc w:val="left"/>
              <w:textAlignment w:val="baseline"/>
              <w:rPr>
                <w:color w:val="000000"/>
                <w:sz w:val="20"/>
              </w:rPr>
            </w:pPr>
            <w:r w:rsidRPr="00DF7C60">
              <w:rPr>
                <w:sz w:val="20"/>
              </w:rPr>
              <w:t>[title and name]</w:t>
            </w:r>
          </w:p>
        </w:tc>
      </w:tr>
    </w:tbl>
    <w:p w14:paraId="56CDD259" w14:textId="77777777" w:rsidR="00DF7C60" w:rsidRPr="00DF7C60" w:rsidRDefault="00DF7C60" w:rsidP="00DF7C60">
      <w:pPr>
        <w:spacing w:after="0" w:line="360" w:lineRule="auto"/>
        <w:rPr>
          <w:sz w:val="24"/>
          <w:szCs w:val="24"/>
        </w:rPr>
      </w:pPr>
    </w:p>
    <w:p w14:paraId="310B7800" w14:textId="77777777" w:rsidR="00DF7C60" w:rsidRPr="00DF7C60" w:rsidRDefault="00DF7C60" w:rsidP="00965F17">
      <w:pPr>
        <w:numPr>
          <w:ilvl w:val="0"/>
          <w:numId w:val="15"/>
        </w:numPr>
        <w:spacing w:after="200" w:line="360" w:lineRule="auto"/>
        <w:ind w:left="851" w:hanging="758"/>
        <w:contextualSpacing/>
        <w:jc w:val="left"/>
        <w:rPr>
          <w:szCs w:val="17"/>
        </w:rPr>
      </w:pPr>
      <w:r w:rsidRPr="00DF7C60">
        <w:rPr>
          <w:szCs w:val="17"/>
        </w:rPr>
        <w:t>In Schedule 2, Form 29– Request to Minister for Foreign Affairs to Refuse to Issue Australian Passport is deleted and substituted as follows:</w:t>
      </w:r>
    </w:p>
    <w:p w14:paraId="20075F69"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Cs w:val="17"/>
          <w:lang w:val="en-US"/>
        </w:rPr>
      </w:pPr>
      <w:bookmarkStart w:id="7" w:name="_Hlk121404084"/>
      <w:r w:rsidRPr="00DF7C60">
        <w:rPr>
          <w:rFonts w:eastAsia="Times New Roman"/>
          <w:szCs w:val="17"/>
          <w:lang w:val="en-US"/>
        </w:rPr>
        <w:t>Form 29</w:t>
      </w:r>
    </w:p>
    <w:p w14:paraId="55E3F697"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 w:val="24"/>
          <w:szCs w:val="20"/>
          <w:lang w:val="en-US"/>
        </w:rPr>
      </w:pPr>
    </w:p>
    <w:tbl>
      <w:tblPr>
        <w:tblStyle w:val="TableGrid37"/>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DF7C60" w:rsidRPr="00DF7C60" w14:paraId="3506CB74" w14:textId="77777777" w:rsidTr="0012134E">
        <w:tc>
          <w:tcPr>
            <w:tcW w:w="3899" w:type="pct"/>
            <w:tcBorders>
              <w:top w:val="single" w:sz="4" w:space="0" w:color="auto"/>
            </w:tcBorders>
          </w:tcPr>
          <w:p w14:paraId="2577E89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t>To be inserted by Court</w:t>
            </w:r>
          </w:p>
        </w:tc>
        <w:tc>
          <w:tcPr>
            <w:tcW w:w="1101" w:type="pct"/>
            <w:tcBorders>
              <w:top w:val="single" w:sz="4" w:space="0" w:color="auto"/>
            </w:tcBorders>
          </w:tcPr>
          <w:p w14:paraId="04225AEC"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39A241CB" w14:textId="77777777" w:rsidTr="0012134E">
        <w:trPr>
          <w:trHeight w:val="1148"/>
        </w:trPr>
        <w:tc>
          <w:tcPr>
            <w:tcW w:w="3899" w:type="pct"/>
            <w:tcBorders>
              <w:bottom w:val="single" w:sz="2" w:space="0" w:color="auto"/>
            </w:tcBorders>
          </w:tcPr>
          <w:p w14:paraId="60B7F21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BCE304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001DB1F7"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E40F26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Filed:</w:t>
            </w:r>
          </w:p>
          <w:p w14:paraId="6C9F15B4"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2E1097E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4D9F5799"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74F05FA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44923FB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bookmarkEnd w:id="7"/>
    </w:tbl>
    <w:p w14:paraId="20C2D014" w14:textId="77777777" w:rsidR="00DF7C60" w:rsidRPr="00DF7C60" w:rsidRDefault="00DF7C60" w:rsidP="00DF7C60">
      <w:pPr>
        <w:spacing w:after="0" w:line="360" w:lineRule="auto"/>
        <w:rPr>
          <w:sz w:val="20"/>
          <w:szCs w:val="20"/>
        </w:rPr>
      </w:pPr>
    </w:p>
    <w:p w14:paraId="6CB5661B"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eastAsia="Times New Roman"/>
          <w:b/>
          <w:bCs/>
          <w:sz w:val="28"/>
          <w:szCs w:val="20"/>
        </w:rPr>
      </w:pPr>
      <w:bookmarkStart w:id="8" w:name="_Hlk121404104"/>
      <w:r w:rsidRPr="00DF7C60">
        <w:rPr>
          <w:rFonts w:eastAsia="Times New Roman"/>
          <w:b/>
          <w:bCs/>
          <w:sz w:val="28"/>
          <w:szCs w:val="20"/>
        </w:rPr>
        <w:t>REQUEST TO MINISTER FOR FOREIGN AFFAIRS TO REFUSE TO ISSUE AUSTRALIAN PASSPORT</w:t>
      </w:r>
    </w:p>
    <w:p w14:paraId="061B07A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eastAsia="Times New Roman"/>
          <w:b/>
          <w:bCs/>
          <w:sz w:val="20"/>
          <w:szCs w:val="20"/>
        </w:rPr>
      </w:pPr>
      <w:r w:rsidRPr="00DF7C60">
        <w:rPr>
          <w:rFonts w:eastAsia="Times New Roman"/>
          <w:b/>
          <w:bCs/>
          <w:i/>
          <w:sz w:val="20"/>
          <w:szCs w:val="20"/>
        </w:rPr>
        <w:t>Australian Passports Act 2005</w:t>
      </w:r>
      <w:r w:rsidRPr="00DF7C60">
        <w:rPr>
          <w:rFonts w:eastAsia="Times New Roman"/>
          <w:b/>
          <w:bCs/>
          <w:sz w:val="20"/>
          <w:szCs w:val="20"/>
        </w:rPr>
        <w:t xml:space="preserve"> (Cth) s 12</w:t>
      </w:r>
    </w:p>
    <w:p w14:paraId="56017698"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eastAsia="Times New Roman"/>
          <w:b/>
          <w:bCs/>
          <w:sz w:val="20"/>
          <w:szCs w:val="20"/>
        </w:rPr>
      </w:pPr>
    </w:p>
    <w:p w14:paraId="112F98C3"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Cs/>
          <w:sz w:val="20"/>
          <w:szCs w:val="20"/>
        </w:rPr>
      </w:pPr>
      <w:bookmarkStart w:id="9" w:name="_Hlk31959557"/>
      <w:r w:rsidRPr="00DF7C60">
        <w:rPr>
          <w:rFonts w:eastAsia="Times New Roman"/>
          <w:iCs/>
          <w:sz w:val="20"/>
          <w:szCs w:val="20"/>
        </w:rPr>
        <w:t>[</w:t>
      </w:r>
      <w:r w:rsidRPr="00DF7C60">
        <w:rPr>
          <w:rFonts w:eastAsia="Times New Roman"/>
          <w:i/>
          <w:iCs/>
          <w:sz w:val="20"/>
          <w:szCs w:val="20"/>
        </w:rPr>
        <w:t>SUPREME/DISTRICT/MAGISTRATES/YOUTH</w:t>
      </w:r>
      <w:r w:rsidRPr="00DF7C60">
        <w:rPr>
          <w:rFonts w:eastAsia="Times New Roman"/>
          <w:iCs/>
          <w:sz w:val="20"/>
          <w:szCs w:val="20"/>
        </w:rPr>
        <w:t xml:space="preserve">] </w:t>
      </w:r>
      <w:r w:rsidRPr="00DF7C60">
        <w:rPr>
          <w:rFonts w:eastAsia="Times New Roman"/>
          <w:b/>
          <w:sz w:val="12"/>
          <w:szCs w:val="20"/>
        </w:rPr>
        <w:t xml:space="preserve">Select one </w:t>
      </w:r>
      <w:r w:rsidRPr="00DF7C60">
        <w:rPr>
          <w:rFonts w:eastAsia="Times New Roman"/>
          <w:iCs/>
          <w:sz w:val="20"/>
          <w:szCs w:val="20"/>
        </w:rPr>
        <w:t xml:space="preserve">COURT </w:t>
      </w:r>
      <w:r w:rsidRPr="00DF7C60">
        <w:rPr>
          <w:rFonts w:eastAsia="Times New Roman"/>
          <w:bCs/>
          <w:sz w:val="20"/>
          <w:szCs w:val="20"/>
        </w:rPr>
        <w:t xml:space="preserve">OF SOUTH AUSTRALIA </w:t>
      </w:r>
    </w:p>
    <w:p w14:paraId="6A0427C3"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iCs/>
          <w:sz w:val="20"/>
          <w:szCs w:val="20"/>
        </w:rPr>
      </w:pPr>
      <w:r w:rsidRPr="00DF7C60">
        <w:rPr>
          <w:rFonts w:eastAsia="Times New Roman"/>
          <w:iCs/>
          <w:sz w:val="20"/>
          <w:szCs w:val="20"/>
        </w:rPr>
        <w:t>CRIMINAL JURISDICTION</w:t>
      </w:r>
      <w:bookmarkEnd w:id="9"/>
    </w:p>
    <w:p w14:paraId="3C764326"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iCs/>
          <w:sz w:val="20"/>
          <w:szCs w:val="20"/>
        </w:rPr>
      </w:pPr>
    </w:p>
    <w:p w14:paraId="1FFAE472"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
          <w:bCs/>
          <w:sz w:val="20"/>
          <w:szCs w:val="20"/>
        </w:rPr>
      </w:pPr>
      <w:r w:rsidRPr="00DF7C60">
        <w:rPr>
          <w:rFonts w:eastAsia="Times New Roman"/>
          <w:bCs/>
          <w:sz w:val="20"/>
          <w:szCs w:val="20"/>
        </w:rPr>
        <w:t>[</w:t>
      </w:r>
      <w:r w:rsidRPr="00DF7C60">
        <w:rPr>
          <w:rFonts w:eastAsia="Times New Roman"/>
          <w:b/>
          <w:bCs/>
          <w:i/>
          <w:sz w:val="20"/>
          <w:szCs w:val="20"/>
        </w:rPr>
        <w:t>FULL NAME</w:t>
      </w:r>
      <w:r w:rsidRPr="00DF7C60">
        <w:rPr>
          <w:rFonts w:eastAsia="Times New Roman"/>
          <w:b/>
          <w:bCs/>
          <w:sz w:val="20"/>
          <w:szCs w:val="20"/>
        </w:rPr>
        <w:t>]</w:t>
      </w:r>
    </w:p>
    <w:p w14:paraId="771AA282"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b/>
          <w:bCs/>
          <w:sz w:val="20"/>
          <w:szCs w:val="20"/>
        </w:rPr>
      </w:pPr>
      <w:r w:rsidRPr="00DF7C60">
        <w:rPr>
          <w:rFonts w:eastAsia="Times New Roman"/>
          <w:b/>
          <w:bCs/>
          <w:sz w:val="20"/>
          <w:szCs w:val="20"/>
        </w:rPr>
        <w:t>Informant/R</w:t>
      </w:r>
    </w:p>
    <w:p w14:paraId="53D93ECD" w14:textId="77777777" w:rsidR="00DF7C60" w:rsidRPr="00DF7C60" w:rsidDel="00897A6B" w:rsidRDefault="00DF7C60" w:rsidP="00DF7C60">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eastAsia="Times New Roman"/>
          <w:b/>
          <w:bCs/>
          <w:sz w:val="20"/>
          <w:szCs w:val="20"/>
        </w:rPr>
      </w:pPr>
      <w:r w:rsidRPr="00DF7C60">
        <w:rPr>
          <w:rFonts w:eastAsia="Times New Roman"/>
          <w:b/>
          <w:bCs/>
          <w:sz w:val="20"/>
          <w:szCs w:val="20"/>
        </w:rPr>
        <w:t>v</w:t>
      </w:r>
    </w:p>
    <w:p w14:paraId="504B15C3"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0" w:line="240" w:lineRule="auto"/>
        <w:textAlignment w:val="baseline"/>
        <w:rPr>
          <w:rFonts w:eastAsia="Times New Roman"/>
          <w:b/>
          <w:sz w:val="20"/>
          <w:szCs w:val="20"/>
        </w:rPr>
      </w:pPr>
      <w:r w:rsidRPr="00DF7C60">
        <w:rPr>
          <w:rFonts w:eastAsia="Times New Roman"/>
          <w:b/>
          <w:sz w:val="20"/>
          <w:szCs w:val="20"/>
        </w:rPr>
        <w:t>[</w:t>
      </w:r>
      <w:r w:rsidRPr="00DF7C60">
        <w:rPr>
          <w:rFonts w:eastAsia="Times New Roman"/>
          <w:b/>
          <w:i/>
          <w:sz w:val="20"/>
          <w:szCs w:val="20"/>
        </w:rPr>
        <w:t xml:space="preserve">FULL </w:t>
      </w:r>
      <w:r w:rsidRPr="00DF7C60">
        <w:rPr>
          <w:rFonts w:eastAsia="Times New Roman"/>
          <w:b/>
          <w:i/>
          <w:iCs/>
          <w:sz w:val="20"/>
          <w:szCs w:val="20"/>
        </w:rPr>
        <w:t>NAME</w:t>
      </w:r>
      <w:r w:rsidRPr="00DF7C60">
        <w:rPr>
          <w:rFonts w:eastAsia="Times New Roman"/>
          <w:b/>
          <w:sz w:val="20"/>
          <w:szCs w:val="20"/>
        </w:rPr>
        <w:t>]</w:t>
      </w:r>
    </w:p>
    <w:p w14:paraId="6B8ECB21" w14:textId="3B4EC0FB" w:rsidR="00DF7C60" w:rsidRDefault="00DF7C60" w:rsidP="00DF7C60">
      <w:pPr>
        <w:tabs>
          <w:tab w:val="left" w:pos="1134"/>
          <w:tab w:val="left" w:pos="2342"/>
          <w:tab w:val="left" w:pos="4536"/>
          <w:tab w:val="right" w:pos="8789"/>
        </w:tabs>
        <w:overflowPunct w:val="0"/>
        <w:autoSpaceDE w:val="0"/>
        <w:autoSpaceDN w:val="0"/>
        <w:adjustRightInd w:val="0"/>
        <w:spacing w:after="480" w:line="240" w:lineRule="auto"/>
        <w:textAlignment w:val="baseline"/>
        <w:rPr>
          <w:rFonts w:eastAsia="Times New Roman"/>
          <w:b/>
          <w:bCs/>
          <w:sz w:val="20"/>
          <w:szCs w:val="20"/>
        </w:rPr>
      </w:pPr>
      <w:r w:rsidRPr="00DF7C60">
        <w:rPr>
          <w:rFonts w:eastAsia="Times New Roman"/>
          <w:b/>
          <w:bCs/>
          <w:sz w:val="20"/>
          <w:szCs w:val="20"/>
        </w:rPr>
        <w:t>Defendant/Youth</w:t>
      </w:r>
    </w:p>
    <w:p w14:paraId="574E3EBD" w14:textId="6FC9C587" w:rsidR="00DF7C60" w:rsidRDefault="00DF7C60">
      <w:pPr>
        <w:spacing w:after="0" w:line="240" w:lineRule="auto"/>
        <w:jc w:val="left"/>
        <w:rPr>
          <w:rFonts w:eastAsia="Times New Roman"/>
          <w:b/>
          <w:bCs/>
          <w:sz w:val="20"/>
          <w:szCs w:val="20"/>
        </w:rPr>
      </w:pPr>
      <w:r>
        <w:rPr>
          <w:rFonts w:eastAsia="Times New Roman"/>
          <w:b/>
          <w:bCs/>
          <w:sz w:val="20"/>
          <w:szCs w:val="20"/>
        </w:rPr>
        <w:br w:type="page"/>
      </w:r>
    </w:p>
    <w:tbl>
      <w:tblPr>
        <w:tblStyle w:val="TableGrid231"/>
        <w:tblW w:w="5006" w:type="pct"/>
        <w:jc w:val="center"/>
        <w:tblLayout w:type="fixed"/>
        <w:tblLook w:val="04A0" w:firstRow="1" w:lastRow="0" w:firstColumn="1" w:lastColumn="0" w:noHBand="0" w:noVBand="1"/>
      </w:tblPr>
      <w:tblGrid>
        <w:gridCol w:w="2300"/>
        <w:gridCol w:w="1823"/>
        <w:gridCol w:w="1696"/>
        <w:gridCol w:w="1961"/>
        <w:gridCol w:w="1575"/>
      </w:tblGrid>
      <w:tr w:rsidR="00DF7C60" w:rsidRPr="00DF7C60" w14:paraId="6C708E57" w14:textId="77777777" w:rsidTr="00DF7C60">
        <w:trPr>
          <w:cantSplit/>
          <w:trHeight w:val="539"/>
          <w:jc w:val="center"/>
        </w:trPr>
        <w:tc>
          <w:tcPr>
            <w:tcW w:w="9355" w:type="dxa"/>
            <w:gridSpan w:val="5"/>
          </w:tcPr>
          <w:p w14:paraId="6013A367" w14:textId="77777777" w:rsidR="00DF7C60" w:rsidRPr="00DF7C60" w:rsidRDefault="00DF7C60" w:rsidP="00DF7C60">
            <w:pPr>
              <w:keepNext/>
              <w:tabs>
                <w:tab w:val="left" w:pos="2665"/>
              </w:tabs>
              <w:spacing w:before="120" w:after="0" w:line="276" w:lineRule="auto"/>
              <w:jc w:val="left"/>
              <w:rPr>
                <w:sz w:val="20"/>
              </w:rPr>
            </w:pPr>
            <w:bookmarkStart w:id="10" w:name="_Hlk45634422"/>
            <w:r w:rsidRPr="00DF7C60">
              <w:rPr>
                <w:b/>
                <w:bCs/>
                <w:sz w:val="20"/>
                <w:szCs w:val="20"/>
              </w:rPr>
              <w:lastRenderedPageBreak/>
              <w:t>To Minister for Foreign Affairs</w:t>
            </w:r>
          </w:p>
        </w:tc>
      </w:tr>
      <w:tr w:rsidR="00DF7C60" w:rsidRPr="00DF7C60" w14:paraId="1309F2C1" w14:textId="77777777" w:rsidTr="00DF7C60">
        <w:trPr>
          <w:cantSplit/>
          <w:trHeight w:val="454"/>
          <w:jc w:val="center"/>
        </w:trPr>
        <w:tc>
          <w:tcPr>
            <w:tcW w:w="2300" w:type="dxa"/>
            <w:vMerge w:val="restart"/>
          </w:tcPr>
          <w:p w14:paraId="35119D56" w14:textId="77777777" w:rsidR="00DF7C60" w:rsidRPr="00DF7C60" w:rsidRDefault="00DF7C60" w:rsidP="00DF7C60">
            <w:pPr>
              <w:keepNext/>
              <w:spacing w:after="0" w:line="276" w:lineRule="auto"/>
              <w:jc w:val="left"/>
              <w:rPr>
                <w:sz w:val="20"/>
              </w:rPr>
            </w:pPr>
            <w:r w:rsidRPr="00DF7C60">
              <w:rPr>
                <w:sz w:val="20"/>
              </w:rPr>
              <w:t>Minister for Foreign Affairs</w:t>
            </w:r>
          </w:p>
        </w:tc>
        <w:tc>
          <w:tcPr>
            <w:tcW w:w="7055" w:type="dxa"/>
            <w:gridSpan w:val="4"/>
            <w:tcBorders>
              <w:bottom w:val="nil"/>
            </w:tcBorders>
          </w:tcPr>
          <w:p w14:paraId="7FCDBE49" w14:textId="77777777" w:rsidR="00DF7C60" w:rsidRPr="00DF7C60" w:rsidRDefault="00DF7C60" w:rsidP="00DF7C60">
            <w:pPr>
              <w:keepNext/>
              <w:tabs>
                <w:tab w:val="left" w:pos="2665"/>
              </w:tabs>
              <w:spacing w:after="0" w:line="276" w:lineRule="auto"/>
              <w:jc w:val="left"/>
              <w:rPr>
                <w:sz w:val="20"/>
              </w:rPr>
            </w:pPr>
            <w:r w:rsidRPr="00DF7C60">
              <w:rPr>
                <w:sz w:val="20"/>
              </w:rPr>
              <w:t>Adelaide Passport Office</w:t>
            </w:r>
          </w:p>
        </w:tc>
      </w:tr>
      <w:tr w:rsidR="00DF7C60" w:rsidRPr="00DF7C60" w14:paraId="325ACE66" w14:textId="77777777" w:rsidTr="00DF7C60">
        <w:trPr>
          <w:cantSplit/>
          <w:trHeight w:val="85"/>
          <w:jc w:val="center"/>
        </w:trPr>
        <w:tc>
          <w:tcPr>
            <w:tcW w:w="2300" w:type="dxa"/>
            <w:vMerge/>
          </w:tcPr>
          <w:p w14:paraId="7FB28FE1" w14:textId="77777777" w:rsidR="00DF7C60" w:rsidRPr="00DF7C60" w:rsidRDefault="00DF7C60" w:rsidP="00DF7C60">
            <w:pPr>
              <w:keepNext/>
              <w:spacing w:after="0" w:line="276" w:lineRule="auto"/>
              <w:jc w:val="left"/>
              <w:rPr>
                <w:sz w:val="20"/>
              </w:rPr>
            </w:pPr>
          </w:p>
        </w:tc>
        <w:tc>
          <w:tcPr>
            <w:tcW w:w="7055" w:type="dxa"/>
            <w:gridSpan w:val="4"/>
            <w:tcBorders>
              <w:top w:val="nil"/>
            </w:tcBorders>
            <w:vAlign w:val="bottom"/>
          </w:tcPr>
          <w:p w14:paraId="0046ACAB" w14:textId="77777777" w:rsidR="00DF7C60" w:rsidRPr="00DF7C60" w:rsidRDefault="00DF7C60" w:rsidP="00DF7C60">
            <w:pPr>
              <w:keepNext/>
              <w:spacing w:after="0" w:line="276" w:lineRule="auto"/>
              <w:jc w:val="left"/>
              <w:rPr>
                <w:b/>
                <w:sz w:val="12"/>
              </w:rPr>
            </w:pPr>
          </w:p>
        </w:tc>
      </w:tr>
      <w:tr w:rsidR="00DF7C60" w:rsidRPr="00DF7C60" w14:paraId="58A0B583" w14:textId="77777777" w:rsidTr="00DF7C60">
        <w:trPr>
          <w:cantSplit/>
          <w:trHeight w:val="454"/>
          <w:jc w:val="center"/>
        </w:trPr>
        <w:tc>
          <w:tcPr>
            <w:tcW w:w="2300" w:type="dxa"/>
            <w:vMerge w:val="restart"/>
          </w:tcPr>
          <w:p w14:paraId="60ACF453" w14:textId="77777777" w:rsidR="00DF7C60" w:rsidRPr="00DF7C60" w:rsidRDefault="00DF7C60" w:rsidP="00DF7C60">
            <w:pPr>
              <w:keepNext/>
              <w:spacing w:after="0" w:line="276" w:lineRule="auto"/>
              <w:jc w:val="left"/>
              <w:rPr>
                <w:sz w:val="20"/>
              </w:rPr>
            </w:pPr>
            <w:r w:rsidRPr="00DF7C60">
              <w:rPr>
                <w:sz w:val="20"/>
              </w:rPr>
              <w:t>Address</w:t>
            </w:r>
          </w:p>
        </w:tc>
        <w:tc>
          <w:tcPr>
            <w:tcW w:w="7055" w:type="dxa"/>
            <w:gridSpan w:val="4"/>
            <w:tcBorders>
              <w:bottom w:val="nil"/>
            </w:tcBorders>
          </w:tcPr>
          <w:p w14:paraId="6625F123" w14:textId="77777777" w:rsidR="00DF7C60" w:rsidRPr="00DF7C60" w:rsidRDefault="00DF7C60" w:rsidP="00DF7C60">
            <w:pPr>
              <w:keepNext/>
              <w:spacing w:after="0" w:line="276" w:lineRule="auto"/>
              <w:jc w:val="left"/>
              <w:rPr>
                <w:sz w:val="20"/>
              </w:rPr>
            </w:pPr>
            <w:r w:rsidRPr="00DF7C60">
              <w:rPr>
                <w:iCs/>
                <w:sz w:val="20"/>
                <w:szCs w:val="20"/>
              </w:rPr>
              <w:t>GPO Box 907</w:t>
            </w:r>
          </w:p>
        </w:tc>
      </w:tr>
      <w:tr w:rsidR="00DF7C60" w:rsidRPr="00DF7C60" w14:paraId="6D30228F" w14:textId="77777777" w:rsidTr="00DF7C60">
        <w:trPr>
          <w:cantSplit/>
          <w:trHeight w:val="85"/>
          <w:jc w:val="center"/>
        </w:trPr>
        <w:tc>
          <w:tcPr>
            <w:tcW w:w="2300" w:type="dxa"/>
            <w:vMerge/>
          </w:tcPr>
          <w:p w14:paraId="28604EB7" w14:textId="77777777" w:rsidR="00DF7C60" w:rsidRPr="00DF7C60" w:rsidRDefault="00DF7C60" w:rsidP="00DF7C60">
            <w:pPr>
              <w:keepNext/>
              <w:spacing w:after="0" w:line="276" w:lineRule="auto"/>
              <w:jc w:val="left"/>
              <w:rPr>
                <w:sz w:val="20"/>
              </w:rPr>
            </w:pPr>
          </w:p>
        </w:tc>
        <w:tc>
          <w:tcPr>
            <w:tcW w:w="7055" w:type="dxa"/>
            <w:gridSpan w:val="4"/>
            <w:tcBorders>
              <w:top w:val="nil"/>
              <w:bottom w:val="single" w:sz="4" w:space="0" w:color="auto"/>
            </w:tcBorders>
            <w:vAlign w:val="bottom"/>
          </w:tcPr>
          <w:p w14:paraId="11B87A15" w14:textId="77777777" w:rsidR="00DF7C60" w:rsidRPr="00DF7C60" w:rsidRDefault="00DF7C60" w:rsidP="00DF7C60">
            <w:pPr>
              <w:keepNext/>
              <w:spacing w:after="0" w:line="276" w:lineRule="auto"/>
              <w:jc w:val="left"/>
              <w:rPr>
                <w:b/>
                <w:sz w:val="20"/>
              </w:rPr>
            </w:pPr>
            <w:r w:rsidRPr="00DF7C60">
              <w:rPr>
                <w:b/>
                <w:sz w:val="12"/>
              </w:rPr>
              <w:t>Street Address (including unit or level number and name of property if required)</w:t>
            </w:r>
          </w:p>
        </w:tc>
      </w:tr>
      <w:tr w:rsidR="00DF7C60" w:rsidRPr="00DF7C60" w14:paraId="12597C26" w14:textId="77777777" w:rsidTr="00DF7C60">
        <w:trPr>
          <w:cantSplit/>
          <w:trHeight w:val="454"/>
          <w:jc w:val="center"/>
        </w:trPr>
        <w:tc>
          <w:tcPr>
            <w:tcW w:w="2300" w:type="dxa"/>
            <w:vMerge/>
          </w:tcPr>
          <w:p w14:paraId="6AAACB39" w14:textId="77777777" w:rsidR="00DF7C60" w:rsidRPr="00DF7C60" w:rsidRDefault="00DF7C60" w:rsidP="00DF7C60">
            <w:pPr>
              <w:keepNext/>
              <w:spacing w:after="0" w:line="276" w:lineRule="auto"/>
              <w:jc w:val="left"/>
              <w:rPr>
                <w:sz w:val="20"/>
              </w:rPr>
            </w:pPr>
          </w:p>
        </w:tc>
        <w:tc>
          <w:tcPr>
            <w:tcW w:w="1823" w:type="dxa"/>
            <w:tcBorders>
              <w:bottom w:val="nil"/>
            </w:tcBorders>
          </w:tcPr>
          <w:p w14:paraId="35432C8A" w14:textId="77777777" w:rsidR="00DF7C60" w:rsidRPr="00DF7C60" w:rsidRDefault="00DF7C60" w:rsidP="00DF7C60">
            <w:pPr>
              <w:keepNext/>
              <w:spacing w:after="0" w:line="276" w:lineRule="auto"/>
              <w:jc w:val="left"/>
              <w:rPr>
                <w:sz w:val="20"/>
              </w:rPr>
            </w:pPr>
            <w:r w:rsidRPr="00DF7C60">
              <w:rPr>
                <w:iCs/>
                <w:sz w:val="20"/>
                <w:szCs w:val="20"/>
              </w:rPr>
              <w:t>Adelaide</w:t>
            </w:r>
          </w:p>
        </w:tc>
        <w:tc>
          <w:tcPr>
            <w:tcW w:w="1696" w:type="dxa"/>
            <w:tcBorders>
              <w:bottom w:val="nil"/>
            </w:tcBorders>
          </w:tcPr>
          <w:p w14:paraId="6D107402" w14:textId="77777777" w:rsidR="00DF7C60" w:rsidRPr="00DF7C60" w:rsidRDefault="00DF7C60" w:rsidP="00DF7C60">
            <w:pPr>
              <w:keepNext/>
              <w:spacing w:after="0" w:line="276" w:lineRule="auto"/>
              <w:jc w:val="left"/>
              <w:rPr>
                <w:sz w:val="20"/>
              </w:rPr>
            </w:pPr>
            <w:r w:rsidRPr="00DF7C60">
              <w:rPr>
                <w:sz w:val="20"/>
              </w:rPr>
              <w:t>SA</w:t>
            </w:r>
          </w:p>
        </w:tc>
        <w:tc>
          <w:tcPr>
            <w:tcW w:w="1961" w:type="dxa"/>
            <w:tcBorders>
              <w:bottom w:val="nil"/>
            </w:tcBorders>
          </w:tcPr>
          <w:p w14:paraId="2B3F74AD" w14:textId="77777777" w:rsidR="00DF7C60" w:rsidRPr="00DF7C60" w:rsidRDefault="00DF7C60" w:rsidP="00DF7C60">
            <w:pPr>
              <w:keepNext/>
              <w:spacing w:after="0" w:line="276" w:lineRule="auto"/>
              <w:jc w:val="left"/>
              <w:rPr>
                <w:sz w:val="20"/>
              </w:rPr>
            </w:pPr>
            <w:r w:rsidRPr="00DF7C60">
              <w:rPr>
                <w:sz w:val="20"/>
              </w:rPr>
              <w:t>5082</w:t>
            </w:r>
          </w:p>
        </w:tc>
        <w:tc>
          <w:tcPr>
            <w:tcW w:w="1575" w:type="dxa"/>
            <w:tcBorders>
              <w:bottom w:val="nil"/>
            </w:tcBorders>
          </w:tcPr>
          <w:p w14:paraId="3C6BE5BE" w14:textId="77777777" w:rsidR="00DF7C60" w:rsidRPr="00DF7C60" w:rsidRDefault="00DF7C60" w:rsidP="00DF7C60">
            <w:pPr>
              <w:keepNext/>
              <w:spacing w:after="0" w:line="276" w:lineRule="auto"/>
              <w:jc w:val="left"/>
              <w:rPr>
                <w:sz w:val="20"/>
              </w:rPr>
            </w:pPr>
            <w:r w:rsidRPr="00DF7C60">
              <w:rPr>
                <w:sz w:val="20"/>
              </w:rPr>
              <w:t>AUSTRALIA</w:t>
            </w:r>
          </w:p>
        </w:tc>
      </w:tr>
      <w:tr w:rsidR="00DF7C60" w:rsidRPr="00DF7C60" w14:paraId="4A2C28EB" w14:textId="77777777" w:rsidTr="00DF7C60">
        <w:trPr>
          <w:cantSplit/>
          <w:trHeight w:val="86"/>
          <w:jc w:val="center"/>
        </w:trPr>
        <w:tc>
          <w:tcPr>
            <w:tcW w:w="2300" w:type="dxa"/>
            <w:vMerge/>
          </w:tcPr>
          <w:p w14:paraId="0DFC7448" w14:textId="77777777" w:rsidR="00DF7C60" w:rsidRPr="00DF7C60" w:rsidRDefault="00DF7C60" w:rsidP="00DF7C60">
            <w:pPr>
              <w:keepNext/>
              <w:spacing w:after="0" w:line="276" w:lineRule="auto"/>
              <w:jc w:val="left"/>
              <w:rPr>
                <w:sz w:val="20"/>
              </w:rPr>
            </w:pPr>
          </w:p>
        </w:tc>
        <w:tc>
          <w:tcPr>
            <w:tcW w:w="1823" w:type="dxa"/>
            <w:tcBorders>
              <w:top w:val="nil"/>
              <w:bottom w:val="single" w:sz="4" w:space="0" w:color="auto"/>
            </w:tcBorders>
            <w:vAlign w:val="bottom"/>
          </w:tcPr>
          <w:p w14:paraId="2905A3A8" w14:textId="77777777" w:rsidR="00DF7C60" w:rsidRPr="00DF7C60" w:rsidRDefault="00DF7C60" w:rsidP="00DF7C60">
            <w:pPr>
              <w:keepNext/>
              <w:spacing w:after="0" w:line="276" w:lineRule="auto"/>
              <w:jc w:val="left"/>
              <w:rPr>
                <w:sz w:val="20"/>
              </w:rPr>
            </w:pPr>
            <w:r w:rsidRPr="00DF7C60">
              <w:rPr>
                <w:b/>
                <w:sz w:val="12"/>
              </w:rPr>
              <w:t>City/town/suburb</w:t>
            </w:r>
          </w:p>
        </w:tc>
        <w:tc>
          <w:tcPr>
            <w:tcW w:w="1696" w:type="dxa"/>
            <w:tcBorders>
              <w:top w:val="nil"/>
              <w:bottom w:val="single" w:sz="4" w:space="0" w:color="auto"/>
            </w:tcBorders>
            <w:vAlign w:val="bottom"/>
          </w:tcPr>
          <w:p w14:paraId="58643208" w14:textId="77777777" w:rsidR="00DF7C60" w:rsidRPr="00DF7C60" w:rsidRDefault="00DF7C60" w:rsidP="00DF7C60">
            <w:pPr>
              <w:keepNext/>
              <w:spacing w:after="0" w:line="276" w:lineRule="auto"/>
              <w:jc w:val="left"/>
              <w:rPr>
                <w:sz w:val="20"/>
              </w:rPr>
            </w:pPr>
            <w:r w:rsidRPr="00DF7C60">
              <w:rPr>
                <w:b/>
                <w:sz w:val="12"/>
              </w:rPr>
              <w:t>State</w:t>
            </w:r>
          </w:p>
        </w:tc>
        <w:tc>
          <w:tcPr>
            <w:tcW w:w="1961" w:type="dxa"/>
            <w:tcBorders>
              <w:top w:val="nil"/>
              <w:bottom w:val="single" w:sz="4" w:space="0" w:color="auto"/>
            </w:tcBorders>
            <w:vAlign w:val="bottom"/>
          </w:tcPr>
          <w:p w14:paraId="16E03A1F" w14:textId="77777777" w:rsidR="00DF7C60" w:rsidRPr="00DF7C60" w:rsidRDefault="00DF7C60" w:rsidP="00DF7C60">
            <w:pPr>
              <w:keepNext/>
              <w:spacing w:after="0" w:line="276" w:lineRule="auto"/>
              <w:jc w:val="left"/>
              <w:rPr>
                <w:sz w:val="20"/>
              </w:rPr>
            </w:pPr>
            <w:r w:rsidRPr="00DF7C60">
              <w:rPr>
                <w:b/>
                <w:sz w:val="12"/>
              </w:rPr>
              <w:t>Postcode</w:t>
            </w:r>
          </w:p>
        </w:tc>
        <w:tc>
          <w:tcPr>
            <w:tcW w:w="1575" w:type="dxa"/>
            <w:tcBorders>
              <w:top w:val="nil"/>
              <w:bottom w:val="single" w:sz="4" w:space="0" w:color="auto"/>
            </w:tcBorders>
            <w:vAlign w:val="bottom"/>
          </w:tcPr>
          <w:p w14:paraId="3322693D" w14:textId="77777777" w:rsidR="00DF7C60" w:rsidRPr="00DF7C60" w:rsidRDefault="00DF7C60" w:rsidP="00DF7C60">
            <w:pPr>
              <w:keepNext/>
              <w:spacing w:after="0" w:line="276" w:lineRule="auto"/>
              <w:jc w:val="left"/>
              <w:rPr>
                <w:sz w:val="20"/>
              </w:rPr>
            </w:pPr>
            <w:r w:rsidRPr="00DF7C60">
              <w:rPr>
                <w:b/>
                <w:sz w:val="12"/>
              </w:rPr>
              <w:t>Country</w:t>
            </w:r>
          </w:p>
        </w:tc>
      </w:tr>
      <w:tr w:rsidR="00DF7C60" w:rsidRPr="00DF7C60" w14:paraId="21EEAA9F" w14:textId="77777777" w:rsidTr="00DF7C60">
        <w:trPr>
          <w:cantSplit/>
          <w:trHeight w:val="454"/>
          <w:jc w:val="center"/>
        </w:trPr>
        <w:tc>
          <w:tcPr>
            <w:tcW w:w="2300" w:type="dxa"/>
            <w:vMerge/>
          </w:tcPr>
          <w:p w14:paraId="1B2A9E75" w14:textId="77777777" w:rsidR="00DF7C60" w:rsidRPr="00DF7C60" w:rsidRDefault="00DF7C60" w:rsidP="00DF7C60">
            <w:pPr>
              <w:keepNext/>
              <w:spacing w:after="0" w:line="276" w:lineRule="auto"/>
              <w:jc w:val="left"/>
              <w:rPr>
                <w:sz w:val="20"/>
              </w:rPr>
            </w:pPr>
          </w:p>
        </w:tc>
        <w:tc>
          <w:tcPr>
            <w:tcW w:w="7055" w:type="dxa"/>
            <w:gridSpan w:val="4"/>
            <w:tcBorders>
              <w:bottom w:val="nil"/>
            </w:tcBorders>
          </w:tcPr>
          <w:p w14:paraId="4D0DB53C" w14:textId="77777777" w:rsidR="00DF7C60" w:rsidRPr="00DF7C60" w:rsidRDefault="00DF7C60" w:rsidP="00DF7C60">
            <w:pPr>
              <w:keepNext/>
              <w:spacing w:after="0" w:line="276" w:lineRule="auto"/>
              <w:jc w:val="left"/>
              <w:rPr>
                <w:sz w:val="20"/>
              </w:rPr>
            </w:pPr>
          </w:p>
        </w:tc>
      </w:tr>
      <w:tr w:rsidR="00DF7C60" w:rsidRPr="00DF7C60" w14:paraId="70F9BF72" w14:textId="77777777" w:rsidTr="00DF7C60">
        <w:trPr>
          <w:cantSplit/>
          <w:trHeight w:val="85"/>
          <w:jc w:val="center"/>
        </w:trPr>
        <w:tc>
          <w:tcPr>
            <w:tcW w:w="2300" w:type="dxa"/>
            <w:vMerge/>
          </w:tcPr>
          <w:p w14:paraId="5C1457D9" w14:textId="77777777" w:rsidR="00DF7C60" w:rsidRPr="00DF7C60" w:rsidRDefault="00DF7C60" w:rsidP="00DF7C60">
            <w:pPr>
              <w:keepNext/>
              <w:spacing w:after="0" w:line="276" w:lineRule="auto"/>
              <w:jc w:val="left"/>
              <w:rPr>
                <w:sz w:val="20"/>
              </w:rPr>
            </w:pPr>
          </w:p>
        </w:tc>
        <w:tc>
          <w:tcPr>
            <w:tcW w:w="7055" w:type="dxa"/>
            <w:gridSpan w:val="4"/>
            <w:tcBorders>
              <w:top w:val="nil"/>
              <w:bottom w:val="single" w:sz="4" w:space="0" w:color="auto"/>
            </w:tcBorders>
          </w:tcPr>
          <w:p w14:paraId="137B019E" w14:textId="77777777" w:rsidR="00DF7C60" w:rsidRPr="00DF7C60" w:rsidRDefault="00DF7C60" w:rsidP="00DF7C60">
            <w:pPr>
              <w:keepNext/>
              <w:spacing w:after="0" w:line="276" w:lineRule="auto"/>
              <w:jc w:val="left"/>
              <w:rPr>
                <w:b/>
                <w:sz w:val="20"/>
              </w:rPr>
            </w:pPr>
            <w:r w:rsidRPr="00DF7C60">
              <w:rPr>
                <w:b/>
                <w:sz w:val="12"/>
              </w:rPr>
              <w:t>Email address</w:t>
            </w:r>
          </w:p>
        </w:tc>
      </w:tr>
      <w:tr w:rsidR="00DF7C60" w:rsidRPr="00DF7C60" w14:paraId="6C4A651A" w14:textId="77777777" w:rsidTr="00DF7C60">
        <w:trPr>
          <w:cantSplit/>
          <w:trHeight w:val="454"/>
          <w:jc w:val="center"/>
        </w:trPr>
        <w:tc>
          <w:tcPr>
            <w:tcW w:w="2300" w:type="dxa"/>
            <w:vMerge w:val="restart"/>
          </w:tcPr>
          <w:p w14:paraId="38326955"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r w:rsidRPr="00DF7C60">
              <w:rPr>
                <w:sz w:val="20"/>
                <w:szCs w:val="20"/>
              </w:rPr>
              <w:t>Phone Details</w:t>
            </w:r>
          </w:p>
        </w:tc>
        <w:tc>
          <w:tcPr>
            <w:tcW w:w="7055" w:type="dxa"/>
            <w:gridSpan w:val="4"/>
            <w:tcBorders>
              <w:top w:val="single" w:sz="4" w:space="0" w:color="auto"/>
              <w:bottom w:val="nil"/>
            </w:tcBorders>
          </w:tcPr>
          <w:p w14:paraId="00FFB188" w14:textId="77777777" w:rsidR="00DF7C60" w:rsidRPr="00DF7C60" w:rsidRDefault="00DF7C60" w:rsidP="00DF7C60">
            <w:pPr>
              <w:overflowPunct w:val="0"/>
              <w:autoSpaceDE w:val="0"/>
              <w:autoSpaceDN w:val="0"/>
              <w:adjustRightInd w:val="0"/>
              <w:spacing w:after="0" w:line="276" w:lineRule="auto"/>
              <w:textAlignment w:val="baseline"/>
              <w:rPr>
                <w:b/>
                <w:sz w:val="20"/>
              </w:rPr>
            </w:pPr>
            <w:r w:rsidRPr="00DF7C60">
              <w:rPr>
                <w:iCs/>
                <w:sz w:val="20"/>
                <w:szCs w:val="20"/>
              </w:rPr>
              <w:t>08 8403 4858</w:t>
            </w:r>
          </w:p>
        </w:tc>
      </w:tr>
      <w:tr w:rsidR="00DF7C60" w:rsidRPr="00DF7C60" w14:paraId="64EEB9C3" w14:textId="77777777" w:rsidTr="00DF7C60">
        <w:trPr>
          <w:cantSplit/>
          <w:trHeight w:val="85"/>
          <w:jc w:val="center"/>
        </w:trPr>
        <w:tc>
          <w:tcPr>
            <w:tcW w:w="2300" w:type="dxa"/>
            <w:vMerge/>
          </w:tcPr>
          <w:p w14:paraId="7D158736"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p>
        </w:tc>
        <w:tc>
          <w:tcPr>
            <w:tcW w:w="7055" w:type="dxa"/>
            <w:gridSpan w:val="4"/>
            <w:tcBorders>
              <w:top w:val="nil"/>
            </w:tcBorders>
          </w:tcPr>
          <w:p w14:paraId="3DF1163B" w14:textId="77777777" w:rsidR="00DF7C60" w:rsidRPr="00DF7C60" w:rsidRDefault="00DF7C60" w:rsidP="00DF7C60">
            <w:pPr>
              <w:overflowPunct w:val="0"/>
              <w:autoSpaceDE w:val="0"/>
              <w:autoSpaceDN w:val="0"/>
              <w:adjustRightInd w:val="0"/>
              <w:spacing w:after="0" w:line="276" w:lineRule="auto"/>
              <w:textAlignment w:val="baseline"/>
              <w:rPr>
                <w:b/>
                <w:sz w:val="12"/>
              </w:rPr>
            </w:pPr>
            <w:r w:rsidRPr="00DF7C60">
              <w:rPr>
                <w:b/>
                <w:sz w:val="12"/>
              </w:rPr>
              <w:t>Type (eg. home; work; mobile) – Number</w:t>
            </w:r>
          </w:p>
        </w:tc>
      </w:tr>
      <w:bookmarkEnd w:id="10"/>
    </w:tbl>
    <w:p w14:paraId="35594FFF"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after="480" w:line="276" w:lineRule="auto"/>
        <w:textAlignment w:val="baseline"/>
        <w:rPr>
          <w:rFonts w:eastAsia="Times New Roman"/>
          <w:bCs/>
          <w:sz w:val="20"/>
          <w:szCs w:val="20"/>
        </w:rPr>
      </w:pPr>
    </w:p>
    <w:tbl>
      <w:tblPr>
        <w:tblStyle w:val="TableGrid231"/>
        <w:tblW w:w="5013" w:type="pct"/>
        <w:jc w:val="center"/>
        <w:tblLayout w:type="fixed"/>
        <w:tblLook w:val="04A0" w:firstRow="1" w:lastRow="0" w:firstColumn="1" w:lastColumn="0" w:noHBand="0" w:noVBand="1"/>
      </w:tblPr>
      <w:tblGrid>
        <w:gridCol w:w="2296"/>
        <w:gridCol w:w="1823"/>
        <w:gridCol w:w="2189"/>
        <w:gridCol w:w="11"/>
        <w:gridCol w:w="1519"/>
        <w:gridCol w:w="1530"/>
      </w:tblGrid>
      <w:tr w:rsidR="00DF7C60" w:rsidRPr="00DF7C60" w14:paraId="5433345B" w14:textId="77777777" w:rsidTr="0012134E">
        <w:trPr>
          <w:cantSplit/>
          <w:trHeight w:val="539"/>
          <w:jc w:val="center"/>
        </w:trPr>
        <w:tc>
          <w:tcPr>
            <w:tcW w:w="10484" w:type="dxa"/>
            <w:gridSpan w:val="6"/>
          </w:tcPr>
          <w:p w14:paraId="3E5EC187" w14:textId="77777777" w:rsidR="00DF7C60" w:rsidRPr="00DF7C60" w:rsidRDefault="00DF7C60" w:rsidP="00DF7C60">
            <w:pPr>
              <w:keepNext/>
              <w:tabs>
                <w:tab w:val="left" w:pos="2665"/>
              </w:tabs>
              <w:spacing w:before="120" w:after="0" w:line="276" w:lineRule="auto"/>
              <w:jc w:val="left"/>
              <w:rPr>
                <w:b/>
                <w:sz w:val="20"/>
              </w:rPr>
            </w:pPr>
            <w:r w:rsidRPr="00DF7C60">
              <w:rPr>
                <w:b/>
                <w:bCs/>
                <w:sz w:val="20"/>
                <w:szCs w:val="20"/>
              </w:rPr>
              <w:t>[</w:t>
            </w:r>
            <w:r w:rsidRPr="00DF7C60">
              <w:rPr>
                <w:b/>
                <w:bCs/>
                <w:i/>
                <w:iCs/>
                <w:sz w:val="20"/>
                <w:szCs w:val="20"/>
              </w:rPr>
              <w:t>T</w:t>
            </w:r>
            <w:r w:rsidRPr="00DF7C60">
              <w:rPr>
                <w:b/>
                <w:bCs/>
                <w:i/>
                <w:sz w:val="20"/>
                <w:szCs w:val="20"/>
              </w:rPr>
              <w:t>he</w:t>
            </w:r>
            <w:r w:rsidRPr="00DF7C60">
              <w:rPr>
                <w:b/>
                <w:bCs/>
                <w:sz w:val="20"/>
                <w:szCs w:val="20"/>
              </w:rPr>
              <w:t>] [</w:t>
            </w:r>
            <w:r w:rsidRPr="00DF7C60">
              <w:rPr>
                <w:b/>
                <w:bCs/>
                <w:i/>
                <w:sz w:val="20"/>
                <w:szCs w:val="20"/>
              </w:rPr>
              <w:t>Defendant/Youth</w:t>
            </w:r>
            <w:r w:rsidRPr="00DF7C60">
              <w:rPr>
                <w:b/>
                <w:bCs/>
                <w:sz w:val="20"/>
                <w:szCs w:val="20"/>
              </w:rPr>
              <w:t>] [</w:t>
            </w:r>
            <w:r w:rsidRPr="00DF7C60">
              <w:rPr>
                <w:b/>
                <w:bCs/>
                <w:i/>
                <w:sz w:val="20"/>
                <w:szCs w:val="20"/>
              </w:rPr>
              <w:t>name</w:t>
            </w:r>
            <w:r w:rsidRPr="00DF7C60">
              <w:rPr>
                <w:b/>
                <w:bCs/>
                <w:sz w:val="20"/>
                <w:szCs w:val="20"/>
              </w:rPr>
              <w:t>]</w:t>
            </w:r>
          </w:p>
        </w:tc>
      </w:tr>
      <w:tr w:rsidR="00DF7C60" w:rsidRPr="00DF7C60" w14:paraId="1C421BB5" w14:textId="77777777" w:rsidTr="0012134E">
        <w:trPr>
          <w:cantSplit/>
          <w:trHeight w:val="454"/>
          <w:jc w:val="center"/>
        </w:trPr>
        <w:tc>
          <w:tcPr>
            <w:tcW w:w="2578" w:type="dxa"/>
            <w:vMerge w:val="restart"/>
          </w:tcPr>
          <w:p w14:paraId="4B6C5881" w14:textId="77777777" w:rsidR="00DF7C60" w:rsidRPr="00DF7C60" w:rsidRDefault="00DF7C60" w:rsidP="00DF7C60">
            <w:pPr>
              <w:keepNext/>
              <w:spacing w:after="0" w:line="276" w:lineRule="auto"/>
              <w:jc w:val="left"/>
              <w:rPr>
                <w:sz w:val="20"/>
              </w:rPr>
            </w:pPr>
            <w:r w:rsidRPr="00DF7C60">
              <w:rPr>
                <w:sz w:val="20"/>
              </w:rPr>
              <w:t>Defendant/Youth</w:t>
            </w:r>
          </w:p>
        </w:tc>
        <w:tc>
          <w:tcPr>
            <w:tcW w:w="7906" w:type="dxa"/>
            <w:gridSpan w:val="5"/>
            <w:tcBorders>
              <w:bottom w:val="nil"/>
            </w:tcBorders>
          </w:tcPr>
          <w:p w14:paraId="168C37B7" w14:textId="77777777" w:rsidR="00DF7C60" w:rsidRPr="00DF7C60" w:rsidRDefault="00DF7C60" w:rsidP="00DF7C60">
            <w:pPr>
              <w:keepNext/>
              <w:tabs>
                <w:tab w:val="left" w:pos="2665"/>
              </w:tabs>
              <w:spacing w:after="0" w:line="276" w:lineRule="auto"/>
              <w:jc w:val="left"/>
              <w:rPr>
                <w:sz w:val="20"/>
              </w:rPr>
            </w:pPr>
          </w:p>
        </w:tc>
      </w:tr>
      <w:tr w:rsidR="00DF7C60" w:rsidRPr="00DF7C60" w14:paraId="5D714C69" w14:textId="77777777" w:rsidTr="0012134E">
        <w:trPr>
          <w:cantSplit/>
          <w:trHeight w:val="85"/>
          <w:jc w:val="center"/>
        </w:trPr>
        <w:tc>
          <w:tcPr>
            <w:tcW w:w="2578" w:type="dxa"/>
            <w:vMerge/>
          </w:tcPr>
          <w:p w14:paraId="2F2DB962" w14:textId="77777777" w:rsidR="00DF7C60" w:rsidRPr="00DF7C60" w:rsidRDefault="00DF7C60" w:rsidP="00DF7C60">
            <w:pPr>
              <w:keepNext/>
              <w:spacing w:after="0" w:line="276" w:lineRule="auto"/>
              <w:jc w:val="left"/>
              <w:rPr>
                <w:sz w:val="20"/>
              </w:rPr>
            </w:pPr>
          </w:p>
        </w:tc>
        <w:tc>
          <w:tcPr>
            <w:tcW w:w="7906" w:type="dxa"/>
            <w:gridSpan w:val="5"/>
            <w:tcBorders>
              <w:top w:val="nil"/>
            </w:tcBorders>
            <w:vAlign w:val="bottom"/>
          </w:tcPr>
          <w:p w14:paraId="082DBB26" w14:textId="77777777" w:rsidR="00DF7C60" w:rsidRPr="00DF7C60" w:rsidRDefault="00DF7C60" w:rsidP="00DF7C60">
            <w:pPr>
              <w:keepNext/>
              <w:spacing w:after="0" w:line="276" w:lineRule="auto"/>
              <w:jc w:val="left"/>
              <w:rPr>
                <w:b/>
                <w:sz w:val="12"/>
              </w:rPr>
            </w:pPr>
            <w:r w:rsidRPr="00DF7C60">
              <w:rPr>
                <w:b/>
                <w:sz w:val="12"/>
              </w:rPr>
              <w:t>Full Name</w:t>
            </w:r>
          </w:p>
        </w:tc>
      </w:tr>
      <w:tr w:rsidR="00DF7C60" w:rsidRPr="00DF7C60" w14:paraId="37CABFCF" w14:textId="77777777" w:rsidTr="0012134E">
        <w:trPr>
          <w:cantSplit/>
          <w:trHeight w:val="454"/>
          <w:jc w:val="center"/>
        </w:trPr>
        <w:tc>
          <w:tcPr>
            <w:tcW w:w="2578" w:type="dxa"/>
            <w:vMerge w:val="restart"/>
          </w:tcPr>
          <w:p w14:paraId="5E8D4D68" w14:textId="77777777" w:rsidR="00DF7C60" w:rsidRPr="00DF7C60" w:rsidRDefault="00DF7C60" w:rsidP="00DF7C60">
            <w:pPr>
              <w:keepNext/>
              <w:spacing w:after="0" w:line="276" w:lineRule="auto"/>
              <w:jc w:val="left"/>
              <w:rPr>
                <w:sz w:val="20"/>
              </w:rPr>
            </w:pPr>
            <w:r w:rsidRPr="00DF7C60">
              <w:rPr>
                <w:sz w:val="20"/>
              </w:rPr>
              <w:t>Address</w:t>
            </w:r>
            <w:r w:rsidRPr="00DF7C60">
              <w:rPr>
                <w:sz w:val="20"/>
              </w:rPr>
              <w:tab/>
            </w:r>
          </w:p>
          <w:p w14:paraId="6DDF72E2" w14:textId="77777777" w:rsidR="00DF7C60" w:rsidRPr="00DF7C60" w:rsidRDefault="00DF7C60" w:rsidP="00DF7C60">
            <w:pPr>
              <w:keepNext/>
              <w:spacing w:after="0" w:line="276" w:lineRule="auto"/>
              <w:jc w:val="left"/>
              <w:rPr>
                <w:b/>
                <w:sz w:val="20"/>
              </w:rPr>
            </w:pPr>
          </w:p>
        </w:tc>
        <w:tc>
          <w:tcPr>
            <w:tcW w:w="7906" w:type="dxa"/>
            <w:gridSpan w:val="5"/>
            <w:tcBorders>
              <w:bottom w:val="nil"/>
            </w:tcBorders>
          </w:tcPr>
          <w:p w14:paraId="30473BB8" w14:textId="77777777" w:rsidR="00DF7C60" w:rsidRPr="00DF7C60" w:rsidRDefault="00DF7C60" w:rsidP="00DF7C60">
            <w:pPr>
              <w:keepNext/>
              <w:spacing w:after="0" w:line="276" w:lineRule="auto"/>
              <w:jc w:val="left"/>
              <w:rPr>
                <w:sz w:val="20"/>
              </w:rPr>
            </w:pPr>
          </w:p>
        </w:tc>
      </w:tr>
      <w:tr w:rsidR="00DF7C60" w:rsidRPr="00DF7C60" w14:paraId="631CB2AA" w14:textId="77777777" w:rsidTr="0012134E">
        <w:trPr>
          <w:cantSplit/>
          <w:trHeight w:val="85"/>
          <w:jc w:val="center"/>
        </w:trPr>
        <w:tc>
          <w:tcPr>
            <w:tcW w:w="2578" w:type="dxa"/>
            <w:vMerge/>
          </w:tcPr>
          <w:p w14:paraId="782D4A5A" w14:textId="77777777" w:rsidR="00DF7C60" w:rsidRPr="00DF7C60" w:rsidRDefault="00DF7C60" w:rsidP="00DF7C60">
            <w:pPr>
              <w:keepNext/>
              <w:spacing w:after="0" w:line="276" w:lineRule="auto"/>
              <w:jc w:val="left"/>
              <w:rPr>
                <w:sz w:val="20"/>
              </w:rPr>
            </w:pPr>
          </w:p>
        </w:tc>
        <w:tc>
          <w:tcPr>
            <w:tcW w:w="7906" w:type="dxa"/>
            <w:gridSpan w:val="5"/>
            <w:tcBorders>
              <w:top w:val="nil"/>
              <w:bottom w:val="single" w:sz="4" w:space="0" w:color="auto"/>
            </w:tcBorders>
            <w:vAlign w:val="bottom"/>
          </w:tcPr>
          <w:p w14:paraId="7C8A5CF2" w14:textId="77777777" w:rsidR="00DF7C60" w:rsidRPr="00DF7C60" w:rsidRDefault="00DF7C60" w:rsidP="00DF7C60">
            <w:pPr>
              <w:keepNext/>
              <w:spacing w:after="0" w:line="276" w:lineRule="auto"/>
              <w:jc w:val="left"/>
              <w:rPr>
                <w:b/>
                <w:sz w:val="20"/>
              </w:rPr>
            </w:pPr>
            <w:r w:rsidRPr="00DF7C60">
              <w:rPr>
                <w:b/>
                <w:sz w:val="12"/>
              </w:rPr>
              <w:t>Street Address (including unit or level number and name of property if required)</w:t>
            </w:r>
          </w:p>
        </w:tc>
      </w:tr>
      <w:tr w:rsidR="00DF7C60" w:rsidRPr="00DF7C60" w14:paraId="1FBCCD3A" w14:textId="77777777" w:rsidTr="0012134E">
        <w:trPr>
          <w:cantSplit/>
          <w:trHeight w:val="454"/>
          <w:jc w:val="center"/>
        </w:trPr>
        <w:tc>
          <w:tcPr>
            <w:tcW w:w="2578" w:type="dxa"/>
            <w:vMerge/>
          </w:tcPr>
          <w:p w14:paraId="5EFEFC3F" w14:textId="77777777" w:rsidR="00DF7C60" w:rsidRPr="00DF7C60" w:rsidRDefault="00DF7C60" w:rsidP="00DF7C60">
            <w:pPr>
              <w:keepNext/>
              <w:spacing w:after="0" w:line="276" w:lineRule="auto"/>
              <w:jc w:val="left"/>
              <w:rPr>
                <w:sz w:val="20"/>
              </w:rPr>
            </w:pPr>
          </w:p>
        </w:tc>
        <w:tc>
          <w:tcPr>
            <w:tcW w:w="2039" w:type="dxa"/>
            <w:tcBorders>
              <w:bottom w:val="nil"/>
            </w:tcBorders>
          </w:tcPr>
          <w:p w14:paraId="771FEA94" w14:textId="77777777" w:rsidR="00DF7C60" w:rsidRPr="00DF7C60" w:rsidRDefault="00DF7C60" w:rsidP="00DF7C60">
            <w:pPr>
              <w:keepNext/>
              <w:spacing w:after="0" w:line="276" w:lineRule="auto"/>
              <w:jc w:val="left"/>
              <w:rPr>
                <w:sz w:val="20"/>
              </w:rPr>
            </w:pPr>
          </w:p>
        </w:tc>
        <w:tc>
          <w:tcPr>
            <w:tcW w:w="2455" w:type="dxa"/>
            <w:tcBorders>
              <w:bottom w:val="nil"/>
            </w:tcBorders>
          </w:tcPr>
          <w:p w14:paraId="1E772CF9" w14:textId="77777777" w:rsidR="00DF7C60" w:rsidRPr="00DF7C60" w:rsidRDefault="00DF7C60" w:rsidP="00DF7C60">
            <w:pPr>
              <w:keepNext/>
              <w:spacing w:after="0" w:line="276" w:lineRule="auto"/>
              <w:jc w:val="left"/>
              <w:rPr>
                <w:sz w:val="20"/>
              </w:rPr>
            </w:pPr>
          </w:p>
        </w:tc>
        <w:tc>
          <w:tcPr>
            <w:tcW w:w="1706" w:type="dxa"/>
            <w:gridSpan w:val="2"/>
            <w:tcBorders>
              <w:bottom w:val="nil"/>
            </w:tcBorders>
          </w:tcPr>
          <w:p w14:paraId="5D051403" w14:textId="77777777" w:rsidR="00DF7C60" w:rsidRPr="00DF7C60" w:rsidRDefault="00DF7C60" w:rsidP="00DF7C60">
            <w:pPr>
              <w:keepNext/>
              <w:spacing w:after="0" w:line="276" w:lineRule="auto"/>
              <w:jc w:val="left"/>
              <w:rPr>
                <w:sz w:val="20"/>
              </w:rPr>
            </w:pPr>
          </w:p>
        </w:tc>
        <w:tc>
          <w:tcPr>
            <w:tcW w:w="1706" w:type="dxa"/>
            <w:tcBorders>
              <w:bottom w:val="nil"/>
            </w:tcBorders>
          </w:tcPr>
          <w:p w14:paraId="26DDA2D7" w14:textId="77777777" w:rsidR="00DF7C60" w:rsidRPr="00DF7C60" w:rsidRDefault="00DF7C60" w:rsidP="00DF7C60">
            <w:pPr>
              <w:keepNext/>
              <w:spacing w:after="0" w:line="276" w:lineRule="auto"/>
              <w:jc w:val="left"/>
              <w:rPr>
                <w:sz w:val="20"/>
              </w:rPr>
            </w:pPr>
          </w:p>
        </w:tc>
      </w:tr>
      <w:tr w:rsidR="00DF7C60" w:rsidRPr="00DF7C60" w14:paraId="1278F38E" w14:textId="77777777" w:rsidTr="0012134E">
        <w:trPr>
          <w:cantSplit/>
          <w:trHeight w:val="86"/>
          <w:jc w:val="center"/>
        </w:trPr>
        <w:tc>
          <w:tcPr>
            <w:tcW w:w="2578" w:type="dxa"/>
            <w:vMerge/>
          </w:tcPr>
          <w:p w14:paraId="2919E99C" w14:textId="77777777" w:rsidR="00DF7C60" w:rsidRPr="00DF7C60" w:rsidRDefault="00DF7C60" w:rsidP="00DF7C60">
            <w:pPr>
              <w:keepNext/>
              <w:spacing w:after="0" w:line="276" w:lineRule="auto"/>
              <w:jc w:val="left"/>
              <w:rPr>
                <w:sz w:val="20"/>
              </w:rPr>
            </w:pPr>
          </w:p>
        </w:tc>
        <w:tc>
          <w:tcPr>
            <w:tcW w:w="2039" w:type="dxa"/>
            <w:tcBorders>
              <w:top w:val="nil"/>
              <w:bottom w:val="single" w:sz="4" w:space="0" w:color="auto"/>
            </w:tcBorders>
            <w:vAlign w:val="bottom"/>
          </w:tcPr>
          <w:p w14:paraId="6223E0B5" w14:textId="77777777" w:rsidR="00DF7C60" w:rsidRPr="00DF7C60" w:rsidRDefault="00DF7C60" w:rsidP="00DF7C60">
            <w:pPr>
              <w:keepNext/>
              <w:spacing w:after="0" w:line="276" w:lineRule="auto"/>
              <w:jc w:val="left"/>
              <w:rPr>
                <w:sz w:val="20"/>
              </w:rPr>
            </w:pPr>
            <w:r w:rsidRPr="00DF7C60">
              <w:rPr>
                <w:b/>
                <w:sz w:val="12"/>
              </w:rPr>
              <w:t>City/town/suburb</w:t>
            </w:r>
          </w:p>
        </w:tc>
        <w:tc>
          <w:tcPr>
            <w:tcW w:w="2455" w:type="dxa"/>
            <w:tcBorders>
              <w:top w:val="nil"/>
              <w:bottom w:val="single" w:sz="4" w:space="0" w:color="auto"/>
            </w:tcBorders>
            <w:vAlign w:val="bottom"/>
          </w:tcPr>
          <w:p w14:paraId="15707432" w14:textId="77777777" w:rsidR="00DF7C60" w:rsidRPr="00DF7C60" w:rsidRDefault="00DF7C60" w:rsidP="00DF7C60">
            <w:pPr>
              <w:keepNext/>
              <w:spacing w:after="0" w:line="276" w:lineRule="auto"/>
              <w:jc w:val="left"/>
              <w:rPr>
                <w:sz w:val="20"/>
              </w:rPr>
            </w:pPr>
            <w:r w:rsidRPr="00DF7C60">
              <w:rPr>
                <w:b/>
                <w:sz w:val="12"/>
              </w:rPr>
              <w:t>State</w:t>
            </w:r>
          </w:p>
        </w:tc>
        <w:tc>
          <w:tcPr>
            <w:tcW w:w="1706" w:type="dxa"/>
            <w:gridSpan w:val="2"/>
            <w:tcBorders>
              <w:top w:val="nil"/>
              <w:bottom w:val="single" w:sz="4" w:space="0" w:color="auto"/>
            </w:tcBorders>
            <w:vAlign w:val="bottom"/>
          </w:tcPr>
          <w:p w14:paraId="16265FFC" w14:textId="77777777" w:rsidR="00DF7C60" w:rsidRPr="00DF7C60" w:rsidRDefault="00DF7C60" w:rsidP="00DF7C60">
            <w:pPr>
              <w:keepNext/>
              <w:spacing w:after="0" w:line="276" w:lineRule="auto"/>
              <w:jc w:val="left"/>
              <w:rPr>
                <w:sz w:val="20"/>
              </w:rPr>
            </w:pPr>
            <w:r w:rsidRPr="00DF7C60">
              <w:rPr>
                <w:b/>
                <w:sz w:val="12"/>
              </w:rPr>
              <w:t>Postcode</w:t>
            </w:r>
          </w:p>
        </w:tc>
        <w:tc>
          <w:tcPr>
            <w:tcW w:w="1706" w:type="dxa"/>
            <w:tcBorders>
              <w:top w:val="nil"/>
              <w:bottom w:val="single" w:sz="4" w:space="0" w:color="auto"/>
            </w:tcBorders>
            <w:vAlign w:val="bottom"/>
          </w:tcPr>
          <w:p w14:paraId="593CF467" w14:textId="77777777" w:rsidR="00DF7C60" w:rsidRPr="00DF7C60" w:rsidRDefault="00DF7C60" w:rsidP="00DF7C60">
            <w:pPr>
              <w:keepNext/>
              <w:spacing w:after="0" w:line="276" w:lineRule="auto"/>
              <w:jc w:val="left"/>
              <w:rPr>
                <w:sz w:val="20"/>
              </w:rPr>
            </w:pPr>
            <w:r w:rsidRPr="00DF7C60">
              <w:rPr>
                <w:b/>
                <w:sz w:val="12"/>
              </w:rPr>
              <w:t>Country</w:t>
            </w:r>
          </w:p>
        </w:tc>
      </w:tr>
      <w:tr w:rsidR="00DF7C60" w:rsidRPr="00DF7C60" w14:paraId="6655BEEB" w14:textId="77777777" w:rsidTr="0012134E">
        <w:trPr>
          <w:cantSplit/>
          <w:trHeight w:val="454"/>
          <w:jc w:val="center"/>
        </w:trPr>
        <w:tc>
          <w:tcPr>
            <w:tcW w:w="2578" w:type="dxa"/>
            <w:vMerge/>
          </w:tcPr>
          <w:p w14:paraId="452443C9" w14:textId="77777777" w:rsidR="00DF7C60" w:rsidRPr="00DF7C60" w:rsidRDefault="00DF7C60" w:rsidP="00DF7C60">
            <w:pPr>
              <w:keepNext/>
              <w:spacing w:after="0" w:line="276" w:lineRule="auto"/>
              <w:jc w:val="left"/>
              <w:rPr>
                <w:sz w:val="20"/>
              </w:rPr>
            </w:pPr>
          </w:p>
        </w:tc>
        <w:tc>
          <w:tcPr>
            <w:tcW w:w="7906" w:type="dxa"/>
            <w:gridSpan w:val="5"/>
            <w:tcBorders>
              <w:bottom w:val="nil"/>
            </w:tcBorders>
          </w:tcPr>
          <w:p w14:paraId="1B494E83" w14:textId="77777777" w:rsidR="00DF7C60" w:rsidRPr="00DF7C60" w:rsidRDefault="00DF7C60" w:rsidP="00DF7C60">
            <w:pPr>
              <w:keepNext/>
              <w:spacing w:after="0" w:line="276" w:lineRule="auto"/>
              <w:jc w:val="left"/>
              <w:rPr>
                <w:sz w:val="20"/>
              </w:rPr>
            </w:pPr>
          </w:p>
        </w:tc>
      </w:tr>
      <w:tr w:rsidR="00DF7C60" w:rsidRPr="00DF7C60" w14:paraId="7880E0AA" w14:textId="77777777" w:rsidTr="0012134E">
        <w:trPr>
          <w:cantSplit/>
          <w:trHeight w:val="85"/>
          <w:jc w:val="center"/>
        </w:trPr>
        <w:tc>
          <w:tcPr>
            <w:tcW w:w="2578" w:type="dxa"/>
            <w:vMerge/>
          </w:tcPr>
          <w:p w14:paraId="028A3A95" w14:textId="77777777" w:rsidR="00DF7C60" w:rsidRPr="00DF7C60" w:rsidRDefault="00DF7C60" w:rsidP="00DF7C60">
            <w:pPr>
              <w:keepNext/>
              <w:spacing w:after="0" w:line="276" w:lineRule="auto"/>
              <w:jc w:val="left"/>
              <w:rPr>
                <w:sz w:val="20"/>
              </w:rPr>
            </w:pPr>
          </w:p>
        </w:tc>
        <w:tc>
          <w:tcPr>
            <w:tcW w:w="7906" w:type="dxa"/>
            <w:gridSpan w:val="5"/>
            <w:tcBorders>
              <w:top w:val="nil"/>
              <w:bottom w:val="single" w:sz="4" w:space="0" w:color="auto"/>
            </w:tcBorders>
          </w:tcPr>
          <w:p w14:paraId="0BF60740" w14:textId="77777777" w:rsidR="00DF7C60" w:rsidRPr="00DF7C60" w:rsidRDefault="00DF7C60" w:rsidP="00DF7C60">
            <w:pPr>
              <w:keepNext/>
              <w:spacing w:after="0" w:line="276" w:lineRule="auto"/>
              <w:jc w:val="left"/>
              <w:rPr>
                <w:b/>
                <w:sz w:val="20"/>
              </w:rPr>
            </w:pPr>
            <w:r w:rsidRPr="00DF7C60">
              <w:rPr>
                <w:b/>
                <w:sz w:val="12"/>
              </w:rPr>
              <w:t>Email address</w:t>
            </w:r>
          </w:p>
        </w:tc>
      </w:tr>
      <w:tr w:rsidR="00DF7C60" w:rsidRPr="00DF7C60" w14:paraId="0C8232D6" w14:textId="77777777" w:rsidTr="0012134E">
        <w:trPr>
          <w:cantSplit/>
          <w:trHeight w:val="454"/>
          <w:jc w:val="center"/>
        </w:trPr>
        <w:tc>
          <w:tcPr>
            <w:tcW w:w="2578" w:type="dxa"/>
            <w:vMerge w:val="restart"/>
          </w:tcPr>
          <w:p w14:paraId="0337D65C"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r w:rsidRPr="00DF7C60">
              <w:rPr>
                <w:sz w:val="20"/>
                <w:szCs w:val="20"/>
              </w:rPr>
              <w:t>Date of Birth and Licence number</w:t>
            </w:r>
          </w:p>
        </w:tc>
        <w:tc>
          <w:tcPr>
            <w:tcW w:w="4505" w:type="dxa"/>
            <w:gridSpan w:val="3"/>
            <w:tcBorders>
              <w:top w:val="single" w:sz="4" w:space="0" w:color="auto"/>
              <w:bottom w:val="nil"/>
            </w:tcBorders>
          </w:tcPr>
          <w:p w14:paraId="10272E50" w14:textId="77777777" w:rsidR="00DF7C60" w:rsidRPr="00DF7C60" w:rsidRDefault="00DF7C60" w:rsidP="00DF7C60">
            <w:pPr>
              <w:overflowPunct w:val="0"/>
              <w:autoSpaceDE w:val="0"/>
              <w:autoSpaceDN w:val="0"/>
              <w:adjustRightInd w:val="0"/>
              <w:spacing w:after="0" w:line="276" w:lineRule="auto"/>
              <w:textAlignment w:val="baseline"/>
              <w:rPr>
                <w:b/>
                <w:sz w:val="20"/>
              </w:rPr>
            </w:pPr>
          </w:p>
        </w:tc>
        <w:tc>
          <w:tcPr>
            <w:tcW w:w="3401" w:type="dxa"/>
            <w:gridSpan w:val="2"/>
            <w:tcBorders>
              <w:top w:val="single" w:sz="4" w:space="0" w:color="auto"/>
              <w:bottom w:val="nil"/>
            </w:tcBorders>
          </w:tcPr>
          <w:p w14:paraId="4A2870F5" w14:textId="77777777" w:rsidR="00DF7C60" w:rsidRPr="00DF7C60" w:rsidRDefault="00DF7C60" w:rsidP="00DF7C60">
            <w:pPr>
              <w:overflowPunct w:val="0"/>
              <w:autoSpaceDE w:val="0"/>
              <w:autoSpaceDN w:val="0"/>
              <w:adjustRightInd w:val="0"/>
              <w:spacing w:after="0" w:line="276" w:lineRule="auto"/>
              <w:textAlignment w:val="baseline"/>
              <w:rPr>
                <w:b/>
                <w:sz w:val="20"/>
              </w:rPr>
            </w:pPr>
          </w:p>
        </w:tc>
      </w:tr>
      <w:tr w:rsidR="00DF7C60" w:rsidRPr="00DF7C60" w14:paraId="2E4A94C8" w14:textId="77777777" w:rsidTr="0012134E">
        <w:trPr>
          <w:cantSplit/>
          <w:trHeight w:val="85"/>
          <w:jc w:val="center"/>
        </w:trPr>
        <w:tc>
          <w:tcPr>
            <w:tcW w:w="2578" w:type="dxa"/>
            <w:vMerge/>
          </w:tcPr>
          <w:p w14:paraId="79E4E852"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p>
        </w:tc>
        <w:tc>
          <w:tcPr>
            <w:tcW w:w="4505" w:type="dxa"/>
            <w:gridSpan w:val="3"/>
            <w:tcBorders>
              <w:top w:val="nil"/>
              <w:bottom w:val="single" w:sz="4" w:space="0" w:color="auto"/>
            </w:tcBorders>
          </w:tcPr>
          <w:p w14:paraId="5DB194E9" w14:textId="77777777" w:rsidR="00DF7C60" w:rsidRPr="00DF7C60" w:rsidRDefault="00DF7C60" w:rsidP="00DF7C60">
            <w:pPr>
              <w:overflowPunct w:val="0"/>
              <w:autoSpaceDE w:val="0"/>
              <w:autoSpaceDN w:val="0"/>
              <w:adjustRightInd w:val="0"/>
              <w:spacing w:after="0" w:line="276" w:lineRule="auto"/>
              <w:textAlignment w:val="baseline"/>
              <w:rPr>
                <w:b/>
                <w:sz w:val="12"/>
              </w:rPr>
            </w:pPr>
            <w:r w:rsidRPr="00DF7C60">
              <w:rPr>
                <w:b/>
                <w:sz w:val="12"/>
              </w:rPr>
              <w:t>Date of Birth</w:t>
            </w:r>
          </w:p>
        </w:tc>
        <w:tc>
          <w:tcPr>
            <w:tcW w:w="3401" w:type="dxa"/>
            <w:gridSpan w:val="2"/>
            <w:tcBorders>
              <w:top w:val="nil"/>
              <w:bottom w:val="single" w:sz="4" w:space="0" w:color="auto"/>
            </w:tcBorders>
          </w:tcPr>
          <w:p w14:paraId="00AAAA0E" w14:textId="77777777" w:rsidR="00DF7C60" w:rsidRPr="00DF7C60" w:rsidRDefault="00DF7C60" w:rsidP="00DF7C60">
            <w:pPr>
              <w:overflowPunct w:val="0"/>
              <w:autoSpaceDE w:val="0"/>
              <w:autoSpaceDN w:val="0"/>
              <w:adjustRightInd w:val="0"/>
              <w:spacing w:after="0" w:line="276" w:lineRule="auto"/>
              <w:textAlignment w:val="baseline"/>
              <w:rPr>
                <w:b/>
                <w:sz w:val="12"/>
              </w:rPr>
            </w:pPr>
            <w:r w:rsidRPr="00DF7C60">
              <w:rPr>
                <w:b/>
                <w:sz w:val="12"/>
              </w:rPr>
              <w:t>Driver’s Licence No</w:t>
            </w:r>
          </w:p>
        </w:tc>
      </w:tr>
      <w:tr w:rsidR="00DF7C60" w:rsidRPr="00DF7C60" w14:paraId="49EE640A" w14:textId="77777777" w:rsidTr="0012134E">
        <w:trPr>
          <w:cantSplit/>
          <w:trHeight w:val="454"/>
          <w:jc w:val="center"/>
        </w:trPr>
        <w:tc>
          <w:tcPr>
            <w:tcW w:w="2578" w:type="dxa"/>
            <w:vMerge w:val="restart"/>
          </w:tcPr>
          <w:p w14:paraId="7E3A913F"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r w:rsidRPr="00DF7C60">
              <w:rPr>
                <w:sz w:val="20"/>
                <w:szCs w:val="20"/>
              </w:rPr>
              <w:t>Phone Details</w:t>
            </w:r>
          </w:p>
        </w:tc>
        <w:tc>
          <w:tcPr>
            <w:tcW w:w="4505" w:type="dxa"/>
            <w:gridSpan w:val="3"/>
            <w:tcBorders>
              <w:top w:val="single" w:sz="4" w:space="0" w:color="auto"/>
              <w:bottom w:val="nil"/>
            </w:tcBorders>
          </w:tcPr>
          <w:p w14:paraId="27E32C5D" w14:textId="77777777" w:rsidR="00DF7C60" w:rsidRPr="00DF7C60" w:rsidRDefault="00DF7C60" w:rsidP="00DF7C60">
            <w:pPr>
              <w:overflowPunct w:val="0"/>
              <w:autoSpaceDE w:val="0"/>
              <w:autoSpaceDN w:val="0"/>
              <w:adjustRightInd w:val="0"/>
              <w:spacing w:after="0" w:line="276" w:lineRule="auto"/>
              <w:textAlignment w:val="baseline"/>
              <w:rPr>
                <w:b/>
                <w:sz w:val="20"/>
              </w:rPr>
            </w:pPr>
          </w:p>
        </w:tc>
        <w:tc>
          <w:tcPr>
            <w:tcW w:w="3401" w:type="dxa"/>
            <w:gridSpan w:val="2"/>
            <w:tcBorders>
              <w:top w:val="single" w:sz="4" w:space="0" w:color="auto"/>
              <w:bottom w:val="nil"/>
            </w:tcBorders>
          </w:tcPr>
          <w:p w14:paraId="5129C16D" w14:textId="77777777" w:rsidR="00DF7C60" w:rsidRPr="00DF7C60" w:rsidRDefault="00DF7C60" w:rsidP="00DF7C60">
            <w:pPr>
              <w:overflowPunct w:val="0"/>
              <w:autoSpaceDE w:val="0"/>
              <w:autoSpaceDN w:val="0"/>
              <w:adjustRightInd w:val="0"/>
              <w:spacing w:after="0" w:line="276" w:lineRule="auto"/>
              <w:textAlignment w:val="baseline"/>
              <w:rPr>
                <w:b/>
                <w:sz w:val="20"/>
              </w:rPr>
            </w:pPr>
          </w:p>
        </w:tc>
      </w:tr>
      <w:tr w:rsidR="00DF7C60" w:rsidRPr="00DF7C60" w14:paraId="4A8AC75E" w14:textId="77777777" w:rsidTr="0012134E">
        <w:trPr>
          <w:cantSplit/>
          <w:trHeight w:val="85"/>
          <w:jc w:val="center"/>
        </w:trPr>
        <w:tc>
          <w:tcPr>
            <w:tcW w:w="2578" w:type="dxa"/>
            <w:vMerge/>
          </w:tcPr>
          <w:p w14:paraId="5980AD9F" w14:textId="77777777" w:rsidR="00DF7C60" w:rsidRPr="00DF7C60" w:rsidRDefault="00DF7C60" w:rsidP="00DF7C60">
            <w:pPr>
              <w:overflowPunct w:val="0"/>
              <w:autoSpaceDE w:val="0"/>
              <w:autoSpaceDN w:val="0"/>
              <w:adjustRightInd w:val="0"/>
              <w:spacing w:after="0" w:line="276" w:lineRule="auto"/>
              <w:textAlignment w:val="baseline"/>
              <w:rPr>
                <w:sz w:val="20"/>
                <w:szCs w:val="20"/>
              </w:rPr>
            </w:pPr>
          </w:p>
        </w:tc>
        <w:tc>
          <w:tcPr>
            <w:tcW w:w="4505" w:type="dxa"/>
            <w:gridSpan w:val="3"/>
            <w:tcBorders>
              <w:top w:val="nil"/>
            </w:tcBorders>
          </w:tcPr>
          <w:p w14:paraId="38918C5F" w14:textId="77777777" w:rsidR="00DF7C60" w:rsidRPr="00DF7C60" w:rsidRDefault="00DF7C60" w:rsidP="00DF7C60">
            <w:pPr>
              <w:overflowPunct w:val="0"/>
              <w:autoSpaceDE w:val="0"/>
              <w:autoSpaceDN w:val="0"/>
              <w:adjustRightInd w:val="0"/>
              <w:spacing w:after="0" w:line="276" w:lineRule="auto"/>
              <w:textAlignment w:val="baseline"/>
              <w:rPr>
                <w:b/>
                <w:sz w:val="12"/>
              </w:rPr>
            </w:pPr>
            <w:r w:rsidRPr="00DF7C60">
              <w:rPr>
                <w:b/>
                <w:sz w:val="12"/>
              </w:rPr>
              <w:t>Type (eg. home; work; mobile) – Number</w:t>
            </w:r>
          </w:p>
        </w:tc>
        <w:tc>
          <w:tcPr>
            <w:tcW w:w="3401" w:type="dxa"/>
            <w:gridSpan w:val="2"/>
            <w:tcBorders>
              <w:top w:val="nil"/>
              <w:bottom w:val="single" w:sz="4" w:space="0" w:color="auto"/>
            </w:tcBorders>
          </w:tcPr>
          <w:p w14:paraId="42C2E9A9" w14:textId="77777777" w:rsidR="00DF7C60" w:rsidRPr="00DF7C60" w:rsidRDefault="00DF7C60" w:rsidP="00DF7C60">
            <w:pPr>
              <w:overflowPunct w:val="0"/>
              <w:autoSpaceDE w:val="0"/>
              <w:autoSpaceDN w:val="0"/>
              <w:adjustRightInd w:val="0"/>
              <w:spacing w:after="0" w:line="276" w:lineRule="auto"/>
              <w:textAlignment w:val="baseline"/>
              <w:rPr>
                <w:b/>
                <w:sz w:val="12"/>
              </w:rPr>
            </w:pPr>
            <w:r w:rsidRPr="00DF7C60">
              <w:rPr>
                <w:b/>
                <w:sz w:val="12"/>
              </w:rPr>
              <w:t>Another number</w:t>
            </w:r>
          </w:p>
        </w:tc>
      </w:tr>
    </w:tbl>
    <w:p w14:paraId="490F4C39"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eastAsia="Times New Roman"/>
          <w:bCs/>
          <w:sz w:val="12"/>
          <w:szCs w:val="20"/>
        </w:rPr>
      </w:pPr>
    </w:p>
    <w:tbl>
      <w:tblPr>
        <w:tblStyle w:val="TableGrid92"/>
        <w:tblW w:w="5000" w:type="pct"/>
        <w:tblLook w:val="04A0" w:firstRow="1" w:lastRow="0" w:firstColumn="1" w:lastColumn="0" w:noHBand="0" w:noVBand="1"/>
      </w:tblPr>
      <w:tblGrid>
        <w:gridCol w:w="9344"/>
      </w:tblGrid>
      <w:tr w:rsidR="00DF7C60" w:rsidRPr="00DF7C60" w14:paraId="1E162AE5" w14:textId="77777777" w:rsidTr="0012134E">
        <w:tc>
          <w:tcPr>
            <w:tcW w:w="5000" w:type="pct"/>
            <w:tcBorders>
              <w:top w:val="single" w:sz="4" w:space="0" w:color="auto"/>
              <w:left w:val="single" w:sz="4" w:space="0" w:color="auto"/>
              <w:bottom w:val="single" w:sz="4" w:space="0" w:color="auto"/>
              <w:right w:val="single" w:sz="4" w:space="0" w:color="auto"/>
            </w:tcBorders>
          </w:tcPr>
          <w:p w14:paraId="6AEBEFD6" w14:textId="77777777" w:rsidR="00DF7C60" w:rsidRPr="00DF7C60" w:rsidRDefault="00DF7C60" w:rsidP="00DF7C60">
            <w:pPr>
              <w:overflowPunct w:val="0"/>
              <w:autoSpaceDE w:val="0"/>
              <w:autoSpaceDN w:val="0"/>
              <w:adjustRightInd w:val="0"/>
              <w:spacing w:before="120" w:after="240" w:line="276" w:lineRule="auto"/>
              <w:ind w:right="57"/>
              <w:textAlignment w:val="baseline"/>
              <w:rPr>
                <w:b/>
                <w:sz w:val="20"/>
                <w:szCs w:val="20"/>
              </w:rPr>
            </w:pPr>
            <w:r w:rsidRPr="00DF7C60">
              <w:rPr>
                <w:b/>
                <w:sz w:val="20"/>
                <w:szCs w:val="20"/>
              </w:rPr>
              <w:t>Refusal Request</w:t>
            </w:r>
          </w:p>
          <w:p w14:paraId="785CC95E"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 xml:space="preserve">I am a competent authority because I have responsibility for, or powers, functions or duties in relation to the </w:t>
            </w:r>
            <w:r w:rsidRPr="00DF7C60">
              <w:rPr>
                <w:iCs/>
                <w:sz w:val="20"/>
                <w:szCs w:val="20"/>
              </w:rPr>
              <w:t>order</w:t>
            </w:r>
            <w:r w:rsidRPr="00DF7C60">
              <w:rPr>
                <w:i/>
                <w:sz w:val="20"/>
                <w:szCs w:val="20"/>
              </w:rPr>
              <w:t xml:space="preserve"> </w:t>
            </w:r>
            <w:r w:rsidRPr="00DF7C60">
              <w:rPr>
                <w:sz w:val="20"/>
                <w:szCs w:val="20"/>
              </w:rPr>
              <w:t>forming grounds for this request.</w:t>
            </w:r>
          </w:p>
          <w:p w14:paraId="1AA61941"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 xml:space="preserve">As a competent authority for the purposes of section 12 of the </w:t>
            </w:r>
            <w:r w:rsidRPr="00DF7C60">
              <w:rPr>
                <w:i/>
                <w:sz w:val="20"/>
                <w:szCs w:val="20"/>
              </w:rPr>
              <w:t xml:space="preserve">Australian Passports Act 2005 </w:t>
            </w:r>
            <w:r w:rsidRPr="00DF7C60">
              <w:rPr>
                <w:sz w:val="20"/>
                <w:szCs w:val="20"/>
              </w:rPr>
              <w:t>(Cth)</w:t>
            </w:r>
            <w:r w:rsidRPr="00DF7C60">
              <w:rPr>
                <w:i/>
                <w:sz w:val="20"/>
                <w:szCs w:val="20"/>
              </w:rPr>
              <w:t xml:space="preserve">, </w:t>
            </w:r>
            <w:r w:rsidRPr="00DF7C60">
              <w:rPr>
                <w:sz w:val="20"/>
                <w:szCs w:val="20"/>
              </w:rPr>
              <w:t xml:space="preserve">I hereby request the Minister for Foreign Affairs to refuse issue of an Australian passport to the </w:t>
            </w:r>
            <w:r w:rsidRPr="00DF7C60">
              <w:rPr>
                <w:rFonts w:eastAsia="Arial"/>
                <w:iCs/>
                <w:sz w:val="20"/>
                <w:szCs w:val="20"/>
              </w:rPr>
              <w:t>[</w:t>
            </w:r>
            <w:r w:rsidRPr="00DF7C60">
              <w:rPr>
                <w:rFonts w:eastAsia="Arial"/>
                <w:i/>
                <w:iCs/>
                <w:sz w:val="20"/>
                <w:szCs w:val="20"/>
              </w:rPr>
              <w:t>Defendant/Youth</w:t>
            </w:r>
            <w:r w:rsidRPr="00DF7C60">
              <w:rPr>
                <w:rFonts w:eastAsia="Arial"/>
                <w:iCs/>
                <w:sz w:val="20"/>
                <w:szCs w:val="20"/>
              </w:rPr>
              <w:t>]</w:t>
            </w:r>
            <w:r w:rsidRPr="00DF7C60">
              <w:rPr>
                <w:sz w:val="20"/>
                <w:szCs w:val="20"/>
              </w:rPr>
              <w:t xml:space="preserve"> who is a person who is prevented from travelling internationally by force of a condition of a </w:t>
            </w:r>
            <w:r w:rsidRPr="00DF7C60">
              <w:rPr>
                <w:iCs/>
                <w:sz w:val="20"/>
                <w:szCs w:val="20"/>
              </w:rPr>
              <w:t>[</w:t>
            </w:r>
            <w:r w:rsidRPr="00DF7C60">
              <w:rPr>
                <w:i/>
                <w:sz w:val="20"/>
                <w:szCs w:val="20"/>
              </w:rPr>
              <w:t>H</w:t>
            </w:r>
            <w:r w:rsidRPr="00DF7C60">
              <w:rPr>
                <w:i/>
                <w:iCs/>
                <w:sz w:val="20"/>
                <w:szCs w:val="20"/>
              </w:rPr>
              <w:t>ome Detention Order/Intensive Correction Order/Suspended Sentenced Bond/Good Behaviour Bond/Obligation/Bail Agreement/Recognisance Release Order/Recognisance Order</w:t>
            </w:r>
            <w:r w:rsidRPr="00DF7C60">
              <w:rPr>
                <w:iCs/>
                <w:sz w:val="20"/>
                <w:szCs w:val="20"/>
              </w:rPr>
              <w:t xml:space="preserve">] made by </w:t>
            </w:r>
            <w:r w:rsidRPr="00DF7C60">
              <w:rPr>
                <w:rFonts w:eastAsia="Arial"/>
                <w:iCs/>
                <w:sz w:val="20"/>
                <w:szCs w:val="20"/>
              </w:rPr>
              <w:t>[</w:t>
            </w:r>
            <w:r w:rsidRPr="00DF7C60">
              <w:rPr>
                <w:rFonts w:eastAsia="Arial"/>
                <w:i/>
                <w:iCs/>
                <w:sz w:val="20"/>
                <w:szCs w:val="20"/>
              </w:rPr>
              <w:t>Court</w:t>
            </w:r>
            <w:r w:rsidRPr="00DF7C60">
              <w:rPr>
                <w:rFonts w:eastAsia="Arial"/>
                <w:iCs/>
                <w:sz w:val="20"/>
                <w:szCs w:val="20"/>
              </w:rPr>
              <w:t>]</w:t>
            </w:r>
            <w:r w:rsidRPr="00DF7C60">
              <w:rPr>
                <w:rFonts w:eastAsia="Arial"/>
                <w:i/>
                <w:iCs/>
                <w:sz w:val="20"/>
                <w:szCs w:val="20"/>
              </w:rPr>
              <w:t xml:space="preserve"> </w:t>
            </w:r>
            <w:r w:rsidRPr="00DF7C60">
              <w:rPr>
                <w:sz w:val="20"/>
                <w:szCs w:val="20"/>
              </w:rPr>
              <w:t xml:space="preserve">on </w:t>
            </w:r>
            <w:r w:rsidRPr="00DF7C60">
              <w:rPr>
                <w:rFonts w:eastAsia="Arial"/>
                <w:iCs/>
                <w:sz w:val="20"/>
                <w:szCs w:val="20"/>
              </w:rPr>
              <w:t>[</w:t>
            </w:r>
            <w:r w:rsidRPr="00DF7C60">
              <w:rPr>
                <w:rFonts w:eastAsia="Arial"/>
                <w:i/>
                <w:iCs/>
                <w:sz w:val="20"/>
                <w:szCs w:val="20"/>
              </w:rPr>
              <w:t>date</w:t>
            </w:r>
            <w:r w:rsidRPr="00DF7C60">
              <w:rPr>
                <w:rFonts w:eastAsia="Arial"/>
                <w:iCs/>
                <w:sz w:val="20"/>
                <w:szCs w:val="20"/>
              </w:rPr>
              <w:t>].</w:t>
            </w:r>
          </w:p>
          <w:p w14:paraId="7123A10F" w14:textId="77777777" w:rsidR="00DF7C60" w:rsidRPr="00DF7C60" w:rsidRDefault="00DF7C60" w:rsidP="00DF7C60">
            <w:pPr>
              <w:overflowPunct w:val="0"/>
              <w:autoSpaceDE w:val="0"/>
              <w:autoSpaceDN w:val="0"/>
              <w:adjustRightInd w:val="0"/>
              <w:spacing w:after="0" w:line="276" w:lineRule="auto"/>
              <w:ind w:right="57"/>
              <w:textAlignment w:val="baseline"/>
              <w:rPr>
                <w:sz w:val="20"/>
                <w:szCs w:val="20"/>
              </w:rPr>
            </w:pPr>
          </w:p>
          <w:p w14:paraId="7EE6C377" w14:textId="77777777" w:rsidR="00DF7C60" w:rsidRPr="00DF7C60" w:rsidRDefault="00DF7C60" w:rsidP="00DF7C60">
            <w:pPr>
              <w:overflowPunct w:val="0"/>
              <w:autoSpaceDE w:val="0"/>
              <w:autoSpaceDN w:val="0"/>
              <w:adjustRightInd w:val="0"/>
              <w:spacing w:before="240" w:after="0" w:line="276" w:lineRule="auto"/>
              <w:ind w:right="57"/>
              <w:textAlignment w:val="baseline"/>
              <w:rPr>
                <w:b/>
                <w:sz w:val="20"/>
                <w:szCs w:val="20"/>
              </w:rPr>
            </w:pPr>
            <w:r w:rsidRPr="00DF7C60">
              <w:rPr>
                <w:b/>
                <w:sz w:val="20"/>
                <w:szCs w:val="20"/>
              </w:rPr>
              <w:t>Grounds for refusal</w:t>
            </w:r>
          </w:p>
          <w:p w14:paraId="75E5B8B8" w14:textId="77777777" w:rsidR="00DF7C60" w:rsidRPr="00DF7C60" w:rsidRDefault="00DF7C60" w:rsidP="00965F17">
            <w:pPr>
              <w:numPr>
                <w:ilvl w:val="0"/>
                <w:numId w:val="19"/>
              </w:numPr>
              <w:tabs>
                <w:tab w:val="left" w:pos="452"/>
              </w:tabs>
              <w:overflowPunct w:val="0"/>
              <w:autoSpaceDE w:val="0"/>
              <w:autoSpaceDN w:val="0"/>
              <w:adjustRightInd w:val="0"/>
              <w:spacing w:before="120" w:after="0" w:line="276" w:lineRule="auto"/>
              <w:ind w:left="878" w:right="57" w:hanging="878"/>
              <w:jc w:val="left"/>
              <w:textAlignment w:val="baseline"/>
              <w:rPr>
                <w:sz w:val="20"/>
                <w:szCs w:val="20"/>
              </w:rPr>
            </w:pPr>
            <w:r w:rsidRPr="00DF7C60">
              <w:rPr>
                <w:sz w:val="20"/>
                <w:szCs w:val="20"/>
              </w:rPr>
              <w:t xml:space="preserve">1. </w:t>
            </w:r>
            <w:r w:rsidRPr="00DF7C60">
              <w:rPr>
                <w:sz w:val="20"/>
                <w:szCs w:val="20"/>
              </w:rPr>
              <w:tab/>
              <w:t xml:space="preserve">A bail agreement has been entered by the </w:t>
            </w:r>
            <w:r w:rsidRPr="00DF7C60">
              <w:rPr>
                <w:rFonts w:eastAsia="Arial"/>
                <w:iCs/>
                <w:sz w:val="20"/>
                <w:szCs w:val="20"/>
              </w:rPr>
              <w:t>[</w:t>
            </w:r>
            <w:r w:rsidRPr="00DF7C60">
              <w:rPr>
                <w:rFonts w:eastAsia="Arial"/>
                <w:i/>
                <w:iCs/>
                <w:sz w:val="20"/>
                <w:szCs w:val="20"/>
              </w:rPr>
              <w:t>Defendant/Youth</w:t>
            </w:r>
            <w:r w:rsidRPr="00DF7C60">
              <w:rPr>
                <w:rFonts w:eastAsia="Arial"/>
                <w:iCs/>
                <w:sz w:val="20"/>
                <w:szCs w:val="20"/>
              </w:rPr>
              <w:t xml:space="preserve">] requiring them to surrender </w:t>
            </w:r>
            <w:r w:rsidRPr="00DF7C60">
              <w:rPr>
                <w:iCs/>
                <w:sz w:val="20"/>
                <w:szCs w:val="20"/>
              </w:rPr>
              <w:t>their</w:t>
            </w:r>
            <w:r w:rsidRPr="00DF7C60">
              <w:rPr>
                <w:i/>
                <w:iCs/>
                <w:sz w:val="20"/>
                <w:szCs w:val="20"/>
              </w:rPr>
              <w:t xml:space="preserve"> </w:t>
            </w:r>
            <w:r w:rsidRPr="00DF7C60">
              <w:rPr>
                <w:rFonts w:eastAsia="Arial"/>
                <w:iCs/>
                <w:sz w:val="20"/>
                <w:szCs w:val="20"/>
              </w:rPr>
              <w:t xml:space="preserve">passport to the Registrar of the </w:t>
            </w:r>
            <w:r w:rsidRPr="00DF7C60">
              <w:rPr>
                <w:rFonts w:eastAsia="Arial"/>
                <w:sz w:val="20"/>
                <w:szCs w:val="20"/>
              </w:rPr>
              <w:t>Court</w:t>
            </w:r>
            <w:r w:rsidRPr="00DF7C60">
              <w:rPr>
                <w:rFonts w:eastAsia="Arial"/>
                <w:iCs/>
                <w:sz w:val="20"/>
                <w:szCs w:val="20"/>
              </w:rPr>
              <w:t xml:space="preserve"> and not to apply for a new passport and not to approach any point of international departure.</w:t>
            </w:r>
          </w:p>
          <w:p w14:paraId="08EC5ADE" w14:textId="77777777" w:rsidR="00DF7C60" w:rsidRPr="00DF7C60" w:rsidRDefault="00DF7C60" w:rsidP="00965F17">
            <w:pPr>
              <w:numPr>
                <w:ilvl w:val="0"/>
                <w:numId w:val="19"/>
              </w:numPr>
              <w:tabs>
                <w:tab w:val="left" w:pos="452"/>
              </w:tabs>
              <w:overflowPunct w:val="0"/>
              <w:autoSpaceDE w:val="0"/>
              <w:autoSpaceDN w:val="0"/>
              <w:adjustRightInd w:val="0"/>
              <w:spacing w:before="120" w:after="0" w:line="276" w:lineRule="auto"/>
              <w:ind w:left="878" w:right="57" w:hanging="878"/>
              <w:jc w:val="left"/>
              <w:textAlignment w:val="baseline"/>
              <w:rPr>
                <w:sz w:val="20"/>
                <w:szCs w:val="20"/>
              </w:rPr>
            </w:pPr>
            <w:r w:rsidRPr="00DF7C60">
              <w:rPr>
                <w:sz w:val="20"/>
                <w:szCs w:val="20"/>
              </w:rPr>
              <w:lastRenderedPageBreak/>
              <w:t>2.</w:t>
            </w:r>
            <w:r w:rsidRPr="00DF7C60">
              <w:rPr>
                <w:sz w:val="20"/>
                <w:szCs w:val="20"/>
              </w:rPr>
              <w:tab/>
              <w:t xml:space="preserve">A </w:t>
            </w:r>
            <w:r w:rsidRPr="00DF7C60">
              <w:rPr>
                <w:iCs/>
                <w:sz w:val="20"/>
                <w:szCs w:val="20"/>
              </w:rPr>
              <w:t>[</w:t>
            </w:r>
            <w:r w:rsidRPr="00DF7C60">
              <w:rPr>
                <w:i/>
                <w:sz w:val="20"/>
                <w:szCs w:val="20"/>
              </w:rPr>
              <w:t>H</w:t>
            </w:r>
            <w:r w:rsidRPr="00DF7C60">
              <w:rPr>
                <w:i/>
                <w:iCs/>
                <w:sz w:val="20"/>
                <w:szCs w:val="20"/>
              </w:rPr>
              <w:t>ome Detention/Intensive Correction/ Suspended Sentenced Bond/Good Behaviour Bond/Obligation/ Recognisance Release/Recognisance</w:t>
            </w:r>
            <w:r w:rsidRPr="00DF7C60">
              <w:rPr>
                <w:iCs/>
                <w:sz w:val="20"/>
                <w:szCs w:val="20"/>
              </w:rPr>
              <w:t xml:space="preserve">] Order was made by the Court </w:t>
            </w:r>
            <w:r w:rsidRPr="00DF7C60">
              <w:rPr>
                <w:rFonts w:eastAsia="Arial"/>
                <w:iCs/>
                <w:sz w:val="20"/>
                <w:szCs w:val="20"/>
              </w:rPr>
              <w:t xml:space="preserve">requiring </w:t>
            </w:r>
            <w:r w:rsidRPr="00DF7C60">
              <w:rPr>
                <w:iCs/>
                <w:sz w:val="20"/>
                <w:szCs w:val="20"/>
              </w:rPr>
              <w:t xml:space="preserve">the </w:t>
            </w:r>
            <w:r w:rsidRPr="00DF7C60">
              <w:rPr>
                <w:rFonts w:eastAsia="Arial"/>
                <w:iCs/>
                <w:sz w:val="20"/>
                <w:szCs w:val="20"/>
              </w:rPr>
              <w:t>[</w:t>
            </w:r>
            <w:r w:rsidRPr="00DF7C60">
              <w:rPr>
                <w:rFonts w:eastAsia="Arial"/>
                <w:i/>
                <w:iCs/>
                <w:sz w:val="20"/>
                <w:szCs w:val="20"/>
              </w:rPr>
              <w:t>Defendant/Youth</w:t>
            </w:r>
            <w:r w:rsidRPr="00DF7C60">
              <w:rPr>
                <w:rFonts w:eastAsia="Arial"/>
                <w:iCs/>
                <w:sz w:val="20"/>
                <w:szCs w:val="20"/>
              </w:rPr>
              <w:t xml:space="preserve">] to surrender </w:t>
            </w:r>
            <w:r w:rsidRPr="00DF7C60">
              <w:rPr>
                <w:iCs/>
                <w:sz w:val="20"/>
                <w:szCs w:val="20"/>
              </w:rPr>
              <w:t>their</w:t>
            </w:r>
            <w:r w:rsidRPr="00DF7C60">
              <w:rPr>
                <w:i/>
                <w:iCs/>
                <w:sz w:val="20"/>
                <w:szCs w:val="20"/>
              </w:rPr>
              <w:t xml:space="preserve"> </w:t>
            </w:r>
            <w:r w:rsidRPr="00DF7C60">
              <w:rPr>
                <w:rFonts w:eastAsia="Arial"/>
                <w:iCs/>
                <w:sz w:val="20"/>
                <w:szCs w:val="20"/>
              </w:rPr>
              <w:t xml:space="preserve">passport to the Registrar of the </w:t>
            </w:r>
            <w:r w:rsidRPr="00DF7C60">
              <w:rPr>
                <w:rFonts w:eastAsia="Arial"/>
                <w:sz w:val="20"/>
                <w:szCs w:val="20"/>
              </w:rPr>
              <w:t>Court</w:t>
            </w:r>
            <w:r w:rsidRPr="00DF7C60">
              <w:rPr>
                <w:rFonts w:eastAsia="Arial"/>
                <w:iCs/>
                <w:sz w:val="20"/>
                <w:szCs w:val="20"/>
              </w:rPr>
              <w:t xml:space="preserve"> and not to apply for a new passport and not to approach any point of international departure.</w:t>
            </w:r>
          </w:p>
          <w:p w14:paraId="6E66990A" w14:textId="77777777" w:rsidR="00DF7C60" w:rsidRPr="00DF7C60" w:rsidRDefault="00DF7C60" w:rsidP="00965F17">
            <w:pPr>
              <w:numPr>
                <w:ilvl w:val="0"/>
                <w:numId w:val="19"/>
              </w:numPr>
              <w:tabs>
                <w:tab w:val="left" w:pos="452"/>
              </w:tabs>
              <w:overflowPunct w:val="0"/>
              <w:autoSpaceDE w:val="0"/>
              <w:autoSpaceDN w:val="0"/>
              <w:adjustRightInd w:val="0"/>
              <w:spacing w:before="120" w:after="0" w:line="276" w:lineRule="auto"/>
              <w:ind w:left="878" w:right="57" w:hanging="878"/>
              <w:jc w:val="left"/>
              <w:textAlignment w:val="baseline"/>
              <w:rPr>
                <w:sz w:val="20"/>
                <w:szCs w:val="20"/>
              </w:rPr>
            </w:pPr>
            <w:r w:rsidRPr="00DF7C60">
              <w:rPr>
                <w:sz w:val="20"/>
                <w:szCs w:val="20"/>
              </w:rPr>
              <w:t>3.</w:t>
            </w:r>
            <w:r w:rsidRPr="00DF7C60">
              <w:rPr>
                <w:sz w:val="20"/>
                <w:szCs w:val="20"/>
              </w:rPr>
              <w:tab/>
            </w:r>
            <w:r w:rsidRPr="00DF7C60">
              <w:rPr>
                <w:iCs/>
                <w:sz w:val="20"/>
                <w:szCs w:val="20"/>
              </w:rPr>
              <w:t>[</w:t>
            </w:r>
            <w:r w:rsidRPr="00DF7C60">
              <w:rPr>
                <w:i/>
                <w:iCs/>
                <w:sz w:val="20"/>
                <w:szCs w:val="20"/>
              </w:rPr>
              <w:t>other</w:t>
            </w:r>
            <w:r w:rsidRPr="00DF7C60">
              <w:rPr>
                <w:iCs/>
                <w:sz w:val="20"/>
                <w:szCs w:val="20"/>
              </w:rPr>
              <w:t>].</w:t>
            </w:r>
          </w:p>
          <w:p w14:paraId="7109FCC8" w14:textId="77777777" w:rsidR="00DF7C60" w:rsidRPr="00DF7C60" w:rsidRDefault="00DF7C60" w:rsidP="00DF7C60">
            <w:pPr>
              <w:overflowPunct w:val="0"/>
              <w:autoSpaceDE w:val="0"/>
              <w:autoSpaceDN w:val="0"/>
              <w:adjustRightInd w:val="0"/>
              <w:spacing w:before="240" w:after="0" w:line="276" w:lineRule="auto"/>
              <w:ind w:right="57"/>
              <w:textAlignment w:val="baseline"/>
              <w:rPr>
                <w:b/>
                <w:sz w:val="20"/>
                <w:szCs w:val="20"/>
              </w:rPr>
            </w:pPr>
            <w:r w:rsidRPr="00DF7C60">
              <w:rPr>
                <w:b/>
                <w:sz w:val="12"/>
                <w:szCs w:val="18"/>
              </w:rPr>
              <w:t>if known, provision for multiple</w:t>
            </w:r>
            <w:r w:rsidRPr="00DF7C60">
              <w:rPr>
                <w:b/>
                <w:sz w:val="14"/>
                <w:szCs w:val="20"/>
              </w:rPr>
              <w:t xml:space="preserve"> </w:t>
            </w:r>
            <w:r w:rsidRPr="00DF7C60">
              <w:rPr>
                <w:b/>
                <w:sz w:val="20"/>
                <w:szCs w:val="20"/>
              </w:rPr>
              <w:t xml:space="preserve">Details of current passport (Australian or foreign) of the person </w:t>
            </w:r>
          </w:p>
          <w:p w14:paraId="27337114"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 xml:space="preserve">Country of issue: </w:t>
            </w:r>
            <w:r w:rsidRPr="00DF7C60">
              <w:rPr>
                <w:sz w:val="20"/>
                <w:szCs w:val="20"/>
              </w:rPr>
              <w:tab/>
              <w:t>[</w:t>
            </w:r>
            <w:r w:rsidRPr="00DF7C60">
              <w:rPr>
                <w:i/>
                <w:sz w:val="20"/>
                <w:szCs w:val="20"/>
              </w:rPr>
              <w:t>country</w:t>
            </w:r>
            <w:r w:rsidRPr="00DF7C60">
              <w:rPr>
                <w:sz w:val="20"/>
                <w:szCs w:val="20"/>
              </w:rPr>
              <w:t>]</w:t>
            </w:r>
          </w:p>
          <w:p w14:paraId="7B85DFCF"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Passport number:</w:t>
            </w:r>
            <w:r w:rsidRPr="00DF7C60">
              <w:rPr>
                <w:sz w:val="20"/>
                <w:szCs w:val="20"/>
              </w:rPr>
              <w:tab/>
              <w:t>[</w:t>
            </w:r>
            <w:r w:rsidRPr="00DF7C60">
              <w:rPr>
                <w:i/>
                <w:sz w:val="20"/>
                <w:szCs w:val="20"/>
              </w:rPr>
              <w:t>number</w:t>
            </w:r>
            <w:r w:rsidRPr="00DF7C60">
              <w:rPr>
                <w:sz w:val="20"/>
                <w:szCs w:val="20"/>
              </w:rPr>
              <w:t>]</w:t>
            </w:r>
          </w:p>
          <w:p w14:paraId="59E7F658"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 xml:space="preserve">Place of Birth: </w:t>
            </w:r>
            <w:r w:rsidRPr="00DF7C60">
              <w:rPr>
                <w:sz w:val="20"/>
                <w:szCs w:val="20"/>
              </w:rPr>
              <w:tab/>
              <w:t>[</w:t>
            </w:r>
            <w:r w:rsidRPr="00DF7C60">
              <w:rPr>
                <w:i/>
                <w:iCs/>
                <w:sz w:val="20"/>
                <w:szCs w:val="20"/>
              </w:rPr>
              <w:t>as described on passport</w:t>
            </w:r>
            <w:r w:rsidRPr="00DF7C60">
              <w:rPr>
                <w:sz w:val="20"/>
                <w:szCs w:val="20"/>
              </w:rPr>
              <w:t>]</w:t>
            </w:r>
          </w:p>
          <w:p w14:paraId="32E26869"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r w:rsidRPr="00DF7C60">
              <w:rPr>
                <w:sz w:val="20"/>
                <w:szCs w:val="20"/>
              </w:rPr>
              <w:t>Sex:</w:t>
            </w:r>
            <w:r w:rsidRPr="00DF7C60">
              <w:rPr>
                <w:sz w:val="20"/>
                <w:szCs w:val="20"/>
              </w:rPr>
              <w:tab/>
            </w:r>
            <w:r w:rsidRPr="00DF7C60">
              <w:rPr>
                <w:sz w:val="20"/>
                <w:szCs w:val="20"/>
              </w:rPr>
              <w:tab/>
            </w:r>
            <w:r w:rsidRPr="00DF7C60">
              <w:rPr>
                <w:sz w:val="20"/>
                <w:szCs w:val="20"/>
              </w:rPr>
              <w:tab/>
              <w:t>[</w:t>
            </w:r>
            <w:r w:rsidRPr="00DF7C60">
              <w:rPr>
                <w:i/>
                <w:iCs/>
                <w:sz w:val="20"/>
                <w:szCs w:val="20"/>
              </w:rPr>
              <w:t>as described on passport</w:t>
            </w:r>
            <w:r w:rsidRPr="00DF7C60">
              <w:rPr>
                <w:sz w:val="20"/>
                <w:szCs w:val="20"/>
              </w:rPr>
              <w:t>]</w:t>
            </w:r>
          </w:p>
          <w:p w14:paraId="32CC40D6" w14:textId="77777777" w:rsidR="00DF7C60" w:rsidRPr="00DF7C60" w:rsidRDefault="00DF7C60" w:rsidP="00965F17">
            <w:pPr>
              <w:numPr>
                <w:ilvl w:val="0"/>
                <w:numId w:val="20"/>
              </w:numPr>
              <w:overflowPunct w:val="0"/>
              <w:autoSpaceDE w:val="0"/>
              <w:autoSpaceDN w:val="0"/>
              <w:adjustRightInd w:val="0"/>
              <w:spacing w:before="120" w:after="0" w:line="276" w:lineRule="auto"/>
              <w:ind w:left="452" w:right="57" w:hanging="452"/>
              <w:jc w:val="left"/>
              <w:textAlignment w:val="baseline"/>
              <w:rPr>
                <w:sz w:val="20"/>
                <w:szCs w:val="20"/>
              </w:rPr>
            </w:pPr>
            <w:r w:rsidRPr="00DF7C60">
              <w:rPr>
                <w:sz w:val="20"/>
                <w:szCs w:val="20"/>
              </w:rPr>
              <w:t xml:space="preserve">This Passport shall be held in the safe custody of the Registrar of </w:t>
            </w:r>
            <w:r w:rsidRPr="00DF7C60">
              <w:rPr>
                <w:rFonts w:eastAsia="Arial"/>
                <w:iCs/>
                <w:sz w:val="20"/>
                <w:szCs w:val="20"/>
              </w:rPr>
              <w:t>[</w:t>
            </w:r>
            <w:r w:rsidRPr="00DF7C60">
              <w:rPr>
                <w:rFonts w:eastAsia="Arial"/>
                <w:i/>
                <w:iCs/>
                <w:sz w:val="20"/>
                <w:szCs w:val="20"/>
              </w:rPr>
              <w:t>Court</w:t>
            </w:r>
            <w:r w:rsidRPr="00DF7C60">
              <w:rPr>
                <w:rFonts w:eastAsia="Arial"/>
                <w:iCs/>
                <w:sz w:val="20"/>
                <w:szCs w:val="20"/>
              </w:rPr>
              <w:t>] at [</w:t>
            </w:r>
            <w:r w:rsidRPr="00DF7C60">
              <w:rPr>
                <w:rFonts w:eastAsia="Arial"/>
                <w:i/>
                <w:iCs/>
                <w:sz w:val="20"/>
                <w:szCs w:val="20"/>
              </w:rPr>
              <w:t>location</w:t>
            </w:r>
            <w:r w:rsidRPr="00DF7C60">
              <w:rPr>
                <w:rFonts w:eastAsia="Arial"/>
                <w:iCs/>
                <w:sz w:val="20"/>
                <w:szCs w:val="20"/>
              </w:rPr>
              <w:t>]</w:t>
            </w:r>
          </w:p>
          <w:p w14:paraId="60E03086" w14:textId="77777777" w:rsidR="00DF7C60" w:rsidRPr="00DF7C60" w:rsidRDefault="00DF7C60" w:rsidP="00965F17">
            <w:pPr>
              <w:numPr>
                <w:ilvl w:val="0"/>
                <w:numId w:val="20"/>
              </w:numPr>
              <w:overflowPunct w:val="0"/>
              <w:autoSpaceDE w:val="0"/>
              <w:autoSpaceDN w:val="0"/>
              <w:adjustRightInd w:val="0"/>
              <w:spacing w:before="120" w:after="0" w:line="276" w:lineRule="auto"/>
              <w:ind w:left="452" w:right="57" w:hanging="452"/>
              <w:jc w:val="left"/>
              <w:textAlignment w:val="baseline"/>
              <w:rPr>
                <w:sz w:val="20"/>
                <w:szCs w:val="20"/>
              </w:rPr>
            </w:pPr>
            <w:r w:rsidRPr="00DF7C60">
              <w:rPr>
                <w:sz w:val="20"/>
                <w:szCs w:val="20"/>
              </w:rPr>
              <w:t>[</w:t>
            </w:r>
            <w:r w:rsidRPr="00DF7C60">
              <w:rPr>
                <w:i/>
                <w:sz w:val="20"/>
                <w:szCs w:val="20"/>
              </w:rPr>
              <w:t>other</w:t>
            </w:r>
            <w:r w:rsidRPr="00DF7C60">
              <w:rPr>
                <w:sz w:val="20"/>
                <w:szCs w:val="20"/>
              </w:rPr>
              <w:t>]</w:t>
            </w:r>
          </w:p>
          <w:p w14:paraId="13B27C45" w14:textId="77777777" w:rsidR="00DF7C60" w:rsidRPr="00DF7C60" w:rsidRDefault="00DF7C60" w:rsidP="00DF7C60">
            <w:pPr>
              <w:overflowPunct w:val="0"/>
              <w:autoSpaceDE w:val="0"/>
              <w:autoSpaceDN w:val="0"/>
              <w:adjustRightInd w:val="0"/>
              <w:spacing w:before="120" w:after="0" w:line="276" w:lineRule="auto"/>
              <w:ind w:right="57"/>
              <w:textAlignment w:val="baseline"/>
              <w:rPr>
                <w:sz w:val="20"/>
                <w:szCs w:val="20"/>
              </w:rPr>
            </w:pPr>
          </w:p>
          <w:p w14:paraId="415612A5" w14:textId="77777777" w:rsidR="00DF7C60" w:rsidRPr="00DF7C60" w:rsidRDefault="00DF7C60" w:rsidP="00965F17">
            <w:pPr>
              <w:numPr>
                <w:ilvl w:val="0"/>
                <w:numId w:val="22"/>
              </w:numPr>
              <w:overflowPunct w:val="0"/>
              <w:autoSpaceDE w:val="0"/>
              <w:autoSpaceDN w:val="0"/>
              <w:adjustRightInd w:val="0"/>
              <w:spacing w:before="120" w:after="120" w:line="276" w:lineRule="auto"/>
              <w:ind w:right="57"/>
              <w:jc w:val="left"/>
              <w:textAlignment w:val="baseline"/>
              <w:rPr>
                <w:sz w:val="20"/>
                <w:szCs w:val="20"/>
              </w:rPr>
            </w:pPr>
            <w:r w:rsidRPr="00DF7C60">
              <w:rPr>
                <w:sz w:val="20"/>
                <w:szCs w:val="20"/>
              </w:rPr>
              <w:t>Australian Customs Service is requested to raise a border control alert (PACE) at Australian ports of departure.</w:t>
            </w:r>
          </w:p>
        </w:tc>
      </w:tr>
    </w:tbl>
    <w:p w14:paraId="53785CB2" w14:textId="77777777" w:rsidR="00DF7C60" w:rsidRPr="00DF7C60" w:rsidRDefault="00DF7C60" w:rsidP="00DF7C60">
      <w:pPr>
        <w:overflowPunct w:val="0"/>
        <w:autoSpaceDE w:val="0"/>
        <w:autoSpaceDN w:val="0"/>
        <w:adjustRightInd w:val="0"/>
        <w:spacing w:before="120" w:after="120" w:line="276" w:lineRule="auto"/>
        <w:textAlignment w:val="baseline"/>
        <w:rPr>
          <w:rFonts w:eastAsia="Times New Roman"/>
          <w:sz w:val="20"/>
          <w:szCs w:val="20"/>
        </w:rPr>
      </w:pPr>
    </w:p>
    <w:tbl>
      <w:tblPr>
        <w:tblStyle w:val="TableGrid92"/>
        <w:tblW w:w="5000" w:type="pct"/>
        <w:tblLook w:val="04A0" w:firstRow="1" w:lastRow="0" w:firstColumn="1" w:lastColumn="0" w:noHBand="0" w:noVBand="1"/>
      </w:tblPr>
      <w:tblGrid>
        <w:gridCol w:w="9344"/>
      </w:tblGrid>
      <w:tr w:rsidR="00DF7C60" w:rsidRPr="00DF7C60" w14:paraId="7EE7DFD8" w14:textId="77777777" w:rsidTr="0012134E">
        <w:tc>
          <w:tcPr>
            <w:tcW w:w="5000" w:type="pct"/>
          </w:tcPr>
          <w:p w14:paraId="4B88F9C5" w14:textId="77777777" w:rsidR="00DF7C60" w:rsidRPr="00DF7C60" w:rsidRDefault="00DF7C60" w:rsidP="00DF7C60">
            <w:pPr>
              <w:spacing w:before="120" w:after="240" w:line="276" w:lineRule="auto"/>
              <w:ind w:right="142"/>
              <w:jc w:val="left"/>
              <w:rPr>
                <w:b/>
                <w:sz w:val="20"/>
                <w:szCs w:val="20"/>
              </w:rPr>
            </w:pPr>
            <w:bookmarkStart w:id="11" w:name="_Hlk3364439"/>
            <w:r w:rsidRPr="00DF7C60">
              <w:rPr>
                <w:b/>
                <w:sz w:val="20"/>
                <w:szCs w:val="20"/>
              </w:rPr>
              <w:t>Accompanying Documents</w:t>
            </w:r>
          </w:p>
          <w:p w14:paraId="60E2E3FD" w14:textId="77777777" w:rsidR="00DF7C60" w:rsidRPr="00DF7C60" w:rsidRDefault="00DF7C60" w:rsidP="00DF7C60">
            <w:pPr>
              <w:overflowPunct w:val="0"/>
              <w:autoSpaceDE w:val="0"/>
              <w:autoSpaceDN w:val="0"/>
              <w:adjustRightInd w:val="0"/>
              <w:spacing w:after="0" w:line="276" w:lineRule="auto"/>
              <w:ind w:right="141"/>
              <w:jc w:val="left"/>
              <w:textAlignment w:val="baseline"/>
              <w:rPr>
                <w:sz w:val="20"/>
                <w:szCs w:val="20"/>
              </w:rPr>
            </w:pPr>
            <w:r w:rsidRPr="00DF7C60">
              <w:rPr>
                <w:sz w:val="20"/>
                <w:szCs w:val="20"/>
              </w:rPr>
              <w:t>Accompanying this Application is a:</w:t>
            </w:r>
          </w:p>
          <w:p w14:paraId="7B51508D"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 xml:space="preserve">Home Detention Order </w:t>
            </w:r>
            <w:r w:rsidRPr="00DF7C60">
              <w:rPr>
                <w:b/>
                <w:sz w:val="12"/>
                <w:szCs w:val="18"/>
              </w:rPr>
              <w:t>mandatory if applicable</w:t>
            </w:r>
          </w:p>
          <w:p w14:paraId="798C23C9"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 xml:space="preserve">Intensive Correction Order </w:t>
            </w:r>
            <w:r w:rsidRPr="00DF7C60">
              <w:rPr>
                <w:b/>
                <w:sz w:val="12"/>
                <w:szCs w:val="18"/>
              </w:rPr>
              <w:t>mandatory if applicable</w:t>
            </w:r>
          </w:p>
          <w:p w14:paraId="1045CBE3"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Suspended Sentence Bond Order</w:t>
            </w:r>
          </w:p>
          <w:p w14:paraId="60AB6C4D"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Good Behaviour Bond Order</w:t>
            </w:r>
          </w:p>
          <w:p w14:paraId="2B669F97"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Obligation</w:t>
            </w:r>
          </w:p>
          <w:p w14:paraId="1B0520A0"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 xml:space="preserve">Bail Agreement </w:t>
            </w:r>
            <w:r w:rsidRPr="00DF7C60">
              <w:rPr>
                <w:b/>
                <w:sz w:val="12"/>
                <w:szCs w:val="18"/>
              </w:rPr>
              <w:t>mandatory if applicable</w:t>
            </w:r>
          </w:p>
          <w:p w14:paraId="2EC15984"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 xml:space="preserve">Recognisance Release Order </w:t>
            </w:r>
            <w:r w:rsidRPr="00DF7C60">
              <w:rPr>
                <w:b/>
                <w:sz w:val="12"/>
                <w:szCs w:val="18"/>
              </w:rPr>
              <w:t>mandatory if applicable</w:t>
            </w:r>
          </w:p>
          <w:p w14:paraId="4A93EA0E" w14:textId="77777777" w:rsidR="00DF7C60" w:rsidRPr="00DF7C60" w:rsidRDefault="00DF7C60" w:rsidP="00965F17">
            <w:pPr>
              <w:numPr>
                <w:ilvl w:val="0"/>
                <w:numId w:val="21"/>
              </w:numPr>
              <w:overflowPunct w:val="0"/>
              <w:autoSpaceDE w:val="0"/>
              <w:autoSpaceDN w:val="0"/>
              <w:adjustRightInd w:val="0"/>
              <w:spacing w:after="0" w:line="276" w:lineRule="auto"/>
              <w:ind w:left="452" w:right="141" w:hanging="425"/>
              <w:jc w:val="left"/>
              <w:textAlignment w:val="baseline"/>
              <w:rPr>
                <w:sz w:val="20"/>
                <w:szCs w:val="20"/>
              </w:rPr>
            </w:pPr>
            <w:r w:rsidRPr="00DF7C60">
              <w:rPr>
                <w:sz w:val="20"/>
                <w:szCs w:val="20"/>
              </w:rPr>
              <w:t xml:space="preserve">Recognisance Order </w:t>
            </w:r>
            <w:r w:rsidRPr="00DF7C60">
              <w:rPr>
                <w:b/>
                <w:sz w:val="12"/>
                <w:szCs w:val="18"/>
              </w:rPr>
              <w:t>mandatory if applicable</w:t>
            </w:r>
          </w:p>
          <w:p w14:paraId="2786F168" w14:textId="77777777" w:rsidR="00DF7C60" w:rsidRPr="00DF7C60" w:rsidRDefault="00DF7C60" w:rsidP="00965F17">
            <w:pPr>
              <w:numPr>
                <w:ilvl w:val="0"/>
                <w:numId w:val="21"/>
              </w:numPr>
              <w:overflowPunct w:val="0"/>
              <w:autoSpaceDE w:val="0"/>
              <w:autoSpaceDN w:val="0"/>
              <w:adjustRightInd w:val="0"/>
              <w:spacing w:after="120" w:line="276" w:lineRule="auto"/>
              <w:ind w:left="452" w:right="142" w:hanging="425"/>
              <w:jc w:val="left"/>
              <w:textAlignment w:val="baseline"/>
              <w:rPr>
                <w:sz w:val="20"/>
                <w:szCs w:val="20"/>
              </w:rPr>
            </w:pPr>
            <w:r w:rsidRPr="00DF7C60">
              <w:rPr>
                <w:sz w:val="20"/>
                <w:szCs w:val="20"/>
              </w:rPr>
              <w:t>[</w:t>
            </w:r>
            <w:r w:rsidRPr="00DF7C60">
              <w:rPr>
                <w:i/>
                <w:sz w:val="20"/>
                <w:szCs w:val="20"/>
              </w:rPr>
              <w:t>optional</w:t>
            </w:r>
            <w:r w:rsidRPr="00DF7C60">
              <w:rPr>
                <w:sz w:val="20"/>
                <w:szCs w:val="20"/>
              </w:rPr>
              <w:t>]</w:t>
            </w:r>
          </w:p>
        </w:tc>
      </w:tr>
      <w:bookmarkEnd w:id="11"/>
    </w:tbl>
    <w:p w14:paraId="20836319" w14:textId="77777777" w:rsidR="00DF7C60" w:rsidRPr="00DF7C60" w:rsidRDefault="00DF7C60" w:rsidP="00DF7C60">
      <w:pPr>
        <w:tabs>
          <w:tab w:val="left" w:pos="1134"/>
          <w:tab w:val="left" w:pos="2342"/>
          <w:tab w:val="left" w:pos="4536"/>
          <w:tab w:val="right" w:pos="8789"/>
        </w:tabs>
        <w:overflowPunct w:val="0"/>
        <w:autoSpaceDE w:val="0"/>
        <w:autoSpaceDN w:val="0"/>
        <w:adjustRightInd w:val="0"/>
        <w:spacing w:before="240" w:after="0" w:line="276" w:lineRule="auto"/>
        <w:textAlignment w:val="baseline"/>
        <w:rPr>
          <w:rFonts w:eastAsia="Times New Roman"/>
          <w:bCs/>
          <w:sz w:val="12"/>
          <w:szCs w:val="20"/>
        </w:rPr>
      </w:pPr>
    </w:p>
    <w:tbl>
      <w:tblPr>
        <w:tblStyle w:val="TableGrid92"/>
        <w:tblW w:w="5000" w:type="pct"/>
        <w:tblLook w:val="04A0" w:firstRow="1" w:lastRow="0" w:firstColumn="1" w:lastColumn="0" w:noHBand="0" w:noVBand="1"/>
      </w:tblPr>
      <w:tblGrid>
        <w:gridCol w:w="9344"/>
      </w:tblGrid>
      <w:tr w:rsidR="00DF7C60" w:rsidRPr="00DF7C60" w14:paraId="79B13F69" w14:textId="77777777" w:rsidTr="0012134E">
        <w:tc>
          <w:tcPr>
            <w:tcW w:w="5000" w:type="pct"/>
          </w:tcPr>
          <w:p w14:paraId="6B7D72D9" w14:textId="77777777" w:rsidR="00DF7C60" w:rsidRPr="00DF7C60" w:rsidRDefault="00DF7C60" w:rsidP="00DF7C60">
            <w:pPr>
              <w:widowControl w:val="0"/>
              <w:overflowPunct w:val="0"/>
              <w:autoSpaceDE w:val="0"/>
              <w:autoSpaceDN w:val="0"/>
              <w:adjustRightInd w:val="0"/>
              <w:spacing w:after="0" w:line="276" w:lineRule="auto"/>
              <w:ind w:right="176"/>
              <w:textAlignment w:val="baseline"/>
              <w:rPr>
                <w:sz w:val="12"/>
                <w:szCs w:val="12"/>
              </w:rPr>
            </w:pPr>
          </w:p>
          <w:p w14:paraId="46ABD496" w14:textId="77777777" w:rsidR="00DF7C60" w:rsidRPr="00DF7C60" w:rsidRDefault="00DF7C60" w:rsidP="00DF7C60">
            <w:pPr>
              <w:widowControl w:val="0"/>
              <w:overflowPunct w:val="0"/>
              <w:autoSpaceDE w:val="0"/>
              <w:autoSpaceDN w:val="0"/>
              <w:adjustRightInd w:val="0"/>
              <w:spacing w:before="600" w:after="0" w:line="276" w:lineRule="auto"/>
              <w:ind w:right="176"/>
              <w:textAlignment w:val="baseline"/>
              <w:rPr>
                <w:sz w:val="20"/>
                <w:szCs w:val="20"/>
              </w:rPr>
            </w:pPr>
            <w:r w:rsidRPr="00DF7C60">
              <w:rPr>
                <w:sz w:val="20"/>
                <w:szCs w:val="20"/>
              </w:rPr>
              <w:t>…………………………………………</w:t>
            </w:r>
          </w:p>
          <w:p w14:paraId="49074BBE" w14:textId="77777777" w:rsidR="00DF7C60" w:rsidRPr="00DF7C60" w:rsidRDefault="00DF7C60" w:rsidP="00DF7C60">
            <w:pPr>
              <w:widowControl w:val="0"/>
              <w:overflowPunct w:val="0"/>
              <w:autoSpaceDE w:val="0"/>
              <w:autoSpaceDN w:val="0"/>
              <w:adjustRightInd w:val="0"/>
              <w:spacing w:after="0" w:line="276" w:lineRule="auto"/>
              <w:ind w:right="176"/>
              <w:textAlignment w:val="baseline"/>
              <w:rPr>
                <w:sz w:val="20"/>
                <w:szCs w:val="20"/>
              </w:rPr>
            </w:pPr>
            <w:r w:rsidRPr="00DF7C60">
              <w:rPr>
                <w:sz w:val="20"/>
                <w:szCs w:val="20"/>
              </w:rPr>
              <w:t>Certified by Court Officer</w:t>
            </w:r>
          </w:p>
          <w:p w14:paraId="37F19C47" w14:textId="77777777" w:rsidR="00DF7C60" w:rsidRPr="00DF7C60" w:rsidRDefault="00DF7C60" w:rsidP="00DF7C60">
            <w:pPr>
              <w:widowControl w:val="0"/>
              <w:overflowPunct w:val="0"/>
              <w:autoSpaceDE w:val="0"/>
              <w:autoSpaceDN w:val="0"/>
              <w:adjustRightInd w:val="0"/>
              <w:spacing w:after="120" w:line="276" w:lineRule="auto"/>
              <w:ind w:right="176"/>
              <w:textAlignment w:val="baseline"/>
              <w:rPr>
                <w:bCs/>
                <w:iCs/>
                <w:sz w:val="20"/>
                <w:szCs w:val="20"/>
              </w:rPr>
            </w:pPr>
            <w:r w:rsidRPr="00DF7C60">
              <w:rPr>
                <w:iCs/>
                <w:sz w:val="20"/>
                <w:szCs w:val="20"/>
              </w:rPr>
              <w:t>[</w:t>
            </w:r>
            <w:r w:rsidRPr="00DF7C60">
              <w:rPr>
                <w:i/>
                <w:iCs/>
                <w:sz w:val="20"/>
                <w:szCs w:val="20"/>
              </w:rPr>
              <w:t>title and name</w:t>
            </w:r>
            <w:r w:rsidRPr="00DF7C60">
              <w:rPr>
                <w:iCs/>
                <w:sz w:val="20"/>
                <w:szCs w:val="20"/>
              </w:rPr>
              <w:t xml:space="preserve">] </w:t>
            </w:r>
            <w:r w:rsidRPr="00DF7C60">
              <w:rPr>
                <w:bCs/>
                <w:iCs/>
                <w:sz w:val="20"/>
                <w:szCs w:val="20"/>
              </w:rPr>
              <w:t>located at;</w:t>
            </w:r>
          </w:p>
          <w:p w14:paraId="4B052AFB" w14:textId="77777777" w:rsidR="00DF7C60" w:rsidRPr="00DF7C60" w:rsidRDefault="00DF7C60" w:rsidP="00DF7C60">
            <w:pPr>
              <w:widowControl w:val="0"/>
              <w:overflowPunct w:val="0"/>
              <w:autoSpaceDE w:val="0"/>
              <w:autoSpaceDN w:val="0"/>
              <w:adjustRightInd w:val="0"/>
              <w:spacing w:after="120" w:line="276" w:lineRule="auto"/>
              <w:ind w:right="176"/>
              <w:textAlignment w:val="baseline"/>
              <w:rPr>
                <w:bCs/>
                <w:iCs/>
                <w:sz w:val="20"/>
                <w:szCs w:val="20"/>
              </w:rPr>
            </w:pPr>
            <w:r w:rsidRPr="00DF7C60">
              <w:rPr>
                <w:bCs/>
                <w:iCs/>
                <w:sz w:val="20"/>
                <w:szCs w:val="20"/>
              </w:rPr>
              <w:t>[</w:t>
            </w:r>
            <w:r w:rsidRPr="00DF7C60">
              <w:rPr>
                <w:bCs/>
                <w:i/>
                <w:sz w:val="20"/>
                <w:szCs w:val="20"/>
              </w:rPr>
              <w:t>address of the requesting Court</w:t>
            </w:r>
            <w:r w:rsidRPr="00DF7C60">
              <w:rPr>
                <w:bCs/>
                <w:iCs/>
                <w:sz w:val="20"/>
                <w:szCs w:val="20"/>
              </w:rPr>
              <w:t>]</w:t>
            </w:r>
          </w:p>
          <w:p w14:paraId="204EBB33" w14:textId="77777777" w:rsidR="00DF7C60" w:rsidRPr="00DF7C60" w:rsidRDefault="00DF7C60" w:rsidP="00DF7C60">
            <w:pPr>
              <w:widowControl w:val="0"/>
              <w:overflowPunct w:val="0"/>
              <w:autoSpaceDE w:val="0"/>
              <w:autoSpaceDN w:val="0"/>
              <w:adjustRightInd w:val="0"/>
              <w:spacing w:after="120" w:line="276" w:lineRule="auto"/>
              <w:ind w:left="567" w:right="176" w:hanging="567"/>
              <w:textAlignment w:val="baseline"/>
              <w:rPr>
                <w:bCs/>
                <w:iCs/>
                <w:sz w:val="20"/>
                <w:szCs w:val="20"/>
              </w:rPr>
            </w:pPr>
            <w:r w:rsidRPr="00DF7C60">
              <w:rPr>
                <w:bCs/>
                <w:iCs/>
                <w:sz w:val="20"/>
                <w:szCs w:val="20"/>
              </w:rPr>
              <w:t>[</w:t>
            </w:r>
            <w:r w:rsidRPr="00DF7C60">
              <w:rPr>
                <w:bCs/>
                <w:i/>
                <w:sz w:val="20"/>
                <w:szCs w:val="20"/>
              </w:rPr>
              <w:t>telephone contact no.</w:t>
            </w:r>
            <w:r w:rsidRPr="00DF7C60">
              <w:rPr>
                <w:bCs/>
                <w:iCs/>
                <w:sz w:val="20"/>
                <w:szCs w:val="20"/>
              </w:rPr>
              <w:t>]</w:t>
            </w:r>
          </w:p>
          <w:p w14:paraId="0770491B" w14:textId="77777777" w:rsidR="00DF7C60" w:rsidRPr="00DF7C60" w:rsidRDefault="00DF7C60" w:rsidP="00DF7C60">
            <w:pPr>
              <w:widowControl w:val="0"/>
              <w:overflowPunct w:val="0"/>
              <w:autoSpaceDE w:val="0"/>
              <w:autoSpaceDN w:val="0"/>
              <w:adjustRightInd w:val="0"/>
              <w:spacing w:after="120" w:line="276" w:lineRule="auto"/>
              <w:ind w:right="176"/>
              <w:textAlignment w:val="baseline"/>
              <w:rPr>
                <w:iCs/>
                <w:sz w:val="20"/>
                <w:szCs w:val="20"/>
              </w:rPr>
            </w:pPr>
          </w:p>
        </w:tc>
      </w:tr>
      <w:bookmarkEnd w:id="8"/>
    </w:tbl>
    <w:p w14:paraId="1FDA9E9A" w14:textId="52A6FDD9" w:rsidR="00DF7C60" w:rsidRDefault="00DF7C60" w:rsidP="00DF7C60">
      <w:pPr>
        <w:tabs>
          <w:tab w:val="left" w:pos="1134"/>
          <w:tab w:val="left" w:pos="2342"/>
          <w:tab w:val="left" w:pos="4536"/>
        </w:tabs>
        <w:overflowPunct w:val="0"/>
        <w:autoSpaceDE w:val="0"/>
        <w:autoSpaceDN w:val="0"/>
        <w:adjustRightInd w:val="0"/>
        <w:spacing w:before="240" w:after="0" w:line="276" w:lineRule="auto"/>
        <w:textAlignment w:val="baseline"/>
        <w:rPr>
          <w:rFonts w:eastAsia="Times New Roman"/>
          <w:b/>
          <w:sz w:val="12"/>
          <w:szCs w:val="20"/>
        </w:rPr>
      </w:pPr>
    </w:p>
    <w:p w14:paraId="6B654E43" w14:textId="77777777" w:rsidR="00DF7C60" w:rsidRDefault="00DF7C60">
      <w:pPr>
        <w:spacing w:after="0" w:line="240" w:lineRule="auto"/>
        <w:jc w:val="left"/>
        <w:rPr>
          <w:rFonts w:eastAsia="Times New Roman"/>
          <w:b/>
          <w:sz w:val="12"/>
          <w:szCs w:val="20"/>
        </w:rPr>
      </w:pPr>
      <w:r>
        <w:rPr>
          <w:rFonts w:eastAsia="Times New Roman"/>
          <w:b/>
          <w:sz w:val="12"/>
          <w:szCs w:val="20"/>
        </w:rPr>
        <w:br w:type="page"/>
      </w:r>
    </w:p>
    <w:p w14:paraId="21032C60" w14:textId="77777777" w:rsidR="00DF7C60" w:rsidRPr="00DF7C60" w:rsidRDefault="00DF7C60" w:rsidP="00DF7C60">
      <w:pPr>
        <w:spacing w:after="160" w:line="276" w:lineRule="auto"/>
        <w:rPr>
          <w:rFonts w:eastAsia="Times New Roman"/>
          <w:szCs w:val="17"/>
        </w:rPr>
      </w:pPr>
      <w:r w:rsidRPr="00DF7C60">
        <w:rPr>
          <w:rFonts w:eastAsia="Times New Roman"/>
          <w:szCs w:val="17"/>
        </w:rPr>
        <w:lastRenderedPageBreak/>
        <w:t xml:space="preserve">In accordance with the </w:t>
      </w:r>
      <w:r w:rsidRPr="00DF7C60">
        <w:rPr>
          <w:rFonts w:eastAsia="Times New Roman"/>
          <w:i/>
          <w:szCs w:val="17"/>
        </w:rPr>
        <w:t xml:space="preserve">Supreme Court Act 1935, </w:t>
      </w:r>
      <w:r w:rsidRPr="00DF7C60">
        <w:rPr>
          <w:rFonts w:eastAsia="Times New Roman"/>
          <w:szCs w:val="17"/>
        </w:rPr>
        <w:t xml:space="preserve">the </w:t>
      </w:r>
      <w:r w:rsidRPr="00DF7C60">
        <w:rPr>
          <w:rFonts w:eastAsia="Times New Roman"/>
          <w:i/>
          <w:szCs w:val="17"/>
        </w:rPr>
        <w:t>District Court Act 1991</w:t>
      </w:r>
      <w:r w:rsidRPr="00DF7C60">
        <w:rPr>
          <w:rFonts w:eastAsia="Times New Roman"/>
          <w:iCs/>
          <w:szCs w:val="17"/>
        </w:rPr>
        <w:t xml:space="preserve">, the </w:t>
      </w:r>
      <w:r w:rsidRPr="00DF7C60">
        <w:rPr>
          <w:rFonts w:eastAsia="Times New Roman"/>
          <w:i/>
          <w:szCs w:val="17"/>
        </w:rPr>
        <w:t>Environment, Resources and Development Court Act 1993</w:t>
      </w:r>
      <w:r w:rsidRPr="00DF7C60">
        <w:rPr>
          <w:rFonts w:eastAsia="Times New Roman"/>
          <w:iCs/>
          <w:szCs w:val="17"/>
        </w:rPr>
        <w:t xml:space="preserve">, the </w:t>
      </w:r>
      <w:r w:rsidRPr="00DF7C60">
        <w:rPr>
          <w:rFonts w:eastAsia="Times New Roman"/>
          <w:i/>
          <w:szCs w:val="17"/>
        </w:rPr>
        <w:t xml:space="preserve">Magistrates Court Act 1991 </w:t>
      </w:r>
      <w:r w:rsidRPr="00DF7C60">
        <w:rPr>
          <w:rFonts w:eastAsia="Times New Roman"/>
          <w:szCs w:val="17"/>
        </w:rPr>
        <w:t xml:space="preserve">and the </w:t>
      </w:r>
      <w:r w:rsidRPr="00DF7C60">
        <w:rPr>
          <w:rFonts w:eastAsia="Times New Roman"/>
          <w:i/>
          <w:iCs/>
          <w:szCs w:val="17"/>
        </w:rPr>
        <w:t>Youth Court Act 1993</w:t>
      </w:r>
      <w:r w:rsidRPr="00DF7C60">
        <w:rPr>
          <w:rFonts w:eastAsia="Times New Roman"/>
          <w:i/>
          <w:szCs w:val="17"/>
        </w:rPr>
        <w:t>,</w:t>
      </w:r>
      <w:r w:rsidRPr="00DF7C60">
        <w:rPr>
          <w:rFonts w:eastAsia="Times New Roman"/>
          <w:szCs w:val="17"/>
        </w:rPr>
        <w:t xml:space="preserve"> and all other enabling powers, the </w:t>
      </w:r>
      <w:r w:rsidRPr="00DF7C60">
        <w:rPr>
          <w:rFonts w:eastAsia="Times New Roman"/>
          <w:i/>
          <w:iCs/>
          <w:szCs w:val="17"/>
        </w:rPr>
        <w:t>Joint Criminal (No 1) Amending Rules 2022</w:t>
      </w:r>
      <w:r w:rsidRPr="00DF7C60">
        <w:rPr>
          <w:rFonts w:eastAsia="Times New Roman"/>
          <w:szCs w:val="17"/>
        </w:rPr>
        <w:t xml:space="preserve"> have been made– </w:t>
      </w:r>
    </w:p>
    <w:p w14:paraId="11CA1BB8" w14:textId="77777777" w:rsidR="00DF7C60" w:rsidRPr="00DF7C60" w:rsidRDefault="00DF7C60" w:rsidP="00965F17">
      <w:pPr>
        <w:numPr>
          <w:ilvl w:val="0"/>
          <w:numId w:val="18"/>
        </w:numPr>
        <w:spacing w:after="160" w:line="276" w:lineRule="auto"/>
        <w:contextualSpacing/>
        <w:jc w:val="left"/>
        <w:rPr>
          <w:szCs w:val="17"/>
        </w:rPr>
      </w:pPr>
      <w:r w:rsidRPr="00DF7C60">
        <w:rPr>
          <w:szCs w:val="17"/>
        </w:rPr>
        <w:t xml:space="preserve">as rules of the Supreme Court by 3 or more Judges of the Supreme Court; and </w:t>
      </w:r>
    </w:p>
    <w:p w14:paraId="11962834" w14:textId="77777777" w:rsidR="00DF7C60" w:rsidRPr="00DF7C60" w:rsidRDefault="00DF7C60" w:rsidP="00965F17">
      <w:pPr>
        <w:numPr>
          <w:ilvl w:val="0"/>
          <w:numId w:val="18"/>
        </w:numPr>
        <w:spacing w:after="160" w:line="276" w:lineRule="auto"/>
        <w:contextualSpacing/>
        <w:jc w:val="left"/>
        <w:rPr>
          <w:szCs w:val="17"/>
        </w:rPr>
      </w:pPr>
      <w:r w:rsidRPr="00DF7C60">
        <w:rPr>
          <w:szCs w:val="17"/>
        </w:rPr>
        <w:t xml:space="preserve">as rules of the District Court by the Chief Judge and 2 or more other Judges of that Court; and </w:t>
      </w:r>
    </w:p>
    <w:p w14:paraId="48911BDF" w14:textId="77777777" w:rsidR="00DF7C60" w:rsidRPr="00DF7C60" w:rsidRDefault="00DF7C60" w:rsidP="00965F17">
      <w:pPr>
        <w:numPr>
          <w:ilvl w:val="0"/>
          <w:numId w:val="18"/>
        </w:numPr>
        <w:spacing w:after="160" w:line="276" w:lineRule="auto"/>
        <w:contextualSpacing/>
        <w:jc w:val="left"/>
        <w:rPr>
          <w:szCs w:val="17"/>
        </w:rPr>
      </w:pPr>
      <w:r w:rsidRPr="00DF7C60">
        <w:rPr>
          <w:szCs w:val="17"/>
        </w:rPr>
        <w:t>as rules of the Magistrates Court by the Chief Magistrate and 2 or more other Magistrates; and</w:t>
      </w:r>
    </w:p>
    <w:p w14:paraId="01E710B5" w14:textId="77777777" w:rsidR="00DF7C60" w:rsidRPr="00DF7C60" w:rsidRDefault="00DF7C60" w:rsidP="00965F17">
      <w:pPr>
        <w:numPr>
          <w:ilvl w:val="0"/>
          <w:numId w:val="18"/>
        </w:numPr>
        <w:spacing w:after="160" w:line="276" w:lineRule="auto"/>
        <w:contextualSpacing/>
        <w:jc w:val="left"/>
        <w:rPr>
          <w:szCs w:val="17"/>
        </w:rPr>
      </w:pPr>
      <w:r w:rsidRPr="00DF7C60">
        <w:rPr>
          <w:szCs w:val="17"/>
        </w:rPr>
        <w:t>as rules of the Environment, Resources and Development Court by the Senior Judge and 1 other Judge; and</w:t>
      </w:r>
    </w:p>
    <w:p w14:paraId="1878A94D" w14:textId="77777777" w:rsidR="00DF7C60" w:rsidRPr="00DF7C60" w:rsidRDefault="00DF7C60" w:rsidP="00965F17">
      <w:pPr>
        <w:numPr>
          <w:ilvl w:val="0"/>
          <w:numId w:val="18"/>
        </w:numPr>
        <w:spacing w:after="160" w:line="276" w:lineRule="auto"/>
        <w:contextualSpacing/>
        <w:jc w:val="left"/>
        <w:rPr>
          <w:szCs w:val="17"/>
        </w:rPr>
      </w:pPr>
      <w:r w:rsidRPr="00DF7C60">
        <w:rPr>
          <w:szCs w:val="17"/>
        </w:rPr>
        <w:t>as rules of the Youth Court by the Judge and the Magistrates who are members of the principal judiciary of that Court,</w:t>
      </w:r>
    </w:p>
    <w:p w14:paraId="6803B5A1" w14:textId="77777777" w:rsidR="00DF7C60" w:rsidRPr="00DF7C60" w:rsidRDefault="00DF7C60" w:rsidP="00DF7C60">
      <w:pPr>
        <w:spacing w:after="0" w:line="276" w:lineRule="auto"/>
        <w:ind w:left="1287" w:hanging="567"/>
        <w:rPr>
          <w:szCs w:val="17"/>
        </w:rPr>
      </w:pPr>
      <w:r w:rsidRPr="00DF7C60">
        <w:rPr>
          <w:rFonts w:eastAsia="Times New Roman"/>
          <w:szCs w:val="17"/>
        </w:rPr>
        <w:t>and such rules will apply to and in relation to the Court in accordance with their terms.</w:t>
      </w:r>
    </w:p>
    <w:p w14:paraId="715BDD58" w14:textId="77777777" w:rsidR="00DF7C60" w:rsidRPr="00DF7C60" w:rsidRDefault="00DF7C60" w:rsidP="00DF7C60">
      <w:pPr>
        <w:spacing w:after="0"/>
        <w:rPr>
          <w:rFonts w:eastAsia="Times New Roman"/>
          <w:szCs w:val="17"/>
        </w:rPr>
      </w:pPr>
      <w:r w:rsidRPr="00DF7C60">
        <w:rPr>
          <w:rFonts w:eastAsia="Times New Roman"/>
          <w:szCs w:val="17"/>
        </w:rPr>
        <w:t>Dated: 13 December 2022</w:t>
      </w:r>
    </w:p>
    <w:p w14:paraId="6C475C79"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Chief Justice Kourakis</w:t>
      </w:r>
    </w:p>
    <w:p w14:paraId="08B37031"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Chief Judge Evans</w:t>
      </w:r>
    </w:p>
    <w:p w14:paraId="66E3C05F"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Senior Judge Evans</w:t>
      </w:r>
    </w:p>
    <w:p w14:paraId="4A57DBAC"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Chief Magistrate Hribal</w:t>
      </w:r>
    </w:p>
    <w:p w14:paraId="27932330"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Judge Eldridge</w:t>
      </w:r>
    </w:p>
    <w:p w14:paraId="52B9A9C6" w14:textId="77777777" w:rsidR="00DF7C60" w:rsidRPr="00DF7C60" w:rsidRDefault="00DF7C60" w:rsidP="00DF7C60">
      <w:pPr>
        <w:pBdr>
          <w:top w:val="single" w:sz="4" w:space="1" w:color="auto"/>
        </w:pBdr>
        <w:spacing w:before="100" w:after="0" w:line="14" w:lineRule="exact"/>
        <w:jc w:val="center"/>
        <w:rPr>
          <w:rFonts w:eastAsia="Times New Roman"/>
          <w:smallCaps/>
          <w:szCs w:val="20"/>
        </w:rPr>
      </w:pPr>
    </w:p>
    <w:p w14:paraId="37B2F9C1" w14:textId="77777777" w:rsidR="00DF7C60" w:rsidRPr="00DF7C60" w:rsidRDefault="00DF7C60" w:rsidP="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mallCaps/>
          <w:szCs w:val="20"/>
        </w:rPr>
      </w:pPr>
    </w:p>
    <w:p w14:paraId="4BAE542D" w14:textId="77777777" w:rsidR="008D0F2D" w:rsidRDefault="008D0F2D">
      <w:pPr>
        <w:spacing w:after="0" w:line="240" w:lineRule="auto"/>
        <w:jc w:val="left"/>
        <w:rPr>
          <w:caps/>
          <w:szCs w:val="17"/>
          <w:lang w:val="en-US"/>
        </w:rPr>
      </w:pPr>
      <w:bookmarkStart w:id="12" w:name="_Toc122600830"/>
      <w:r>
        <w:br w:type="page"/>
      </w:r>
    </w:p>
    <w:p w14:paraId="3F1494B5" w14:textId="4ECA8DCA" w:rsidR="00DF7C60" w:rsidRPr="00DF7C60" w:rsidRDefault="00DF7C60" w:rsidP="00B80A66">
      <w:pPr>
        <w:pStyle w:val="Heading2"/>
      </w:pPr>
      <w:r w:rsidRPr="00DF7C60">
        <w:lastRenderedPageBreak/>
        <w:t>Supreme Court Act 1935</w:t>
      </w:r>
      <w:bookmarkEnd w:id="12"/>
      <w:r w:rsidRPr="00DF7C60">
        <w:t xml:space="preserve"> </w:t>
      </w:r>
    </w:p>
    <w:p w14:paraId="1399C3BD" w14:textId="77777777" w:rsidR="00DF7C60" w:rsidRPr="00DF7C60" w:rsidRDefault="00DF7C60" w:rsidP="00DF7C60">
      <w:pPr>
        <w:jc w:val="center"/>
        <w:rPr>
          <w:caps/>
          <w:szCs w:val="17"/>
        </w:rPr>
      </w:pPr>
      <w:r w:rsidRPr="00DF7C60">
        <w:rPr>
          <w:caps/>
          <w:szCs w:val="17"/>
        </w:rPr>
        <w:t>District Court Act 1991</w:t>
      </w:r>
    </w:p>
    <w:p w14:paraId="0CF6F74A" w14:textId="77777777" w:rsidR="00DF7C60" w:rsidRPr="00DF7C60" w:rsidRDefault="00DF7C60" w:rsidP="00DF7C60">
      <w:pPr>
        <w:jc w:val="center"/>
        <w:rPr>
          <w:caps/>
          <w:szCs w:val="17"/>
        </w:rPr>
      </w:pPr>
      <w:r w:rsidRPr="00DF7C60">
        <w:rPr>
          <w:caps/>
          <w:szCs w:val="17"/>
        </w:rPr>
        <w:t>Magistrates Court Act 1991</w:t>
      </w:r>
    </w:p>
    <w:p w14:paraId="79798C40" w14:textId="77777777" w:rsidR="00DF7C60" w:rsidRPr="00DF7C60" w:rsidRDefault="00DF7C60" w:rsidP="00DF7C60">
      <w:pPr>
        <w:jc w:val="center"/>
        <w:rPr>
          <w:smallCaps/>
          <w:szCs w:val="17"/>
        </w:rPr>
      </w:pPr>
      <w:r w:rsidRPr="00DF7C60">
        <w:rPr>
          <w:smallCaps/>
          <w:szCs w:val="17"/>
        </w:rPr>
        <w:t>South Australia</w:t>
      </w:r>
    </w:p>
    <w:p w14:paraId="47066032" w14:textId="77777777" w:rsidR="00DF7C60" w:rsidRPr="00DF7C60" w:rsidRDefault="00DF7C60" w:rsidP="00DF7C60">
      <w:pPr>
        <w:jc w:val="center"/>
        <w:rPr>
          <w:i/>
          <w:szCs w:val="17"/>
        </w:rPr>
      </w:pPr>
      <w:r w:rsidRPr="00DF7C60">
        <w:rPr>
          <w:i/>
          <w:szCs w:val="17"/>
        </w:rPr>
        <w:t>Uniform Civil (No 8) Amending Rules 2022</w:t>
      </w:r>
    </w:p>
    <w:p w14:paraId="5AA53C33" w14:textId="77777777" w:rsidR="00DF7C60" w:rsidRPr="00DF7C60" w:rsidRDefault="00DF7C60" w:rsidP="00DF7C60">
      <w:pPr>
        <w:rPr>
          <w:rFonts w:eastAsia="Times New Roman"/>
          <w:szCs w:val="17"/>
        </w:rPr>
      </w:pPr>
      <w:r w:rsidRPr="00DF7C60">
        <w:rPr>
          <w:rFonts w:eastAsia="Times New Roman"/>
          <w:szCs w:val="17"/>
        </w:rPr>
        <w:t xml:space="preserve">By virtue and in pursuance of the </w:t>
      </w:r>
      <w:r w:rsidRPr="00DF7C60">
        <w:rPr>
          <w:rFonts w:eastAsia="Times New Roman"/>
          <w:i/>
          <w:szCs w:val="17"/>
        </w:rPr>
        <w:t>Supreme Court Act 1935</w:t>
      </w:r>
      <w:r w:rsidRPr="00DF7C60">
        <w:rPr>
          <w:rFonts w:eastAsia="Times New Roman"/>
          <w:szCs w:val="17"/>
        </w:rPr>
        <w:t xml:space="preserve">, the </w:t>
      </w:r>
      <w:r w:rsidRPr="00DF7C60">
        <w:rPr>
          <w:rFonts w:eastAsia="Times New Roman"/>
          <w:i/>
          <w:szCs w:val="17"/>
        </w:rPr>
        <w:t xml:space="preserve">District Court Act 1991 </w:t>
      </w:r>
      <w:r w:rsidRPr="00DF7C60">
        <w:rPr>
          <w:rFonts w:eastAsia="Times New Roman"/>
          <w:szCs w:val="17"/>
        </w:rPr>
        <w:t xml:space="preserve">and the </w:t>
      </w:r>
      <w:r w:rsidRPr="00DF7C60">
        <w:rPr>
          <w:rFonts w:eastAsia="Times New Roman"/>
          <w:i/>
          <w:szCs w:val="17"/>
        </w:rPr>
        <w:t>Magistrates Court Act 1991</w:t>
      </w:r>
      <w:r w:rsidRPr="00DF7C60">
        <w:rPr>
          <w:rFonts w:eastAsia="Times New Roman"/>
          <w:szCs w:val="17"/>
        </w:rPr>
        <w:t>, and all other enabling powers, we, the Chief Justice of the Supreme Court, the Chief Judge of the District Court and the Chief Magistrate of the Magistrates Court, make the following Uniform Civil (No 8) Amending Rules 2022.</w:t>
      </w:r>
    </w:p>
    <w:p w14:paraId="100348CC" w14:textId="77777777" w:rsidR="00DF7C60" w:rsidRPr="00DF7C60" w:rsidRDefault="00DF7C60" w:rsidP="00965F17">
      <w:pPr>
        <w:numPr>
          <w:ilvl w:val="0"/>
          <w:numId w:val="57"/>
        </w:numPr>
        <w:ind w:left="851" w:hanging="753"/>
        <w:rPr>
          <w:szCs w:val="17"/>
        </w:rPr>
      </w:pPr>
      <w:bookmarkStart w:id="13" w:name="_Hlk122438498"/>
      <w:r w:rsidRPr="00DF7C60">
        <w:rPr>
          <w:szCs w:val="17"/>
        </w:rPr>
        <w:t xml:space="preserve">These Rules may be cited as the </w:t>
      </w:r>
      <w:r w:rsidRPr="00DF7C60">
        <w:rPr>
          <w:i/>
          <w:szCs w:val="17"/>
        </w:rPr>
        <w:t>Uniform Civil (No 8) Amending Rules 2022.</w:t>
      </w:r>
    </w:p>
    <w:p w14:paraId="690C6C89" w14:textId="77777777" w:rsidR="00DF7C60" w:rsidRPr="00DF7C60" w:rsidRDefault="00DF7C60" w:rsidP="00965F17">
      <w:pPr>
        <w:numPr>
          <w:ilvl w:val="0"/>
          <w:numId w:val="57"/>
        </w:numPr>
        <w:ind w:left="851" w:hanging="758"/>
        <w:rPr>
          <w:szCs w:val="17"/>
        </w:rPr>
      </w:pPr>
      <w:r w:rsidRPr="00DF7C60">
        <w:rPr>
          <w:szCs w:val="17"/>
        </w:rPr>
        <w:t xml:space="preserve">The </w:t>
      </w:r>
      <w:r w:rsidRPr="00DF7C60">
        <w:rPr>
          <w:i/>
          <w:szCs w:val="17"/>
        </w:rPr>
        <w:t xml:space="preserve">Uniform Civil Rules 2020 </w:t>
      </w:r>
      <w:r w:rsidRPr="00DF7C60">
        <w:rPr>
          <w:szCs w:val="17"/>
        </w:rPr>
        <w:t>are amended as set out below.</w:t>
      </w:r>
    </w:p>
    <w:p w14:paraId="1CACA6FA" w14:textId="77777777" w:rsidR="00DF7C60" w:rsidRPr="00DF7C60" w:rsidRDefault="00DF7C60" w:rsidP="00965F17">
      <w:pPr>
        <w:numPr>
          <w:ilvl w:val="0"/>
          <w:numId w:val="57"/>
        </w:numPr>
        <w:ind w:left="851" w:hanging="758"/>
        <w:rPr>
          <w:szCs w:val="17"/>
        </w:rPr>
      </w:pPr>
      <w:r w:rsidRPr="00DF7C60">
        <w:rPr>
          <w:szCs w:val="17"/>
        </w:rPr>
        <w:t>The amendments made by these rules come into effect on the later of</w:t>
      </w:r>
      <w:r w:rsidRPr="00DF7C60">
        <w:rPr>
          <w:rFonts w:eastAsia="Times New Roman"/>
          <w:color w:val="000000"/>
          <w:szCs w:val="17"/>
          <w:lang w:eastAsia="en-AU"/>
        </w:rPr>
        <w:t>—</w:t>
      </w:r>
    </w:p>
    <w:p w14:paraId="268E8B2E" w14:textId="77777777" w:rsidR="00DF7C60" w:rsidRPr="00DF7C60" w:rsidRDefault="00DF7C60" w:rsidP="00DF7C60">
      <w:pPr>
        <w:ind w:left="1701" w:hanging="567"/>
        <w:rPr>
          <w:szCs w:val="17"/>
        </w:rPr>
      </w:pPr>
      <w:r w:rsidRPr="00DF7C60">
        <w:rPr>
          <w:szCs w:val="17"/>
        </w:rPr>
        <w:t>(a)</w:t>
      </w:r>
      <w:r w:rsidRPr="00DF7C60">
        <w:rPr>
          <w:szCs w:val="17"/>
        </w:rPr>
        <w:tab/>
        <w:t>Tuesday 3 January 2023; or</w:t>
      </w:r>
    </w:p>
    <w:p w14:paraId="457E2CB1" w14:textId="77777777" w:rsidR="00DF7C60" w:rsidRPr="00DF7C60" w:rsidRDefault="00DF7C60" w:rsidP="00DF7C60">
      <w:pPr>
        <w:ind w:left="1701" w:hanging="567"/>
        <w:rPr>
          <w:szCs w:val="17"/>
        </w:rPr>
      </w:pPr>
      <w:r w:rsidRPr="00DF7C60">
        <w:rPr>
          <w:szCs w:val="17"/>
        </w:rPr>
        <w:t>(b)</w:t>
      </w:r>
      <w:r w:rsidRPr="00DF7C60">
        <w:rPr>
          <w:szCs w:val="17"/>
        </w:rPr>
        <w:tab/>
        <w:t>the date of their publication in the Gazette.</w:t>
      </w:r>
    </w:p>
    <w:p w14:paraId="148558FF" w14:textId="77777777" w:rsidR="00DF7C60" w:rsidRPr="00DF7C60" w:rsidRDefault="00DF7C60" w:rsidP="00965F17">
      <w:pPr>
        <w:numPr>
          <w:ilvl w:val="0"/>
          <w:numId w:val="57"/>
        </w:numPr>
        <w:ind w:left="851" w:hanging="758"/>
        <w:rPr>
          <w:szCs w:val="17"/>
        </w:rPr>
      </w:pPr>
      <w:r w:rsidRPr="00DF7C60">
        <w:rPr>
          <w:szCs w:val="17"/>
        </w:rPr>
        <w:t>In these Rules, the</w:t>
      </w:r>
      <w:r w:rsidRPr="00DF7C60">
        <w:rPr>
          <w:b/>
          <w:i/>
          <w:szCs w:val="17"/>
        </w:rPr>
        <w:t xml:space="preserve"> commencement date </w:t>
      </w:r>
      <w:r w:rsidRPr="00DF7C60">
        <w:rPr>
          <w:szCs w:val="17"/>
        </w:rPr>
        <w:t>means the date on which these rules come into effect under rule 3.</w:t>
      </w:r>
    </w:p>
    <w:p w14:paraId="5AB3E82E" w14:textId="77777777" w:rsidR="00DF7C60" w:rsidRPr="00DF7C60" w:rsidRDefault="00DF7C60" w:rsidP="00965F17">
      <w:pPr>
        <w:numPr>
          <w:ilvl w:val="0"/>
          <w:numId w:val="57"/>
        </w:numPr>
        <w:ind w:left="851" w:hanging="758"/>
        <w:rPr>
          <w:szCs w:val="17"/>
        </w:rPr>
      </w:pPr>
      <w:r w:rsidRPr="00DF7C60">
        <w:rPr>
          <w:szCs w:val="17"/>
        </w:rPr>
        <w:t>A new rule 102.0 is inserted immediately before rule 102.1 as follows:</w:t>
      </w:r>
    </w:p>
    <w:p w14:paraId="42DF19BB" w14:textId="77777777" w:rsidR="00DF7C60" w:rsidRPr="00DF7C60" w:rsidRDefault="00DF7C60" w:rsidP="00DF7C60">
      <w:pPr>
        <w:ind w:left="851"/>
        <w:rPr>
          <w:b/>
          <w:bCs/>
          <w:szCs w:val="17"/>
        </w:rPr>
      </w:pPr>
      <w:r w:rsidRPr="00DF7C60">
        <w:rPr>
          <w:szCs w:val="17"/>
        </w:rPr>
        <w:t>“</w:t>
      </w:r>
      <w:r w:rsidRPr="00DF7C60">
        <w:rPr>
          <w:b/>
          <w:bCs/>
          <w:szCs w:val="17"/>
        </w:rPr>
        <w:t>102.0 – Management of interlocutory applications</w:t>
      </w:r>
    </w:p>
    <w:p w14:paraId="03EAFFCB" w14:textId="77777777" w:rsidR="00DF7C60" w:rsidRPr="00DF7C60" w:rsidRDefault="00DF7C60" w:rsidP="00DF7C60">
      <w:pPr>
        <w:ind w:left="2160" w:hanging="724"/>
        <w:rPr>
          <w:szCs w:val="17"/>
        </w:rPr>
      </w:pPr>
      <w:r w:rsidRPr="00DF7C60">
        <w:rPr>
          <w:szCs w:val="17"/>
        </w:rPr>
        <w:t>(1)</w:t>
      </w:r>
      <w:r w:rsidRPr="00DF7C60">
        <w:rPr>
          <w:szCs w:val="17"/>
        </w:rPr>
        <w:tab/>
        <w:t xml:space="preserve">Except in the case of an urgent or ex parte application, before making an interlocutory application, the parties must have endeavoured to resolve the issues the subject of the interlocutory application. </w:t>
      </w:r>
    </w:p>
    <w:p w14:paraId="6963AE97" w14:textId="77777777" w:rsidR="00DF7C60" w:rsidRPr="00DF7C60" w:rsidRDefault="00DF7C60" w:rsidP="00DF7C60">
      <w:pPr>
        <w:ind w:left="2160" w:hanging="724"/>
        <w:rPr>
          <w:szCs w:val="17"/>
        </w:rPr>
      </w:pPr>
      <w:r w:rsidRPr="00DF7C60">
        <w:rPr>
          <w:szCs w:val="17"/>
        </w:rPr>
        <w:t>(2)</w:t>
      </w:r>
      <w:r w:rsidRPr="00DF7C60">
        <w:rPr>
          <w:szCs w:val="17"/>
        </w:rPr>
        <w:tab/>
        <w:t>In all cases the parties and their representatives must:</w:t>
      </w:r>
    </w:p>
    <w:p w14:paraId="302DB843" w14:textId="77777777" w:rsidR="00DF7C60" w:rsidRPr="00DF7C60" w:rsidRDefault="00DF7C60" w:rsidP="00DF7C60">
      <w:pPr>
        <w:ind w:left="2880" w:hanging="724"/>
        <w:rPr>
          <w:szCs w:val="17"/>
        </w:rPr>
      </w:pPr>
      <w:r w:rsidRPr="00DF7C60">
        <w:rPr>
          <w:szCs w:val="17"/>
        </w:rPr>
        <w:t>(a)</w:t>
      </w:r>
      <w:r w:rsidRPr="00DF7C60">
        <w:rPr>
          <w:szCs w:val="17"/>
        </w:rPr>
        <w:tab/>
        <w:t>seek to resolve interlocutory issues on the papers and by consent wherever possible;</w:t>
      </w:r>
    </w:p>
    <w:p w14:paraId="6502C146" w14:textId="77777777" w:rsidR="00DF7C60" w:rsidRPr="00DF7C60" w:rsidRDefault="00DF7C60" w:rsidP="00DF7C60">
      <w:pPr>
        <w:ind w:left="2880" w:hanging="724"/>
        <w:rPr>
          <w:szCs w:val="17"/>
        </w:rPr>
      </w:pPr>
      <w:r w:rsidRPr="00DF7C60">
        <w:rPr>
          <w:szCs w:val="17"/>
        </w:rPr>
        <w:t>(b)</w:t>
      </w:r>
      <w:r w:rsidRPr="00DF7C60">
        <w:rPr>
          <w:szCs w:val="17"/>
        </w:rPr>
        <w:tab/>
        <w:t>consider whether the expense and potential delay of making an interlocutory application is genuinely in that party’s interests and proportionate to the issues and amounts of money in dispute;</w:t>
      </w:r>
    </w:p>
    <w:p w14:paraId="35BD7997" w14:textId="77777777" w:rsidR="00DF7C60" w:rsidRPr="00DF7C60" w:rsidRDefault="00DF7C60" w:rsidP="00DF7C60">
      <w:pPr>
        <w:ind w:left="2880" w:hanging="724"/>
        <w:rPr>
          <w:szCs w:val="17"/>
        </w:rPr>
      </w:pPr>
      <w:r w:rsidRPr="00DF7C60">
        <w:rPr>
          <w:szCs w:val="17"/>
        </w:rPr>
        <w:t>(c)</w:t>
      </w:r>
      <w:r w:rsidRPr="00DF7C60">
        <w:rPr>
          <w:szCs w:val="17"/>
        </w:rPr>
        <w:tab/>
        <w:t>make any necessary interlocutory application as soon as practicable to minimise overall delay;</w:t>
      </w:r>
    </w:p>
    <w:p w14:paraId="40EE638E" w14:textId="77777777" w:rsidR="00DF7C60" w:rsidRPr="00DF7C60" w:rsidRDefault="00DF7C60" w:rsidP="00DF7C60">
      <w:pPr>
        <w:ind w:left="2880" w:hanging="724"/>
        <w:rPr>
          <w:szCs w:val="17"/>
        </w:rPr>
      </w:pPr>
      <w:r w:rsidRPr="00DF7C60">
        <w:rPr>
          <w:szCs w:val="17"/>
        </w:rPr>
        <w:t>(d)</w:t>
      </w:r>
      <w:r w:rsidRPr="00DF7C60">
        <w:rPr>
          <w:szCs w:val="17"/>
        </w:rPr>
        <w:tab/>
        <w:t>once an application has been made, continue efforts to resolve the issues in dispute; and</w:t>
      </w:r>
    </w:p>
    <w:p w14:paraId="146E264A" w14:textId="77777777" w:rsidR="00DF7C60" w:rsidRPr="00DF7C60" w:rsidRDefault="00DF7C60" w:rsidP="00DF7C60">
      <w:pPr>
        <w:ind w:left="2880" w:hanging="724"/>
        <w:rPr>
          <w:szCs w:val="17"/>
        </w:rPr>
      </w:pPr>
      <w:r w:rsidRPr="00DF7C60">
        <w:rPr>
          <w:szCs w:val="17"/>
        </w:rPr>
        <w:t>(e)</w:t>
      </w:r>
      <w:r w:rsidRPr="00DF7C60">
        <w:rPr>
          <w:szCs w:val="17"/>
        </w:rPr>
        <w:tab/>
        <w:t>avoid taking an aggressive, uncooperative or pedantic approach to interlocutory issues.</w:t>
      </w:r>
    </w:p>
    <w:p w14:paraId="60BFA758" w14:textId="77777777" w:rsidR="00DF7C60" w:rsidRPr="00DF7C60" w:rsidRDefault="00DF7C60" w:rsidP="00DF7C60">
      <w:pPr>
        <w:ind w:left="2156"/>
        <w:rPr>
          <w:szCs w:val="17"/>
        </w:rPr>
      </w:pPr>
      <w:r w:rsidRPr="00DF7C60">
        <w:rPr>
          <w:szCs w:val="17"/>
        </w:rPr>
        <w:t>The Court may make an adverse costs order if a party or party’s representatives do not comply with this rule.”</w:t>
      </w:r>
    </w:p>
    <w:p w14:paraId="3383B93B" w14:textId="77777777" w:rsidR="00DF7C60" w:rsidRPr="00DF7C60" w:rsidRDefault="00DF7C60" w:rsidP="00965F17">
      <w:pPr>
        <w:numPr>
          <w:ilvl w:val="0"/>
          <w:numId w:val="57"/>
        </w:numPr>
        <w:ind w:left="851" w:hanging="758"/>
        <w:rPr>
          <w:szCs w:val="17"/>
        </w:rPr>
      </w:pPr>
      <w:r w:rsidRPr="00DF7C60">
        <w:rPr>
          <w:szCs w:val="17"/>
        </w:rPr>
        <w:t>A new subrule 313.1(3) is inserted immediately after subrule 313.1(2) as follows:</w:t>
      </w:r>
    </w:p>
    <w:p w14:paraId="5F65D33D" w14:textId="77777777" w:rsidR="00DF7C60" w:rsidRPr="00DF7C60" w:rsidRDefault="00DF7C60" w:rsidP="00DF7C60">
      <w:pPr>
        <w:ind w:left="851"/>
        <w:rPr>
          <w:szCs w:val="17"/>
        </w:rPr>
      </w:pPr>
      <w:r w:rsidRPr="00DF7C60">
        <w:rPr>
          <w:szCs w:val="17"/>
        </w:rPr>
        <w:t>“(3)</w:t>
      </w:r>
      <w:r w:rsidRPr="00DF7C60">
        <w:rPr>
          <w:szCs w:val="17"/>
        </w:rPr>
        <w:tab/>
        <w:t xml:space="preserve">An eligible proceeding may be assigned to the Commercial list by the Chief Judge or Managing Judge.” </w:t>
      </w:r>
    </w:p>
    <w:p w14:paraId="6065BDF3" w14:textId="77777777" w:rsidR="00DF7C60" w:rsidRPr="00DF7C60" w:rsidRDefault="00DF7C60" w:rsidP="00965F17">
      <w:pPr>
        <w:numPr>
          <w:ilvl w:val="0"/>
          <w:numId w:val="57"/>
        </w:numPr>
        <w:ind w:left="851" w:hanging="758"/>
        <w:rPr>
          <w:szCs w:val="17"/>
        </w:rPr>
      </w:pPr>
      <w:r w:rsidRPr="00DF7C60">
        <w:rPr>
          <w:szCs w:val="17"/>
        </w:rPr>
        <w:t xml:space="preserve">Rule 313.2 is deleted and substituted as follows:  </w:t>
      </w:r>
    </w:p>
    <w:p w14:paraId="3A34F79B" w14:textId="77777777" w:rsidR="00DF7C60" w:rsidRPr="00DF7C60" w:rsidRDefault="00DF7C60" w:rsidP="00DF7C60">
      <w:pPr>
        <w:ind w:left="851"/>
        <w:rPr>
          <w:b/>
          <w:bCs/>
          <w:szCs w:val="17"/>
        </w:rPr>
      </w:pPr>
      <w:r w:rsidRPr="00DF7C60">
        <w:rPr>
          <w:szCs w:val="17"/>
        </w:rPr>
        <w:t>“</w:t>
      </w:r>
      <w:r w:rsidRPr="00DF7C60">
        <w:rPr>
          <w:b/>
          <w:bCs/>
          <w:szCs w:val="17"/>
        </w:rPr>
        <w:t>313.2 – Management of proceedings</w:t>
      </w:r>
    </w:p>
    <w:p w14:paraId="1D0BD778" w14:textId="77777777" w:rsidR="00DF7C60" w:rsidRPr="00DF7C60" w:rsidRDefault="00DF7C60" w:rsidP="00DF7C60">
      <w:pPr>
        <w:ind w:left="2160" w:hanging="724"/>
        <w:rPr>
          <w:szCs w:val="17"/>
        </w:rPr>
      </w:pPr>
      <w:r w:rsidRPr="00DF7C60">
        <w:rPr>
          <w:szCs w:val="17"/>
        </w:rPr>
        <w:t>(1)</w:t>
      </w:r>
      <w:r w:rsidRPr="00DF7C60">
        <w:rPr>
          <w:szCs w:val="17"/>
        </w:rPr>
        <w:tab/>
        <w:t xml:space="preserve">A proceeding in the Commercial List may be case managed by a Master or Judge as directed by the </w:t>
      </w:r>
      <w:r w:rsidRPr="00DF7C60">
        <w:rPr>
          <w:szCs w:val="17"/>
          <w:u w:val="single"/>
        </w:rPr>
        <w:t>Chief Judge</w:t>
      </w:r>
      <w:r w:rsidRPr="00DF7C60">
        <w:rPr>
          <w:szCs w:val="17"/>
        </w:rPr>
        <w:t xml:space="preserve"> or </w:t>
      </w:r>
      <w:r w:rsidRPr="00DF7C60">
        <w:rPr>
          <w:szCs w:val="17"/>
          <w:u w:val="single"/>
        </w:rPr>
        <w:t>managing Judge</w:t>
      </w:r>
      <w:r w:rsidRPr="00DF7C60">
        <w:rPr>
          <w:szCs w:val="17"/>
        </w:rPr>
        <w:t>.</w:t>
      </w:r>
    </w:p>
    <w:p w14:paraId="6A55C81E" w14:textId="77777777" w:rsidR="00DF7C60" w:rsidRPr="00DF7C60" w:rsidRDefault="00DF7C60" w:rsidP="00DF7C60">
      <w:pPr>
        <w:ind w:left="2160" w:hanging="724"/>
        <w:rPr>
          <w:szCs w:val="17"/>
        </w:rPr>
      </w:pPr>
      <w:r w:rsidRPr="00DF7C60">
        <w:rPr>
          <w:szCs w:val="17"/>
        </w:rPr>
        <w:t>(2)</w:t>
      </w:r>
      <w:r w:rsidRPr="00DF7C60">
        <w:rPr>
          <w:szCs w:val="17"/>
        </w:rPr>
        <w:tab/>
        <w:t>A proceeding in the Commercial List will be governed generally by the following principles:</w:t>
      </w:r>
    </w:p>
    <w:p w14:paraId="77EB2992" w14:textId="77777777" w:rsidR="00DF7C60" w:rsidRPr="00DF7C60" w:rsidRDefault="00DF7C60" w:rsidP="00DF7C60">
      <w:pPr>
        <w:ind w:left="2880" w:hanging="720"/>
        <w:rPr>
          <w:szCs w:val="17"/>
        </w:rPr>
      </w:pPr>
      <w:r w:rsidRPr="00DF7C60">
        <w:rPr>
          <w:szCs w:val="17"/>
        </w:rPr>
        <w:t xml:space="preserve">(a) </w:t>
      </w:r>
      <w:r w:rsidRPr="00DF7C60">
        <w:rPr>
          <w:szCs w:val="17"/>
        </w:rPr>
        <w:tab/>
        <w:t>The proceeding will be actively managed by the Court with the aim of getting the matter ready for and listed for trial at the earliest practical possibility. Matters may be listed for trial before interlocutory steps are finalised.</w:t>
      </w:r>
    </w:p>
    <w:p w14:paraId="13A6BDDA" w14:textId="77777777" w:rsidR="00DF7C60" w:rsidRPr="00DF7C60" w:rsidRDefault="00DF7C60" w:rsidP="00DF7C60">
      <w:pPr>
        <w:ind w:left="2880" w:hanging="720"/>
        <w:rPr>
          <w:szCs w:val="17"/>
        </w:rPr>
      </w:pPr>
      <w:r w:rsidRPr="00DF7C60">
        <w:rPr>
          <w:szCs w:val="17"/>
        </w:rPr>
        <w:t xml:space="preserve">(b) </w:t>
      </w:r>
      <w:r w:rsidRPr="00DF7C60">
        <w:rPr>
          <w:szCs w:val="17"/>
        </w:rPr>
        <w:tab/>
        <w:t>The parties, Masters, Judges, and Registrars will seek to achieve the aim of facilitating the just, efficient, timely and cost‑effective resolution of the real issues in dispute in a proceeding.</w:t>
      </w:r>
    </w:p>
    <w:p w14:paraId="7ECE18C0" w14:textId="77777777" w:rsidR="00DF7C60" w:rsidRPr="00DF7C60" w:rsidRDefault="00DF7C60" w:rsidP="00DF7C60">
      <w:pPr>
        <w:ind w:left="2880" w:hanging="720"/>
        <w:rPr>
          <w:szCs w:val="17"/>
        </w:rPr>
      </w:pPr>
      <w:r w:rsidRPr="00DF7C60">
        <w:rPr>
          <w:szCs w:val="17"/>
        </w:rPr>
        <w:t>(c)</w:t>
      </w:r>
      <w:r w:rsidRPr="00DF7C60">
        <w:rPr>
          <w:szCs w:val="17"/>
        </w:rPr>
        <w:tab/>
        <w:t>Trials will be allocated to an appropriate judicial officer.</w:t>
      </w:r>
    </w:p>
    <w:p w14:paraId="439885AC" w14:textId="77777777" w:rsidR="00DF7C60" w:rsidRPr="00DF7C60" w:rsidRDefault="00DF7C60" w:rsidP="00DF7C60">
      <w:pPr>
        <w:ind w:left="2880" w:hanging="720"/>
        <w:rPr>
          <w:szCs w:val="17"/>
        </w:rPr>
      </w:pPr>
      <w:r w:rsidRPr="00DF7C60">
        <w:rPr>
          <w:szCs w:val="17"/>
        </w:rPr>
        <w:t>(d)</w:t>
      </w:r>
      <w:r w:rsidRPr="00DF7C60">
        <w:rPr>
          <w:szCs w:val="17"/>
        </w:rPr>
        <w:tab/>
        <w:t xml:space="preserve">The Court will take into account on any application for adjournment of a trial date that an aim of the Commercial List is the expeditious and cost-effective resolution of disputes.” </w:t>
      </w:r>
      <w:r w:rsidRPr="00DF7C60">
        <w:rPr>
          <w:szCs w:val="17"/>
        </w:rPr>
        <w:tab/>
      </w:r>
    </w:p>
    <w:p w14:paraId="4D4CDE24" w14:textId="77777777" w:rsidR="00DF7C60" w:rsidRPr="00DF7C60" w:rsidRDefault="00DF7C60" w:rsidP="00965F17">
      <w:pPr>
        <w:numPr>
          <w:ilvl w:val="0"/>
          <w:numId w:val="57"/>
        </w:numPr>
        <w:ind w:left="851" w:hanging="758"/>
        <w:rPr>
          <w:szCs w:val="17"/>
        </w:rPr>
      </w:pPr>
      <w:r w:rsidRPr="00DF7C60">
        <w:rPr>
          <w:szCs w:val="17"/>
        </w:rPr>
        <w:t xml:space="preserve">Subrule 116.1(2)(a) is amended to substitute the word “discover” for the word “disclose”. </w:t>
      </w:r>
    </w:p>
    <w:p w14:paraId="18F2EFEF" w14:textId="77777777" w:rsidR="00DF7C60" w:rsidRPr="00DF7C60" w:rsidRDefault="00DF7C60" w:rsidP="00965F17">
      <w:pPr>
        <w:numPr>
          <w:ilvl w:val="0"/>
          <w:numId w:val="57"/>
        </w:numPr>
        <w:ind w:left="851" w:hanging="758"/>
        <w:rPr>
          <w:szCs w:val="17"/>
        </w:rPr>
      </w:pPr>
      <w:r w:rsidRPr="00DF7C60">
        <w:rPr>
          <w:szCs w:val="17"/>
        </w:rPr>
        <w:t xml:space="preserve">Subrule 151.8(1)(c) is amended to insert the word “Commercial” after the words “proceedings in the” and before the words “Dust Diseases”. </w:t>
      </w:r>
    </w:p>
    <w:p w14:paraId="3AEB6A08" w14:textId="77777777" w:rsidR="00DF7C60" w:rsidRPr="00DF7C60" w:rsidRDefault="00DF7C60" w:rsidP="00965F17">
      <w:pPr>
        <w:numPr>
          <w:ilvl w:val="0"/>
          <w:numId w:val="57"/>
        </w:numPr>
        <w:ind w:left="851" w:hanging="758"/>
        <w:rPr>
          <w:szCs w:val="17"/>
        </w:rPr>
      </w:pPr>
      <w:r w:rsidRPr="00DF7C60">
        <w:rPr>
          <w:szCs w:val="17"/>
        </w:rPr>
        <w:t xml:space="preserve">Subrule 141.2(1) is deleted and substituted as follows: </w:t>
      </w:r>
    </w:p>
    <w:p w14:paraId="744F964F" w14:textId="77777777" w:rsidR="00DF7C60" w:rsidRPr="00DF7C60" w:rsidRDefault="00DF7C60" w:rsidP="00DF7C60">
      <w:pPr>
        <w:ind w:left="1436" w:hanging="585"/>
        <w:rPr>
          <w:szCs w:val="17"/>
        </w:rPr>
      </w:pPr>
      <w:r w:rsidRPr="00DF7C60">
        <w:rPr>
          <w:szCs w:val="17"/>
        </w:rPr>
        <w:t>“(1)</w:t>
      </w:r>
      <w:r w:rsidRPr="00DF7C60">
        <w:rPr>
          <w:szCs w:val="17"/>
        </w:rPr>
        <w:tab/>
        <w:t xml:space="preserve">Subject to rule 141.1(1), an applicant may discontinue an action against a respondent or interested party at any time without leave of the Court– </w:t>
      </w:r>
    </w:p>
    <w:p w14:paraId="2C465A00" w14:textId="77777777" w:rsidR="00DF7C60" w:rsidRPr="00DF7C60" w:rsidRDefault="00DF7C60" w:rsidP="00DF7C60">
      <w:pPr>
        <w:ind w:left="2160" w:hanging="724"/>
        <w:rPr>
          <w:szCs w:val="17"/>
        </w:rPr>
      </w:pPr>
      <w:r w:rsidRPr="00DF7C60">
        <w:rPr>
          <w:szCs w:val="17"/>
        </w:rPr>
        <w:t>(a)</w:t>
      </w:r>
      <w:r w:rsidRPr="00DF7C60">
        <w:rPr>
          <w:szCs w:val="17"/>
        </w:rPr>
        <w:tab/>
        <w:t xml:space="preserve">if the originating process has not been served on any other party and no other party to the action has an address for service– by filing a notice of discontinuance in the prescribed form; or </w:t>
      </w:r>
    </w:p>
    <w:p w14:paraId="21F76ADF" w14:textId="77777777" w:rsidR="00DF7C60" w:rsidRPr="00DF7C60" w:rsidRDefault="00DF7C60" w:rsidP="00DF7C60">
      <w:pPr>
        <w:ind w:left="2160" w:hanging="724"/>
        <w:rPr>
          <w:b/>
          <w:bCs/>
          <w:szCs w:val="17"/>
        </w:rPr>
      </w:pPr>
      <w:r w:rsidRPr="00DF7C60">
        <w:rPr>
          <w:b/>
          <w:bCs/>
          <w:szCs w:val="17"/>
        </w:rPr>
        <w:t xml:space="preserve">Prescribed form– </w:t>
      </w:r>
    </w:p>
    <w:p w14:paraId="2BCBC1AF" w14:textId="77777777" w:rsidR="00DF7C60" w:rsidRPr="00DF7C60" w:rsidRDefault="00DF7C60" w:rsidP="00DF7C60">
      <w:pPr>
        <w:ind w:left="2160" w:hanging="724"/>
        <w:rPr>
          <w:szCs w:val="17"/>
          <w:u w:val="single"/>
        </w:rPr>
      </w:pPr>
      <w:r w:rsidRPr="00DF7C60">
        <w:rPr>
          <w:szCs w:val="17"/>
        </w:rPr>
        <w:t xml:space="preserve">Form 125 </w:t>
      </w:r>
      <w:r w:rsidRPr="00DF7C60">
        <w:rPr>
          <w:szCs w:val="17"/>
          <w:u w:val="single"/>
        </w:rPr>
        <w:t xml:space="preserve">Notice of Discontinuance </w:t>
      </w:r>
    </w:p>
    <w:p w14:paraId="42D213CA" w14:textId="77777777" w:rsidR="00DF7C60" w:rsidRPr="00DF7C60" w:rsidRDefault="00DF7C60" w:rsidP="00DF7C60">
      <w:pPr>
        <w:ind w:left="2160" w:hanging="724"/>
        <w:rPr>
          <w:szCs w:val="17"/>
        </w:rPr>
      </w:pPr>
      <w:r w:rsidRPr="00DF7C60">
        <w:rPr>
          <w:szCs w:val="17"/>
        </w:rPr>
        <w:t>(b)</w:t>
      </w:r>
      <w:r w:rsidRPr="00DF7C60">
        <w:rPr>
          <w:szCs w:val="17"/>
        </w:rPr>
        <w:tab/>
        <w:t xml:space="preserve">if the other party to the action has signed a notice of and consent to the discontinuance in the prescribed form– by filing a notice of and consent to discontinuance in the prescribed form. </w:t>
      </w:r>
    </w:p>
    <w:p w14:paraId="104E1596" w14:textId="77777777" w:rsidR="00DF7C60" w:rsidRPr="00DF7C60" w:rsidRDefault="00DF7C60" w:rsidP="00DF7C60">
      <w:pPr>
        <w:ind w:left="2160" w:hanging="724"/>
        <w:rPr>
          <w:b/>
          <w:bCs/>
          <w:szCs w:val="17"/>
        </w:rPr>
      </w:pPr>
      <w:r w:rsidRPr="00DF7C60">
        <w:rPr>
          <w:b/>
          <w:bCs/>
          <w:szCs w:val="17"/>
        </w:rPr>
        <w:t xml:space="preserve">Prescribed form– </w:t>
      </w:r>
    </w:p>
    <w:p w14:paraId="1E9ECFDF" w14:textId="77777777" w:rsidR="00DF7C60" w:rsidRPr="00DF7C60" w:rsidRDefault="00DF7C60" w:rsidP="00DF7C60">
      <w:pPr>
        <w:ind w:left="2160" w:hanging="724"/>
        <w:rPr>
          <w:szCs w:val="17"/>
        </w:rPr>
      </w:pPr>
      <w:r w:rsidRPr="00DF7C60">
        <w:rPr>
          <w:szCs w:val="17"/>
        </w:rPr>
        <w:t xml:space="preserve">Form 126 </w:t>
      </w:r>
      <w:r w:rsidRPr="00DF7C60">
        <w:rPr>
          <w:szCs w:val="17"/>
          <w:u w:val="single"/>
        </w:rPr>
        <w:t>Notice of and Consent to Discontinuance</w:t>
      </w:r>
      <w:r w:rsidRPr="00DF7C60">
        <w:rPr>
          <w:szCs w:val="17"/>
        </w:rPr>
        <w:t>”</w:t>
      </w:r>
    </w:p>
    <w:p w14:paraId="4D995037" w14:textId="77777777" w:rsidR="00DF7C60" w:rsidRPr="00DF7C60" w:rsidRDefault="00DF7C60" w:rsidP="00965F17">
      <w:pPr>
        <w:numPr>
          <w:ilvl w:val="0"/>
          <w:numId w:val="57"/>
        </w:numPr>
        <w:ind w:left="851" w:hanging="758"/>
        <w:rPr>
          <w:szCs w:val="17"/>
        </w:rPr>
      </w:pPr>
      <w:r w:rsidRPr="00DF7C60">
        <w:rPr>
          <w:szCs w:val="17"/>
        </w:rPr>
        <w:t>Schedule 6 Part 2 is amended as follows:</w:t>
      </w:r>
    </w:p>
    <w:p w14:paraId="0DA71C49" w14:textId="77777777" w:rsidR="00DF7C60" w:rsidRPr="00DF7C60" w:rsidRDefault="00DF7C60" w:rsidP="00DF7C60">
      <w:pPr>
        <w:ind w:left="851"/>
        <w:rPr>
          <w:szCs w:val="17"/>
        </w:rPr>
      </w:pPr>
      <w:r w:rsidRPr="00DF7C60">
        <w:rPr>
          <w:szCs w:val="17"/>
        </w:rPr>
        <w:t>a)</w:t>
      </w:r>
      <w:r w:rsidRPr="00DF7C60">
        <w:rPr>
          <w:szCs w:val="17"/>
        </w:rPr>
        <w:tab/>
        <w:t>subrule 3(1) is amended to substitute “(5)” for “(4)”.</w:t>
      </w:r>
    </w:p>
    <w:p w14:paraId="5EF4C8E0" w14:textId="77777777" w:rsidR="00DF7C60" w:rsidRPr="00DF7C60" w:rsidRDefault="00DF7C60" w:rsidP="00DF7C60">
      <w:pPr>
        <w:ind w:left="851"/>
        <w:rPr>
          <w:szCs w:val="17"/>
        </w:rPr>
      </w:pPr>
      <w:r w:rsidRPr="00DF7C60">
        <w:rPr>
          <w:szCs w:val="17"/>
        </w:rPr>
        <w:t xml:space="preserve">b) </w:t>
      </w:r>
      <w:r w:rsidRPr="00DF7C60">
        <w:rPr>
          <w:szCs w:val="17"/>
        </w:rPr>
        <w:tab/>
        <w:t xml:space="preserve">subrule 3(2) is amended to substitute “(5)” for “(4)”. </w:t>
      </w:r>
    </w:p>
    <w:p w14:paraId="6FCB2798" w14:textId="77777777" w:rsidR="00DF7C60" w:rsidRPr="00DF7C60" w:rsidRDefault="00DF7C60" w:rsidP="00DF7C60">
      <w:pPr>
        <w:ind w:left="851"/>
        <w:rPr>
          <w:szCs w:val="17"/>
        </w:rPr>
      </w:pPr>
      <w:r w:rsidRPr="00DF7C60">
        <w:rPr>
          <w:szCs w:val="17"/>
        </w:rPr>
        <w:t>c)</w:t>
      </w:r>
      <w:r w:rsidRPr="00DF7C60">
        <w:rPr>
          <w:szCs w:val="17"/>
        </w:rPr>
        <w:tab/>
        <w:t xml:space="preserve">subrule 3(3) is amended to substitute “(5)” for “(4)”. </w:t>
      </w:r>
    </w:p>
    <w:p w14:paraId="5FBAD379" w14:textId="77777777" w:rsidR="00DF7C60" w:rsidRPr="00DF7C60" w:rsidRDefault="00DF7C60" w:rsidP="00DF7C60">
      <w:pPr>
        <w:ind w:left="1436" w:hanging="585"/>
        <w:rPr>
          <w:szCs w:val="17"/>
        </w:rPr>
      </w:pPr>
      <w:r w:rsidRPr="00DF7C60">
        <w:rPr>
          <w:szCs w:val="17"/>
        </w:rPr>
        <w:lastRenderedPageBreak/>
        <w:t>d)</w:t>
      </w:r>
      <w:r w:rsidRPr="00DF7C60">
        <w:rPr>
          <w:szCs w:val="17"/>
        </w:rPr>
        <w:tab/>
        <w:t xml:space="preserve">existing subrule 3(4) is renumbered as 3(5) and the words “(1), (2) and (3)” are replaced with “(1), (2), (3) and (4)”. </w:t>
      </w:r>
    </w:p>
    <w:p w14:paraId="1D4FC078" w14:textId="77777777" w:rsidR="00DF7C60" w:rsidRPr="00DF7C60" w:rsidRDefault="00DF7C60" w:rsidP="00965F17">
      <w:pPr>
        <w:numPr>
          <w:ilvl w:val="0"/>
          <w:numId w:val="57"/>
        </w:numPr>
        <w:ind w:left="851" w:hanging="758"/>
        <w:rPr>
          <w:szCs w:val="17"/>
        </w:rPr>
      </w:pPr>
      <w:r w:rsidRPr="00DF7C60">
        <w:rPr>
          <w:szCs w:val="17"/>
        </w:rPr>
        <w:t>In Schedule 6 Part 2, a new subrule 3(4) is inserted as follows:</w:t>
      </w:r>
    </w:p>
    <w:p w14:paraId="17978A92" w14:textId="77777777" w:rsidR="00DF7C60" w:rsidRPr="00DF7C60" w:rsidRDefault="00DF7C60" w:rsidP="00DF7C60">
      <w:pPr>
        <w:ind w:left="1418" w:hanging="567"/>
        <w:rPr>
          <w:szCs w:val="17"/>
        </w:rPr>
      </w:pPr>
      <w:r w:rsidRPr="00DF7C60">
        <w:rPr>
          <w:szCs w:val="17"/>
        </w:rPr>
        <w:t>“(4)</w:t>
      </w:r>
      <w:r w:rsidRPr="00DF7C60">
        <w:rPr>
          <w:szCs w:val="17"/>
        </w:rPr>
        <w:tab/>
        <w:t>Subject to subrule (5), the Higher Courts costs scale in respect of work done from on or after 1 January 2023 is set out in the following table.”</w:t>
      </w:r>
      <w:bookmarkEnd w:id="1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5006"/>
        <w:gridCol w:w="3587"/>
      </w:tblGrid>
      <w:tr w:rsidR="00DF7C60" w:rsidRPr="00DF7C60" w14:paraId="781AD9E0" w14:textId="77777777" w:rsidTr="0012134E">
        <w:trPr>
          <w:tblHeader/>
        </w:trPr>
        <w:tc>
          <w:tcPr>
            <w:tcW w:w="9209" w:type="dxa"/>
            <w:gridSpan w:val="3"/>
            <w:tcBorders>
              <w:top w:val="single" w:sz="4" w:space="0" w:color="auto"/>
              <w:left w:val="single" w:sz="4" w:space="0" w:color="auto"/>
              <w:bottom w:val="single" w:sz="4" w:space="0" w:color="auto"/>
              <w:right w:val="single" w:sz="4" w:space="0" w:color="auto"/>
            </w:tcBorders>
            <w:hideMark/>
          </w:tcPr>
          <w:p w14:paraId="2BABC7C0" w14:textId="77777777" w:rsidR="00DF7C60" w:rsidRPr="00DF7C60" w:rsidRDefault="00DF7C60" w:rsidP="00DF7C60">
            <w:pPr>
              <w:spacing w:before="60" w:after="60" w:line="240" w:lineRule="auto"/>
              <w:jc w:val="left"/>
              <w:rPr>
                <w:b/>
                <w:szCs w:val="17"/>
              </w:rPr>
            </w:pPr>
            <w:r w:rsidRPr="00DF7C60">
              <w:rPr>
                <w:b/>
                <w:szCs w:val="17"/>
              </w:rPr>
              <w:t>Higher Courts costs scale</w:t>
            </w:r>
          </w:p>
        </w:tc>
      </w:tr>
      <w:tr w:rsidR="00DF7C60" w:rsidRPr="00DF7C60" w14:paraId="713B63BA" w14:textId="77777777" w:rsidTr="0012134E">
        <w:trPr>
          <w:tblHeader/>
        </w:trPr>
        <w:tc>
          <w:tcPr>
            <w:tcW w:w="616" w:type="dxa"/>
            <w:tcBorders>
              <w:top w:val="single" w:sz="4" w:space="0" w:color="auto"/>
              <w:left w:val="single" w:sz="4" w:space="0" w:color="auto"/>
              <w:bottom w:val="single" w:sz="4" w:space="0" w:color="auto"/>
              <w:right w:val="single" w:sz="4" w:space="0" w:color="auto"/>
            </w:tcBorders>
            <w:hideMark/>
          </w:tcPr>
          <w:p w14:paraId="3925715E" w14:textId="77777777" w:rsidR="00DF7C60" w:rsidRPr="00DF7C60" w:rsidRDefault="00DF7C60" w:rsidP="00DF7C60">
            <w:pPr>
              <w:spacing w:before="60" w:after="60" w:line="240" w:lineRule="auto"/>
              <w:jc w:val="left"/>
              <w:rPr>
                <w:b/>
                <w:szCs w:val="17"/>
              </w:rPr>
            </w:pPr>
            <w:r w:rsidRPr="00DF7C60">
              <w:rPr>
                <w:b/>
                <w:szCs w:val="17"/>
              </w:rPr>
              <w:t xml:space="preserve">Item </w:t>
            </w:r>
          </w:p>
        </w:tc>
        <w:tc>
          <w:tcPr>
            <w:tcW w:w="5006" w:type="dxa"/>
            <w:tcBorders>
              <w:top w:val="single" w:sz="4" w:space="0" w:color="auto"/>
              <w:left w:val="single" w:sz="4" w:space="0" w:color="auto"/>
              <w:bottom w:val="single" w:sz="4" w:space="0" w:color="auto"/>
              <w:right w:val="single" w:sz="4" w:space="0" w:color="auto"/>
            </w:tcBorders>
            <w:hideMark/>
          </w:tcPr>
          <w:p w14:paraId="6C7AFAE3" w14:textId="77777777" w:rsidR="00DF7C60" w:rsidRPr="00DF7C60" w:rsidRDefault="00DF7C60" w:rsidP="00DF7C60">
            <w:pPr>
              <w:spacing w:before="60" w:after="60" w:line="240" w:lineRule="auto"/>
              <w:jc w:val="left"/>
              <w:rPr>
                <w:b/>
                <w:szCs w:val="17"/>
              </w:rPr>
            </w:pPr>
            <w:r w:rsidRPr="00DF7C60">
              <w:rPr>
                <w:b/>
                <w:szCs w:val="17"/>
              </w:rPr>
              <w:t>Description</w:t>
            </w:r>
          </w:p>
        </w:tc>
        <w:tc>
          <w:tcPr>
            <w:tcW w:w="3587" w:type="dxa"/>
            <w:tcBorders>
              <w:top w:val="single" w:sz="4" w:space="0" w:color="auto"/>
              <w:left w:val="single" w:sz="4" w:space="0" w:color="auto"/>
              <w:bottom w:val="single" w:sz="4" w:space="0" w:color="auto"/>
              <w:right w:val="single" w:sz="4" w:space="0" w:color="auto"/>
            </w:tcBorders>
            <w:hideMark/>
          </w:tcPr>
          <w:p w14:paraId="44F7CB34" w14:textId="77777777" w:rsidR="00DF7C60" w:rsidRPr="00DF7C60" w:rsidRDefault="00DF7C60" w:rsidP="00DF7C60">
            <w:pPr>
              <w:spacing w:before="60" w:after="60" w:line="240" w:lineRule="auto"/>
              <w:jc w:val="left"/>
              <w:rPr>
                <w:b/>
                <w:szCs w:val="17"/>
              </w:rPr>
            </w:pPr>
            <w:r w:rsidRPr="00DF7C60">
              <w:rPr>
                <w:b/>
                <w:szCs w:val="17"/>
              </w:rPr>
              <w:t>Amount</w:t>
            </w:r>
          </w:p>
        </w:tc>
      </w:tr>
      <w:tr w:rsidR="00DF7C60" w:rsidRPr="00DF7C60" w14:paraId="259BE9DA" w14:textId="77777777" w:rsidTr="0012134E">
        <w:tc>
          <w:tcPr>
            <w:tcW w:w="9209" w:type="dxa"/>
            <w:gridSpan w:val="3"/>
            <w:tcBorders>
              <w:top w:val="single" w:sz="4" w:space="0" w:color="auto"/>
              <w:left w:val="single" w:sz="4" w:space="0" w:color="auto"/>
              <w:bottom w:val="single" w:sz="4" w:space="0" w:color="auto"/>
              <w:right w:val="single" w:sz="4" w:space="0" w:color="auto"/>
            </w:tcBorders>
            <w:vAlign w:val="center"/>
            <w:hideMark/>
          </w:tcPr>
          <w:p w14:paraId="0E6DCE9C" w14:textId="77777777" w:rsidR="00DF7C60" w:rsidRPr="00DF7C60" w:rsidRDefault="00DF7C60" w:rsidP="00DF7C60">
            <w:pPr>
              <w:spacing w:before="60" w:after="60" w:line="240" w:lineRule="auto"/>
              <w:jc w:val="left"/>
              <w:rPr>
                <w:szCs w:val="17"/>
              </w:rPr>
            </w:pPr>
            <w:r w:rsidRPr="00DF7C60">
              <w:rPr>
                <w:szCs w:val="17"/>
              </w:rPr>
              <w:t>Documents</w:t>
            </w:r>
          </w:p>
        </w:tc>
      </w:tr>
      <w:tr w:rsidR="00DF7C60" w:rsidRPr="00DF7C60" w14:paraId="5D10643E"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696705FE" w14:textId="77777777" w:rsidR="00DF7C60" w:rsidRPr="00DF7C60" w:rsidRDefault="00DF7C60" w:rsidP="00DF7C60">
            <w:pPr>
              <w:spacing w:after="120" w:line="240" w:lineRule="auto"/>
              <w:jc w:val="left"/>
              <w:rPr>
                <w:szCs w:val="17"/>
              </w:rPr>
            </w:pPr>
            <w:r w:rsidRPr="00DF7C60">
              <w:rPr>
                <w:szCs w:val="17"/>
              </w:rPr>
              <w:t>1</w:t>
            </w:r>
          </w:p>
        </w:tc>
        <w:tc>
          <w:tcPr>
            <w:tcW w:w="5006" w:type="dxa"/>
            <w:tcBorders>
              <w:top w:val="single" w:sz="4" w:space="0" w:color="auto"/>
              <w:left w:val="single" w:sz="4" w:space="0" w:color="auto"/>
              <w:bottom w:val="single" w:sz="4" w:space="0" w:color="auto"/>
              <w:right w:val="single" w:sz="4" w:space="0" w:color="auto"/>
            </w:tcBorders>
            <w:hideMark/>
          </w:tcPr>
          <w:p w14:paraId="305DCB26" w14:textId="77777777" w:rsidR="00DF7C60" w:rsidRPr="00DF7C60" w:rsidRDefault="00DF7C60" w:rsidP="00DF7C60">
            <w:pPr>
              <w:spacing w:after="120" w:line="240" w:lineRule="auto"/>
              <w:jc w:val="left"/>
              <w:rPr>
                <w:szCs w:val="17"/>
              </w:rPr>
            </w:pPr>
            <w:r w:rsidRPr="00DF7C60">
              <w:rPr>
                <w:szCs w:val="17"/>
              </w:rPr>
              <w:t xml:space="preserve">Drawing any document of importance, other than documents mentioned under item 2, 10 or 11 (including original and the lawyer’s file copy). </w:t>
            </w:r>
          </w:p>
        </w:tc>
        <w:tc>
          <w:tcPr>
            <w:tcW w:w="3587" w:type="dxa"/>
            <w:tcBorders>
              <w:top w:val="single" w:sz="4" w:space="0" w:color="auto"/>
              <w:left w:val="single" w:sz="4" w:space="0" w:color="auto"/>
              <w:bottom w:val="single" w:sz="4" w:space="0" w:color="auto"/>
              <w:right w:val="single" w:sz="4" w:space="0" w:color="auto"/>
            </w:tcBorders>
            <w:hideMark/>
          </w:tcPr>
          <w:p w14:paraId="19473D89" w14:textId="77777777" w:rsidR="00DF7C60" w:rsidRPr="00DF7C60" w:rsidRDefault="00DF7C60" w:rsidP="00DF7C60">
            <w:pPr>
              <w:spacing w:after="120" w:line="240" w:lineRule="auto"/>
              <w:jc w:val="left"/>
              <w:rPr>
                <w:szCs w:val="17"/>
              </w:rPr>
            </w:pPr>
            <w:r w:rsidRPr="00DF7C60">
              <w:rPr>
                <w:szCs w:val="17"/>
              </w:rPr>
              <w:t>$40.10 —for each ¼ page.</w:t>
            </w:r>
          </w:p>
        </w:tc>
      </w:tr>
      <w:tr w:rsidR="00DF7C60" w:rsidRPr="00DF7C60" w14:paraId="426B7F22"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58E2968F" w14:textId="77777777" w:rsidR="00DF7C60" w:rsidRPr="00DF7C60" w:rsidRDefault="00DF7C60" w:rsidP="00DF7C60">
            <w:pPr>
              <w:spacing w:after="120" w:line="240" w:lineRule="auto"/>
              <w:jc w:val="left"/>
              <w:rPr>
                <w:szCs w:val="17"/>
              </w:rPr>
            </w:pPr>
            <w:r w:rsidRPr="00DF7C60">
              <w:rPr>
                <w:szCs w:val="17"/>
              </w:rPr>
              <w:t>2</w:t>
            </w:r>
          </w:p>
        </w:tc>
        <w:tc>
          <w:tcPr>
            <w:tcW w:w="5006" w:type="dxa"/>
            <w:tcBorders>
              <w:top w:val="single" w:sz="4" w:space="0" w:color="auto"/>
              <w:left w:val="single" w:sz="4" w:space="0" w:color="auto"/>
              <w:bottom w:val="single" w:sz="4" w:space="0" w:color="auto"/>
              <w:right w:val="single" w:sz="4" w:space="0" w:color="auto"/>
            </w:tcBorders>
            <w:hideMark/>
          </w:tcPr>
          <w:p w14:paraId="07B6C558" w14:textId="77777777" w:rsidR="00DF7C60" w:rsidRPr="00DF7C60" w:rsidRDefault="00DF7C60" w:rsidP="00DF7C60">
            <w:pPr>
              <w:spacing w:after="120" w:line="240" w:lineRule="auto"/>
              <w:jc w:val="left"/>
              <w:rPr>
                <w:szCs w:val="17"/>
              </w:rPr>
            </w:pPr>
            <w:r w:rsidRPr="00DF7C60">
              <w:rPr>
                <w:szCs w:val="17"/>
              </w:rPr>
              <w:t>Drawing proofs, indices, formal lists, extracts from other documents, lists of authorities, or other formal documents (including original and the lawyer’s file copy).</w:t>
            </w:r>
          </w:p>
        </w:tc>
        <w:tc>
          <w:tcPr>
            <w:tcW w:w="3587" w:type="dxa"/>
            <w:tcBorders>
              <w:top w:val="single" w:sz="4" w:space="0" w:color="auto"/>
              <w:left w:val="single" w:sz="4" w:space="0" w:color="auto"/>
              <w:bottom w:val="single" w:sz="4" w:space="0" w:color="auto"/>
              <w:right w:val="single" w:sz="4" w:space="0" w:color="auto"/>
            </w:tcBorders>
            <w:hideMark/>
          </w:tcPr>
          <w:p w14:paraId="09BD68D6" w14:textId="77777777" w:rsidR="00DF7C60" w:rsidRPr="00DF7C60" w:rsidRDefault="00DF7C60" w:rsidP="00DF7C60">
            <w:pPr>
              <w:spacing w:after="120" w:line="240" w:lineRule="auto"/>
              <w:jc w:val="left"/>
              <w:rPr>
                <w:szCs w:val="17"/>
              </w:rPr>
            </w:pPr>
            <w:r w:rsidRPr="00DF7C60">
              <w:rPr>
                <w:szCs w:val="17"/>
              </w:rPr>
              <w:t>$20.32—for each ¼ page.</w:t>
            </w:r>
          </w:p>
        </w:tc>
      </w:tr>
      <w:tr w:rsidR="00DF7C60" w:rsidRPr="00DF7C60" w14:paraId="44D5F80C"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30F90755" w14:textId="77777777" w:rsidR="00DF7C60" w:rsidRPr="00DF7C60" w:rsidRDefault="00DF7C60" w:rsidP="00DF7C60">
            <w:pPr>
              <w:spacing w:after="120" w:line="240" w:lineRule="auto"/>
              <w:jc w:val="left"/>
              <w:rPr>
                <w:szCs w:val="17"/>
              </w:rPr>
            </w:pPr>
            <w:r w:rsidRPr="00DF7C60">
              <w:rPr>
                <w:szCs w:val="17"/>
              </w:rPr>
              <w:t>3</w:t>
            </w:r>
          </w:p>
        </w:tc>
        <w:tc>
          <w:tcPr>
            <w:tcW w:w="5006" w:type="dxa"/>
            <w:tcBorders>
              <w:top w:val="single" w:sz="4" w:space="0" w:color="auto"/>
              <w:left w:val="single" w:sz="4" w:space="0" w:color="auto"/>
              <w:bottom w:val="single" w:sz="4" w:space="0" w:color="auto"/>
              <w:right w:val="single" w:sz="4" w:space="0" w:color="auto"/>
            </w:tcBorders>
            <w:hideMark/>
          </w:tcPr>
          <w:p w14:paraId="5C9B0266" w14:textId="77777777" w:rsidR="00DF7C60" w:rsidRPr="00DF7C60" w:rsidRDefault="00DF7C60" w:rsidP="00DF7C60">
            <w:pPr>
              <w:spacing w:after="120" w:line="240" w:lineRule="auto"/>
              <w:jc w:val="left"/>
              <w:rPr>
                <w:szCs w:val="17"/>
              </w:rPr>
            </w:pPr>
            <w:r w:rsidRPr="00DF7C60">
              <w:rPr>
                <w:szCs w:val="17"/>
              </w:rPr>
              <w:t>Engrossing documents, when copying or scanning is not appropriate (including original and the lawyer’s file copy).</w:t>
            </w:r>
          </w:p>
        </w:tc>
        <w:tc>
          <w:tcPr>
            <w:tcW w:w="3587" w:type="dxa"/>
            <w:tcBorders>
              <w:top w:val="single" w:sz="4" w:space="0" w:color="auto"/>
              <w:left w:val="single" w:sz="4" w:space="0" w:color="auto"/>
              <w:bottom w:val="single" w:sz="4" w:space="0" w:color="auto"/>
              <w:right w:val="single" w:sz="4" w:space="0" w:color="auto"/>
            </w:tcBorders>
            <w:hideMark/>
          </w:tcPr>
          <w:p w14:paraId="41B7D793" w14:textId="77777777" w:rsidR="00DF7C60" w:rsidRPr="00DF7C60" w:rsidRDefault="00DF7C60" w:rsidP="00DF7C60">
            <w:pPr>
              <w:spacing w:after="120" w:line="240" w:lineRule="auto"/>
              <w:jc w:val="left"/>
              <w:rPr>
                <w:szCs w:val="17"/>
              </w:rPr>
            </w:pPr>
            <w:r w:rsidRPr="00DF7C60">
              <w:rPr>
                <w:szCs w:val="17"/>
              </w:rPr>
              <w:t>$5.88—for each ¼ page.</w:t>
            </w:r>
          </w:p>
        </w:tc>
      </w:tr>
      <w:tr w:rsidR="00DF7C60" w:rsidRPr="00DF7C60" w14:paraId="6F1512A6"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5F99AF70" w14:textId="77777777" w:rsidR="00DF7C60" w:rsidRPr="00DF7C60" w:rsidRDefault="00DF7C60" w:rsidP="00DF7C60">
            <w:pPr>
              <w:spacing w:after="120" w:line="240" w:lineRule="auto"/>
              <w:jc w:val="left"/>
              <w:rPr>
                <w:szCs w:val="17"/>
              </w:rPr>
            </w:pPr>
            <w:r w:rsidRPr="00DF7C60">
              <w:rPr>
                <w:szCs w:val="17"/>
              </w:rPr>
              <w:t>4</w:t>
            </w:r>
          </w:p>
        </w:tc>
        <w:tc>
          <w:tcPr>
            <w:tcW w:w="5006" w:type="dxa"/>
            <w:tcBorders>
              <w:top w:val="single" w:sz="4" w:space="0" w:color="auto"/>
              <w:left w:val="single" w:sz="4" w:space="0" w:color="auto"/>
              <w:bottom w:val="single" w:sz="4" w:space="0" w:color="auto"/>
              <w:right w:val="single" w:sz="4" w:space="0" w:color="auto"/>
            </w:tcBorders>
            <w:hideMark/>
          </w:tcPr>
          <w:p w14:paraId="25EC35AE" w14:textId="77777777" w:rsidR="00DF7C60" w:rsidRPr="00DF7C60" w:rsidRDefault="00DF7C60" w:rsidP="00DF7C60">
            <w:pPr>
              <w:spacing w:after="120" w:line="240" w:lineRule="auto"/>
              <w:jc w:val="left"/>
              <w:rPr>
                <w:szCs w:val="17"/>
              </w:rPr>
            </w:pPr>
            <w:r w:rsidRPr="00DF7C60">
              <w:rPr>
                <w:szCs w:val="17"/>
              </w:rPr>
              <w:t>Perusing documents (including electronic documents).</w:t>
            </w:r>
          </w:p>
        </w:tc>
        <w:tc>
          <w:tcPr>
            <w:tcW w:w="3587" w:type="dxa"/>
            <w:tcBorders>
              <w:top w:val="single" w:sz="4" w:space="0" w:color="auto"/>
              <w:left w:val="single" w:sz="4" w:space="0" w:color="auto"/>
              <w:bottom w:val="single" w:sz="4" w:space="0" w:color="auto"/>
              <w:right w:val="single" w:sz="4" w:space="0" w:color="auto"/>
            </w:tcBorders>
            <w:hideMark/>
          </w:tcPr>
          <w:p w14:paraId="71D40D74" w14:textId="77777777" w:rsidR="00DF7C60" w:rsidRPr="00DF7C60" w:rsidRDefault="00DF7C60" w:rsidP="00DF7C60">
            <w:pPr>
              <w:spacing w:after="120" w:line="240" w:lineRule="auto"/>
              <w:jc w:val="left"/>
              <w:rPr>
                <w:szCs w:val="17"/>
              </w:rPr>
            </w:pPr>
            <w:r w:rsidRPr="00DF7C60">
              <w:rPr>
                <w:szCs w:val="17"/>
              </w:rPr>
              <w:t>a range between $2.95 and $11.50—for each ¼ page.</w:t>
            </w:r>
          </w:p>
        </w:tc>
      </w:tr>
      <w:tr w:rsidR="00DF7C60" w:rsidRPr="00DF7C60" w14:paraId="16412CD6"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16795FB8" w14:textId="77777777" w:rsidR="00DF7C60" w:rsidRPr="00DF7C60" w:rsidRDefault="00DF7C60" w:rsidP="00DF7C60">
            <w:pPr>
              <w:spacing w:after="120" w:line="240" w:lineRule="auto"/>
              <w:jc w:val="left"/>
              <w:rPr>
                <w:szCs w:val="17"/>
              </w:rPr>
            </w:pPr>
            <w:r w:rsidRPr="00DF7C60">
              <w:rPr>
                <w:szCs w:val="17"/>
              </w:rPr>
              <w:t>5</w:t>
            </w:r>
          </w:p>
        </w:tc>
        <w:tc>
          <w:tcPr>
            <w:tcW w:w="5006" w:type="dxa"/>
            <w:tcBorders>
              <w:top w:val="single" w:sz="4" w:space="0" w:color="auto"/>
              <w:left w:val="single" w:sz="4" w:space="0" w:color="auto"/>
              <w:bottom w:val="single" w:sz="4" w:space="0" w:color="auto"/>
              <w:right w:val="single" w:sz="4" w:space="0" w:color="auto"/>
            </w:tcBorders>
            <w:hideMark/>
          </w:tcPr>
          <w:p w14:paraId="4959E199" w14:textId="77777777" w:rsidR="00DF7C60" w:rsidRPr="00DF7C60" w:rsidRDefault="00DF7C60" w:rsidP="00DF7C60">
            <w:pPr>
              <w:spacing w:after="120" w:line="240" w:lineRule="auto"/>
              <w:jc w:val="left"/>
              <w:rPr>
                <w:szCs w:val="17"/>
              </w:rPr>
            </w:pPr>
            <w:r w:rsidRPr="00DF7C60">
              <w:rPr>
                <w:szCs w:val="17"/>
              </w:rPr>
              <w:t>Examining documents (including electronic documents), when a perusal is not justified.</w:t>
            </w:r>
          </w:p>
        </w:tc>
        <w:tc>
          <w:tcPr>
            <w:tcW w:w="3587" w:type="dxa"/>
            <w:tcBorders>
              <w:top w:val="single" w:sz="4" w:space="0" w:color="auto"/>
              <w:left w:val="single" w:sz="4" w:space="0" w:color="auto"/>
              <w:bottom w:val="single" w:sz="4" w:space="0" w:color="auto"/>
              <w:right w:val="single" w:sz="4" w:space="0" w:color="auto"/>
            </w:tcBorders>
            <w:hideMark/>
          </w:tcPr>
          <w:p w14:paraId="18307690" w14:textId="77777777" w:rsidR="00DF7C60" w:rsidRPr="00DF7C60" w:rsidRDefault="00DF7C60" w:rsidP="00DF7C60">
            <w:pPr>
              <w:spacing w:after="120" w:line="240" w:lineRule="auto"/>
              <w:jc w:val="left"/>
              <w:rPr>
                <w:szCs w:val="17"/>
              </w:rPr>
            </w:pPr>
            <w:r w:rsidRPr="00DF7C60">
              <w:rPr>
                <w:szCs w:val="17"/>
              </w:rPr>
              <w:t>$0.74—for each ¼ page.</w:t>
            </w:r>
          </w:p>
        </w:tc>
      </w:tr>
      <w:tr w:rsidR="00DF7C60" w:rsidRPr="00DF7C60" w14:paraId="7F07834B"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5D61BBE6" w14:textId="77777777" w:rsidR="00DF7C60" w:rsidRPr="00DF7C60" w:rsidRDefault="00DF7C60" w:rsidP="00DF7C60">
            <w:pPr>
              <w:spacing w:after="120" w:line="240" w:lineRule="auto"/>
              <w:jc w:val="left"/>
              <w:rPr>
                <w:szCs w:val="17"/>
              </w:rPr>
            </w:pPr>
            <w:r w:rsidRPr="00DF7C60">
              <w:rPr>
                <w:szCs w:val="17"/>
              </w:rPr>
              <w:t>6</w:t>
            </w:r>
          </w:p>
        </w:tc>
        <w:tc>
          <w:tcPr>
            <w:tcW w:w="5006" w:type="dxa"/>
            <w:tcBorders>
              <w:top w:val="single" w:sz="4" w:space="0" w:color="auto"/>
              <w:left w:val="single" w:sz="4" w:space="0" w:color="auto"/>
              <w:bottom w:val="single" w:sz="4" w:space="0" w:color="auto"/>
              <w:right w:val="single" w:sz="4" w:space="0" w:color="auto"/>
            </w:tcBorders>
            <w:hideMark/>
          </w:tcPr>
          <w:p w14:paraId="09723C34" w14:textId="77777777" w:rsidR="00DF7C60" w:rsidRPr="00DF7C60" w:rsidRDefault="00DF7C60" w:rsidP="00DF7C60">
            <w:pPr>
              <w:spacing w:after="120" w:line="240" w:lineRule="auto"/>
              <w:jc w:val="left"/>
              <w:rPr>
                <w:szCs w:val="17"/>
              </w:rPr>
            </w:pPr>
            <w:r w:rsidRPr="00DF7C60">
              <w:rPr>
                <w:szCs w:val="17"/>
              </w:rPr>
              <w:t>Documents produced by copying or scanning, or receiving emails, faxes or any other electronic transmissions.</w:t>
            </w:r>
          </w:p>
        </w:tc>
        <w:tc>
          <w:tcPr>
            <w:tcW w:w="3587" w:type="dxa"/>
            <w:tcBorders>
              <w:top w:val="single" w:sz="4" w:space="0" w:color="auto"/>
              <w:left w:val="single" w:sz="4" w:space="0" w:color="auto"/>
              <w:bottom w:val="single" w:sz="4" w:space="0" w:color="auto"/>
              <w:right w:val="single" w:sz="4" w:space="0" w:color="auto"/>
            </w:tcBorders>
            <w:hideMark/>
          </w:tcPr>
          <w:p w14:paraId="7E7C3B9A" w14:textId="77777777" w:rsidR="00DF7C60" w:rsidRPr="00DF7C60" w:rsidRDefault="00DF7C60" w:rsidP="00DF7C60">
            <w:pPr>
              <w:spacing w:after="120" w:line="240" w:lineRule="auto"/>
              <w:jc w:val="left"/>
              <w:rPr>
                <w:szCs w:val="17"/>
              </w:rPr>
            </w:pPr>
            <w:r w:rsidRPr="00DF7C60">
              <w:rPr>
                <w:szCs w:val="17"/>
              </w:rPr>
              <w:t>$0.43—for each sheet.</w:t>
            </w:r>
          </w:p>
        </w:tc>
      </w:tr>
      <w:tr w:rsidR="00DF7C60" w:rsidRPr="00DF7C60" w14:paraId="12774771" w14:textId="77777777" w:rsidTr="0012134E">
        <w:tc>
          <w:tcPr>
            <w:tcW w:w="9209" w:type="dxa"/>
            <w:gridSpan w:val="3"/>
            <w:tcBorders>
              <w:top w:val="single" w:sz="4" w:space="0" w:color="auto"/>
              <w:left w:val="single" w:sz="4" w:space="0" w:color="auto"/>
              <w:bottom w:val="single" w:sz="4" w:space="0" w:color="auto"/>
              <w:right w:val="single" w:sz="4" w:space="0" w:color="auto"/>
            </w:tcBorders>
            <w:hideMark/>
          </w:tcPr>
          <w:p w14:paraId="5E44DA4B" w14:textId="77777777" w:rsidR="00DF7C60" w:rsidRPr="00DF7C60" w:rsidRDefault="00DF7C60" w:rsidP="00DF7C60">
            <w:pPr>
              <w:spacing w:before="60" w:after="60" w:line="240" w:lineRule="auto"/>
              <w:jc w:val="left"/>
              <w:rPr>
                <w:szCs w:val="17"/>
              </w:rPr>
            </w:pPr>
            <w:r w:rsidRPr="00DF7C60">
              <w:rPr>
                <w:szCs w:val="17"/>
              </w:rPr>
              <w:t>Attendances and Communications</w:t>
            </w:r>
          </w:p>
        </w:tc>
      </w:tr>
      <w:tr w:rsidR="00DF7C60" w:rsidRPr="00DF7C60" w14:paraId="2B648BB6"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04FC6583" w14:textId="77777777" w:rsidR="00DF7C60" w:rsidRPr="00DF7C60" w:rsidRDefault="00DF7C60" w:rsidP="00DF7C60">
            <w:pPr>
              <w:spacing w:after="120" w:line="240" w:lineRule="auto"/>
              <w:jc w:val="left"/>
              <w:rPr>
                <w:szCs w:val="17"/>
              </w:rPr>
            </w:pPr>
            <w:r w:rsidRPr="00DF7C60">
              <w:rPr>
                <w:szCs w:val="17"/>
              </w:rPr>
              <w:t>7</w:t>
            </w:r>
          </w:p>
        </w:tc>
        <w:tc>
          <w:tcPr>
            <w:tcW w:w="5006" w:type="dxa"/>
            <w:tcBorders>
              <w:top w:val="single" w:sz="4" w:space="0" w:color="auto"/>
              <w:left w:val="single" w:sz="4" w:space="0" w:color="auto"/>
              <w:bottom w:val="single" w:sz="4" w:space="0" w:color="auto"/>
              <w:right w:val="single" w:sz="4" w:space="0" w:color="auto"/>
            </w:tcBorders>
            <w:hideMark/>
          </w:tcPr>
          <w:p w14:paraId="61CF138D" w14:textId="77777777" w:rsidR="00DF7C60" w:rsidRPr="00DF7C60" w:rsidRDefault="00DF7C60" w:rsidP="00DF7C60">
            <w:pPr>
              <w:spacing w:after="120" w:line="240" w:lineRule="auto"/>
              <w:jc w:val="left"/>
              <w:rPr>
                <w:szCs w:val="17"/>
              </w:rPr>
            </w:pPr>
            <w:r w:rsidRPr="00DF7C60">
              <w:rPr>
                <w:szCs w:val="17"/>
              </w:rPr>
              <w:t>Attendances and oral communications, whether personal or by electronic communication, including attendances to swear or take affidavits.</w:t>
            </w:r>
          </w:p>
        </w:tc>
        <w:tc>
          <w:tcPr>
            <w:tcW w:w="3587" w:type="dxa"/>
            <w:tcBorders>
              <w:top w:val="single" w:sz="4" w:space="0" w:color="auto"/>
              <w:left w:val="single" w:sz="4" w:space="0" w:color="auto"/>
              <w:bottom w:val="single" w:sz="4" w:space="0" w:color="auto"/>
              <w:right w:val="single" w:sz="4" w:space="0" w:color="auto"/>
            </w:tcBorders>
            <w:hideMark/>
          </w:tcPr>
          <w:p w14:paraId="602DF491" w14:textId="77777777" w:rsidR="00DF7C60" w:rsidRPr="00DF7C60" w:rsidRDefault="00DF7C60" w:rsidP="00DF7C60">
            <w:pPr>
              <w:spacing w:after="120" w:line="240" w:lineRule="auto"/>
              <w:jc w:val="left"/>
              <w:rPr>
                <w:szCs w:val="17"/>
              </w:rPr>
            </w:pPr>
            <w:r w:rsidRPr="00DF7C60">
              <w:rPr>
                <w:szCs w:val="17"/>
              </w:rPr>
              <w:t>Either:</w:t>
            </w:r>
          </w:p>
          <w:p w14:paraId="5E0C518A" w14:textId="77777777" w:rsidR="00DF7C60" w:rsidRPr="00DF7C60" w:rsidRDefault="00DF7C60" w:rsidP="00965F17">
            <w:pPr>
              <w:numPr>
                <w:ilvl w:val="0"/>
                <w:numId w:val="28"/>
              </w:numPr>
              <w:spacing w:after="0" w:line="240" w:lineRule="auto"/>
              <w:ind w:left="323" w:hanging="283"/>
              <w:contextualSpacing/>
              <w:jc w:val="left"/>
              <w:rPr>
                <w:rFonts w:eastAsia="Times New Roman"/>
                <w:szCs w:val="17"/>
              </w:rPr>
            </w:pPr>
            <w:r w:rsidRPr="00DF7C60">
              <w:rPr>
                <w:rFonts w:eastAsia="Times New Roman"/>
                <w:szCs w:val="17"/>
              </w:rPr>
              <w:t xml:space="preserve">for each 6 minute unit by a lawyer involving skill—$42.77; </w:t>
            </w:r>
          </w:p>
          <w:p w14:paraId="19A1066F" w14:textId="77777777" w:rsidR="00DF7C60" w:rsidRPr="00DF7C60" w:rsidRDefault="00DF7C60" w:rsidP="00965F17">
            <w:pPr>
              <w:numPr>
                <w:ilvl w:val="0"/>
                <w:numId w:val="28"/>
              </w:numPr>
              <w:spacing w:after="0" w:line="240" w:lineRule="auto"/>
              <w:ind w:left="323" w:hanging="283"/>
              <w:contextualSpacing/>
              <w:jc w:val="left"/>
              <w:rPr>
                <w:rFonts w:eastAsia="Times New Roman"/>
                <w:szCs w:val="17"/>
              </w:rPr>
            </w:pPr>
            <w:r w:rsidRPr="00DF7C60">
              <w:rPr>
                <w:rFonts w:eastAsia="Times New Roman"/>
                <w:szCs w:val="17"/>
              </w:rPr>
              <w:t xml:space="preserve">for each 6 minute unit by a lawyer not involving skill—$25.66; </w:t>
            </w:r>
          </w:p>
          <w:p w14:paraId="518087FF" w14:textId="77777777" w:rsidR="00DF7C60" w:rsidRPr="00DF7C60" w:rsidRDefault="00DF7C60" w:rsidP="00965F17">
            <w:pPr>
              <w:numPr>
                <w:ilvl w:val="0"/>
                <w:numId w:val="28"/>
              </w:numPr>
              <w:spacing w:after="0" w:line="240" w:lineRule="auto"/>
              <w:ind w:left="323" w:hanging="283"/>
              <w:contextualSpacing/>
              <w:jc w:val="left"/>
              <w:rPr>
                <w:rFonts w:eastAsia="Times New Roman"/>
                <w:szCs w:val="17"/>
              </w:rPr>
            </w:pPr>
            <w:r w:rsidRPr="00DF7C60">
              <w:rPr>
                <w:rFonts w:eastAsia="Times New Roman"/>
                <w:szCs w:val="17"/>
              </w:rPr>
              <w:t>for each 6 minute unit by a non-lawyer employed or engaged by a lawyer—$20.32; or</w:t>
            </w:r>
          </w:p>
          <w:p w14:paraId="4AEE19E7" w14:textId="77777777" w:rsidR="00DF7C60" w:rsidRPr="00DF7C60" w:rsidRDefault="00DF7C60" w:rsidP="00965F17">
            <w:pPr>
              <w:numPr>
                <w:ilvl w:val="0"/>
                <w:numId w:val="28"/>
              </w:numPr>
              <w:spacing w:after="0" w:line="240" w:lineRule="auto"/>
              <w:ind w:left="323" w:hanging="283"/>
              <w:contextualSpacing/>
              <w:jc w:val="left"/>
              <w:rPr>
                <w:rFonts w:eastAsia="Times New Roman"/>
                <w:szCs w:val="17"/>
              </w:rPr>
            </w:pPr>
            <w:r w:rsidRPr="00DF7C60">
              <w:rPr>
                <w:rFonts w:eastAsia="Times New Roman"/>
                <w:szCs w:val="17"/>
              </w:rPr>
              <w:t>for arranging appointments, including all work involved—$28.87 per person.</w:t>
            </w:r>
          </w:p>
        </w:tc>
      </w:tr>
      <w:tr w:rsidR="00DF7C60" w:rsidRPr="00DF7C60" w14:paraId="18A9E508"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4B5081F5" w14:textId="77777777" w:rsidR="00DF7C60" w:rsidRPr="00DF7C60" w:rsidRDefault="00DF7C60" w:rsidP="00DF7C60">
            <w:pPr>
              <w:spacing w:after="120" w:line="240" w:lineRule="auto"/>
              <w:jc w:val="left"/>
              <w:rPr>
                <w:szCs w:val="17"/>
              </w:rPr>
            </w:pPr>
            <w:r w:rsidRPr="00DF7C60">
              <w:rPr>
                <w:szCs w:val="17"/>
              </w:rPr>
              <w:t>8</w:t>
            </w:r>
          </w:p>
        </w:tc>
        <w:tc>
          <w:tcPr>
            <w:tcW w:w="5006" w:type="dxa"/>
            <w:tcBorders>
              <w:top w:val="single" w:sz="4" w:space="0" w:color="auto"/>
              <w:left w:val="single" w:sz="4" w:space="0" w:color="auto"/>
              <w:bottom w:val="single" w:sz="4" w:space="0" w:color="auto"/>
              <w:right w:val="single" w:sz="4" w:space="0" w:color="auto"/>
            </w:tcBorders>
            <w:hideMark/>
          </w:tcPr>
          <w:p w14:paraId="6A9680B9" w14:textId="77777777" w:rsidR="00DF7C60" w:rsidRPr="00DF7C60" w:rsidRDefault="00DF7C60" w:rsidP="00DF7C60">
            <w:pPr>
              <w:spacing w:after="120" w:line="240" w:lineRule="auto"/>
              <w:jc w:val="left"/>
              <w:rPr>
                <w:szCs w:val="17"/>
              </w:rPr>
            </w:pPr>
            <w:r w:rsidRPr="00DF7C60">
              <w:rPr>
                <w:szCs w:val="17"/>
              </w:rPr>
              <w:t>Attending hearings, including preparation, and when not attending as instructing lawyer for counsel.</w:t>
            </w:r>
          </w:p>
        </w:tc>
        <w:tc>
          <w:tcPr>
            <w:tcW w:w="3587" w:type="dxa"/>
            <w:tcBorders>
              <w:top w:val="single" w:sz="4" w:space="0" w:color="auto"/>
              <w:left w:val="single" w:sz="4" w:space="0" w:color="auto"/>
              <w:bottom w:val="single" w:sz="4" w:space="0" w:color="auto"/>
              <w:right w:val="single" w:sz="4" w:space="0" w:color="auto"/>
            </w:tcBorders>
            <w:hideMark/>
          </w:tcPr>
          <w:p w14:paraId="2AD5288D" w14:textId="77777777" w:rsidR="00DF7C60" w:rsidRPr="00DF7C60" w:rsidRDefault="00DF7C60" w:rsidP="00DF7C60">
            <w:pPr>
              <w:spacing w:after="120" w:line="240" w:lineRule="auto"/>
              <w:jc w:val="left"/>
              <w:rPr>
                <w:szCs w:val="17"/>
              </w:rPr>
            </w:pPr>
            <w:r w:rsidRPr="00DF7C60">
              <w:rPr>
                <w:szCs w:val="17"/>
              </w:rPr>
              <w:t>Either:</w:t>
            </w:r>
          </w:p>
          <w:p w14:paraId="4E817FEA" w14:textId="77777777" w:rsidR="00DF7C60" w:rsidRPr="00DF7C60" w:rsidRDefault="00DF7C60" w:rsidP="00965F17">
            <w:pPr>
              <w:numPr>
                <w:ilvl w:val="0"/>
                <w:numId w:val="29"/>
              </w:numPr>
              <w:spacing w:after="0" w:line="240" w:lineRule="auto"/>
              <w:ind w:left="323" w:hanging="283"/>
              <w:contextualSpacing/>
              <w:jc w:val="left"/>
              <w:rPr>
                <w:rFonts w:eastAsia="Times New Roman"/>
                <w:szCs w:val="17"/>
              </w:rPr>
            </w:pPr>
            <w:r w:rsidRPr="00DF7C60">
              <w:rPr>
                <w:rFonts w:eastAsia="Times New Roman"/>
                <w:szCs w:val="17"/>
              </w:rPr>
              <w:t>for an ordinary hearing—$213.85; or</w:t>
            </w:r>
          </w:p>
          <w:p w14:paraId="591513EA" w14:textId="77777777" w:rsidR="00DF7C60" w:rsidRPr="00DF7C60" w:rsidRDefault="00DF7C60" w:rsidP="00965F17">
            <w:pPr>
              <w:numPr>
                <w:ilvl w:val="0"/>
                <w:numId w:val="29"/>
              </w:numPr>
              <w:spacing w:after="0" w:line="240" w:lineRule="auto"/>
              <w:ind w:left="323" w:hanging="283"/>
              <w:contextualSpacing/>
              <w:jc w:val="left"/>
              <w:rPr>
                <w:rFonts w:eastAsia="Times New Roman"/>
                <w:szCs w:val="17"/>
              </w:rPr>
            </w:pPr>
            <w:r w:rsidRPr="00DF7C60">
              <w:rPr>
                <w:rFonts w:eastAsia="Times New Roman"/>
                <w:szCs w:val="17"/>
              </w:rPr>
              <w:t>if protracted (beyond 5 units), for each 6 minute unit of hearing time—$42.77.</w:t>
            </w:r>
          </w:p>
        </w:tc>
      </w:tr>
      <w:tr w:rsidR="00DF7C60" w:rsidRPr="00DF7C60" w14:paraId="36DE4E52"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48C42265" w14:textId="77777777" w:rsidR="00DF7C60" w:rsidRPr="00DF7C60" w:rsidRDefault="00DF7C60" w:rsidP="00DF7C60">
            <w:pPr>
              <w:spacing w:after="120" w:line="240" w:lineRule="auto"/>
              <w:jc w:val="left"/>
              <w:rPr>
                <w:szCs w:val="17"/>
              </w:rPr>
            </w:pPr>
            <w:r w:rsidRPr="00DF7C60">
              <w:rPr>
                <w:szCs w:val="17"/>
              </w:rPr>
              <w:t>9</w:t>
            </w:r>
          </w:p>
        </w:tc>
        <w:tc>
          <w:tcPr>
            <w:tcW w:w="5006" w:type="dxa"/>
            <w:tcBorders>
              <w:top w:val="single" w:sz="4" w:space="0" w:color="auto"/>
              <w:left w:val="single" w:sz="4" w:space="0" w:color="auto"/>
              <w:bottom w:val="single" w:sz="4" w:space="0" w:color="auto"/>
              <w:right w:val="single" w:sz="4" w:space="0" w:color="auto"/>
            </w:tcBorders>
            <w:hideMark/>
          </w:tcPr>
          <w:p w14:paraId="27686944" w14:textId="77777777" w:rsidR="00DF7C60" w:rsidRPr="00DF7C60" w:rsidRDefault="00DF7C60" w:rsidP="00DF7C60">
            <w:pPr>
              <w:spacing w:after="120" w:line="240" w:lineRule="auto"/>
              <w:jc w:val="left"/>
              <w:rPr>
                <w:szCs w:val="17"/>
              </w:rPr>
            </w:pPr>
            <w:r w:rsidRPr="00DF7C60">
              <w:rPr>
                <w:szCs w:val="17"/>
              </w:rPr>
              <w:t xml:space="preserve">Filing or delivery of documents other than </w:t>
            </w:r>
            <w:r w:rsidRPr="00DF7C60">
              <w:rPr>
                <w:szCs w:val="17"/>
                <w:u w:val="single"/>
              </w:rPr>
              <w:t>personal service</w:t>
            </w:r>
            <w:r w:rsidRPr="00DF7C60">
              <w:rPr>
                <w:szCs w:val="17"/>
              </w:rPr>
              <w:t>, when no other attendance is properly allowable.</w:t>
            </w:r>
          </w:p>
        </w:tc>
        <w:tc>
          <w:tcPr>
            <w:tcW w:w="3587" w:type="dxa"/>
            <w:tcBorders>
              <w:top w:val="single" w:sz="4" w:space="0" w:color="auto"/>
              <w:left w:val="single" w:sz="4" w:space="0" w:color="auto"/>
              <w:bottom w:val="single" w:sz="4" w:space="0" w:color="auto"/>
              <w:right w:val="single" w:sz="4" w:space="0" w:color="auto"/>
            </w:tcBorders>
            <w:hideMark/>
          </w:tcPr>
          <w:p w14:paraId="6B9B10BF" w14:textId="77777777" w:rsidR="00DF7C60" w:rsidRPr="00DF7C60" w:rsidRDefault="00DF7C60" w:rsidP="00DF7C60">
            <w:pPr>
              <w:spacing w:after="120" w:line="240" w:lineRule="auto"/>
              <w:jc w:val="left"/>
              <w:rPr>
                <w:szCs w:val="17"/>
              </w:rPr>
            </w:pPr>
            <w:r w:rsidRPr="00DF7C60">
              <w:rPr>
                <w:szCs w:val="17"/>
              </w:rPr>
              <w:t>$28.87.</w:t>
            </w:r>
          </w:p>
        </w:tc>
      </w:tr>
      <w:tr w:rsidR="00DF7C60" w:rsidRPr="00DF7C60" w14:paraId="1568DDDA" w14:textId="77777777" w:rsidTr="0012134E">
        <w:tc>
          <w:tcPr>
            <w:tcW w:w="9209" w:type="dxa"/>
            <w:gridSpan w:val="3"/>
            <w:tcBorders>
              <w:top w:val="single" w:sz="4" w:space="0" w:color="auto"/>
              <w:left w:val="single" w:sz="4" w:space="0" w:color="auto"/>
              <w:bottom w:val="single" w:sz="4" w:space="0" w:color="auto"/>
              <w:right w:val="single" w:sz="4" w:space="0" w:color="auto"/>
            </w:tcBorders>
            <w:hideMark/>
          </w:tcPr>
          <w:p w14:paraId="096F7F07" w14:textId="77777777" w:rsidR="00DF7C60" w:rsidRPr="00DF7C60" w:rsidRDefault="00DF7C60" w:rsidP="00DF7C60">
            <w:pPr>
              <w:keepNext/>
              <w:spacing w:before="60" w:after="60" w:line="240" w:lineRule="auto"/>
              <w:jc w:val="left"/>
              <w:rPr>
                <w:szCs w:val="17"/>
              </w:rPr>
            </w:pPr>
            <w:r w:rsidRPr="00DF7C60">
              <w:rPr>
                <w:szCs w:val="17"/>
              </w:rPr>
              <w:t xml:space="preserve">Correspondence </w:t>
            </w:r>
          </w:p>
        </w:tc>
      </w:tr>
      <w:tr w:rsidR="00DF7C60" w:rsidRPr="00DF7C60" w14:paraId="60129C51"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7313B169" w14:textId="77777777" w:rsidR="00DF7C60" w:rsidRPr="00DF7C60" w:rsidRDefault="00DF7C60" w:rsidP="00DF7C60">
            <w:pPr>
              <w:keepNext/>
              <w:spacing w:after="120" w:line="240" w:lineRule="auto"/>
              <w:jc w:val="left"/>
              <w:rPr>
                <w:szCs w:val="17"/>
              </w:rPr>
            </w:pPr>
            <w:r w:rsidRPr="00DF7C60">
              <w:rPr>
                <w:szCs w:val="17"/>
              </w:rPr>
              <w:t>10</w:t>
            </w:r>
          </w:p>
        </w:tc>
        <w:tc>
          <w:tcPr>
            <w:tcW w:w="5006" w:type="dxa"/>
            <w:tcBorders>
              <w:top w:val="single" w:sz="4" w:space="0" w:color="auto"/>
              <w:left w:val="single" w:sz="4" w:space="0" w:color="auto"/>
              <w:bottom w:val="single" w:sz="4" w:space="0" w:color="auto"/>
              <w:right w:val="single" w:sz="4" w:space="0" w:color="auto"/>
            </w:tcBorders>
            <w:hideMark/>
          </w:tcPr>
          <w:p w14:paraId="5589F258" w14:textId="77777777" w:rsidR="00DF7C60" w:rsidRPr="00DF7C60" w:rsidRDefault="00DF7C60" w:rsidP="00DF7C60">
            <w:pPr>
              <w:keepNext/>
              <w:spacing w:after="120" w:line="240" w:lineRule="auto"/>
              <w:jc w:val="left"/>
              <w:rPr>
                <w:szCs w:val="17"/>
              </w:rPr>
            </w:pPr>
            <w:r w:rsidRPr="00DF7C60">
              <w:rPr>
                <w:szCs w:val="17"/>
              </w:rPr>
              <w:t>Correspondence, including original to send and the lawyer’s file copy, and the ordinary postal or transmission expenses—whether sent by letter, email, SMS or fax.</w:t>
            </w:r>
          </w:p>
        </w:tc>
        <w:tc>
          <w:tcPr>
            <w:tcW w:w="3587" w:type="dxa"/>
            <w:tcBorders>
              <w:top w:val="single" w:sz="4" w:space="0" w:color="auto"/>
              <w:left w:val="single" w:sz="4" w:space="0" w:color="auto"/>
              <w:bottom w:val="single" w:sz="4" w:space="0" w:color="auto"/>
              <w:right w:val="single" w:sz="4" w:space="0" w:color="auto"/>
            </w:tcBorders>
            <w:hideMark/>
          </w:tcPr>
          <w:p w14:paraId="2822F4B5" w14:textId="77777777" w:rsidR="00DF7C60" w:rsidRPr="00DF7C60" w:rsidRDefault="00DF7C60" w:rsidP="00DF7C60">
            <w:pPr>
              <w:keepNext/>
              <w:spacing w:after="120" w:line="240" w:lineRule="auto"/>
              <w:jc w:val="left"/>
              <w:rPr>
                <w:szCs w:val="17"/>
              </w:rPr>
            </w:pPr>
            <w:r w:rsidRPr="00DF7C60">
              <w:rPr>
                <w:szCs w:val="17"/>
              </w:rPr>
              <w:t>$28.87—for each ¼ page.</w:t>
            </w:r>
          </w:p>
        </w:tc>
      </w:tr>
      <w:tr w:rsidR="00DF7C60" w:rsidRPr="00DF7C60" w14:paraId="5B40D284"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4503C417" w14:textId="77777777" w:rsidR="00DF7C60" w:rsidRPr="00DF7C60" w:rsidRDefault="00DF7C60" w:rsidP="00DF7C60">
            <w:pPr>
              <w:spacing w:after="120" w:line="240" w:lineRule="auto"/>
              <w:jc w:val="left"/>
              <w:rPr>
                <w:szCs w:val="17"/>
              </w:rPr>
            </w:pPr>
            <w:r w:rsidRPr="00DF7C60">
              <w:rPr>
                <w:szCs w:val="17"/>
              </w:rPr>
              <w:t>11</w:t>
            </w:r>
          </w:p>
        </w:tc>
        <w:tc>
          <w:tcPr>
            <w:tcW w:w="5006" w:type="dxa"/>
            <w:tcBorders>
              <w:top w:val="single" w:sz="4" w:space="0" w:color="auto"/>
              <w:left w:val="single" w:sz="4" w:space="0" w:color="auto"/>
              <w:bottom w:val="single" w:sz="4" w:space="0" w:color="auto"/>
              <w:right w:val="single" w:sz="4" w:space="0" w:color="auto"/>
            </w:tcBorders>
            <w:hideMark/>
          </w:tcPr>
          <w:p w14:paraId="3C867914" w14:textId="77777777" w:rsidR="00DF7C60" w:rsidRPr="00DF7C60" w:rsidRDefault="00DF7C60" w:rsidP="00DF7C60">
            <w:pPr>
              <w:spacing w:after="120" w:line="240" w:lineRule="auto"/>
              <w:jc w:val="left"/>
              <w:rPr>
                <w:szCs w:val="17"/>
              </w:rPr>
            </w:pPr>
            <w:r w:rsidRPr="00DF7C60">
              <w:rPr>
                <w:szCs w:val="17"/>
              </w:rPr>
              <w:t>Circular correspondence, including original to send and the lawyer’s file copy, and the ordinary postal or transmission, expenses—after the first.</w:t>
            </w:r>
          </w:p>
        </w:tc>
        <w:tc>
          <w:tcPr>
            <w:tcW w:w="3587" w:type="dxa"/>
            <w:tcBorders>
              <w:top w:val="single" w:sz="4" w:space="0" w:color="auto"/>
              <w:left w:val="single" w:sz="4" w:space="0" w:color="auto"/>
              <w:bottom w:val="single" w:sz="4" w:space="0" w:color="auto"/>
              <w:right w:val="single" w:sz="4" w:space="0" w:color="auto"/>
            </w:tcBorders>
            <w:hideMark/>
          </w:tcPr>
          <w:p w14:paraId="0DDFBC20" w14:textId="77777777" w:rsidR="00DF7C60" w:rsidRPr="00DF7C60" w:rsidRDefault="00DF7C60" w:rsidP="00DF7C60">
            <w:pPr>
              <w:spacing w:after="120" w:line="240" w:lineRule="auto"/>
              <w:jc w:val="left"/>
              <w:rPr>
                <w:szCs w:val="17"/>
              </w:rPr>
            </w:pPr>
            <w:r w:rsidRPr="00DF7C60">
              <w:rPr>
                <w:szCs w:val="17"/>
              </w:rPr>
              <w:t>$14.44—for each letter, including copying for subsequent pages (regardless of the number of pages).</w:t>
            </w:r>
          </w:p>
        </w:tc>
      </w:tr>
      <w:tr w:rsidR="00DF7C60" w:rsidRPr="00DF7C60" w14:paraId="01472978" w14:textId="77777777" w:rsidTr="0012134E">
        <w:tc>
          <w:tcPr>
            <w:tcW w:w="9209" w:type="dxa"/>
            <w:gridSpan w:val="3"/>
            <w:tcBorders>
              <w:top w:val="single" w:sz="4" w:space="0" w:color="auto"/>
              <w:left w:val="single" w:sz="4" w:space="0" w:color="auto"/>
              <w:bottom w:val="single" w:sz="4" w:space="0" w:color="auto"/>
              <w:right w:val="single" w:sz="4" w:space="0" w:color="auto"/>
            </w:tcBorders>
            <w:hideMark/>
          </w:tcPr>
          <w:p w14:paraId="60D90950" w14:textId="77777777" w:rsidR="00DF7C60" w:rsidRPr="00DF7C60" w:rsidRDefault="00DF7C60" w:rsidP="00DF7C60">
            <w:pPr>
              <w:spacing w:before="60" w:after="60" w:line="240" w:lineRule="auto"/>
              <w:jc w:val="left"/>
              <w:rPr>
                <w:szCs w:val="17"/>
              </w:rPr>
            </w:pPr>
            <w:r w:rsidRPr="00DF7C60">
              <w:rPr>
                <w:szCs w:val="17"/>
              </w:rPr>
              <w:t xml:space="preserve">Miscellaneous </w:t>
            </w:r>
          </w:p>
        </w:tc>
      </w:tr>
      <w:tr w:rsidR="00DF7C60" w:rsidRPr="00DF7C60" w14:paraId="116D893A"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220E872F" w14:textId="77777777" w:rsidR="00DF7C60" w:rsidRPr="00DF7C60" w:rsidRDefault="00DF7C60" w:rsidP="00DF7C60">
            <w:pPr>
              <w:spacing w:after="120" w:line="240" w:lineRule="auto"/>
              <w:jc w:val="left"/>
              <w:rPr>
                <w:szCs w:val="17"/>
              </w:rPr>
            </w:pPr>
            <w:r w:rsidRPr="00DF7C60">
              <w:rPr>
                <w:szCs w:val="17"/>
              </w:rPr>
              <w:t>12</w:t>
            </w:r>
          </w:p>
        </w:tc>
        <w:tc>
          <w:tcPr>
            <w:tcW w:w="5006" w:type="dxa"/>
            <w:tcBorders>
              <w:top w:val="single" w:sz="4" w:space="0" w:color="auto"/>
              <w:left w:val="single" w:sz="4" w:space="0" w:color="auto"/>
              <w:bottom w:val="single" w:sz="4" w:space="0" w:color="auto"/>
              <w:right w:val="single" w:sz="4" w:space="0" w:color="auto"/>
            </w:tcBorders>
            <w:hideMark/>
          </w:tcPr>
          <w:p w14:paraId="2264DE75" w14:textId="77777777" w:rsidR="00DF7C60" w:rsidRPr="00DF7C60" w:rsidRDefault="00DF7C60" w:rsidP="00DF7C60">
            <w:pPr>
              <w:spacing w:after="120" w:line="240" w:lineRule="auto"/>
              <w:jc w:val="left"/>
              <w:rPr>
                <w:szCs w:val="17"/>
              </w:rPr>
            </w:pPr>
            <w:r w:rsidRPr="00DF7C60">
              <w:rPr>
                <w:szCs w:val="17"/>
              </w:rPr>
              <w:t>Paying disbursements by whatever means and including all work and associated expenses.</w:t>
            </w:r>
          </w:p>
        </w:tc>
        <w:tc>
          <w:tcPr>
            <w:tcW w:w="3587" w:type="dxa"/>
            <w:tcBorders>
              <w:top w:val="single" w:sz="4" w:space="0" w:color="auto"/>
              <w:left w:val="single" w:sz="4" w:space="0" w:color="auto"/>
              <w:bottom w:val="single" w:sz="4" w:space="0" w:color="auto"/>
              <w:right w:val="single" w:sz="4" w:space="0" w:color="auto"/>
            </w:tcBorders>
            <w:hideMark/>
          </w:tcPr>
          <w:p w14:paraId="12B6FF51" w14:textId="77777777" w:rsidR="00DF7C60" w:rsidRPr="00DF7C60" w:rsidRDefault="00DF7C60" w:rsidP="00DF7C60">
            <w:pPr>
              <w:spacing w:after="120" w:line="240" w:lineRule="auto"/>
              <w:jc w:val="left"/>
              <w:rPr>
                <w:szCs w:val="17"/>
              </w:rPr>
            </w:pPr>
            <w:r w:rsidRPr="00DF7C60">
              <w:rPr>
                <w:szCs w:val="17"/>
              </w:rPr>
              <w:t>$28.87.</w:t>
            </w:r>
          </w:p>
        </w:tc>
      </w:tr>
      <w:tr w:rsidR="00DF7C60" w:rsidRPr="00DF7C60" w14:paraId="0A9CD04A" w14:textId="77777777" w:rsidTr="0012134E">
        <w:tc>
          <w:tcPr>
            <w:tcW w:w="616" w:type="dxa"/>
            <w:tcBorders>
              <w:top w:val="single" w:sz="4" w:space="0" w:color="auto"/>
              <w:left w:val="single" w:sz="4" w:space="0" w:color="auto"/>
              <w:bottom w:val="single" w:sz="4" w:space="0" w:color="auto"/>
              <w:right w:val="single" w:sz="4" w:space="0" w:color="auto"/>
            </w:tcBorders>
            <w:hideMark/>
          </w:tcPr>
          <w:p w14:paraId="32363A25" w14:textId="77777777" w:rsidR="00DF7C60" w:rsidRPr="00DF7C60" w:rsidRDefault="00DF7C60" w:rsidP="00DF7C60">
            <w:pPr>
              <w:spacing w:after="120" w:line="240" w:lineRule="auto"/>
              <w:jc w:val="left"/>
              <w:rPr>
                <w:szCs w:val="17"/>
              </w:rPr>
            </w:pPr>
            <w:r w:rsidRPr="00DF7C60">
              <w:rPr>
                <w:szCs w:val="17"/>
              </w:rPr>
              <w:t>13</w:t>
            </w:r>
          </w:p>
        </w:tc>
        <w:tc>
          <w:tcPr>
            <w:tcW w:w="5006" w:type="dxa"/>
            <w:tcBorders>
              <w:top w:val="single" w:sz="4" w:space="0" w:color="auto"/>
              <w:left w:val="single" w:sz="4" w:space="0" w:color="auto"/>
              <w:bottom w:val="single" w:sz="4" w:space="0" w:color="auto"/>
              <w:right w:val="single" w:sz="4" w:space="0" w:color="auto"/>
            </w:tcBorders>
            <w:hideMark/>
          </w:tcPr>
          <w:p w14:paraId="656164E2" w14:textId="77777777" w:rsidR="00DF7C60" w:rsidRPr="00DF7C60" w:rsidRDefault="00DF7C60" w:rsidP="00DF7C60">
            <w:pPr>
              <w:spacing w:after="120" w:line="240" w:lineRule="auto"/>
              <w:jc w:val="left"/>
              <w:rPr>
                <w:szCs w:val="17"/>
              </w:rPr>
            </w:pPr>
            <w:r w:rsidRPr="00DF7C60">
              <w:rPr>
                <w:szCs w:val="17"/>
              </w:rPr>
              <w:t>Preparation of Pleadings Books, Tender Books, Application Books, Appeal Books and Briefs, including indices, pagination and binding.</w:t>
            </w:r>
          </w:p>
        </w:tc>
        <w:tc>
          <w:tcPr>
            <w:tcW w:w="3587" w:type="dxa"/>
            <w:tcBorders>
              <w:top w:val="single" w:sz="4" w:space="0" w:color="auto"/>
              <w:left w:val="single" w:sz="4" w:space="0" w:color="auto"/>
              <w:bottom w:val="single" w:sz="4" w:space="0" w:color="auto"/>
              <w:right w:val="single" w:sz="4" w:space="0" w:color="auto"/>
            </w:tcBorders>
            <w:hideMark/>
          </w:tcPr>
          <w:p w14:paraId="64682693" w14:textId="77777777" w:rsidR="00DF7C60" w:rsidRPr="00DF7C60" w:rsidRDefault="00DF7C60" w:rsidP="00DF7C60">
            <w:pPr>
              <w:spacing w:after="120" w:line="240" w:lineRule="auto"/>
              <w:jc w:val="left"/>
              <w:rPr>
                <w:szCs w:val="17"/>
              </w:rPr>
            </w:pPr>
            <w:r w:rsidRPr="00DF7C60">
              <w:rPr>
                <w:szCs w:val="17"/>
              </w:rPr>
              <w:t>$2.14 —for each page.</w:t>
            </w:r>
          </w:p>
        </w:tc>
      </w:tr>
      <w:tr w:rsidR="00DF7C60" w:rsidRPr="00DF7C60" w14:paraId="1694540C" w14:textId="77777777" w:rsidTr="0012134E">
        <w:trPr>
          <w:trHeight w:val="473"/>
        </w:trPr>
        <w:tc>
          <w:tcPr>
            <w:tcW w:w="616" w:type="dxa"/>
            <w:tcBorders>
              <w:top w:val="single" w:sz="4" w:space="0" w:color="auto"/>
              <w:left w:val="single" w:sz="4" w:space="0" w:color="auto"/>
              <w:bottom w:val="single" w:sz="4" w:space="0" w:color="auto"/>
              <w:right w:val="single" w:sz="4" w:space="0" w:color="auto"/>
            </w:tcBorders>
            <w:hideMark/>
          </w:tcPr>
          <w:p w14:paraId="3CEF562A" w14:textId="77777777" w:rsidR="00DF7C60" w:rsidRPr="00DF7C60" w:rsidRDefault="00DF7C60" w:rsidP="00DF7C60">
            <w:pPr>
              <w:spacing w:after="120" w:line="240" w:lineRule="auto"/>
              <w:jc w:val="left"/>
              <w:rPr>
                <w:szCs w:val="17"/>
              </w:rPr>
            </w:pPr>
            <w:r w:rsidRPr="00DF7C60">
              <w:rPr>
                <w:szCs w:val="17"/>
              </w:rPr>
              <w:t>14</w:t>
            </w:r>
          </w:p>
        </w:tc>
        <w:tc>
          <w:tcPr>
            <w:tcW w:w="5006" w:type="dxa"/>
            <w:tcBorders>
              <w:top w:val="single" w:sz="4" w:space="0" w:color="auto"/>
              <w:left w:val="single" w:sz="4" w:space="0" w:color="auto"/>
              <w:bottom w:val="single" w:sz="4" w:space="0" w:color="auto"/>
              <w:right w:val="single" w:sz="4" w:space="0" w:color="auto"/>
            </w:tcBorders>
            <w:hideMark/>
          </w:tcPr>
          <w:p w14:paraId="44C95456" w14:textId="77777777" w:rsidR="00DF7C60" w:rsidRPr="00DF7C60" w:rsidRDefault="00DF7C60" w:rsidP="00DF7C60">
            <w:pPr>
              <w:spacing w:after="120" w:line="240" w:lineRule="auto"/>
              <w:jc w:val="left"/>
              <w:rPr>
                <w:szCs w:val="17"/>
              </w:rPr>
            </w:pPr>
            <w:r w:rsidRPr="00DF7C60">
              <w:rPr>
                <w:szCs w:val="17"/>
              </w:rPr>
              <w:t>Lump sum on a default judgment.</w:t>
            </w:r>
          </w:p>
        </w:tc>
        <w:tc>
          <w:tcPr>
            <w:tcW w:w="3587" w:type="dxa"/>
            <w:tcBorders>
              <w:top w:val="single" w:sz="4" w:space="0" w:color="auto"/>
              <w:left w:val="single" w:sz="4" w:space="0" w:color="auto"/>
              <w:bottom w:val="single" w:sz="4" w:space="0" w:color="auto"/>
              <w:right w:val="single" w:sz="4" w:space="0" w:color="auto"/>
            </w:tcBorders>
            <w:hideMark/>
          </w:tcPr>
          <w:p w14:paraId="7AB5413A" w14:textId="77777777" w:rsidR="00DF7C60" w:rsidRPr="00DF7C60" w:rsidRDefault="00DF7C60" w:rsidP="00DF7C60">
            <w:pPr>
              <w:spacing w:after="120" w:line="240" w:lineRule="auto"/>
              <w:jc w:val="left"/>
              <w:rPr>
                <w:szCs w:val="17"/>
              </w:rPr>
            </w:pPr>
            <w:r w:rsidRPr="00DF7C60">
              <w:rPr>
                <w:szCs w:val="17"/>
              </w:rPr>
              <w:t>$2920.17.</w:t>
            </w:r>
          </w:p>
        </w:tc>
      </w:tr>
    </w:tbl>
    <w:p w14:paraId="5368FB24" w14:textId="45E28637" w:rsidR="008D0F2D" w:rsidRDefault="008D0F2D" w:rsidP="00DF7C60">
      <w:pPr>
        <w:ind w:left="851"/>
        <w:rPr>
          <w:szCs w:val="17"/>
          <w:highlight w:val="yellow"/>
        </w:rPr>
      </w:pPr>
    </w:p>
    <w:p w14:paraId="1E43CAC4" w14:textId="77777777" w:rsidR="008D0F2D" w:rsidRDefault="008D0F2D">
      <w:pPr>
        <w:spacing w:after="0" w:line="240" w:lineRule="auto"/>
        <w:jc w:val="left"/>
        <w:rPr>
          <w:szCs w:val="17"/>
          <w:highlight w:val="yellow"/>
        </w:rPr>
      </w:pPr>
      <w:r>
        <w:rPr>
          <w:szCs w:val="17"/>
          <w:highlight w:val="yellow"/>
        </w:rPr>
        <w:br w:type="page"/>
      </w:r>
    </w:p>
    <w:p w14:paraId="7D77896A" w14:textId="77777777" w:rsidR="00DF7C60" w:rsidRPr="00DF7C60" w:rsidRDefault="00DF7C60" w:rsidP="00965F17">
      <w:pPr>
        <w:numPr>
          <w:ilvl w:val="0"/>
          <w:numId w:val="57"/>
        </w:numPr>
        <w:ind w:left="851" w:hanging="758"/>
        <w:rPr>
          <w:szCs w:val="17"/>
        </w:rPr>
      </w:pPr>
      <w:bookmarkStart w:id="14" w:name="_Hlk121663191"/>
      <w:r w:rsidRPr="00DF7C60">
        <w:rPr>
          <w:szCs w:val="17"/>
        </w:rPr>
        <w:lastRenderedPageBreak/>
        <w:t>Schedule 6, Part 3 is amended as follows:</w:t>
      </w:r>
    </w:p>
    <w:p w14:paraId="6DDF9294" w14:textId="77777777" w:rsidR="00DF7C60" w:rsidRPr="00DF7C60" w:rsidRDefault="00DF7C60" w:rsidP="00DF7C60">
      <w:pPr>
        <w:ind w:left="1436" w:hanging="585"/>
        <w:rPr>
          <w:szCs w:val="17"/>
        </w:rPr>
      </w:pPr>
      <w:r w:rsidRPr="00DF7C60">
        <w:rPr>
          <w:szCs w:val="17"/>
        </w:rPr>
        <w:t>a)</w:t>
      </w:r>
      <w:r w:rsidRPr="00DF7C60">
        <w:rPr>
          <w:szCs w:val="17"/>
        </w:rPr>
        <w:tab/>
        <w:t>Subrule 5(1) is amended to substitute “(4)” for “(3)” and insert the words “</w:t>
      </w:r>
      <w:bookmarkStart w:id="15" w:name="_Hlk121997614"/>
      <w:r w:rsidRPr="00DF7C60">
        <w:rPr>
          <w:szCs w:val="17"/>
        </w:rPr>
        <w:t>in respect of work done from the commencement date to 28 August 2022</w:t>
      </w:r>
      <w:bookmarkEnd w:id="15"/>
      <w:r w:rsidRPr="00DF7C60">
        <w:rPr>
          <w:szCs w:val="17"/>
        </w:rPr>
        <w:t xml:space="preserve">” after the word “scale”. </w:t>
      </w:r>
    </w:p>
    <w:p w14:paraId="35072756" w14:textId="77777777" w:rsidR="00DF7C60" w:rsidRPr="00DF7C60" w:rsidRDefault="00DF7C60" w:rsidP="00DF7C60">
      <w:pPr>
        <w:ind w:left="1436" w:hanging="585"/>
        <w:rPr>
          <w:szCs w:val="17"/>
        </w:rPr>
      </w:pPr>
      <w:r w:rsidRPr="00DF7C60">
        <w:rPr>
          <w:szCs w:val="17"/>
        </w:rPr>
        <w:t>b)</w:t>
      </w:r>
      <w:r w:rsidRPr="00DF7C60">
        <w:rPr>
          <w:szCs w:val="17"/>
        </w:rPr>
        <w:tab/>
        <w:t>Subrule 5(2) is amended to substitute “(4)” for “(3)”.</w:t>
      </w:r>
    </w:p>
    <w:p w14:paraId="6E7CD38C" w14:textId="77777777" w:rsidR="00DF7C60" w:rsidRPr="00DF7C60" w:rsidRDefault="00DF7C60" w:rsidP="00DF7C60">
      <w:pPr>
        <w:ind w:left="1436" w:hanging="585"/>
        <w:rPr>
          <w:szCs w:val="17"/>
        </w:rPr>
      </w:pPr>
      <w:r w:rsidRPr="00DF7C60">
        <w:rPr>
          <w:szCs w:val="17"/>
        </w:rPr>
        <w:t>c)</w:t>
      </w:r>
      <w:r w:rsidRPr="00DF7C60">
        <w:rPr>
          <w:szCs w:val="17"/>
        </w:rPr>
        <w:tab/>
        <w:t>Existing subrule 5(3) is renumbered as 5(4) and the words “(1) and (2)” are replaced with “(1), (2) and (3)”.</w:t>
      </w:r>
    </w:p>
    <w:p w14:paraId="45CCA2BC" w14:textId="77777777" w:rsidR="00DF7C60" w:rsidRPr="00DF7C60" w:rsidRDefault="00DF7C60" w:rsidP="00965F17">
      <w:pPr>
        <w:numPr>
          <w:ilvl w:val="0"/>
          <w:numId w:val="57"/>
        </w:numPr>
        <w:ind w:left="851" w:hanging="758"/>
        <w:rPr>
          <w:szCs w:val="17"/>
        </w:rPr>
      </w:pPr>
      <w:r w:rsidRPr="00DF7C60">
        <w:rPr>
          <w:szCs w:val="17"/>
        </w:rPr>
        <w:t>In Schedule 6, Part 3, a new subrule (3) is inserted as follows:</w:t>
      </w:r>
    </w:p>
    <w:p w14:paraId="568BF052" w14:textId="77777777" w:rsidR="00DF7C60" w:rsidRPr="00DF7C60" w:rsidRDefault="00DF7C60" w:rsidP="00DF7C60">
      <w:pPr>
        <w:ind w:left="1436" w:hanging="585"/>
        <w:rPr>
          <w:szCs w:val="17"/>
        </w:rPr>
      </w:pPr>
      <w:r w:rsidRPr="00DF7C60">
        <w:rPr>
          <w:szCs w:val="17"/>
        </w:rPr>
        <w:t>“(3)</w:t>
      </w:r>
      <w:r w:rsidRPr="00DF7C60">
        <w:rPr>
          <w:szCs w:val="17"/>
        </w:rPr>
        <w:tab/>
        <w:t>Subject to subrule (4), the Magistrates Court costs scale in respect of work done from on or after 1 January 2023 is set out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4679"/>
        <w:gridCol w:w="4076"/>
      </w:tblGrid>
      <w:tr w:rsidR="00DF7C60" w:rsidRPr="00DF7C60" w14:paraId="02A7B7BE" w14:textId="77777777" w:rsidTr="008D0F2D">
        <w:trPr>
          <w:tblHeader/>
        </w:trPr>
        <w:tc>
          <w:tcPr>
            <w:tcW w:w="5000" w:type="pct"/>
            <w:gridSpan w:val="3"/>
            <w:tcBorders>
              <w:top w:val="single" w:sz="4" w:space="0" w:color="auto"/>
              <w:left w:val="single" w:sz="4" w:space="0" w:color="auto"/>
              <w:bottom w:val="single" w:sz="4" w:space="0" w:color="auto"/>
              <w:right w:val="single" w:sz="4" w:space="0" w:color="auto"/>
            </w:tcBorders>
            <w:hideMark/>
          </w:tcPr>
          <w:bookmarkEnd w:id="14"/>
          <w:p w14:paraId="518F5474" w14:textId="77777777" w:rsidR="00DF7C60" w:rsidRPr="00DF7C60" w:rsidRDefault="00DF7C60" w:rsidP="00DF7C60">
            <w:pPr>
              <w:spacing w:before="120" w:after="120" w:line="240" w:lineRule="auto"/>
              <w:jc w:val="left"/>
              <w:rPr>
                <w:b/>
                <w:szCs w:val="17"/>
              </w:rPr>
            </w:pPr>
            <w:r w:rsidRPr="00DF7C60">
              <w:rPr>
                <w:b/>
                <w:szCs w:val="17"/>
              </w:rPr>
              <w:t>Magistrates Court costs scale</w:t>
            </w:r>
          </w:p>
        </w:tc>
      </w:tr>
      <w:tr w:rsidR="00DF7C60" w:rsidRPr="00DF7C60" w14:paraId="78BBF552" w14:textId="77777777" w:rsidTr="008D0F2D">
        <w:trPr>
          <w:tblHeader/>
        </w:trPr>
        <w:tc>
          <w:tcPr>
            <w:tcW w:w="315" w:type="pct"/>
            <w:tcBorders>
              <w:top w:val="single" w:sz="4" w:space="0" w:color="auto"/>
              <w:left w:val="single" w:sz="4" w:space="0" w:color="auto"/>
              <w:bottom w:val="single" w:sz="4" w:space="0" w:color="auto"/>
              <w:right w:val="single" w:sz="4" w:space="0" w:color="auto"/>
            </w:tcBorders>
            <w:hideMark/>
          </w:tcPr>
          <w:p w14:paraId="7740A014" w14:textId="77777777" w:rsidR="00DF7C60" w:rsidRPr="00DF7C60" w:rsidRDefault="00DF7C60" w:rsidP="00DF7C60">
            <w:pPr>
              <w:spacing w:before="120" w:after="120" w:line="240" w:lineRule="auto"/>
              <w:jc w:val="left"/>
              <w:rPr>
                <w:b/>
                <w:szCs w:val="17"/>
              </w:rPr>
            </w:pPr>
            <w:r w:rsidRPr="00DF7C60">
              <w:rPr>
                <w:b/>
                <w:szCs w:val="17"/>
              </w:rPr>
              <w:t xml:space="preserve">Item </w:t>
            </w:r>
          </w:p>
        </w:tc>
        <w:tc>
          <w:tcPr>
            <w:tcW w:w="2504" w:type="pct"/>
            <w:tcBorders>
              <w:top w:val="single" w:sz="4" w:space="0" w:color="auto"/>
              <w:left w:val="single" w:sz="4" w:space="0" w:color="auto"/>
              <w:bottom w:val="single" w:sz="4" w:space="0" w:color="auto"/>
              <w:right w:val="single" w:sz="4" w:space="0" w:color="auto"/>
            </w:tcBorders>
            <w:hideMark/>
          </w:tcPr>
          <w:p w14:paraId="054A17FB" w14:textId="77777777" w:rsidR="00DF7C60" w:rsidRPr="00DF7C60" w:rsidRDefault="00DF7C60" w:rsidP="00DF7C60">
            <w:pPr>
              <w:spacing w:before="120" w:after="120" w:line="240" w:lineRule="auto"/>
              <w:jc w:val="left"/>
              <w:rPr>
                <w:b/>
                <w:szCs w:val="17"/>
              </w:rPr>
            </w:pPr>
            <w:r w:rsidRPr="00DF7C60">
              <w:rPr>
                <w:b/>
                <w:szCs w:val="17"/>
              </w:rPr>
              <w:t>Description</w:t>
            </w:r>
          </w:p>
        </w:tc>
        <w:tc>
          <w:tcPr>
            <w:tcW w:w="2181" w:type="pct"/>
            <w:tcBorders>
              <w:top w:val="single" w:sz="4" w:space="0" w:color="auto"/>
              <w:left w:val="single" w:sz="4" w:space="0" w:color="auto"/>
              <w:bottom w:val="single" w:sz="4" w:space="0" w:color="auto"/>
              <w:right w:val="single" w:sz="4" w:space="0" w:color="auto"/>
            </w:tcBorders>
            <w:hideMark/>
          </w:tcPr>
          <w:p w14:paraId="0686B434" w14:textId="77777777" w:rsidR="00DF7C60" w:rsidRPr="00DF7C60" w:rsidRDefault="00DF7C60" w:rsidP="00DF7C60">
            <w:pPr>
              <w:spacing w:before="120" w:after="120" w:line="240" w:lineRule="auto"/>
              <w:jc w:val="left"/>
              <w:rPr>
                <w:b/>
                <w:szCs w:val="17"/>
              </w:rPr>
            </w:pPr>
            <w:r w:rsidRPr="00DF7C60">
              <w:rPr>
                <w:b/>
                <w:szCs w:val="17"/>
              </w:rPr>
              <w:t>Amount</w:t>
            </w:r>
          </w:p>
        </w:tc>
      </w:tr>
      <w:tr w:rsidR="00DF7C60" w:rsidRPr="00DF7C60" w14:paraId="4B1141DF" w14:textId="77777777" w:rsidTr="008D0F2D">
        <w:trPr>
          <w:trHeight w:val="1494"/>
        </w:trPr>
        <w:tc>
          <w:tcPr>
            <w:tcW w:w="315" w:type="pct"/>
            <w:tcBorders>
              <w:top w:val="single" w:sz="4" w:space="0" w:color="auto"/>
              <w:left w:val="single" w:sz="4" w:space="0" w:color="auto"/>
              <w:bottom w:val="single" w:sz="4" w:space="0" w:color="auto"/>
              <w:right w:val="single" w:sz="4" w:space="0" w:color="auto"/>
            </w:tcBorders>
            <w:hideMark/>
          </w:tcPr>
          <w:p w14:paraId="5DBF4119" w14:textId="77777777" w:rsidR="00DF7C60" w:rsidRPr="00DF7C60" w:rsidRDefault="00DF7C60" w:rsidP="00DF7C60">
            <w:pPr>
              <w:spacing w:before="120" w:after="120" w:line="240" w:lineRule="auto"/>
              <w:jc w:val="left"/>
              <w:rPr>
                <w:szCs w:val="17"/>
              </w:rPr>
            </w:pPr>
            <w:r w:rsidRPr="00DF7C60">
              <w:rPr>
                <w:szCs w:val="17"/>
              </w:rPr>
              <w:t>1</w:t>
            </w:r>
          </w:p>
        </w:tc>
        <w:tc>
          <w:tcPr>
            <w:tcW w:w="2504" w:type="pct"/>
            <w:tcBorders>
              <w:top w:val="single" w:sz="4" w:space="0" w:color="auto"/>
              <w:left w:val="single" w:sz="4" w:space="0" w:color="auto"/>
              <w:bottom w:val="single" w:sz="4" w:space="0" w:color="auto"/>
              <w:right w:val="single" w:sz="4" w:space="0" w:color="auto"/>
            </w:tcBorders>
            <w:hideMark/>
          </w:tcPr>
          <w:p w14:paraId="0D315518" w14:textId="77777777" w:rsidR="00DF7C60" w:rsidRPr="00DF7C60" w:rsidRDefault="00DF7C60" w:rsidP="00DF7C60">
            <w:pPr>
              <w:spacing w:before="120" w:after="120" w:line="240" w:lineRule="auto"/>
              <w:jc w:val="left"/>
              <w:rPr>
                <w:szCs w:val="17"/>
              </w:rPr>
            </w:pPr>
            <w:r w:rsidRPr="00DF7C60">
              <w:rPr>
                <w:szCs w:val="17"/>
              </w:rPr>
              <w:t xml:space="preserve">Pre-litigation notice of action </w:t>
            </w:r>
            <w:r w:rsidRPr="00DF7C60">
              <w:rPr>
                <w:szCs w:val="17"/>
                <w:lang w:val="en-GB"/>
              </w:rPr>
              <w:t>(solicitor and counsel)</w:t>
            </w:r>
            <w:r w:rsidRPr="00DF7C60">
              <w:rPr>
                <w:szCs w:val="17"/>
              </w:rPr>
              <w:t>.</w:t>
            </w:r>
          </w:p>
        </w:tc>
        <w:tc>
          <w:tcPr>
            <w:tcW w:w="2181" w:type="pct"/>
            <w:tcBorders>
              <w:top w:val="single" w:sz="4" w:space="0" w:color="auto"/>
              <w:left w:val="single" w:sz="4" w:space="0" w:color="auto"/>
              <w:bottom w:val="single" w:sz="4" w:space="0" w:color="auto"/>
              <w:right w:val="single" w:sz="4" w:space="0" w:color="auto"/>
            </w:tcBorders>
            <w:hideMark/>
          </w:tcPr>
          <w:p w14:paraId="389A3A9C" w14:textId="77777777" w:rsidR="00DF7C60" w:rsidRPr="00DF7C60" w:rsidRDefault="00DF7C60" w:rsidP="00DF7C60">
            <w:pPr>
              <w:spacing w:before="120" w:after="120" w:line="240" w:lineRule="auto"/>
              <w:jc w:val="left"/>
              <w:rPr>
                <w:szCs w:val="17"/>
              </w:rPr>
            </w:pPr>
            <w:r w:rsidRPr="00DF7C60">
              <w:rPr>
                <w:szCs w:val="17"/>
              </w:rPr>
              <w:t>Either:</w:t>
            </w:r>
          </w:p>
          <w:p w14:paraId="0FC731B1" w14:textId="77777777" w:rsidR="00DF7C60" w:rsidRPr="00DF7C60" w:rsidRDefault="00DF7C60" w:rsidP="00965F17">
            <w:pPr>
              <w:numPr>
                <w:ilvl w:val="0"/>
                <w:numId w:val="30"/>
              </w:numPr>
              <w:spacing w:before="240" w:after="0" w:line="240" w:lineRule="auto"/>
              <w:ind w:left="323" w:hanging="283"/>
              <w:contextualSpacing/>
              <w:jc w:val="left"/>
              <w:rPr>
                <w:szCs w:val="17"/>
              </w:rPr>
            </w:pPr>
            <w:r w:rsidRPr="00DF7C60">
              <w:rPr>
                <w:szCs w:val="17"/>
              </w:rPr>
              <w:t xml:space="preserve">in an action other than for personal injury—1% of </w:t>
            </w:r>
            <w:hyperlink r:id="rId17" w:anchor="_1—Meaning_of_quantum" w:history="1">
              <w:r w:rsidRPr="00DF7C60">
                <w:rPr>
                  <w:szCs w:val="17"/>
                  <w:u w:val="single"/>
                </w:rPr>
                <w:t>quantum</w:t>
              </w:r>
            </w:hyperlink>
            <w:r w:rsidRPr="00DF7C60">
              <w:rPr>
                <w:szCs w:val="17"/>
              </w:rPr>
              <w:t>; or</w:t>
            </w:r>
          </w:p>
          <w:p w14:paraId="67C9FD8F" w14:textId="77777777" w:rsidR="00DF7C60" w:rsidRPr="00DF7C60" w:rsidRDefault="00DF7C60" w:rsidP="00965F17">
            <w:pPr>
              <w:numPr>
                <w:ilvl w:val="0"/>
                <w:numId w:val="30"/>
              </w:numPr>
              <w:spacing w:before="240" w:after="0" w:line="240" w:lineRule="auto"/>
              <w:ind w:left="323" w:hanging="283"/>
              <w:contextualSpacing/>
              <w:jc w:val="left"/>
              <w:rPr>
                <w:szCs w:val="17"/>
              </w:rPr>
            </w:pPr>
            <w:r w:rsidRPr="00DF7C60">
              <w:rPr>
                <w:szCs w:val="17"/>
              </w:rPr>
              <w:t xml:space="preserve">in an action for personal injury—2% of </w:t>
            </w:r>
            <w:hyperlink r:id="rId18" w:anchor="_1—Meaning_of_quantum" w:history="1">
              <w:r w:rsidRPr="00DF7C60">
                <w:rPr>
                  <w:szCs w:val="17"/>
                  <w:u w:val="single"/>
                </w:rPr>
                <w:t>quantum</w:t>
              </w:r>
            </w:hyperlink>
            <w:r w:rsidRPr="00DF7C60">
              <w:rPr>
                <w:szCs w:val="17"/>
              </w:rPr>
              <w:t>.</w:t>
            </w:r>
          </w:p>
        </w:tc>
      </w:tr>
      <w:tr w:rsidR="00DF7C60" w:rsidRPr="00DF7C60" w14:paraId="6ADE5F6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7018E991" w14:textId="77777777" w:rsidR="00DF7C60" w:rsidRPr="00DF7C60" w:rsidRDefault="00DF7C60" w:rsidP="00DF7C60">
            <w:pPr>
              <w:spacing w:before="120" w:after="120" w:line="240" w:lineRule="auto"/>
              <w:jc w:val="left"/>
              <w:rPr>
                <w:szCs w:val="17"/>
              </w:rPr>
            </w:pPr>
            <w:r w:rsidRPr="00DF7C60">
              <w:rPr>
                <w:szCs w:val="17"/>
              </w:rPr>
              <w:t>2</w:t>
            </w:r>
          </w:p>
        </w:tc>
        <w:tc>
          <w:tcPr>
            <w:tcW w:w="2504" w:type="pct"/>
            <w:tcBorders>
              <w:top w:val="single" w:sz="4" w:space="0" w:color="auto"/>
              <w:left w:val="single" w:sz="4" w:space="0" w:color="auto"/>
              <w:bottom w:val="single" w:sz="4" w:space="0" w:color="auto"/>
              <w:right w:val="single" w:sz="4" w:space="0" w:color="auto"/>
            </w:tcBorders>
            <w:hideMark/>
          </w:tcPr>
          <w:p w14:paraId="06C54C8D" w14:textId="77777777" w:rsidR="00DF7C60" w:rsidRPr="00DF7C60" w:rsidRDefault="00DF7C60" w:rsidP="00DF7C60">
            <w:pPr>
              <w:spacing w:before="120" w:after="120" w:line="240" w:lineRule="auto"/>
              <w:jc w:val="left"/>
              <w:rPr>
                <w:szCs w:val="17"/>
                <w:lang w:val="en-GB"/>
              </w:rPr>
            </w:pPr>
            <w:r w:rsidRPr="00DF7C60">
              <w:rPr>
                <w:szCs w:val="17"/>
                <w:lang w:val="en-GB"/>
              </w:rPr>
              <w:t>Filing a claim, originating application, defence or response (solicitor and counsel), including:</w:t>
            </w:r>
          </w:p>
          <w:p w14:paraId="5A166DDA" w14:textId="77777777" w:rsidR="00DF7C60" w:rsidRPr="00DF7C60" w:rsidRDefault="00DF7C60" w:rsidP="00965F17">
            <w:pPr>
              <w:numPr>
                <w:ilvl w:val="0"/>
                <w:numId w:val="31"/>
              </w:numPr>
              <w:spacing w:before="240" w:after="0" w:line="240" w:lineRule="auto"/>
              <w:ind w:left="467" w:hanging="425"/>
              <w:contextualSpacing/>
              <w:jc w:val="left"/>
              <w:rPr>
                <w:szCs w:val="17"/>
                <w:lang w:val="en-GB"/>
              </w:rPr>
            </w:pPr>
            <w:r w:rsidRPr="00DF7C60">
              <w:rPr>
                <w:szCs w:val="17"/>
                <w:lang w:val="en-GB"/>
              </w:rPr>
              <w:t>a supporting affidavit or opposing affidavit; and</w:t>
            </w:r>
          </w:p>
          <w:p w14:paraId="2981199E" w14:textId="77777777" w:rsidR="00DF7C60" w:rsidRPr="00DF7C60" w:rsidRDefault="00DF7C60" w:rsidP="00965F17">
            <w:pPr>
              <w:numPr>
                <w:ilvl w:val="0"/>
                <w:numId w:val="31"/>
              </w:numPr>
              <w:spacing w:before="240" w:after="0" w:line="240" w:lineRule="auto"/>
              <w:ind w:left="467" w:hanging="425"/>
              <w:contextualSpacing/>
              <w:jc w:val="left"/>
              <w:rPr>
                <w:szCs w:val="17"/>
              </w:rPr>
            </w:pPr>
            <w:r w:rsidRPr="00DF7C60">
              <w:rPr>
                <w:szCs w:val="17"/>
                <w:lang w:val="en-GB"/>
              </w:rPr>
              <w:t xml:space="preserve">attending the first </w:t>
            </w:r>
            <w:hyperlink r:id="rId19" w:anchor="_2.1—Definitions" w:history="1">
              <w:r w:rsidRPr="00DF7C60">
                <w:rPr>
                  <w:szCs w:val="17"/>
                  <w:u w:val="single"/>
                  <w:lang w:val="en-GB"/>
                </w:rPr>
                <w:t>directions hearing</w:t>
              </w:r>
            </w:hyperlink>
            <w:r w:rsidRPr="00DF7C60">
              <w:rPr>
                <w:szCs w:val="17"/>
                <w:lang w:val="en-GB"/>
              </w:rPr>
              <w:t xml:space="preserve"> or hearing (as applicable).</w:t>
            </w:r>
          </w:p>
        </w:tc>
        <w:tc>
          <w:tcPr>
            <w:tcW w:w="2181" w:type="pct"/>
            <w:tcBorders>
              <w:top w:val="single" w:sz="4" w:space="0" w:color="auto"/>
              <w:left w:val="single" w:sz="4" w:space="0" w:color="auto"/>
              <w:bottom w:val="single" w:sz="4" w:space="0" w:color="auto"/>
              <w:right w:val="single" w:sz="4" w:space="0" w:color="auto"/>
            </w:tcBorders>
            <w:hideMark/>
          </w:tcPr>
          <w:p w14:paraId="58C07892" w14:textId="77777777" w:rsidR="00DF7C60" w:rsidRPr="00DF7C60" w:rsidRDefault="00DF7C60" w:rsidP="00DF7C60">
            <w:pPr>
              <w:spacing w:before="120" w:after="120" w:line="240" w:lineRule="auto"/>
              <w:jc w:val="left"/>
              <w:rPr>
                <w:szCs w:val="17"/>
              </w:rPr>
            </w:pPr>
            <w:r w:rsidRPr="00DF7C60">
              <w:rPr>
                <w:szCs w:val="17"/>
              </w:rPr>
              <w:t xml:space="preserve">5% of </w:t>
            </w:r>
            <w:hyperlink r:id="rId20" w:anchor="_1—Meaning_of_quantum" w:history="1">
              <w:r w:rsidRPr="00DF7C60">
                <w:rPr>
                  <w:szCs w:val="17"/>
                  <w:u w:val="single"/>
                </w:rPr>
                <w:t>quantum</w:t>
              </w:r>
            </w:hyperlink>
            <w:r w:rsidRPr="00DF7C60">
              <w:rPr>
                <w:szCs w:val="17"/>
              </w:rPr>
              <w:t>.</w:t>
            </w:r>
          </w:p>
        </w:tc>
      </w:tr>
      <w:tr w:rsidR="00DF7C60" w:rsidRPr="00DF7C60" w14:paraId="5F5F114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6FFE5DCF" w14:textId="77777777" w:rsidR="00DF7C60" w:rsidRPr="00DF7C60" w:rsidRDefault="00DF7C60" w:rsidP="00DF7C60">
            <w:pPr>
              <w:spacing w:before="120" w:after="120" w:line="240" w:lineRule="auto"/>
              <w:jc w:val="left"/>
              <w:rPr>
                <w:szCs w:val="17"/>
              </w:rPr>
            </w:pPr>
            <w:r w:rsidRPr="00DF7C60">
              <w:rPr>
                <w:szCs w:val="17"/>
              </w:rPr>
              <w:t>3</w:t>
            </w:r>
          </w:p>
        </w:tc>
        <w:tc>
          <w:tcPr>
            <w:tcW w:w="2504" w:type="pct"/>
            <w:tcBorders>
              <w:top w:val="single" w:sz="4" w:space="0" w:color="auto"/>
              <w:left w:val="single" w:sz="4" w:space="0" w:color="auto"/>
              <w:bottom w:val="single" w:sz="4" w:space="0" w:color="auto"/>
              <w:right w:val="single" w:sz="4" w:space="0" w:color="auto"/>
            </w:tcBorders>
            <w:hideMark/>
          </w:tcPr>
          <w:p w14:paraId="0C61D05A" w14:textId="77777777" w:rsidR="00DF7C60" w:rsidRPr="00DF7C60" w:rsidRDefault="00DF7C60" w:rsidP="00DF7C60">
            <w:pPr>
              <w:spacing w:before="60" w:after="60" w:line="240" w:lineRule="auto"/>
              <w:jc w:val="left"/>
              <w:rPr>
                <w:szCs w:val="17"/>
                <w:lang w:val="en-GB"/>
              </w:rPr>
            </w:pPr>
            <w:r w:rsidRPr="00DF7C60">
              <w:rPr>
                <w:szCs w:val="17"/>
                <w:lang w:val="en-GB"/>
              </w:rPr>
              <w:t xml:space="preserve">Any and all activity after the first </w:t>
            </w:r>
            <w:hyperlink r:id="rId21" w:anchor="_2.1—Definitions" w:history="1">
              <w:r w:rsidRPr="00DF7C60">
                <w:rPr>
                  <w:szCs w:val="17"/>
                  <w:u w:val="single"/>
                  <w:lang w:val="en-GB"/>
                </w:rPr>
                <w:t>directions hearing</w:t>
              </w:r>
            </w:hyperlink>
            <w:r w:rsidRPr="00DF7C60">
              <w:rPr>
                <w:szCs w:val="17"/>
                <w:lang w:val="en-GB"/>
              </w:rPr>
              <w:t xml:space="preserve"> or hearing (solicitor and counsel) until:</w:t>
            </w:r>
          </w:p>
          <w:p w14:paraId="1F82D3CE" w14:textId="77777777" w:rsidR="00DF7C60" w:rsidRPr="00DF7C60" w:rsidRDefault="00DF7C60" w:rsidP="00965F17">
            <w:pPr>
              <w:numPr>
                <w:ilvl w:val="0"/>
                <w:numId w:val="32"/>
              </w:numPr>
              <w:spacing w:before="240" w:after="0" w:line="240" w:lineRule="auto"/>
              <w:ind w:left="467" w:hanging="425"/>
              <w:contextualSpacing/>
              <w:jc w:val="left"/>
              <w:rPr>
                <w:szCs w:val="17"/>
                <w:lang w:val="en-GB"/>
              </w:rPr>
            </w:pPr>
            <w:r w:rsidRPr="00DF7C60">
              <w:rPr>
                <w:szCs w:val="17"/>
                <w:lang w:val="en-GB"/>
              </w:rPr>
              <w:t xml:space="preserve">if the action is to proceed to </w:t>
            </w:r>
            <w:hyperlink r:id="rId22" w:anchor="_2.1—Definitions" w:history="1">
              <w:r w:rsidRPr="00DF7C60">
                <w:rPr>
                  <w:szCs w:val="17"/>
                  <w:u w:val="single"/>
                  <w:lang w:val="en-GB"/>
                </w:rPr>
                <w:t>trial</w:t>
              </w:r>
            </w:hyperlink>
            <w:r w:rsidRPr="00DF7C60">
              <w:rPr>
                <w:szCs w:val="17"/>
                <w:lang w:val="en-GB"/>
              </w:rPr>
              <w:t xml:space="preserve">—the last hearing before </w:t>
            </w:r>
            <w:hyperlink r:id="rId23" w:anchor="_2.1—Definitions" w:history="1">
              <w:r w:rsidRPr="00DF7C60">
                <w:rPr>
                  <w:szCs w:val="17"/>
                  <w:u w:val="single"/>
                  <w:lang w:val="en-GB"/>
                </w:rPr>
                <w:t>trial</w:t>
              </w:r>
            </w:hyperlink>
            <w:r w:rsidRPr="00DF7C60">
              <w:rPr>
                <w:szCs w:val="17"/>
                <w:lang w:val="en-GB"/>
              </w:rPr>
              <w:t xml:space="preserve">, whether a </w:t>
            </w:r>
            <w:hyperlink r:id="rId24" w:anchor="_2.1—Definitions" w:history="1">
              <w:r w:rsidRPr="00DF7C60">
                <w:rPr>
                  <w:szCs w:val="17"/>
                  <w:u w:val="single"/>
                  <w:lang w:val="en-GB"/>
                </w:rPr>
                <w:t>directions hearing</w:t>
              </w:r>
            </w:hyperlink>
            <w:r w:rsidRPr="00DF7C60">
              <w:rPr>
                <w:szCs w:val="17"/>
                <w:lang w:val="en-GB"/>
              </w:rPr>
              <w:t>, hearing or pre</w:t>
            </w:r>
            <w:r w:rsidRPr="00DF7C60">
              <w:rPr>
                <w:szCs w:val="17"/>
                <w:lang w:val="en-GB"/>
              </w:rPr>
              <w:noBreakHyphen/>
              <w:t>trial conference; or</w:t>
            </w:r>
          </w:p>
          <w:p w14:paraId="790447C5" w14:textId="77777777" w:rsidR="00DF7C60" w:rsidRPr="00DF7C60" w:rsidRDefault="00DF7C60" w:rsidP="00965F17">
            <w:pPr>
              <w:numPr>
                <w:ilvl w:val="0"/>
                <w:numId w:val="32"/>
              </w:numPr>
              <w:spacing w:before="240" w:after="0" w:line="240" w:lineRule="auto"/>
              <w:ind w:left="467" w:hanging="425"/>
              <w:contextualSpacing/>
              <w:jc w:val="left"/>
              <w:rPr>
                <w:szCs w:val="17"/>
                <w:lang w:val="en-GB"/>
              </w:rPr>
            </w:pPr>
            <w:r w:rsidRPr="00DF7C60">
              <w:rPr>
                <w:szCs w:val="17"/>
                <w:lang w:val="en-GB"/>
              </w:rPr>
              <w:t>the final determination of an originating application:</w:t>
            </w:r>
          </w:p>
          <w:p w14:paraId="34424AC7" w14:textId="77777777" w:rsidR="00DF7C60" w:rsidRPr="00DF7C60" w:rsidRDefault="00DF7C60" w:rsidP="00965F17">
            <w:pPr>
              <w:numPr>
                <w:ilvl w:val="0"/>
                <w:numId w:val="27"/>
              </w:numPr>
              <w:spacing w:before="240" w:after="0" w:line="240" w:lineRule="auto"/>
              <w:ind w:left="892" w:hanging="425"/>
              <w:contextualSpacing/>
              <w:jc w:val="left"/>
              <w:rPr>
                <w:szCs w:val="17"/>
                <w:lang w:val="en-GB"/>
              </w:rPr>
            </w:pPr>
            <w:r w:rsidRPr="00DF7C60">
              <w:rPr>
                <w:szCs w:val="17"/>
                <w:lang w:val="en-GB"/>
              </w:rPr>
              <w:t>when determined at a hearing; and</w:t>
            </w:r>
          </w:p>
          <w:p w14:paraId="6E3B71A8" w14:textId="77777777" w:rsidR="00DF7C60" w:rsidRPr="00DF7C60" w:rsidRDefault="00DF7C60" w:rsidP="00965F17">
            <w:pPr>
              <w:numPr>
                <w:ilvl w:val="0"/>
                <w:numId w:val="27"/>
              </w:numPr>
              <w:spacing w:before="240" w:after="0" w:line="240" w:lineRule="auto"/>
              <w:ind w:left="892" w:hanging="425"/>
              <w:contextualSpacing/>
              <w:jc w:val="left"/>
              <w:rPr>
                <w:szCs w:val="17"/>
                <w:lang w:val="en-GB"/>
              </w:rPr>
            </w:pPr>
            <w:r w:rsidRPr="00DF7C60">
              <w:rPr>
                <w:szCs w:val="17"/>
                <w:lang w:val="en-GB"/>
              </w:rPr>
              <w:t xml:space="preserve">when the action is not listed for </w:t>
            </w:r>
            <w:hyperlink r:id="rId25" w:anchor="_2.1—Definitions" w:history="1">
              <w:r w:rsidRPr="00DF7C60">
                <w:rPr>
                  <w:szCs w:val="17"/>
                  <w:u w:val="single"/>
                  <w:lang w:val="en-GB"/>
                </w:rPr>
                <w:t>trial</w:t>
              </w:r>
            </w:hyperlink>
            <w:r w:rsidRPr="00DF7C60">
              <w:rPr>
                <w:szCs w:val="17"/>
                <w:lang w:val="en-GB"/>
              </w:rPr>
              <w:t>.</w:t>
            </w:r>
          </w:p>
        </w:tc>
        <w:tc>
          <w:tcPr>
            <w:tcW w:w="2181" w:type="pct"/>
            <w:tcBorders>
              <w:top w:val="single" w:sz="4" w:space="0" w:color="auto"/>
              <w:left w:val="single" w:sz="4" w:space="0" w:color="auto"/>
              <w:bottom w:val="single" w:sz="4" w:space="0" w:color="auto"/>
              <w:right w:val="single" w:sz="4" w:space="0" w:color="auto"/>
            </w:tcBorders>
            <w:hideMark/>
          </w:tcPr>
          <w:p w14:paraId="7984312A" w14:textId="77777777" w:rsidR="00DF7C60" w:rsidRPr="00DF7C60" w:rsidRDefault="00DF7C60" w:rsidP="00DF7C60">
            <w:pPr>
              <w:spacing w:before="120" w:after="120" w:line="240" w:lineRule="auto"/>
              <w:jc w:val="left"/>
              <w:rPr>
                <w:szCs w:val="17"/>
              </w:rPr>
            </w:pPr>
            <w:r w:rsidRPr="00DF7C60">
              <w:rPr>
                <w:szCs w:val="17"/>
              </w:rPr>
              <w:t xml:space="preserve">14% of </w:t>
            </w:r>
            <w:hyperlink r:id="rId26" w:anchor="_1—Meaning_of_quantum" w:history="1">
              <w:r w:rsidRPr="00DF7C60">
                <w:rPr>
                  <w:szCs w:val="17"/>
                  <w:u w:val="single"/>
                </w:rPr>
                <w:t>quantum</w:t>
              </w:r>
            </w:hyperlink>
            <w:r w:rsidRPr="00DF7C60">
              <w:rPr>
                <w:szCs w:val="17"/>
              </w:rPr>
              <w:t>.</w:t>
            </w:r>
          </w:p>
        </w:tc>
      </w:tr>
      <w:tr w:rsidR="00DF7C60" w:rsidRPr="00DF7C60" w14:paraId="7B7D80C5"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5D264507" w14:textId="77777777" w:rsidR="00DF7C60" w:rsidRPr="00DF7C60" w:rsidRDefault="00DF7C60" w:rsidP="00DF7C60">
            <w:pPr>
              <w:spacing w:before="120" w:after="120" w:line="240" w:lineRule="auto"/>
              <w:jc w:val="left"/>
              <w:rPr>
                <w:szCs w:val="17"/>
              </w:rPr>
            </w:pPr>
            <w:r w:rsidRPr="00DF7C60">
              <w:rPr>
                <w:szCs w:val="17"/>
              </w:rPr>
              <w:t>4</w:t>
            </w:r>
          </w:p>
        </w:tc>
        <w:tc>
          <w:tcPr>
            <w:tcW w:w="2504" w:type="pct"/>
            <w:tcBorders>
              <w:top w:val="single" w:sz="4" w:space="0" w:color="auto"/>
              <w:left w:val="single" w:sz="4" w:space="0" w:color="auto"/>
              <w:bottom w:val="single" w:sz="4" w:space="0" w:color="auto"/>
              <w:right w:val="single" w:sz="4" w:space="0" w:color="auto"/>
            </w:tcBorders>
            <w:hideMark/>
          </w:tcPr>
          <w:p w14:paraId="203309E4" w14:textId="77777777" w:rsidR="00DF7C60" w:rsidRPr="00DF7C60" w:rsidRDefault="00DF7C60" w:rsidP="00DF7C60">
            <w:pPr>
              <w:spacing w:before="120" w:after="120" w:line="240" w:lineRule="auto"/>
              <w:jc w:val="left"/>
              <w:rPr>
                <w:szCs w:val="17"/>
                <w:lang w:val="en-GB"/>
              </w:rPr>
            </w:pPr>
            <w:r w:rsidRPr="00DF7C60">
              <w:rPr>
                <w:szCs w:val="17"/>
                <w:lang w:val="en-GB"/>
              </w:rPr>
              <w:t>All aspects not otherwise specified of, and incidental to, preparing for trial (solicitor and counsel), including:</w:t>
            </w:r>
          </w:p>
          <w:p w14:paraId="610F3C54" w14:textId="77777777" w:rsidR="00DF7C60" w:rsidRPr="00DF7C60" w:rsidRDefault="00DF7C60" w:rsidP="00965F17">
            <w:pPr>
              <w:numPr>
                <w:ilvl w:val="0"/>
                <w:numId w:val="33"/>
              </w:numPr>
              <w:spacing w:before="240" w:after="0" w:line="240" w:lineRule="auto"/>
              <w:ind w:left="467" w:hanging="425"/>
              <w:contextualSpacing/>
              <w:jc w:val="left"/>
              <w:rPr>
                <w:szCs w:val="17"/>
              </w:rPr>
            </w:pPr>
            <w:r w:rsidRPr="00DF7C60">
              <w:rPr>
                <w:szCs w:val="17"/>
                <w:lang w:val="en-GB"/>
              </w:rPr>
              <w:t xml:space="preserve">proofing witnesses; </w:t>
            </w:r>
          </w:p>
          <w:p w14:paraId="208A4DD1" w14:textId="77777777" w:rsidR="00DF7C60" w:rsidRPr="00DF7C60" w:rsidRDefault="00DF7C60" w:rsidP="00965F17">
            <w:pPr>
              <w:numPr>
                <w:ilvl w:val="0"/>
                <w:numId w:val="33"/>
              </w:numPr>
              <w:spacing w:before="240" w:after="0" w:line="240" w:lineRule="auto"/>
              <w:ind w:left="467" w:hanging="425"/>
              <w:contextualSpacing/>
              <w:jc w:val="left"/>
              <w:rPr>
                <w:szCs w:val="17"/>
              </w:rPr>
            </w:pPr>
            <w:r w:rsidRPr="00DF7C60">
              <w:rPr>
                <w:szCs w:val="17"/>
                <w:lang w:val="en-GB"/>
              </w:rPr>
              <w:t>advice on evidence and law; and</w:t>
            </w:r>
          </w:p>
          <w:p w14:paraId="74D80298" w14:textId="77777777" w:rsidR="00DF7C60" w:rsidRPr="00DF7C60" w:rsidRDefault="00DF7C60" w:rsidP="00965F17">
            <w:pPr>
              <w:numPr>
                <w:ilvl w:val="0"/>
                <w:numId w:val="33"/>
              </w:numPr>
              <w:spacing w:before="240" w:after="0" w:line="240" w:lineRule="auto"/>
              <w:ind w:left="467" w:hanging="425"/>
              <w:contextualSpacing/>
              <w:jc w:val="left"/>
              <w:rPr>
                <w:szCs w:val="17"/>
              </w:rPr>
            </w:pPr>
            <w:r w:rsidRPr="00DF7C60">
              <w:rPr>
                <w:szCs w:val="17"/>
                <w:lang w:val="en-GB"/>
              </w:rPr>
              <w:t>delivering brief to counsel.</w:t>
            </w:r>
          </w:p>
        </w:tc>
        <w:tc>
          <w:tcPr>
            <w:tcW w:w="2181" w:type="pct"/>
            <w:tcBorders>
              <w:top w:val="single" w:sz="4" w:space="0" w:color="auto"/>
              <w:left w:val="single" w:sz="4" w:space="0" w:color="auto"/>
              <w:bottom w:val="single" w:sz="4" w:space="0" w:color="auto"/>
              <w:right w:val="single" w:sz="4" w:space="0" w:color="auto"/>
            </w:tcBorders>
            <w:hideMark/>
          </w:tcPr>
          <w:p w14:paraId="1DE87FDA" w14:textId="77777777" w:rsidR="00DF7C60" w:rsidRPr="00DF7C60" w:rsidRDefault="00DF7C60" w:rsidP="00DF7C60">
            <w:pPr>
              <w:spacing w:before="120" w:after="120" w:line="240" w:lineRule="auto"/>
              <w:jc w:val="left"/>
              <w:rPr>
                <w:szCs w:val="17"/>
              </w:rPr>
            </w:pPr>
            <w:r w:rsidRPr="00DF7C60">
              <w:rPr>
                <w:szCs w:val="17"/>
              </w:rPr>
              <w:t xml:space="preserve">8% of </w:t>
            </w:r>
            <w:hyperlink r:id="rId27" w:anchor="_1—Meaning_of_quantum" w:history="1">
              <w:r w:rsidRPr="00DF7C60">
                <w:rPr>
                  <w:szCs w:val="17"/>
                  <w:u w:val="single"/>
                </w:rPr>
                <w:t>quantum</w:t>
              </w:r>
            </w:hyperlink>
            <w:r w:rsidRPr="00DF7C60">
              <w:rPr>
                <w:szCs w:val="17"/>
              </w:rPr>
              <w:t>.</w:t>
            </w:r>
          </w:p>
        </w:tc>
      </w:tr>
      <w:tr w:rsidR="00DF7C60" w:rsidRPr="00DF7C60" w14:paraId="297A1B7A"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18C1F6B6" w14:textId="77777777" w:rsidR="00DF7C60" w:rsidRPr="00DF7C60" w:rsidRDefault="00DF7C60" w:rsidP="00DF7C60">
            <w:pPr>
              <w:spacing w:before="120" w:after="120" w:line="240" w:lineRule="auto"/>
              <w:jc w:val="left"/>
              <w:rPr>
                <w:szCs w:val="17"/>
              </w:rPr>
            </w:pPr>
            <w:r w:rsidRPr="00DF7C60">
              <w:rPr>
                <w:szCs w:val="17"/>
              </w:rPr>
              <w:t>5</w:t>
            </w:r>
          </w:p>
        </w:tc>
        <w:tc>
          <w:tcPr>
            <w:tcW w:w="2504" w:type="pct"/>
            <w:tcBorders>
              <w:top w:val="single" w:sz="4" w:space="0" w:color="auto"/>
              <w:left w:val="single" w:sz="4" w:space="0" w:color="auto"/>
              <w:bottom w:val="single" w:sz="4" w:space="0" w:color="auto"/>
              <w:right w:val="single" w:sz="4" w:space="0" w:color="auto"/>
            </w:tcBorders>
            <w:hideMark/>
          </w:tcPr>
          <w:p w14:paraId="64226261" w14:textId="77777777" w:rsidR="00DF7C60" w:rsidRPr="00DF7C60" w:rsidRDefault="00DF7C60" w:rsidP="00DF7C60">
            <w:pPr>
              <w:spacing w:before="120" w:after="120" w:line="240" w:lineRule="auto"/>
              <w:jc w:val="left"/>
              <w:rPr>
                <w:szCs w:val="17"/>
              </w:rPr>
            </w:pPr>
            <w:r w:rsidRPr="00DF7C60">
              <w:rPr>
                <w:szCs w:val="17"/>
                <w:lang w:val="en-GB"/>
              </w:rPr>
              <w:t>Preparing and filing a trial plan (solicitor and counsel).</w:t>
            </w:r>
          </w:p>
        </w:tc>
        <w:tc>
          <w:tcPr>
            <w:tcW w:w="2181" w:type="pct"/>
            <w:tcBorders>
              <w:top w:val="single" w:sz="4" w:space="0" w:color="auto"/>
              <w:left w:val="single" w:sz="4" w:space="0" w:color="auto"/>
              <w:bottom w:val="single" w:sz="4" w:space="0" w:color="auto"/>
              <w:right w:val="single" w:sz="4" w:space="0" w:color="auto"/>
            </w:tcBorders>
            <w:hideMark/>
          </w:tcPr>
          <w:p w14:paraId="16252145" w14:textId="77777777" w:rsidR="00DF7C60" w:rsidRPr="00DF7C60" w:rsidRDefault="00DF7C60" w:rsidP="00DF7C60">
            <w:pPr>
              <w:spacing w:before="120" w:after="120" w:line="240" w:lineRule="auto"/>
              <w:jc w:val="left"/>
              <w:rPr>
                <w:szCs w:val="17"/>
              </w:rPr>
            </w:pPr>
            <w:r w:rsidRPr="00DF7C60">
              <w:rPr>
                <w:szCs w:val="17"/>
              </w:rPr>
              <w:t xml:space="preserve">2.5% of </w:t>
            </w:r>
            <w:hyperlink r:id="rId28" w:anchor="_1—Meaning_of_quantum" w:history="1">
              <w:r w:rsidRPr="00DF7C60">
                <w:rPr>
                  <w:szCs w:val="17"/>
                  <w:u w:val="single"/>
                </w:rPr>
                <w:t>quantum</w:t>
              </w:r>
            </w:hyperlink>
            <w:r w:rsidRPr="00DF7C60">
              <w:rPr>
                <w:szCs w:val="17"/>
              </w:rPr>
              <w:t>.</w:t>
            </w:r>
          </w:p>
        </w:tc>
      </w:tr>
      <w:tr w:rsidR="00DF7C60" w:rsidRPr="00DF7C60" w14:paraId="3DE82FA9"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4C7CCEC4" w14:textId="77777777" w:rsidR="00DF7C60" w:rsidRPr="00DF7C60" w:rsidRDefault="00DF7C60" w:rsidP="00DF7C60">
            <w:pPr>
              <w:spacing w:before="120" w:after="120" w:line="240" w:lineRule="auto"/>
              <w:jc w:val="left"/>
              <w:rPr>
                <w:szCs w:val="17"/>
              </w:rPr>
            </w:pPr>
            <w:r w:rsidRPr="00DF7C60">
              <w:rPr>
                <w:szCs w:val="17"/>
              </w:rPr>
              <w:t>6</w:t>
            </w:r>
          </w:p>
        </w:tc>
        <w:tc>
          <w:tcPr>
            <w:tcW w:w="2504" w:type="pct"/>
            <w:tcBorders>
              <w:top w:val="single" w:sz="4" w:space="0" w:color="auto"/>
              <w:left w:val="single" w:sz="4" w:space="0" w:color="auto"/>
              <w:bottom w:val="single" w:sz="4" w:space="0" w:color="auto"/>
              <w:right w:val="single" w:sz="4" w:space="0" w:color="auto"/>
            </w:tcBorders>
            <w:hideMark/>
          </w:tcPr>
          <w:p w14:paraId="6B151EED" w14:textId="77777777" w:rsidR="00DF7C60" w:rsidRPr="00DF7C60" w:rsidRDefault="00DF7C60" w:rsidP="00DF7C60">
            <w:pPr>
              <w:spacing w:before="120" w:after="120" w:line="240" w:lineRule="auto"/>
              <w:jc w:val="left"/>
              <w:rPr>
                <w:szCs w:val="17"/>
              </w:rPr>
            </w:pPr>
            <w:r w:rsidRPr="00DF7C60">
              <w:rPr>
                <w:szCs w:val="17"/>
              </w:rPr>
              <w:t xml:space="preserve">Advice on </w:t>
            </w:r>
            <w:r w:rsidRPr="00DF7C60">
              <w:rPr>
                <w:szCs w:val="17"/>
                <w:lang w:val="en-GB"/>
              </w:rPr>
              <w:t>compromise or settlement when Court approval is required (solicitor and counsel).</w:t>
            </w:r>
          </w:p>
        </w:tc>
        <w:tc>
          <w:tcPr>
            <w:tcW w:w="2181" w:type="pct"/>
            <w:tcBorders>
              <w:top w:val="single" w:sz="4" w:space="0" w:color="auto"/>
              <w:left w:val="single" w:sz="4" w:space="0" w:color="auto"/>
              <w:bottom w:val="single" w:sz="4" w:space="0" w:color="auto"/>
              <w:right w:val="single" w:sz="4" w:space="0" w:color="auto"/>
            </w:tcBorders>
            <w:hideMark/>
          </w:tcPr>
          <w:p w14:paraId="24504F41" w14:textId="77777777" w:rsidR="00DF7C60" w:rsidRPr="00DF7C60" w:rsidRDefault="00DF7C60" w:rsidP="00DF7C60">
            <w:pPr>
              <w:spacing w:before="120" w:after="120" w:line="240" w:lineRule="auto"/>
              <w:jc w:val="left"/>
              <w:rPr>
                <w:szCs w:val="17"/>
              </w:rPr>
            </w:pPr>
            <w:r w:rsidRPr="00DF7C60">
              <w:rPr>
                <w:szCs w:val="17"/>
              </w:rPr>
              <w:t>Either:</w:t>
            </w:r>
          </w:p>
          <w:p w14:paraId="37FD2C7B" w14:textId="77777777" w:rsidR="00DF7C60" w:rsidRPr="00DF7C60" w:rsidRDefault="00DF7C60" w:rsidP="00965F17">
            <w:pPr>
              <w:numPr>
                <w:ilvl w:val="0"/>
                <w:numId w:val="34"/>
              </w:numPr>
              <w:spacing w:before="240" w:after="0" w:line="240" w:lineRule="auto"/>
              <w:ind w:left="323" w:hanging="283"/>
              <w:contextualSpacing/>
              <w:jc w:val="left"/>
              <w:rPr>
                <w:szCs w:val="17"/>
              </w:rPr>
            </w:pPr>
            <w:r w:rsidRPr="00DF7C60">
              <w:rPr>
                <w:szCs w:val="17"/>
              </w:rPr>
              <w:t>when only the amount is in dispute—the greater of the following:</w:t>
            </w:r>
          </w:p>
          <w:p w14:paraId="06A0498C" w14:textId="77777777" w:rsidR="00DF7C60" w:rsidRPr="00DF7C60" w:rsidRDefault="00DF7C60" w:rsidP="00965F17">
            <w:pPr>
              <w:numPr>
                <w:ilvl w:val="0"/>
                <w:numId w:val="35"/>
              </w:numPr>
              <w:spacing w:before="240" w:after="0" w:line="240" w:lineRule="auto"/>
              <w:ind w:left="748" w:hanging="425"/>
              <w:contextualSpacing/>
              <w:jc w:val="left"/>
              <w:rPr>
                <w:szCs w:val="17"/>
              </w:rPr>
            </w:pPr>
            <w:r w:rsidRPr="00DF7C60">
              <w:rPr>
                <w:szCs w:val="17"/>
              </w:rPr>
              <w:t>$1,330; or</w:t>
            </w:r>
          </w:p>
          <w:p w14:paraId="4E3231B0" w14:textId="77777777" w:rsidR="00DF7C60" w:rsidRPr="00DF7C60" w:rsidRDefault="00DF7C60" w:rsidP="00965F17">
            <w:pPr>
              <w:numPr>
                <w:ilvl w:val="0"/>
                <w:numId w:val="35"/>
              </w:numPr>
              <w:spacing w:before="240" w:after="0" w:line="240" w:lineRule="auto"/>
              <w:ind w:left="748" w:hanging="425"/>
              <w:contextualSpacing/>
              <w:jc w:val="left"/>
              <w:rPr>
                <w:szCs w:val="17"/>
              </w:rPr>
            </w:pPr>
            <w:r w:rsidRPr="00DF7C60">
              <w:rPr>
                <w:szCs w:val="17"/>
              </w:rPr>
              <w:t xml:space="preserve">2% of </w:t>
            </w:r>
            <w:hyperlink r:id="rId29" w:anchor="_1—Meaning_of_quantum" w:history="1">
              <w:r w:rsidRPr="00DF7C60">
                <w:rPr>
                  <w:szCs w:val="17"/>
                  <w:u w:val="single"/>
                </w:rPr>
                <w:t>quantum</w:t>
              </w:r>
            </w:hyperlink>
            <w:r w:rsidRPr="00DF7C60">
              <w:rPr>
                <w:szCs w:val="17"/>
              </w:rPr>
              <w:t>; or</w:t>
            </w:r>
          </w:p>
          <w:p w14:paraId="76A8FEC2" w14:textId="77777777" w:rsidR="00DF7C60" w:rsidRPr="00DF7C60" w:rsidRDefault="00DF7C60" w:rsidP="00965F17">
            <w:pPr>
              <w:numPr>
                <w:ilvl w:val="0"/>
                <w:numId w:val="34"/>
              </w:numPr>
              <w:spacing w:before="240" w:after="0" w:line="240" w:lineRule="auto"/>
              <w:ind w:left="323" w:hanging="283"/>
              <w:contextualSpacing/>
              <w:jc w:val="left"/>
              <w:rPr>
                <w:szCs w:val="17"/>
              </w:rPr>
            </w:pPr>
            <w:r w:rsidRPr="00DF7C60">
              <w:rPr>
                <w:szCs w:val="17"/>
              </w:rPr>
              <w:t>when liability and amount are in dispute—the greater of the following:</w:t>
            </w:r>
          </w:p>
          <w:p w14:paraId="4C423FCD" w14:textId="77777777" w:rsidR="00DF7C60" w:rsidRPr="00DF7C60" w:rsidRDefault="00DF7C60" w:rsidP="00965F17">
            <w:pPr>
              <w:numPr>
                <w:ilvl w:val="0"/>
                <w:numId w:val="36"/>
              </w:numPr>
              <w:spacing w:before="240" w:after="0" w:line="240" w:lineRule="auto"/>
              <w:ind w:left="748" w:hanging="425"/>
              <w:contextualSpacing/>
              <w:jc w:val="left"/>
              <w:rPr>
                <w:szCs w:val="17"/>
              </w:rPr>
            </w:pPr>
            <w:r w:rsidRPr="00DF7C60">
              <w:rPr>
                <w:szCs w:val="17"/>
              </w:rPr>
              <w:t>$2,000; or</w:t>
            </w:r>
          </w:p>
          <w:p w14:paraId="249687E5" w14:textId="77777777" w:rsidR="00DF7C60" w:rsidRPr="00DF7C60" w:rsidRDefault="00DF7C60" w:rsidP="00965F17">
            <w:pPr>
              <w:numPr>
                <w:ilvl w:val="0"/>
                <w:numId w:val="36"/>
              </w:numPr>
              <w:spacing w:before="240" w:after="0" w:line="240" w:lineRule="auto"/>
              <w:ind w:left="748" w:hanging="425"/>
              <w:contextualSpacing/>
              <w:jc w:val="left"/>
              <w:rPr>
                <w:szCs w:val="17"/>
              </w:rPr>
            </w:pPr>
            <w:r w:rsidRPr="00DF7C60">
              <w:rPr>
                <w:szCs w:val="17"/>
              </w:rPr>
              <w:t xml:space="preserve">3% of </w:t>
            </w:r>
            <w:hyperlink r:id="rId30" w:anchor="_1—Meaning_of_quantum" w:history="1">
              <w:r w:rsidRPr="00DF7C60">
                <w:rPr>
                  <w:szCs w:val="17"/>
                  <w:u w:val="single"/>
                </w:rPr>
                <w:t>quantum</w:t>
              </w:r>
            </w:hyperlink>
            <w:r w:rsidRPr="00DF7C60">
              <w:rPr>
                <w:szCs w:val="17"/>
              </w:rPr>
              <w:t>.</w:t>
            </w:r>
          </w:p>
        </w:tc>
      </w:tr>
      <w:tr w:rsidR="00DF7C60" w:rsidRPr="00DF7C60" w14:paraId="08411482"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0F794D93" w14:textId="77777777" w:rsidR="00DF7C60" w:rsidRPr="00DF7C60" w:rsidRDefault="00DF7C60" w:rsidP="00DF7C60">
            <w:pPr>
              <w:keepNext/>
              <w:spacing w:before="120" w:after="120" w:line="240" w:lineRule="auto"/>
              <w:jc w:val="left"/>
              <w:rPr>
                <w:szCs w:val="17"/>
              </w:rPr>
            </w:pPr>
            <w:r w:rsidRPr="00DF7C60">
              <w:rPr>
                <w:szCs w:val="17"/>
              </w:rPr>
              <w:t>7</w:t>
            </w:r>
          </w:p>
        </w:tc>
        <w:tc>
          <w:tcPr>
            <w:tcW w:w="2504" w:type="pct"/>
            <w:tcBorders>
              <w:top w:val="single" w:sz="4" w:space="0" w:color="auto"/>
              <w:left w:val="single" w:sz="4" w:space="0" w:color="auto"/>
              <w:bottom w:val="single" w:sz="4" w:space="0" w:color="auto"/>
              <w:right w:val="single" w:sz="4" w:space="0" w:color="auto"/>
            </w:tcBorders>
          </w:tcPr>
          <w:p w14:paraId="3BA1B873" w14:textId="77777777" w:rsidR="00DF7C60" w:rsidRPr="00DF7C60" w:rsidRDefault="00DF7C60" w:rsidP="00DF7C60">
            <w:pPr>
              <w:keepNext/>
              <w:spacing w:before="60" w:after="60" w:line="240" w:lineRule="auto"/>
              <w:jc w:val="left"/>
              <w:rPr>
                <w:szCs w:val="17"/>
                <w:lang w:val="en-GB"/>
              </w:rPr>
            </w:pPr>
            <w:r w:rsidRPr="00DF7C60">
              <w:rPr>
                <w:szCs w:val="17"/>
                <w:lang w:val="en-GB"/>
              </w:rPr>
              <w:t>Attendance as counsel at trial, including fee on brief.</w:t>
            </w:r>
          </w:p>
          <w:p w14:paraId="462DE885" w14:textId="77777777" w:rsidR="00DF7C60" w:rsidRPr="00DF7C60" w:rsidRDefault="00DF7C60" w:rsidP="00DF7C60">
            <w:pPr>
              <w:keepNext/>
              <w:keepLines/>
              <w:spacing w:before="120" w:after="120" w:line="240" w:lineRule="auto"/>
              <w:jc w:val="left"/>
              <w:rPr>
                <w:szCs w:val="17"/>
              </w:rPr>
            </w:pPr>
          </w:p>
        </w:tc>
        <w:tc>
          <w:tcPr>
            <w:tcW w:w="2181" w:type="pct"/>
            <w:tcBorders>
              <w:top w:val="single" w:sz="4" w:space="0" w:color="auto"/>
              <w:left w:val="single" w:sz="4" w:space="0" w:color="auto"/>
              <w:bottom w:val="single" w:sz="4" w:space="0" w:color="auto"/>
              <w:right w:val="single" w:sz="4" w:space="0" w:color="auto"/>
            </w:tcBorders>
            <w:hideMark/>
          </w:tcPr>
          <w:p w14:paraId="6A3E20DD" w14:textId="77777777" w:rsidR="00DF7C60" w:rsidRPr="00DF7C60" w:rsidRDefault="00DF7C60" w:rsidP="00DF7C60">
            <w:pPr>
              <w:keepNext/>
              <w:spacing w:before="120" w:after="120" w:line="240" w:lineRule="auto"/>
              <w:jc w:val="left"/>
              <w:rPr>
                <w:szCs w:val="17"/>
              </w:rPr>
            </w:pPr>
            <w:r w:rsidRPr="00DF7C60">
              <w:rPr>
                <w:szCs w:val="17"/>
              </w:rPr>
              <w:t>The following applies:</w:t>
            </w:r>
          </w:p>
          <w:p w14:paraId="6C7FA35C" w14:textId="77777777" w:rsidR="00DF7C60" w:rsidRPr="00DF7C60" w:rsidRDefault="00DF7C60" w:rsidP="00965F17">
            <w:pPr>
              <w:keepNext/>
              <w:numPr>
                <w:ilvl w:val="0"/>
                <w:numId w:val="37"/>
              </w:numPr>
              <w:spacing w:before="240" w:after="0" w:line="240" w:lineRule="auto"/>
              <w:ind w:left="323" w:hanging="283"/>
              <w:contextualSpacing/>
              <w:jc w:val="left"/>
              <w:rPr>
                <w:szCs w:val="17"/>
              </w:rPr>
            </w:pPr>
            <w:r w:rsidRPr="00DF7C60">
              <w:rPr>
                <w:szCs w:val="17"/>
              </w:rPr>
              <w:t>the first day—the greater of the following:</w:t>
            </w:r>
          </w:p>
          <w:p w14:paraId="77AB01E5" w14:textId="77777777" w:rsidR="00DF7C60" w:rsidRPr="00DF7C60" w:rsidRDefault="00DF7C60" w:rsidP="00DF7C60">
            <w:pPr>
              <w:keepNext/>
              <w:spacing w:after="0" w:line="240" w:lineRule="auto"/>
              <w:ind w:left="323"/>
              <w:contextualSpacing/>
              <w:jc w:val="left"/>
              <w:rPr>
                <w:szCs w:val="17"/>
              </w:rPr>
            </w:pPr>
            <w:r w:rsidRPr="00DF7C60">
              <w:rPr>
                <w:szCs w:val="17"/>
              </w:rPr>
              <w:t>(i)</w:t>
            </w:r>
            <w:r w:rsidRPr="00DF7C60">
              <w:rPr>
                <w:szCs w:val="17"/>
              </w:rPr>
              <w:tab/>
              <w:t>$1,480; or</w:t>
            </w:r>
          </w:p>
          <w:p w14:paraId="7674A998" w14:textId="77777777" w:rsidR="00DF7C60" w:rsidRPr="00DF7C60" w:rsidRDefault="00DF7C60" w:rsidP="00DF7C60">
            <w:pPr>
              <w:keepNext/>
              <w:spacing w:after="0" w:line="240" w:lineRule="auto"/>
              <w:ind w:left="323"/>
              <w:contextualSpacing/>
              <w:jc w:val="left"/>
              <w:rPr>
                <w:szCs w:val="17"/>
              </w:rPr>
            </w:pPr>
            <w:r w:rsidRPr="00DF7C60">
              <w:rPr>
                <w:szCs w:val="17"/>
              </w:rPr>
              <w:t>(ii)</w:t>
            </w:r>
            <w:r w:rsidRPr="00DF7C60">
              <w:rPr>
                <w:szCs w:val="17"/>
              </w:rPr>
              <w:tab/>
              <w:t xml:space="preserve">4% of </w:t>
            </w:r>
            <w:hyperlink r:id="rId31" w:anchor="_1—Meaning_of_quantum" w:history="1">
              <w:r w:rsidRPr="00DF7C60">
                <w:rPr>
                  <w:szCs w:val="17"/>
                  <w:u w:val="single"/>
                </w:rPr>
                <w:t>quantum</w:t>
              </w:r>
            </w:hyperlink>
            <w:r w:rsidRPr="00DF7C60">
              <w:rPr>
                <w:szCs w:val="17"/>
              </w:rPr>
              <w:t>; or</w:t>
            </w:r>
          </w:p>
          <w:p w14:paraId="749B32B6" w14:textId="77777777" w:rsidR="00DF7C60" w:rsidRPr="00DF7C60" w:rsidRDefault="00DF7C60" w:rsidP="00965F17">
            <w:pPr>
              <w:keepNext/>
              <w:numPr>
                <w:ilvl w:val="0"/>
                <w:numId w:val="37"/>
              </w:numPr>
              <w:spacing w:before="240" w:after="0" w:line="240" w:lineRule="auto"/>
              <w:ind w:left="323" w:hanging="283"/>
              <w:contextualSpacing/>
              <w:jc w:val="left"/>
              <w:rPr>
                <w:szCs w:val="17"/>
              </w:rPr>
            </w:pPr>
            <w:r w:rsidRPr="00DF7C60">
              <w:rPr>
                <w:szCs w:val="17"/>
              </w:rPr>
              <w:t>subsequent days—the greater of the following:</w:t>
            </w:r>
          </w:p>
          <w:p w14:paraId="00F5721F" w14:textId="77777777" w:rsidR="00DF7C60" w:rsidRPr="00DF7C60" w:rsidRDefault="00DF7C60" w:rsidP="00965F17">
            <w:pPr>
              <w:keepNext/>
              <w:numPr>
                <w:ilvl w:val="0"/>
                <w:numId w:val="38"/>
              </w:numPr>
              <w:spacing w:before="240" w:after="0" w:line="240" w:lineRule="auto"/>
              <w:ind w:left="748" w:hanging="425"/>
              <w:contextualSpacing/>
              <w:jc w:val="left"/>
              <w:rPr>
                <w:szCs w:val="17"/>
              </w:rPr>
            </w:pPr>
            <w:r w:rsidRPr="00DF7C60">
              <w:rPr>
                <w:szCs w:val="17"/>
              </w:rPr>
              <w:t>$1,110; or</w:t>
            </w:r>
          </w:p>
          <w:p w14:paraId="6327C86E" w14:textId="77777777" w:rsidR="00DF7C60" w:rsidRPr="00DF7C60" w:rsidRDefault="00DF7C60" w:rsidP="00965F17">
            <w:pPr>
              <w:keepNext/>
              <w:numPr>
                <w:ilvl w:val="0"/>
                <w:numId w:val="38"/>
              </w:numPr>
              <w:spacing w:before="240" w:after="0" w:line="240" w:lineRule="auto"/>
              <w:ind w:left="748" w:hanging="425"/>
              <w:contextualSpacing/>
              <w:jc w:val="left"/>
              <w:rPr>
                <w:szCs w:val="17"/>
              </w:rPr>
            </w:pPr>
            <w:r w:rsidRPr="00DF7C60">
              <w:rPr>
                <w:szCs w:val="17"/>
              </w:rPr>
              <w:t xml:space="preserve">3% of </w:t>
            </w:r>
            <w:hyperlink r:id="rId32" w:anchor="_1—Meaning_of_quantum" w:history="1">
              <w:r w:rsidRPr="00DF7C60">
                <w:rPr>
                  <w:szCs w:val="17"/>
                  <w:u w:val="single"/>
                </w:rPr>
                <w:t>quantum</w:t>
              </w:r>
            </w:hyperlink>
            <w:r w:rsidRPr="00DF7C60">
              <w:rPr>
                <w:szCs w:val="17"/>
              </w:rPr>
              <w:t>.</w:t>
            </w:r>
          </w:p>
        </w:tc>
      </w:tr>
      <w:tr w:rsidR="00DF7C60" w:rsidRPr="00DF7C60" w14:paraId="2C9BD5E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43BC776C" w14:textId="77777777" w:rsidR="00DF7C60" w:rsidRPr="00DF7C60" w:rsidRDefault="00DF7C60" w:rsidP="00DF7C60">
            <w:pPr>
              <w:spacing w:before="120" w:after="120" w:line="240" w:lineRule="auto"/>
              <w:jc w:val="left"/>
              <w:rPr>
                <w:szCs w:val="17"/>
              </w:rPr>
            </w:pPr>
            <w:r w:rsidRPr="00DF7C60">
              <w:rPr>
                <w:szCs w:val="17"/>
              </w:rPr>
              <w:t>8</w:t>
            </w:r>
          </w:p>
        </w:tc>
        <w:tc>
          <w:tcPr>
            <w:tcW w:w="2504" w:type="pct"/>
            <w:tcBorders>
              <w:top w:val="single" w:sz="4" w:space="0" w:color="auto"/>
              <w:left w:val="single" w:sz="4" w:space="0" w:color="auto"/>
              <w:bottom w:val="single" w:sz="4" w:space="0" w:color="auto"/>
              <w:right w:val="single" w:sz="4" w:space="0" w:color="auto"/>
            </w:tcBorders>
            <w:hideMark/>
          </w:tcPr>
          <w:p w14:paraId="303E4CEB" w14:textId="77777777" w:rsidR="00DF7C60" w:rsidRPr="00DF7C60" w:rsidRDefault="00DF7C60" w:rsidP="00DF7C60">
            <w:pPr>
              <w:spacing w:before="120" w:after="120" w:line="240" w:lineRule="auto"/>
              <w:jc w:val="left"/>
              <w:rPr>
                <w:szCs w:val="17"/>
              </w:rPr>
            </w:pPr>
            <w:r w:rsidRPr="00DF7C60">
              <w:rPr>
                <w:szCs w:val="17"/>
                <w:lang w:val="en-GB"/>
              </w:rPr>
              <w:t>Arranging attendance of a witness at trial, including issuing a subpoena, if applicable.</w:t>
            </w:r>
          </w:p>
        </w:tc>
        <w:tc>
          <w:tcPr>
            <w:tcW w:w="2181" w:type="pct"/>
            <w:tcBorders>
              <w:top w:val="single" w:sz="4" w:space="0" w:color="auto"/>
              <w:left w:val="single" w:sz="4" w:space="0" w:color="auto"/>
              <w:bottom w:val="single" w:sz="4" w:space="0" w:color="auto"/>
              <w:right w:val="single" w:sz="4" w:space="0" w:color="auto"/>
            </w:tcBorders>
            <w:hideMark/>
          </w:tcPr>
          <w:p w14:paraId="61198F50" w14:textId="77777777" w:rsidR="00DF7C60" w:rsidRPr="00DF7C60" w:rsidRDefault="00DF7C60" w:rsidP="00DF7C60">
            <w:pPr>
              <w:spacing w:before="120" w:after="120" w:line="240" w:lineRule="auto"/>
              <w:jc w:val="left"/>
              <w:rPr>
                <w:szCs w:val="17"/>
              </w:rPr>
            </w:pPr>
            <w:r w:rsidRPr="00DF7C60">
              <w:rPr>
                <w:szCs w:val="17"/>
              </w:rPr>
              <w:t>$110.</w:t>
            </w:r>
          </w:p>
        </w:tc>
      </w:tr>
      <w:tr w:rsidR="00DF7C60" w:rsidRPr="00DF7C60" w14:paraId="36A99046"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71695FE5" w14:textId="77777777" w:rsidR="00DF7C60" w:rsidRPr="00DF7C60" w:rsidRDefault="00DF7C60" w:rsidP="00DF7C60">
            <w:pPr>
              <w:spacing w:before="120" w:after="120" w:line="240" w:lineRule="auto"/>
              <w:jc w:val="left"/>
              <w:rPr>
                <w:szCs w:val="17"/>
              </w:rPr>
            </w:pPr>
            <w:r w:rsidRPr="00DF7C60">
              <w:rPr>
                <w:szCs w:val="17"/>
              </w:rPr>
              <w:t>9</w:t>
            </w:r>
          </w:p>
        </w:tc>
        <w:tc>
          <w:tcPr>
            <w:tcW w:w="2504" w:type="pct"/>
            <w:tcBorders>
              <w:top w:val="single" w:sz="4" w:space="0" w:color="auto"/>
              <w:left w:val="single" w:sz="4" w:space="0" w:color="auto"/>
              <w:bottom w:val="single" w:sz="4" w:space="0" w:color="auto"/>
              <w:right w:val="single" w:sz="4" w:space="0" w:color="auto"/>
            </w:tcBorders>
            <w:hideMark/>
          </w:tcPr>
          <w:p w14:paraId="7290CCC0" w14:textId="77777777" w:rsidR="00DF7C60" w:rsidRPr="00DF7C60" w:rsidRDefault="00DF7C60" w:rsidP="00DF7C60">
            <w:pPr>
              <w:spacing w:before="120" w:after="120" w:line="240" w:lineRule="auto"/>
              <w:jc w:val="left"/>
              <w:rPr>
                <w:szCs w:val="17"/>
              </w:rPr>
            </w:pPr>
            <w:r w:rsidRPr="00DF7C60">
              <w:rPr>
                <w:szCs w:val="17"/>
                <w:lang w:val="en-GB"/>
              </w:rPr>
              <w:t>Any other attendance when the costs are not within any other item (solicitor and counsel).</w:t>
            </w:r>
          </w:p>
        </w:tc>
        <w:tc>
          <w:tcPr>
            <w:tcW w:w="2181" w:type="pct"/>
            <w:tcBorders>
              <w:top w:val="single" w:sz="4" w:space="0" w:color="auto"/>
              <w:left w:val="single" w:sz="4" w:space="0" w:color="auto"/>
              <w:bottom w:val="single" w:sz="4" w:space="0" w:color="auto"/>
              <w:right w:val="single" w:sz="4" w:space="0" w:color="auto"/>
            </w:tcBorders>
            <w:hideMark/>
          </w:tcPr>
          <w:p w14:paraId="380BC5A1" w14:textId="77777777" w:rsidR="00DF7C60" w:rsidRPr="00DF7C60" w:rsidRDefault="00DF7C60" w:rsidP="00DF7C60">
            <w:pPr>
              <w:spacing w:before="120" w:after="120" w:line="240" w:lineRule="auto"/>
              <w:jc w:val="left"/>
              <w:rPr>
                <w:szCs w:val="17"/>
              </w:rPr>
            </w:pPr>
            <w:r w:rsidRPr="00DF7C60">
              <w:rPr>
                <w:szCs w:val="17"/>
              </w:rPr>
              <w:t>$170.</w:t>
            </w:r>
          </w:p>
        </w:tc>
      </w:tr>
      <w:tr w:rsidR="00DF7C60" w:rsidRPr="00DF7C60" w14:paraId="2E23214C"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22109EA7" w14:textId="77777777" w:rsidR="00DF7C60" w:rsidRPr="00DF7C60" w:rsidRDefault="00DF7C60" w:rsidP="00DF7C60">
            <w:pPr>
              <w:spacing w:before="120" w:after="120" w:line="240" w:lineRule="auto"/>
              <w:jc w:val="left"/>
              <w:rPr>
                <w:szCs w:val="17"/>
              </w:rPr>
            </w:pPr>
            <w:r w:rsidRPr="00DF7C60">
              <w:rPr>
                <w:szCs w:val="17"/>
              </w:rPr>
              <w:lastRenderedPageBreak/>
              <w:t>10</w:t>
            </w:r>
          </w:p>
        </w:tc>
        <w:tc>
          <w:tcPr>
            <w:tcW w:w="2504" w:type="pct"/>
            <w:tcBorders>
              <w:top w:val="single" w:sz="4" w:space="0" w:color="auto"/>
              <w:left w:val="single" w:sz="4" w:space="0" w:color="auto"/>
              <w:bottom w:val="single" w:sz="4" w:space="0" w:color="auto"/>
              <w:right w:val="single" w:sz="4" w:space="0" w:color="auto"/>
            </w:tcBorders>
            <w:hideMark/>
          </w:tcPr>
          <w:p w14:paraId="72A3429C" w14:textId="77777777" w:rsidR="00DF7C60" w:rsidRPr="00DF7C60" w:rsidRDefault="00DF7C60" w:rsidP="00DF7C60">
            <w:pPr>
              <w:spacing w:before="120" w:after="120" w:line="240" w:lineRule="auto"/>
              <w:jc w:val="left"/>
              <w:rPr>
                <w:szCs w:val="17"/>
              </w:rPr>
            </w:pPr>
            <w:r w:rsidRPr="00DF7C60">
              <w:rPr>
                <w:szCs w:val="17"/>
                <w:lang w:val="en-GB"/>
              </w:rPr>
              <w:t xml:space="preserve">Notice of demand and registration of a lien under the </w:t>
            </w:r>
            <w:r w:rsidRPr="00DF7C60">
              <w:rPr>
                <w:i/>
                <w:szCs w:val="17"/>
                <w:lang w:val="en-GB"/>
              </w:rPr>
              <w:t>Worker’s Liens Act 1893</w:t>
            </w:r>
            <w:r w:rsidRPr="00DF7C60">
              <w:rPr>
                <w:szCs w:val="17"/>
                <w:lang w:val="en-GB"/>
              </w:rPr>
              <w:t>.</w:t>
            </w:r>
          </w:p>
        </w:tc>
        <w:tc>
          <w:tcPr>
            <w:tcW w:w="2181" w:type="pct"/>
            <w:tcBorders>
              <w:top w:val="single" w:sz="4" w:space="0" w:color="auto"/>
              <w:left w:val="single" w:sz="4" w:space="0" w:color="auto"/>
              <w:bottom w:val="single" w:sz="4" w:space="0" w:color="auto"/>
              <w:right w:val="single" w:sz="4" w:space="0" w:color="auto"/>
            </w:tcBorders>
            <w:hideMark/>
          </w:tcPr>
          <w:p w14:paraId="7C3F419F" w14:textId="77777777" w:rsidR="00DF7C60" w:rsidRPr="00DF7C60" w:rsidRDefault="00DF7C60" w:rsidP="00DF7C60">
            <w:pPr>
              <w:spacing w:before="120" w:after="120" w:line="240" w:lineRule="auto"/>
              <w:jc w:val="left"/>
              <w:rPr>
                <w:szCs w:val="17"/>
              </w:rPr>
            </w:pPr>
            <w:r w:rsidRPr="00DF7C60">
              <w:rPr>
                <w:szCs w:val="17"/>
              </w:rPr>
              <w:t>Either:</w:t>
            </w:r>
          </w:p>
          <w:p w14:paraId="21C560C8" w14:textId="77777777" w:rsidR="00DF7C60" w:rsidRPr="00DF7C60" w:rsidRDefault="00DF7C60" w:rsidP="00965F17">
            <w:pPr>
              <w:numPr>
                <w:ilvl w:val="0"/>
                <w:numId w:val="39"/>
              </w:numPr>
              <w:spacing w:before="240" w:after="0" w:line="240" w:lineRule="auto"/>
              <w:ind w:left="323" w:hanging="283"/>
              <w:contextualSpacing/>
              <w:jc w:val="left"/>
              <w:rPr>
                <w:szCs w:val="17"/>
              </w:rPr>
            </w:pPr>
            <w:r w:rsidRPr="00DF7C60">
              <w:rPr>
                <w:szCs w:val="17"/>
              </w:rPr>
              <w:t>for claims of $1 up to and including $10,000—$290; or</w:t>
            </w:r>
          </w:p>
          <w:p w14:paraId="2C1EA16A" w14:textId="77777777" w:rsidR="00DF7C60" w:rsidRPr="00DF7C60" w:rsidRDefault="00DF7C60" w:rsidP="00965F17">
            <w:pPr>
              <w:numPr>
                <w:ilvl w:val="0"/>
                <w:numId w:val="39"/>
              </w:numPr>
              <w:spacing w:before="240" w:after="0" w:line="240" w:lineRule="auto"/>
              <w:ind w:left="323" w:hanging="283"/>
              <w:contextualSpacing/>
              <w:jc w:val="left"/>
              <w:rPr>
                <w:szCs w:val="17"/>
              </w:rPr>
            </w:pPr>
            <w:r w:rsidRPr="00DF7C60">
              <w:rPr>
                <w:szCs w:val="17"/>
              </w:rPr>
              <w:t>for claims above $10,000—$500.</w:t>
            </w:r>
          </w:p>
        </w:tc>
      </w:tr>
      <w:tr w:rsidR="00DF7C60" w:rsidRPr="00DF7C60" w14:paraId="2E14005C"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14C12685" w14:textId="77777777" w:rsidR="00DF7C60" w:rsidRPr="00DF7C60" w:rsidRDefault="00DF7C60" w:rsidP="00DF7C60">
            <w:pPr>
              <w:spacing w:before="120" w:after="120" w:line="240" w:lineRule="auto"/>
              <w:jc w:val="left"/>
              <w:rPr>
                <w:szCs w:val="17"/>
              </w:rPr>
            </w:pPr>
            <w:r w:rsidRPr="00DF7C60">
              <w:rPr>
                <w:szCs w:val="17"/>
              </w:rPr>
              <w:t>11</w:t>
            </w:r>
          </w:p>
        </w:tc>
        <w:tc>
          <w:tcPr>
            <w:tcW w:w="2504" w:type="pct"/>
            <w:tcBorders>
              <w:top w:val="single" w:sz="4" w:space="0" w:color="auto"/>
              <w:left w:val="single" w:sz="4" w:space="0" w:color="auto"/>
              <w:bottom w:val="single" w:sz="4" w:space="0" w:color="auto"/>
              <w:right w:val="single" w:sz="4" w:space="0" w:color="auto"/>
            </w:tcBorders>
            <w:hideMark/>
          </w:tcPr>
          <w:p w14:paraId="50EF81D9" w14:textId="77777777" w:rsidR="00DF7C60" w:rsidRPr="00DF7C60" w:rsidRDefault="00DF7C60" w:rsidP="00DF7C60">
            <w:pPr>
              <w:spacing w:before="120" w:after="120" w:line="240" w:lineRule="auto"/>
              <w:jc w:val="left"/>
              <w:rPr>
                <w:szCs w:val="17"/>
              </w:rPr>
            </w:pPr>
            <w:r w:rsidRPr="00DF7C60">
              <w:rPr>
                <w:szCs w:val="17"/>
                <w:lang w:val="en-GB"/>
              </w:rPr>
              <w:t xml:space="preserve">Notice of withdrawal, or satisfaction, of a lien, and registration under the </w:t>
            </w:r>
            <w:r w:rsidRPr="00DF7C60">
              <w:rPr>
                <w:i/>
                <w:szCs w:val="17"/>
                <w:lang w:val="en-GB"/>
              </w:rPr>
              <w:t>Worker’s Liens Act 1893</w:t>
            </w:r>
            <w:r w:rsidRPr="00DF7C60">
              <w:rPr>
                <w:szCs w:val="17"/>
                <w:lang w:val="en-GB"/>
              </w:rPr>
              <w:t>.</w:t>
            </w:r>
          </w:p>
        </w:tc>
        <w:tc>
          <w:tcPr>
            <w:tcW w:w="2181" w:type="pct"/>
            <w:tcBorders>
              <w:top w:val="single" w:sz="4" w:space="0" w:color="auto"/>
              <w:left w:val="single" w:sz="4" w:space="0" w:color="auto"/>
              <w:bottom w:val="single" w:sz="4" w:space="0" w:color="auto"/>
              <w:right w:val="single" w:sz="4" w:space="0" w:color="auto"/>
            </w:tcBorders>
            <w:hideMark/>
          </w:tcPr>
          <w:p w14:paraId="0F555141" w14:textId="77777777" w:rsidR="00DF7C60" w:rsidRPr="00DF7C60" w:rsidRDefault="00DF7C60" w:rsidP="00DF7C60">
            <w:pPr>
              <w:spacing w:before="120" w:after="120" w:line="240" w:lineRule="auto"/>
              <w:jc w:val="left"/>
              <w:rPr>
                <w:szCs w:val="17"/>
              </w:rPr>
            </w:pPr>
            <w:r w:rsidRPr="00DF7C60">
              <w:rPr>
                <w:szCs w:val="17"/>
              </w:rPr>
              <w:t>Either:</w:t>
            </w:r>
          </w:p>
          <w:p w14:paraId="571AE1E9" w14:textId="77777777" w:rsidR="00DF7C60" w:rsidRPr="00DF7C60" w:rsidRDefault="00DF7C60" w:rsidP="00965F17">
            <w:pPr>
              <w:numPr>
                <w:ilvl w:val="0"/>
                <w:numId w:val="40"/>
              </w:numPr>
              <w:spacing w:before="240" w:after="0" w:line="240" w:lineRule="auto"/>
              <w:ind w:left="323" w:hanging="323"/>
              <w:contextualSpacing/>
              <w:jc w:val="left"/>
              <w:rPr>
                <w:szCs w:val="17"/>
              </w:rPr>
            </w:pPr>
            <w:r w:rsidRPr="00DF7C60">
              <w:rPr>
                <w:szCs w:val="17"/>
              </w:rPr>
              <w:t>for claims of $1 up to and including $10,000—$110; or</w:t>
            </w:r>
          </w:p>
          <w:p w14:paraId="3D59836F" w14:textId="77777777" w:rsidR="00DF7C60" w:rsidRPr="00DF7C60" w:rsidRDefault="00DF7C60" w:rsidP="00965F17">
            <w:pPr>
              <w:numPr>
                <w:ilvl w:val="0"/>
                <w:numId w:val="40"/>
              </w:numPr>
              <w:spacing w:before="240" w:after="0" w:line="240" w:lineRule="auto"/>
              <w:ind w:left="323" w:hanging="283"/>
              <w:contextualSpacing/>
              <w:jc w:val="left"/>
              <w:rPr>
                <w:szCs w:val="17"/>
              </w:rPr>
            </w:pPr>
            <w:r w:rsidRPr="00DF7C60">
              <w:rPr>
                <w:szCs w:val="17"/>
              </w:rPr>
              <w:t>for claims above $10,000—$160.</w:t>
            </w:r>
          </w:p>
        </w:tc>
      </w:tr>
      <w:tr w:rsidR="00DF7C60" w:rsidRPr="00DF7C60" w14:paraId="3CFAB05F"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505E8464" w14:textId="77777777" w:rsidR="00DF7C60" w:rsidRPr="00DF7C60" w:rsidRDefault="00DF7C60" w:rsidP="00DF7C60">
            <w:pPr>
              <w:spacing w:before="120" w:after="120" w:line="240" w:lineRule="auto"/>
              <w:jc w:val="left"/>
              <w:rPr>
                <w:szCs w:val="17"/>
              </w:rPr>
            </w:pPr>
            <w:r w:rsidRPr="00DF7C60">
              <w:rPr>
                <w:szCs w:val="17"/>
              </w:rPr>
              <w:t>12</w:t>
            </w:r>
          </w:p>
        </w:tc>
        <w:tc>
          <w:tcPr>
            <w:tcW w:w="2504" w:type="pct"/>
            <w:tcBorders>
              <w:top w:val="single" w:sz="4" w:space="0" w:color="auto"/>
              <w:left w:val="single" w:sz="4" w:space="0" w:color="auto"/>
              <w:bottom w:val="single" w:sz="4" w:space="0" w:color="auto"/>
              <w:right w:val="single" w:sz="4" w:space="0" w:color="auto"/>
            </w:tcBorders>
            <w:hideMark/>
          </w:tcPr>
          <w:p w14:paraId="5509C84B" w14:textId="77777777" w:rsidR="00DF7C60" w:rsidRPr="00DF7C60" w:rsidRDefault="00DF7C60" w:rsidP="00DF7C60">
            <w:pPr>
              <w:spacing w:before="120" w:after="120" w:line="240" w:lineRule="auto"/>
              <w:jc w:val="left"/>
              <w:rPr>
                <w:szCs w:val="17"/>
                <w:lang w:val="en-GB"/>
              </w:rPr>
            </w:pPr>
            <w:r w:rsidRPr="00DF7C60">
              <w:rPr>
                <w:szCs w:val="17"/>
                <w:lang w:val="en-GB"/>
              </w:rPr>
              <w:t>Filing a request for judgment.</w:t>
            </w:r>
          </w:p>
        </w:tc>
        <w:tc>
          <w:tcPr>
            <w:tcW w:w="2181" w:type="pct"/>
            <w:tcBorders>
              <w:top w:val="single" w:sz="4" w:space="0" w:color="auto"/>
              <w:left w:val="single" w:sz="4" w:space="0" w:color="auto"/>
              <w:bottom w:val="single" w:sz="4" w:space="0" w:color="auto"/>
              <w:right w:val="single" w:sz="4" w:space="0" w:color="auto"/>
            </w:tcBorders>
            <w:hideMark/>
          </w:tcPr>
          <w:p w14:paraId="7355C886" w14:textId="77777777" w:rsidR="00DF7C60" w:rsidRPr="00DF7C60" w:rsidRDefault="00DF7C60" w:rsidP="00DF7C60">
            <w:pPr>
              <w:spacing w:before="120" w:after="120" w:line="240" w:lineRule="auto"/>
              <w:jc w:val="left"/>
              <w:rPr>
                <w:szCs w:val="17"/>
              </w:rPr>
            </w:pPr>
            <w:r w:rsidRPr="00DF7C60">
              <w:rPr>
                <w:szCs w:val="17"/>
              </w:rPr>
              <w:t>$110.</w:t>
            </w:r>
          </w:p>
        </w:tc>
      </w:tr>
      <w:tr w:rsidR="00DF7C60" w:rsidRPr="00DF7C60" w14:paraId="3560B253"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784CF15E" w14:textId="77777777" w:rsidR="00DF7C60" w:rsidRPr="00DF7C60" w:rsidRDefault="00DF7C60" w:rsidP="00DF7C60">
            <w:pPr>
              <w:spacing w:before="120" w:after="120" w:line="240" w:lineRule="auto"/>
              <w:jc w:val="left"/>
              <w:rPr>
                <w:szCs w:val="17"/>
              </w:rPr>
            </w:pPr>
            <w:r w:rsidRPr="00DF7C60">
              <w:rPr>
                <w:szCs w:val="17"/>
              </w:rPr>
              <w:t>13</w:t>
            </w:r>
          </w:p>
        </w:tc>
        <w:tc>
          <w:tcPr>
            <w:tcW w:w="2504" w:type="pct"/>
            <w:tcBorders>
              <w:top w:val="single" w:sz="4" w:space="0" w:color="auto"/>
              <w:left w:val="single" w:sz="4" w:space="0" w:color="auto"/>
              <w:bottom w:val="single" w:sz="4" w:space="0" w:color="auto"/>
              <w:right w:val="single" w:sz="4" w:space="0" w:color="auto"/>
            </w:tcBorders>
            <w:hideMark/>
          </w:tcPr>
          <w:p w14:paraId="3AD4A094" w14:textId="77777777" w:rsidR="00DF7C60" w:rsidRPr="00DF7C60" w:rsidRDefault="00DF7C60" w:rsidP="00DF7C60">
            <w:pPr>
              <w:spacing w:before="120" w:after="120" w:line="240" w:lineRule="auto"/>
              <w:jc w:val="left"/>
              <w:rPr>
                <w:szCs w:val="17"/>
              </w:rPr>
            </w:pPr>
            <w:r w:rsidRPr="00DF7C60">
              <w:rPr>
                <w:szCs w:val="17"/>
                <w:lang w:val="en-GB"/>
              </w:rPr>
              <w:t>Preparing a bill for taxation, including attendance.</w:t>
            </w:r>
          </w:p>
        </w:tc>
        <w:tc>
          <w:tcPr>
            <w:tcW w:w="2181" w:type="pct"/>
            <w:tcBorders>
              <w:top w:val="single" w:sz="4" w:space="0" w:color="auto"/>
              <w:left w:val="single" w:sz="4" w:space="0" w:color="auto"/>
              <w:bottom w:val="single" w:sz="4" w:space="0" w:color="auto"/>
              <w:right w:val="single" w:sz="4" w:space="0" w:color="auto"/>
            </w:tcBorders>
            <w:hideMark/>
          </w:tcPr>
          <w:p w14:paraId="0A212A4E" w14:textId="77777777" w:rsidR="00DF7C60" w:rsidRPr="00DF7C60" w:rsidRDefault="00DF7C60" w:rsidP="00DF7C60">
            <w:pPr>
              <w:spacing w:before="120" w:after="120" w:line="240" w:lineRule="auto"/>
              <w:jc w:val="left"/>
              <w:rPr>
                <w:szCs w:val="17"/>
              </w:rPr>
            </w:pPr>
            <w:r w:rsidRPr="00DF7C60">
              <w:rPr>
                <w:szCs w:val="17"/>
              </w:rPr>
              <w:t>$390.</w:t>
            </w:r>
          </w:p>
        </w:tc>
      </w:tr>
      <w:tr w:rsidR="00DF7C60" w:rsidRPr="00DF7C60" w14:paraId="4F4060ED" w14:textId="77777777" w:rsidTr="008D0F2D">
        <w:tc>
          <w:tcPr>
            <w:tcW w:w="5000" w:type="pct"/>
            <w:gridSpan w:val="3"/>
            <w:tcBorders>
              <w:top w:val="single" w:sz="4" w:space="0" w:color="auto"/>
              <w:left w:val="single" w:sz="4" w:space="0" w:color="auto"/>
              <w:bottom w:val="single" w:sz="4" w:space="0" w:color="auto"/>
              <w:right w:val="single" w:sz="4" w:space="0" w:color="auto"/>
            </w:tcBorders>
            <w:hideMark/>
          </w:tcPr>
          <w:p w14:paraId="59A5F8A3" w14:textId="77777777" w:rsidR="00DF7C60" w:rsidRPr="00DF7C60" w:rsidRDefault="00DF7C60" w:rsidP="00DF7C60">
            <w:pPr>
              <w:spacing w:before="120" w:after="120" w:line="240" w:lineRule="auto"/>
              <w:jc w:val="left"/>
              <w:rPr>
                <w:szCs w:val="17"/>
              </w:rPr>
            </w:pPr>
            <w:r w:rsidRPr="00DF7C60">
              <w:rPr>
                <w:szCs w:val="17"/>
                <w:lang w:val="en-GB"/>
              </w:rPr>
              <w:t>Enforcement</w:t>
            </w:r>
          </w:p>
        </w:tc>
      </w:tr>
      <w:tr w:rsidR="00DF7C60" w:rsidRPr="00DF7C60" w14:paraId="189B5319"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73D34A86" w14:textId="77777777" w:rsidR="00DF7C60" w:rsidRPr="00DF7C60" w:rsidRDefault="00DF7C60" w:rsidP="00DF7C60">
            <w:pPr>
              <w:spacing w:before="120" w:after="120" w:line="240" w:lineRule="auto"/>
              <w:jc w:val="left"/>
              <w:rPr>
                <w:szCs w:val="17"/>
              </w:rPr>
            </w:pPr>
            <w:r w:rsidRPr="00DF7C60">
              <w:rPr>
                <w:szCs w:val="17"/>
              </w:rPr>
              <w:t>14</w:t>
            </w:r>
          </w:p>
        </w:tc>
        <w:tc>
          <w:tcPr>
            <w:tcW w:w="2504" w:type="pct"/>
            <w:tcBorders>
              <w:top w:val="single" w:sz="4" w:space="0" w:color="auto"/>
              <w:left w:val="single" w:sz="4" w:space="0" w:color="auto"/>
              <w:bottom w:val="single" w:sz="4" w:space="0" w:color="auto"/>
              <w:right w:val="single" w:sz="4" w:space="0" w:color="auto"/>
            </w:tcBorders>
            <w:hideMark/>
          </w:tcPr>
          <w:p w14:paraId="0BDEDC23" w14:textId="77777777" w:rsidR="00DF7C60" w:rsidRPr="00DF7C60" w:rsidRDefault="00DF7C60" w:rsidP="00DF7C60">
            <w:pPr>
              <w:spacing w:before="120" w:after="120" w:line="240" w:lineRule="auto"/>
              <w:jc w:val="left"/>
              <w:rPr>
                <w:szCs w:val="17"/>
              </w:rPr>
            </w:pPr>
            <w:r w:rsidRPr="00DF7C60">
              <w:rPr>
                <w:szCs w:val="17"/>
              </w:rPr>
              <w:t>Attendance on an application to set aside a warrant.</w:t>
            </w:r>
          </w:p>
        </w:tc>
        <w:tc>
          <w:tcPr>
            <w:tcW w:w="2181" w:type="pct"/>
            <w:tcBorders>
              <w:top w:val="single" w:sz="4" w:space="0" w:color="auto"/>
              <w:left w:val="single" w:sz="4" w:space="0" w:color="auto"/>
              <w:bottom w:val="single" w:sz="4" w:space="0" w:color="auto"/>
              <w:right w:val="single" w:sz="4" w:space="0" w:color="auto"/>
            </w:tcBorders>
            <w:hideMark/>
          </w:tcPr>
          <w:p w14:paraId="7FAFDC17" w14:textId="77777777" w:rsidR="00DF7C60" w:rsidRPr="00DF7C60" w:rsidRDefault="00DF7C60" w:rsidP="00DF7C60">
            <w:pPr>
              <w:spacing w:before="120" w:after="120" w:line="240" w:lineRule="auto"/>
              <w:jc w:val="left"/>
              <w:rPr>
                <w:szCs w:val="17"/>
              </w:rPr>
            </w:pPr>
            <w:r w:rsidRPr="00DF7C60">
              <w:rPr>
                <w:szCs w:val="17"/>
              </w:rPr>
              <w:t>$170.</w:t>
            </w:r>
          </w:p>
        </w:tc>
      </w:tr>
      <w:tr w:rsidR="00DF7C60" w:rsidRPr="00DF7C60" w14:paraId="6584226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19CF998F" w14:textId="77777777" w:rsidR="00DF7C60" w:rsidRPr="00DF7C60" w:rsidRDefault="00DF7C60" w:rsidP="00DF7C60">
            <w:pPr>
              <w:spacing w:before="120" w:after="120" w:line="240" w:lineRule="auto"/>
              <w:jc w:val="left"/>
              <w:rPr>
                <w:szCs w:val="17"/>
              </w:rPr>
            </w:pPr>
            <w:r w:rsidRPr="00DF7C60">
              <w:rPr>
                <w:szCs w:val="17"/>
              </w:rPr>
              <w:t>15</w:t>
            </w:r>
          </w:p>
        </w:tc>
        <w:tc>
          <w:tcPr>
            <w:tcW w:w="2504" w:type="pct"/>
            <w:tcBorders>
              <w:top w:val="single" w:sz="4" w:space="0" w:color="auto"/>
              <w:left w:val="single" w:sz="4" w:space="0" w:color="auto"/>
              <w:bottom w:val="single" w:sz="4" w:space="0" w:color="auto"/>
              <w:right w:val="single" w:sz="4" w:space="0" w:color="auto"/>
            </w:tcBorders>
            <w:hideMark/>
          </w:tcPr>
          <w:p w14:paraId="4C42D49F" w14:textId="77777777" w:rsidR="00DF7C60" w:rsidRPr="00DF7C60" w:rsidRDefault="00DF7C60" w:rsidP="00DF7C60">
            <w:pPr>
              <w:spacing w:before="120" w:after="120" w:line="240" w:lineRule="auto"/>
              <w:jc w:val="left"/>
              <w:rPr>
                <w:szCs w:val="17"/>
              </w:rPr>
            </w:pPr>
            <w:r w:rsidRPr="00DF7C60">
              <w:rPr>
                <w:szCs w:val="17"/>
              </w:rPr>
              <w:t xml:space="preserve">Request for an </w:t>
            </w:r>
            <w:hyperlink r:id="rId33" w:anchor="_2.1—Definitions" w:history="1">
              <w:r w:rsidRPr="00DF7C60">
                <w:rPr>
                  <w:szCs w:val="17"/>
                  <w:u w:val="single"/>
                </w:rPr>
                <w:t>enforcement process</w:t>
              </w:r>
            </w:hyperlink>
            <w:r w:rsidRPr="00DF7C60">
              <w:rPr>
                <w:szCs w:val="17"/>
              </w:rPr>
              <w:t>.</w:t>
            </w:r>
          </w:p>
        </w:tc>
        <w:tc>
          <w:tcPr>
            <w:tcW w:w="2181" w:type="pct"/>
            <w:tcBorders>
              <w:top w:val="single" w:sz="4" w:space="0" w:color="auto"/>
              <w:left w:val="single" w:sz="4" w:space="0" w:color="auto"/>
              <w:bottom w:val="single" w:sz="4" w:space="0" w:color="auto"/>
              <w:right w:val="single" w:sz="4" w:space="0" w:color="auto"/>
            </w:tcBorders>
            <w:hideMark/>
          </w:tcPr>
          <w:p w14:paraId="3AE3B127" w14:textId="77777777" w:rsidR="00DF7C60" w:rsidRPr="00DF7C60" w:rsidRDefault="00DF7C60" w:rsidP="00DF7C60">
            <w:pPr>
              <w:spacing w:before="120" w:after="120" w:line="240" w:lineRule="auto"/>
              <w:jc w:val="left"/>
              <w:rPr>
                <w:szCs w:val="17"/>
              </w:rPr>
            </w:pPr>
            <w:r w:rsidRPr="00DF7C60">
              <w:rPr>
                <w:szCs w:val="17"/>
              </w:rPr>
              <w:t>Either:</w:t>
            </w:r>
          </w:p>
          <w:p w14:paraId="4C0FF365" w14:textId="77777777" w:rsidR="00DF7C60" w:rsidRPr="00DF7C60" w:rsidRDefault="00DF7C60" w:rsidP="00965F17">
            <w:pPr>
              <w:numPr>
                <w:ilvl w:val="0"/>
                <w:numId w:val="41"/>
              </w:numPr>
              <w:spacing w:before="240" w:after="0" w:line="240" w:lineRule="auto"/>
              <w:contextualSpacing/>
              <w:jc w:val="left"/>
              <w:rPr>
                <w:szCs w:val="17"/>
              </w:rPr>
            </w:pPr>
            <w:r w:rsidRPr="00DF7C60">
              <w:rPr>
                <w:szCs w:val="17"/>
              </w:rPr>
              <w:t>for a warrant of sale or warrant of possession—$55; or</w:t>
            </w:r>
          </w:p>
          <w:p w14:paraId="1AF93572" w14:textId="77777777" w:rsidR="00DF7C60" w:rsidRPr="00DF7C60" w:rsidRDefault="00DF7C60" w:rsidP="00965F17">
            <w:pPr>
              <w:numPr>
                <w:ilvl w:val="0"/>
                <w:numId w:val="41"/>
              </w:numPr>
              <w:spacing w:before="240" w:after="0" w:line="240" w:lineRule="auto"/>
              <w:contextualSpacing/>
              <w:jc w:val="left"/>
              <w:rPr>
                <w:szCs w:val="17"/>
              </w:rPr>
            </w:pPr>
            <w:r w:rsidRPr="00DF7C60">
              <w:rPr>
                <w:szCs w:val="17"/>
              </w:rPr>
              <w:t>for any other process (including attending at the hearing)—$120.</w:t>
            </w:r>
          </w:p>
        </w:tc>
      </w:tr>
      <w:tr w:rsidR="00DF7C60" w:rsidRPr="00DF7C60" w14:paraId="68B6B204" w14:textId="77777777" w:rsidTr="008D0F2D">
        <w:trPr>
          <w:trHeight w:val="1317"/>
        </w:trPr>
        <w:tc>
          <w:tcPr>
            <w:tcW w:w="315" w:type="pct"/>
            <w:tcBorders>
              <w:top w:val="single" w:sz="4" w:space="0" w:color="auto"/>
              <w:left w:val="single" w:sz="4" w:space="0" w:color="auto"/>
              <w:bottom w:val="single" w:sz="4" w:space="0" w:color="auto"/>
              <w:right w:val="single" w:sz="4" w:space="0" w:color="auto"/>
            </w:tcBorders>
            <w:hideMark/>
          </w:tcPr>
          <w:p w14:paraId="19283737" w14:textId="77777777" w:rsidR="00DF7C60" w:rsidRPr="00DF7C60" w:rsidRDefault="00DF7C60" w:rsidP="00DF7C60">
            <w:pPr>
              <w:spacing w:before="120" w:after="120" w:line="240" w:lineRule="auto"/>
              <w:jc w:val="left"/>
              <w:rPr>
                <w:szCs w:val="17"/>
              </w:rPr>
            </w:pPr>
            <w:r w:rsidRPr="00DF7C60">
              <w:rPr>
                <w:szCs w:val="17"/>
              </w:rPr>
              <w:t>16</w:t>
            </w:r>
          </w:p>
        </w:tc>
        <w:tc>
          <w:tcPr>
            <w:tcW w:w="2504" w:type="pct"/>
            <w:tcBorders>
              <w:top w:val="single" w:sz="4" w:space="0" w:color="auto"/>
              <w:left w:val="single" w:sz="4" w:space="0" w:color="auto"/>
              <w:bottom w:val="single" w:sz="4" w:space="0" w:color="auto"/>
              <w:right w:val="single" w:sz="4" w:space="0" w:color="auto"/>
            </w:tcBorders>
            <w:hideMark/>
          </w:tcPr>
          <w:p w14:paraId="36DAE723" w14:textId="77777777" w:rsidR="00DF7C60" w:rsidRPr="00DF7C60" w:rsidRDefault="00DF7C60" w:rsidP="00DF7C60">
            <w:pPr>
              <w:spacing w:before="120" w:after="120" w:line="240" w:lineRule="auto"/>
              <w:jc w:val="left"/>
              <w:rPr>
                <w:szCs w:val="17"/>
              </w:rPr>
            </w:pPr>
            <w:r w:rsidRPr="00DF7C60">
              <w:rPr>
                <w:szCs w:val="17"/>
              </w:rPr>
              <w:t>Preparing and registering a warrant of sale against real property and registering it.</w:t>
            </w:r>
          </w:p>
        </w:tc>
        <w:tc>
          <w:tcPr>
            <w:tcW w:w="2181" w:type="pct"/>
            <w:tcBorders>
              <w:top w:val="single" w:sz="4" w:space="0" w:color="auto"/>
              <w:left w:val="single" w:sz="4" w:space="0" w:color="auto"/>
              <w:bottom w:val="single" w:sz="4" w:space="0" w:color="auto"/>
              <w:right w:val="single" w:sz="4" w:space="0" w:color="auto"/>
            </w:tcBorders>
            <w:hideMark/>
          </w:tcPr>
          <w:p w14:paraId="06E1FF5D" w14:textId="77777777" w:rsidR="00DF7C60" w:rsidRPr="00DF7C60" w:rsidRDefault="00DF7C60" w:rsidP="00DF7C60">
            <w:pPr>
              <w:spacing w:before="120" w:after="120" w:line="240" w:lineRule="auto"/>
              <w:jc w:val="left"/>
              <w:rPr>
                <w:szCs w:val="17"/>
              </w:rPr>
            </w:pPr>
            <w:r w:rsidRPr="00DF7C60">
              <w:rPr>
                <w:szCs w:val="17"/>
              </w:rPr>
              <w:t>Either:</w:t>
            </w:r>
          </w:p>
          <w:p w14:paraId="270E3780" w14:textId="77777777" w:rsidR="00DF7C60" w:rsidRPr="00DF7C60" w:rsidRDefault="00DF7C60" w:rsidP="00965F17">
            <w:pPr>
              <w:numPr>
                <w:ilvl w:val="0"/>
                <w:numId w:val="42"/>
              </w:numPr>
              <w:spacing w:before="240" w:after="0" w:line="240" w:lineRule="auto"/>
              <w:contextualSpacing/>
              <w:jc w:val="left"/>
              <w:rPr>
                <w:szCs w:val="17"/>
              </w:rPr>
            </w:pPr>
            <w:r w:rsidRPr="00DF7C60">
              <w:rPr>
                <w:szCs w:val="17"/>
              </w:rPr>
              <w:t>for claims of $1 up to and including $10,000—$160; or</w:t>
            </w:r>
          </w:p>
          <w:p w14:paraId="6774037D" w14:textId="77777777" w:rsidR="00DF7C60" w:rsidRPr="00DF7C60" w:rsidRDefault="00DF7C60" w:rsidP="00965F17">
            <w:pPr>
              <w:numPr>
                <w:ilvl w:val="0"/>
                <w:numId w:val="42"/>
              </w:numPr>
              <w:spacing w:before="240" w:after="0" w:line="240" w:lineRule="auto"/>
              <w:contextualSpacing/>
              <w:jc w:val="left"/>
              <w:rPr>
                <w:szCs w:val="17"/>
              </w:rPr>
            </w:pPr>
            <w:r w:rsidRPr="00DF7C60">
              <w:rPr>
                <w:szCs w:val="17"/>
              </w:rPr>
              <w:t>for claims above $10,000—$190.</w:t>
            </w:r>
          </w:p>
        </w:tc>
      </w:tr>
      <w:tr w:rsidR="00DF7C60" w:rsidRPr="00DF7C60" w14:paraId="541BA663"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43D83AF7" w14:textId="77777777" w:rsidR="00DF7C60" w:rsidRPr="00DF7C60" w:rsidRDefault="00DF7C60" w:rsidP="00DF7C60">
            <w:pPr>
              <w:spacing w:before="120" w:after="120" w:line="240" w:lineRule="auto"/>
              <w:jc w:val="left"/>
              <w:rPr>
                <w:szCs w:val="17"/>
              </w:rPr>
            </w:pPr>
            <w:r w:rsidRPr="00DF7C60">
              <w:rPr>
                <w:szCs w:val="17"/>
              </w:rPr>
              <w:t>17</w:t>
            </w:r>
          </w:p>
        </w:tc>
        <w:tc>
          <w:tcPr>
            <w:tcW w:w="2504" w:type="pct"/>
            <w:tcBorders>
              <w:top w:val="single" w:sz="4" w:space="0" w:color="auto"/>
              <w:left w:val="single" w:sz="4" w:space="0" w:color="auto"/>
              <w:bottom w:val="single" w:sz="4" w:space="0" w:color="auto"/>
              <w:right w:val="single" w:sz="4" w:space="0" w:color="auto"/>
            </w:tcBorders>
            <w:hideMark/>
          </w:tcPr>
          <w:p w14:paraId="595AE4B4" w14:textId="77777777" w:rsidR="00DF7C60" w:rsidRPr="00DF7C60" w:rsidRDefault="00DF7C60" w:rsidP="00DF7C60">
            <w:pPr>
              <w:spacing w:before="120" w:after="120" w:line="240" w:lineRule="auto"/>
              <w:jc w:val="left"/>
              <w:rPr>
                <w:szCs w:val="17"/>
              </w:rPr>
            </w:pPr>
            <w:r w:rsidRPr="00DF7C60">
              <w:rPr>
                <w:szCs w:val="17"/>
              </w:rPr>
              <w:t>Discharging a warrant of sale.</w:t>
            </w:r>
          </w:p>
        </w:tc>
        <w:tc>
          <w:tcPr>
            <w:tcW w:w="2181" w:type="pct"/>
            <w:tcBorders>
              <w:top w:val="single" w:sz="4" w:space="0" w:color="auto"/>
              <w:left w:val="single" w:sz="4" w:space="0" w:color="auto"/>
              <w:bottom w:val="single" w:sz="4" w:space="0" w:color="auto"/>
              <w:right w:val="single" w:sz="4" w:space="0" w:color="auto"/>
            </w:tcBorders>
            <w:hideMark/>
          </w:tcPr>
          <w:p w14:paraId="0F04B877" w14:textId="77777777" w:rsidR="00DF7C60" w:rsidRPr="00DF7C60" w:rsidRDefault="00DF7C60" w:rsidP="00DF7C60">
            <w:pPr>
              <w:spacing w:before="120" w:after="120" w:line="240" w:lineRule="auto"/>
              <w:jc w:val="left"/>
              <w:rPr>
                <w:szCs w:val="17"/>
              </w:rPr>
            </w:pPr>
            <w:r w:rsidRPr="00DF7C60">
              <w:rPr>
                <w:szCs w:val="17"/>
              </w:rPr>
              <w:t>Either:</w:t>
            </w:r>
          </w:p>
          <w:p w14:paraId="4325765C" w14:textId="77777777" w:rsidR="00DF7C60" w:rsidRPr="00DF7C60" w:rsidRDefault="00DF7C60" w:rsidP="00965F17">
            <w:pPr>
              <w:numPr>
                <w:ilvl w:val="0"/>
                <w:numId w:val="43"/>
              </w:numPr>
              <w:spacing w:before="240" w:after="0" w:line="240" w:lineRule="auto"/>
              <w:contextualSpacing/>
              <w:jc w:val="left"/>
              <w:rPr>
                <w:szCs w:val="17"/>
              </w:rPr>
            </w:pPr>
            <w:r w:rsidRPr="00DF7C60">
              <w:rPr>
                <w:szCs w:val="17"/>
              </w:rPr>
              <w:t>for claims of $1 up to and including $10,000—$110; or</w:t>
            </w:r>
          </w:p>
          <w:p w14:paraId="0F3A8C0E" w14:textId="77777777" w:rsidR="00DF7C60" w:rsidRPr="00DF7C60" w:rsidRDefault="00DF7C60" w:rsidP="00965F17">
            <w:pPr>
              <w:numPr>
                <w:ilvl w:val="0"/>
                <w:numId w:val="43"/>
              </w:numPr>
              <w:spacing w:before="240" w:after="0" w:line="240" w:lineRule="auto"/>
              <w:contextualSpacing/>
              <w:jc w:val="left"/>
              <w:rPr>
                <w:szCs w:val="17"/>
              </w:rPr>
            </w:pPr>
            <w:r w:rsidRPr="00DF7C60">
              <w:rPr>
                <w:szCs w:val="17"/>
              </w:rPr>
              <w:t>for claims above $10,000—$160.</w:t>
            </w:r>
          </w:p>
        </w:tc>
      </w:tr>
      <w:tr w:rsidR="00DF7C60" w:rsidRPr="00DF7C60" w14:paraId="3CF1B9D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43CB11BC" w14:textId="77777777" w:rsidR="00DF7C60" w:rsidRPr="00DF7C60" w:rsidRDefault="00DF7C60" w:rsidP="00DF7C60">
            <w:pPr>
              <w:spacing w:before="120" w:after="120" w:line="240" w:lineRule="auto"/>
              <w:jc w:val="left"/>
              <w:rPr>
                <w:szCs w:val="17"/>
              </w:rPr>
            </w:pPr>
            <w:r w:rsidRPr="00DF7C60">
              <w:rPr>
                <w:szCs w:val="17"/>
              </w:rPr>
              <w:t>18</w:t>
            </w:r>
          </w:p>
        </w:tc>
        <w:tc>
          <w:tcPr>
            <w:tcW w:w="2504" w:type="pct"/>
            <w:tcBorders>
              <w:top w:val="single" w:sz="4" w:space="0" w:color="auto"/>
              <w:left w:val="single" w:sz="4" w:space="0" w:color="auto"/>
              <w:bottom w:val="single" w:sz="4" w:space="0" w:color="auto"/>
              <w:right w:val="single" w:sz="4" w:space="0" w:color="auto"/>
            </w:tcBorders>
            <w:hideMark/>
          </w:tcPr>
          <w:p w14:paraId="6074371B" w14:textId="77777777" w:rsidR="00DF7C60" w:rsidRPr="00DF7C60" w:rsidRDefault="00DF7C60" w:rsidP="00DF7C60">
            <w:pPr>
              <w:spacing w:before="120" w:after="120" w:line="240" w:lineRule="auto"/>
              <w:jc w:val="left"/>
              <w:rPr>
                <w:szCs w:val="17"/>
              </w:rPr>
            </w:pPr>
            <w:r w:rsidRPr="00DF7C60">
              <w:rPr>
                <w:szCs w:val="17"/>
              </w:rPr>
              <w:t>Applying for and obtaining a charging order over real property and registering it.</w:t>
            </w:r>
          </w:p>
        </w:tc>
        <w:tc>
          <w:tcPr>
            <w:tcW w:w="2181" w:type="pct"/>
            <w:tcBorders>
              <w:top w:val="single" w:sz="4" w:space="0" w:color="auto"/>
              <w:left w:val="single" w:sz="4" w:space="0" w:color="auto"/>
              <w:bottom w:val="single" w:sz="4" w:space="0" w:color="auto"/>
              <w:right w:val="single" w:sz="4" w:space="0" w:color="auto"/>
            </w:tcBorders>
            <w:hideMark/>
          </w:tcPr>
          <w:p w14:paraId="6572F088" w14:textId="77777777" w:rsidR="00DF7C60" w:rsidRPr="00DF7C60" w:rsidRDefault="00DF7C60" w:rsidP="00DF7C60">
            <w:pPr>
              <w:spacing w:before="120" w:after="120" w:line="240" w:lineRule="auto"/>
              <w:jc w:val="left"/>
              <w:rPr>
                <w:szCs w:val="17"/>
              </w:rPr>
            </w:pPr>
            <w:r w:rsidRPr="00DF7C60">
              <w:rPr>
                <w:szCs w:val="17"/>
              </w:rPr>
              <w:t>Either:</w:t>
            </w:r>
          </w:p>
          <w:p w14:paraId="05827690" w14:textId="77777777" w:rsidR="00DF7C60" w:rsidRPr="00DF7C60" w:rsidRDefault="00DF7C60" w:rsidP="00965F17">
            <w:pPr>
              <w:numPr>
                <w:ilvl w:val="0"/>
                <w:numId w:val="44"/>
              </w:numPr>
              <w:spacing w:before="240" w:after="0" w:line="240" w:lineRule="auto"/>
              <w:contextualSpacing/>
              <w:jc w:val="left"/>
              <w:rPr>
                <w:szCs w:val="17"/>
              </w:rPr>
            </w:pPr>
            <w:r w:rsidRPr="00DF7C60">
              <w:rPr>
                <w:szCs w:val="17"/>
              </w:rPr>
              <w:t>for claims of $1 up to and including $10,000—$240; or</w:t>
            </w:r>
          </w:p>
          <w:p w14:paraId="790B2E07" w14:textId="77777777" w:rsidR="00DF7C60" w:rsidRPr="00DF7C60" w:rsidRDefault="00DF7C60" w:rsidP="00965F17">
            <w:pPr>
              <w:numPr>
                <w:ilvl w:val="0"/>
                <w:numId w:val="44"/>
              </w:numPr>
              <w:spacing w:before="240" w:after="0" w:line="240" w:lineRule="auto"/>
              <w:contextualSpacing/>
              <w:jc w:val="left"/>
              <w:rPr>
                <w:szCs w:val="17"/>
              </w:rPr>
            </w:pPr>
            <w:r w:rsidRPr="00DF7C60">
              <w:rPr>
                <w:szCs w:val="17"/>
              </w:rPr>
              <w:t xml:space="preserve"> for claims above $10,000—$500.</w:t>
            </w:r>
          </w:p>
        </w:tc>
      </w:tr>
      <w:tr w:rsidR="00DF7C60" w:rsidRPr="00DF7C60" w14:paraId="26865469"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2072DA73" w14:textId="77777777" w:rsidR="00DF7C60" w:rsidRPr="00DF7C60" w:rsidRDefault="00DF7C60" w:rsidP="00DF7C60">
            <w:pPr>
              <w:spacing w:before="120" w:after="120" w:line="240" w:lineRule="auto"/>
              <w:jc w:val="left"/>
              <w:rPr>
                <w:szCs w:val="17"/>
              </w:rPr>
            </w:pPr>
            <w:r w:rsidRPr="00DF7C60">
              <w:rPr>
                <w:szCs w:val="17"/>
              </w:rPr>
              <w:t>19</w:t>
            </w:r>
          </w:p>
        </w:tc>
        <w:tc>
          <w:tcPr>
            <w:tcW w:w="2504" w:type="pct"/>
            <w:tcBorders>
              <w:top w:val="single" w:sz="4" w:space="0" w:color="auto"/>
              <w:left w:val="single" w:sz="4" w:space="0" w:color="auto"/>
              <w:bottom w:val="single" w:sz="4" w:space="0" w:color="auto"/>
              <w:right w:val="single" w:sz="4" w:space="0" w:color="auto"/>
            </w:tcBorders>
            <w:hideMark/>
          </w:tcPr>
          <w:p w14:paraId="71333ED9" w14:textId="77777777" w:rsidR="00DF7C60" w:rsidRPr="00DF7C60" w:rsidRDefault="00DF7C60" w:rsidP="00DF7C60">
            <w:pPr>
              <w:spacing w:before="120" w:after="120" w:line="240" w:lineRule="auto"/>
              <w:jc w:val="left"/>
              <w:rPr>
                <w:szCs w:val="17"/>
              </w:rPr>
            </w:pPr>
            <w:r w:rsidRPr="00DF7C60">
              <w:rPr>
                <w:szCs w:val="17"/>
              </w:rPr>
              <w:t>Discharging a charging order at the Lands Titles Office.</w:t>
            </w:r>
          </w:p>
        </w:tc>
        <w:tc>
          <w:tcPr>
            <w:tcW w:w="2181" w:type="pct"/>
            <w:tcBorders>
              <w:top w:val="single" w:sz="4" w:space="0" w:color="auto"/>
              <w:left w:val="single" w:sz="4" w:space="0" w:color="auto"/>
              <w:bottom w:val="single" w:sz="4" w:space="0" w:color="auto"/>
              <w:right w:val="single" w:sz="4" w:space="0" w:color="auto"/>
            </w:tcBorders>
            <w:hideMark/>
          </w:tcPr>
          <w:p w14:paraId="55FEF933" w14:textId="77777777" w:rsidR="00DF7C60" w:rsidRPr="00DF7C60" w:rsidRDefault="00DF7C60" w:rsidP="00DF7C60">
            <w:pPr>
              <w:spacing w:before="120" w:after="120" w:line="240" w:lineRule="auto"/>
              <w:jc w:val="left"/>
              <w:rPr>
                <w:szCs w:val="17"/>
              </w:rPr>
            </w:pPr>
            <w:r w:rsidRPr="00DF7C60">
              <w:rPr>
                <w:szCs w:val="17"/>
              </w:rPr>
              <w:t>Either:</w:t>
            </w:r>
          </w:p>
          <w:p w14:paraId="31AB08CC" w14:textId="77777777" w:rsidR="00DF7C60" w:rsidRPr="00DF7C60" w:rsidRDefault="00DF7C60" w:rsidP="00965F17">
            <w:pPr>
              <w:numPr>
                <w:ilvl w:val="0"/>
                <w:numId w:val="45"/>
              </w:numPr>
              <w:spacing w:before="240" w:after="0" w:line="240" w:lineRule="auto"/>
              <w:contextualSpacing/>
              <w:jc w:val="left"/>
              <w:rPr>
                <w:szCs w:val="17"/>
              </w:rPr>
            </w:pPr>
            <w:r w:rsidRPr="00DF7C60">
              <w:rPr>
                <w:szCs w:val="17"/>
              </w:rPr>
              <w:t>For claims of $1 up to and including $10,000—$110; or</w:t>
            </w:r>
          </w:p>
          <w:p w14:paraId="097D49D6" w14:textId="77777777" w:rsidR="00DF7C60" w:rsidRPr="00DF7C60" w:rsidRDefault="00DF7C60" w:rsidP="00965F17">
            <w:pPr>
              <w:numPr>
                <w:ilvl w:val="0"/>
                <w:numId w:val="45"/>
              </w:numPr>
              <w:spacing w:before="240" w:after="0" w:line="240" w:lineRule="auto"/>
              <w:contextualSpacing/>
              <w:jc w:val="left"/>
              <w:rPr>
                <w:szCs w:val="17"/>
              </w:rPr>
            </w:pPr>
            <w:r w:rsidRPr="00DF7C60">
              <w:rPr>
                <w:szCs w:val="17"/>
              </w:rPr>
              <w:t>for claims above $10,000—$160.</w:t>
            </w:r>
          </w:p>
        </w:tc>
      </w:tr>
      <w:tr w:rsidR="00DF7C60" w:rsidRPr="00DF7C60" w14:paraId="47406BF9" w14:textId="77777777" w:rsidTr="008D0F2D">
        <w:tc>
          <w:tcPr>
            <w:tcW w:w="5000" w:type="pct"/>
            <w:gridSpan w:val="3"/>
            <w:tcBorders>
              <w:top w:val="single" w:sz="4" w:space="0" w:color="auto"/>
              <w:left w:val="single" w:sz="4" w:space="0" w:color="auto"/>
              <w:bottom w:val="single" w:sz="4" w:space="0" w:color="auto"/>
              <w:right w:val="single" w:sz="4" w:space="0" w:color="auto"/>
            </w:tcBorders>
            <w:hideMark/>
          </w:tcPr>
          <w:p w14:paraId="0A61066E" w14:textId="77777777" w:rsidR="00DF7C60" w:rsidRPr="00DF7C60" w:rsidRDefault="00DF7C60" w:rsidP="00DF7C60">
            <w:pPr>
              <w:spacing w:before="120" w:after="120" w:line="240" w:lineRule="auto"/>
              <w:jc w:val="left"/>
              <w:rPr>
                <w:szCs w:val="17"/>
              </w:rPr>
            </w:pPr>
            <w:r w:rsidRPr="00DF7C60">
              <w:rPr>
                <w:szCs w:val="17"/>
                <w:lang w:val="en-GB"/>
              </w:rPr>
              <w:t>Disbursements</w:t>
            </w:r>
          </w:p>
        </w:tc>
      </w:tr>
      <w:tr w:rsidR="00DF7C60" w:rsidRPr="00DF7C60" w14:paraId="7DF0C625"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0D7B0A46" w14:textId="77777777" w:rsidR="00DF7C60" w:rsidRPr="00DF7C60" w:rsidRDefault="00DF7C60" w:rsidP="00DF7C60">
            <w:pPr>
              <w:spacing w:before="120" w:after="120" w:line="240" w:lineRule="auto"/>
              <w:jc w:val="left"/>
              <w:rPr>
                <w:szCs w:val="17"/>
              </w:rPr>
            </w:pPr>
            <w:r w:rsidRPr="00DF7C60">
              <w:rPr>
                <w:szCs w:val="17"/>
              </w:rPr>
              <w:t>20</w:t>
            </w:r>
          </w:p>
        </w:tc>
        <w:tc>
          <w:tcPr>
            <w:tcW w:w="2504" w:type="pct"/>
            <w:tcBorders>
              <w:top w:val="single" w:sz="4" w:space="0" w:color="auto"/>
              <w:left w:val="single" w:sz="4" w:space="0" w:color="auto"/>
              <w:bottom w:val="single" w:sz="4" w:space="0" w:color="auto"/>
              <w:right w:val="single" w:sz="4" w:space="0" w:color="auto"/>
            </w:tcBorders>
            <w:hideMark/>
          </w:tcPr>
          <w:p w14:paraId="4445D89A" w14:textId="77777777" w:rsidR="00DF7C60" w:rsidRPr="00DF7C60" w:rsidRDefault="00DF7C60" w:rsidP="00DF7C60">
            <w:pPr>
              <w:spacing w:before="120" w:after="120" w:line="240" w:lineRule="auto"/>
              <w:jc w:val="left"/>
              <w:rPr>
                <w:szCs w:val="17"/>
              </w:rPr>
            </w:pPr>
            <w:r w:rsidRPr="00DF7C60">
              <w:rPr>
                <w:szCs w:val="17"/>
              </w:rPr>
              <w:t xml:space="preserve">Service of </w:t>
            </w:r>
            <w:hyperlink r:id="rId34" w:anchor="_2.1—Definitions" w:history="1">
              <w:r w:rsidRPr="00DF7C60">
                <w:rPr>
                  <w:szCs w:val="17"/>
                  <w:u w:val="single"/>
                </w:rPr>
                <w:t>originating process</w:t>
              </w:r>
            </w:hyperlink>
            <w:r w:rsidRPr="00DF7C60">
              <w:rPr>
                <w:szCs w:val="17"/>
              </w:rPr>
              <w:t>.</w:t>
            </w:r>
          </w:p>
        </w:tc>
        <w:tc>
          <w:tcPr>
            <w:tcW w:w="2181" w:type="pct"/>
            <w:tcBorders>
              <w:top w:val="single" w:sz="4" w:space="0" w:color="auto"/>
              <w:left w:val="single" w:sz="4" w:space="0" w:color="auto"/>
              <w:bottom w:val="single" w:sz="4" w:space="0" w:color="auto"/>
              <w:right w:val="single" w:sz="4" w:space="0" w:color="auto"/>
            </w:tcBorders>
            <w:hideMark/>
          </w:tcPr>
          <w:p w14:paraId="46935620" w14:textId="77777777" w:rsidR="00DF7C60" w:rsidRPr="00DF7C60" w:rsidRDefault="00DF7C60" w:rsidP="00DF7C60">
            <w:pPr>
              <w:spacing w:before="120" w:after="120" w:line="240" w:lineRule="auto"/>
              <w:jc w:val="left"/>
              <w:rPr>
                <w:szCs w:val="17"/>
              </w:rPr>
            </w:pPr>
            <w:r w:rsidRPr="00DF7C60">
              <w:rPr>
                <w:szCs w:val="17"/>
              </w:rPr>
              <w:t>Either:</w:t>
            </w:r>
          </w:p>
          <w:p w14:paraId="1D5BDCB9" w14:textId="77777777" w:rsidR="00DF7C60" w:rsidRPr="00DF7C60" w:rsidRDefault="001E29AE" w:rsidP="00965F17">
            <w:pPr>
              <w:numPr>
                <w:ilvl w:val="0"/>
                <w:numId w:val="46"/>
              </w:numPr>
              <w:spacing w:before="240" w:after="0" w:line="240" w:lineRule="auto"/>
              <w:contextualSpacing/>
              <w:jc w:val="left"/>
              <w:rPr>
                <w:szCs w:val="17"/>
              </w:rPr>
            </w:pPr>
            <w:hyperlink r:id="rId35" w:anchor="_2.1—Definitions" w:history="1">
              <w:r w:rsidR="00DF7C60" w:rsidRPr="00DF7C60">
                <w:rPr>
                  <w:szCs w:val="17"/>
                  <w:u w:val="single"/>
                </w:rPr>
                <w:t>personal service</w:t>
              </w:r>
            </w:hyperlink>
            <w:r w:rsidR="00DF7C60" w:rsidRPr="00DF7C60">
              <w:rPr>
                <w:szCs w:val="17"/>
              </w:rPr>
              <w:t xml:space="preserve"> on an individual—$110; or</w:t>
            </w:r>
          </w:p>
          <w:p w14:paraId="682F698A" w14:textId="77777777" w:rsidR="00DF7C60" w:rsidRPr="00DF7C60" w:rsidRDefault="00DF7C60" w:rsidP="00965F17">
            <w:pPr>
              <w:numPr>
                <w:ilvl w:val="0"/>
                <w:numId w:val="46"/>
              </w:numPr>
              <w:spacing w:before="240" w:after="0" w:line="240" w:lineRule="auto"/>
              <w:contextualSpacing/>
              <w:jc w:val="left"/>
              <w:rPr>
                <w:szCs w:val="17"/>
              </w:rPr>
            </w:pPr>
            <w:r w:rsidRPr="00DF7C60">
              <w:rPr>
                <w:szCs w:val="17"/>
              </w:rPr>
              <w:t>other—$55.</w:t>
            </w:r>
          </w:p>
        </w:tc>
      </w:tr>
      <w:tr w:rsidR="00DF7C60" w:rsidRPr="00DF7C60" w14:paraId="4AB134BF"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18EE72AE" w14:textId="77777777" w:rsidR="00DF7C60" w:rsidRPr="00DF7C60" w:rsidRDefault="00DF7C60" w:rsidP="00DF7C60">
            <w:pPr>
              <w:spacing w:before="120" w:after="120" w:line="240" w:lineRule="auto"/>
              <w:jc w:val="left"/>
              <w:rPr>
                <w:szCs w:val="17"/>
              </w:rPr>
            </w:pPr>
            <w:r w:rsidRPr="00DF7C60">
              <w:rPr>
                <w:szCs w:val="17"/>
              </w:rPr>
              <w:t>21</w:t>
            </w:r>
          </w:p>
        </w:tc>
        <w:tc>
          <w:tcPr>
            <w:tcW w:w="2504" w:type="pct"/>
            <w:tcBorders>
              <w:top w:val="single" w:sz="4" w:space="0" w:color="auto"/>
              <w:left w:val="single" w:sz="4" w:space="0" w:color="auto"/>
              <w:bottom w:val="single" w:sz="4" w:space="0" w:color="auto"/>
              <w:right w:val="single" w:sz="4" w:space="0" w:color="auto"/>
            </w:tcBorders>
            <w:hideMark/>
          </w:tcPr>
          <w:p w14:paraId="0EB22CCB" w14:textId="77777777" w:rsidR="00DF7C60" w:rsidRPr="00DF7C60" w:rsidRDefault="00DF7C60" w:rsidP="00DF7C60">
            <w:pPr>
              <w:spacing w:before="120" w:after="120" w:line="240" w:lineRule="auto"/>
              <w:jc w:val="left"/>
              <w:rPr>
                <w:szCs w:val="17"/>
              </w:rPr>
            </w:pPr>
            <w:r w:rsidRPr="00DF7C60">
              <w:rPr>
                <w:szCs w:val="17"/>
              </w:rPr>
              <w:t>Professional or other expert witness fee per day (includes waiting).</w:t>
            </w:r>
          </w:p>
        </w:tc>
        <w:tc>
          <w:tcPr>
            <w:tcW w:w="2181" w:type="pct"/>
            <w:tcBorders>
              <w:top w:val="single" w:sz="4" w:space="0" w:color="auto"/>
              <w:left w:val="single" w:sz="4" w:space="0" w:color="auto"/>
              <w:bottom w:val="single" w:sz="4" w:space="0" w:color="auto"/>
              <w:right w:val="single" w:sz="4" w:space="0" w:color="auto"/>
            </w:tcBorders>
            <w:hideMark/>
          </w:tcPr>
          <w:p w14:paraId="646D2855" w14:textId="77777777" w:rsidR="00DF7C60" w:rsidRPr="00DF7C60" w:rsidRDefault="00DF7C60" w:rsidP="00DF7C60">
            <w:pPr>
              <w:spacing w:before="120" w:after="120" w:line="240" w:lineRule="auto"/>
              <w:jc w:val="left"/>
              <w:rPr>
                <w:szCs w:val="17"/>
              </w:rPr>
            </w:pPr>
            <w:r w:rsidRPr="00DF7C60">
              <w:rPr>
                <w:szCs w:val="17"/>
              </w:rPr>
              <w:t>$1,110 or such other amount ordered by the Court.</w:t>
            </w:r>
          </w:p>
        </w:tc>
      </w:tr>
      <w:tr w:rsidR="00DF7C60" w:rsidRPr="00DF7C60" w14:paraId="6E01C166"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0B41647F" w14:textId="77777777" w:rsidR="00DF7C60" w:rsidRPr="00DF7C60" w:rsidRDefault="00DF7C60" w:rsidP="00DF7C60">
            <w:pPr>
              <w:spacing w:before="120" w:after="120" w:line="240" w:lineRule="auto"/>
              <w:jc w:val="left"/>
              <w:rPr>
                <w:szCs w:val="17"/>
              </w:rPr>
            </w:pPr>
            <w:r w:rsidRPr="00DF7C60">
              <w:rPr>
                <w:szCs w:val="17"/>
              </w:rPr>
              <w:t>22</w:t>
            </w:r>
          </w:p>
        </w:tc>
        <w:tc>
          <w:tcPr>
            <w:tcW w:w="2504" w:type="pct"/>
            <w:tcBorders>
              <w:top w:val="single" w:sz="4" w:space="0" w:color="auto"/>
              <w:left w:val="single" w:sz="4" w:space="0" w:color="auto"/>
              <w:bottom w:val="single" w:sz="4" w:space="0" w:color="auto"/>
              <w:right w:val="single" w:sz="4" w:space="0" w:color="auto"/>
            </w:tcBorders>
            <w:hideMark/>
          </w:tcPr>
          <w:p w14:paraId="66B91F32" w14:textId="77777777" w:rsidR="00DF7C60" w:rsidRPr="00DF7C60" w:rsidRDefault="00DF7C60" w:rsidP="00DF7C60">
            <w:pPr>
              <w:spacing w:before="120" w:after="120" w:line="240" w:lineRule="auto"/>
              <w:jc w:val="left"/>
              <w:rPr>
                <w:szCs w:val="17"/>
              </w:rPr>
            </w:pPr>
            <w:r w:rsidRPr="00DF7C60">
              <w:rPr>
                <w:szCs w:val="17"/>
              </w:rPr>
              <w:t>Other adult witness per day (includes waiting).</w:t>
            </w:r>
          </w:p>
        </w:tc>
        <w:tc>
          <w:tcPr>
            <w:tcW w:w="2181" w:type="pct"/>
            <w:tcBorders>
              <w:top w:val="single" w:sz="4" w:space="0" w:color="auto"/>
              <w:left w:val="single" w:sz="4" w:space="0" w:color="auto"/>
              <w:bottom w:val="single" w:sz="4" w:space="0" w:color="auto"/>
              <w:right w:val="single" w:sz="4" w:space="0" w:color="auto"/>
            </w:tcBorders>
            <w:hideMark/>
          </w:tcPr>
          <w:p w14:paraId="66EEB0CE" w14:textId="77777777" w:rsidR="00DF7C60" w:rsidRPr="00DF7C60" w:rsidRDefault="00DF7C60" w:rsidP="00DF7C60">
            <w:pPr>
              <w:spacing w:before="120" w:after="120" w:line="240" w:lineRule="auto"/>
              <w:jc w:val="left"/>
              <w:rPr>
                <w:szCs w:val="17"/>
              </w:rPr>
            </w:pPr>
            <w:r w:rsidRPr="00DF7C60">
              <w:rPr>
                <w:szCs w:val="17"/>
              </w:rPr>
              <w:t>$400 or such other amount ordered by the Court.</w:t>
            </w:r>
          </w:p>
        </w:tc>
      </w:tr>
      <w:tr w:rsidR="00DF7C60" w:rsidRPr="00DF7C60" w14:paraId="4A023EB4"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54655BD7" w14:textId="77777777" w:rsidR="00DF7C60" w:rsidRPr="00DF7C60" w:rsidRDefault="00DF7C60" w:rsidP="00DF7C60">
            <w:pPr>
              <w:spacing w:before="120" w:after="120" w:line="240" w:lineRule="auto"/>
              <w:jc w:val="left"/>
              <w:rPr>
                <w:szCs w:val="17"/>
              </w:rPr>
            </w:pPr>
            <w:r w:rsidRPr="00DF7C60">
              <w:rPr>
                <w:szCs w:val="17"/>
              </w:rPr>
              <w:t>23</w:t>
            </w:r>
          </w:p>
        </w:tc>
        <w:tc>
          <w:tcPr>
            <w:tcW w:w="2504" w:type="pct"/>
            <w:tcBorders>
              <w:top w:val="single" w:sz="4" w:space="0" w:color="auto"/>
              <w:left w:val="single" w:sz="4" w:space="0" w:color="auto"/>
              <w:bottom w:val="single" w:sz="4" w:space="0" w:color="auto"/>
              <w:right w:val="single" w:sz="4" w:space="0" w:color="auto"/>
            </w:tcBorders>
            <w:hideMark/>
          </w:tcPr>
          <w:p w14:paraId="4F8135A0" w14:textId="77777777" w:rsidR="00DF7C60" w:rsidRPr="00DF7C60" w:rsidRDefault="00DF7C60" w:rsidP="00DF7C60">
            <w:pPr>
              <w:spacing w:before="120" w:after="120" w:line="240" w:lineRule="auto"/>
              <w:jc w:val="left"/>
              <w:rPr>
                <w:szCs w:val="17"/>
              </w:rPr>
            </w:pPr>
            <w:r w:rsidRPr="00DF7C60">
              <w:rPr>
                <w:szCs w:val="17"/>
              </w:rPr>
              <w:t>Juvenile witness (includes waiting).</w:t>
            </w:r>
          </w:p>
        </w:tc>
        <w:tc>
          <w:tcPr>
            <w:tcW w:w="2181" w:type="pct"/>
            <w:tcBorders>
              <w:top w:val="single" w:sz="4" w:space="0" w:color="auto"/>
              <w:left w:val="single" w:sz="4" w:space="0" w:color="auto"/>
              <w:bottom w:val="single" w:sz="4" w:space="0" w:color="auto"/>
              <w:right w:val="single" w:sz="4" w:space="0" w:color="auto"/>
            </w:tcBorders>
            <w:hideMark/>
          </w:tcPr>
          <w:p w14:paraId="2AF311E5" w14:textId="77777777" w:rsidR="00DF7C60" w:rsidRPr="00DF7C60" w:rsidRDefault="00DF7C60" w:rsidP="00DF7C60">
            <w:pPr>
              <w:spacing w:before="120" w:after="120" w:line="240" w:lineRule="auto"/>
              <w:jc w:val="left"/>
              <w:rPr>
                <w:szCs w:val="17"/>
              </w:rPr>
            </w:pPr>
            <w:r w:rsidRPr="00DF7C60">
              <w:rPr>
                <w:szCs w:val="17"/>
              </w:rPr>
              <w:t>$170 or such other amount ordered by the Court.</w:t>
            </w:r>
          </w:p>
        </w:tc>
      </w:tr>
      <w:tr w:rsidR="00DF7C60" w:rsidRPr="00DF7C60" w14:paraId="024D0A83"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532C684A" w14:textId="77777777" w:rsidR="00DF7C60" w:rsidRPr="00DF7C60" w:rsidRDefault="00DF7C60" w:rsidP="00DF7C60">
            <w:pPr>
              <w:spacing w:before="120" w:after="120" w:line="240" w:lineRule="auto"/>
              <w:jc w:val="left"/>
              <w:rPr>
                <w:szCs w:val="17"/>
              </w:rPr>
            </w:pPr>
            <w:r w:rsidRPr="00DF7C60">
              <w:rPr>
                <w:szCs w:val="17"/>
              </w:rPr>
              <w:lastRenderedPageBreak/>
              <w:t>24</w:t>
            </w:r>
          </w:p>
        </w:tc>
        <w:tc>
          <w:tcPr>
            <w:tcW w:w="2504" w:type="pct"/>
            <w:tcBorders>
              <w:top w:val="single" w:sz="4" w:space="0" w:color="auto"/>
              <w:left w:val="single" w:sz="4" w:space="0" w:color="auto"/>
              <w:bottom w:val="single" w:sz="4" w:space="0" w:color="auto"/>
              <w:right w:val="single" w:sz="4" w:space="0" w:color="auto"/>
            </w:tcBorders>
            <w:hideMark/>
          </w:tcPr>
          <w:p w14:paraId="69A9C41C" w14:textId="77777777" w:rsidR="00DF7C60" w:rsidRPr="00DF7C60" w:rsidRDefault="00DF7C60" w:rsidP="00DF7C60">
            <w:pPr>
              <w:spacing w:before="120" w:after="120" w:line="240" w:lineRule="auto"/>
              <w:jc w:val="left"/>
              <w:rPr>
                <w:szCs w:val="17"/>
              </w:rPr>
            </w:pPr>
            <w:r w:rsidRPr="00DF7C60">
              <w:rPr>
                <w:szCs w:val="17"/>
              </w:rPr>
              <w:t xml:space="preserve">Travel expenses for witness when witness normally resident more than 50 km from the </w:t>
            </w:r>
            <w:r w:rsidRPr="00DF7C60">
              <w:rPr>
                <w:szCs w:val="17"/>
                <w:u w:val="single"/>
              </w:rPr>
              <w:t>trial</w:t>
            </w:r>
            <w:r w:rsidRPr="00DF7C60">
              <w:rPr>
                <w:szCs w:val="17"/>
              </w:rPr>
              <w:t xml:space="preserve"> court.</w:t>
            </w:r>
          </w:p>
        </w:tc>
        <w:tc>
          <w:tcPr>
            <w:tcW w:w="2181" w:type="pct"/>
            <w:tcBorders>
              <w:top w:val="single" w:sz="4" w:space="0" w:color="auto"/>
              <w:left w:val="single" w:sz="4" w:space="0" w:color="auto"/>
              <w:bottom w:val="single" w:sz="4" w:space="0" w:color="auto"/>
              <w:right w:val="single" w:sz="4" w:space="0" w:color="auto"/>
            </w:tcBorders>
            <w:hideMark/>
          </w:tcPr>
          <w:p w14:paraId="30D54F39" w14:textId="77777777" w:rsidR="00DF7C60" w:rsidRPr="00DF7C60" w:rsidRDefault="00DF7C60" w:rsidP="00DF7C60">
            <w:pPr>
              <w:spacing w:before="120" w:after="120" w:line="240" w:lineRule="auto"/>
              <w:jc w:val="left"/>
              <w:rPr>
                <w:szCs w:val="17"/>
              </w:rPr>
            </w:pPr>
            <w:r w:rsidRPr="00DF7C60">
              <w:rPr>
                <w:szCs w:val="17"/>
              </w:rPr>
              <w:t>95 cents per km or the least expensive return air fare, whichever is the lesser, or the cheapest combination of both.</w:t>
            </w:r>
          </w:p>
        </w:tc>
      </w:tr>
      <w:tr w:rsidR="00DF7C60" w:rsidRPr="00DF7C60" w14:paraId="5F5DF216"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6098FE08" w14:textId="77777777" w:rsidR="00DF7C60" w:rsidRPr="00DF7C60" w:rsidRDefault="00DF7C60" w:rsidP="00DF7C60">
            <w:pPr>
              <w:spacing w:before="120" w:after="120" w:line="240" w:lineRule="auto"/>
              <w:jc w:val="left"/>
              <w:rPr>
                <w:szCs w:val="17"/>
              </w:rPr>
            </w:pPr>
            <w:r w:rsidRPr="00DF7C60">
              <w:rPr>
                <w:szCs w:val="17"/>
              </w:rPr>
              <w:t>25</w:t>
            </w:r>
          </w:p>
        </w:tc>
        <w:tc>
          <w:tcPr>
            <w:tcW w:w="2504" w:type="pct"/>
            <w:tcBorders>
              <w:top w:val="single" w:sz="4" w:space="0" w:color="auto"/>
              <w:left w:val="single" w:sz="4" w:space="0" w:color="auto"/>
              <w:bottom w:val="single" w:sz="4" w:space="0" w:color="auto"/>
              <w:right w:val="single" w:sz="4" w:space="0" w:color="auto"/>
            </w:tcBorders>
            <w:hideMark/>
          </w:tcPr>
          <w:p w14:paraId="68566CD2" w14:textId="77777777" w:rsidR="00DF7C60" w:rsidRPr="00DF7C60" w:rsidRDefault="00DF7C60" w:rsidP="00DF7C60">
            <w:pPr>
              <w:spacing w:before="120" w:after="120" w:line="240" w:lineRule="auto"/>
              <w:jc w:val="left"/>
              <w:rPr>
                <w:szCs w:val="17"/>
              </w:rPr>
            </w:pPr>
            <w:r w:rsidRPr="00DF7C60">
              <w:rPr>
                <w:szCs w:val="17"/>
              </w:rPr>
              <w:t>Accommodation for witness when witness required to be absent from normal place of residence overnight.</w:t>
            </w:r>
          </w:p>
        </w:tc>
        <w:tc>
          <w:tcPr>
            <w:tcW w:w="2181" w:type="pct"/>
            <w:tcBorders>
              <w:top w:val="single" w:sz="4" w:space="0" w:color="auto"/>
              <w:left w:val="single" w:sz="4" w:space="0" w:color="auto"/>
              <w:bottom w:val="single" w:sz="4" w:space="0" w:color="auto"/>
              <w:right w:val="single" w:sz="4" w:space="0" w:color="auto"/>
            </w:tcBorders>
            <w:hideMark/>
          </w:tcPr>
          <w:p w14:paraId="5699A50E" w14:textId="77777777" w:rsidR="00DF7C60" w:rsidRPr="00DF7C60" w:rsidRDefault="00DF7C60" w:rsidP="00DF7C60">
            <w:pPr>
              <w:spacing w:before="120" w:after="120" w:line="240" w:lineRule="auto"/>
              <w:jc w:val="left"/>
              <w:rPr>
                <w:szCs w:val="17"/>
              </w:rPr>
            </w:pPr>
            <w:r w:rsidRPr="00DF7C60">
              <w:rPr>
                <w:szCs w:val="17"/>
              </w:rPr>
              <w:t>$320 per night or such larger amount ordered by the Court prior to judgment for accommodation and sustenance.</w:t>
            </w:r>
          </w:p>
        </w:tc>
      </w:tr>
      <w:tr w:rsidR="00DF7C60" w:rsidRPr="00DF7C60" w14:paraId="538EBEED"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321D1454" w14:textId="77777777" w:rsidR="00DF7C60" w:rsidRPr="00DF7C60" w:rsidRDefault="00DF7C60" w:rsidP="00DF7C60">
            <w:pPr>
              <w:spacing w:before="120" w:after="120" w:line="240" w:lineRule="auto"/>
              <w:jc w:val="left"/>
              <w:rPr>
                <w:szCs w:val="17"/>
              </w:rPr>
            </w:pPr>
            <w:r w:rsidRPr="00DF7C60">
              <w:rPr>
                <w:szCs w:val="17"/>
              </w:rPr>
              <w:t>26</w:t>
            </w:r>
          </w:p>
        </w:tc>
        <w:tc>
          <w:tcPr>
            <w:tcW w:w="2504" w:type="pct"/>
            <w:tcBorders>
              <w:top w:val="single" w:sz="4" w:space="0" w:color="auto"/>
              <w:left w:val="single" w:sz="4" w:space="0" w:color="auto"/>
              <w:bottom w:val="single" w:sz="4" w:space="0" w:color="auto"/>
              <w:right w:val="single" w:sz="4" w:space="0" w:color="auto"/>
            </w:tcBorders>
            <w:hideMark/>
          </w:tcPr>
          <w:p w14:paraId="20A1A84B" w14:textId="77777777" w:rsidR="00DF7C60" w:rsidRPr="00DF7C60" w:rsidRDefault="00DF7C60" w:rsidP="00DF7C60">
            <w:pPr>
              <w:spacing w:before="120" w:after="120" w:line="240" w:lineRule="auto"/>
              <w:jc w:val="left"/>
              <w:rPr>
                <w:szCs w:val="17"/>
              </w:rPr>
            </w:pPr>
            <w:r w:rsidRPr="00DF7C60">
              <w:rPr>
                <w:szCs w:val="17"/>
                <w:u w:val="single"/>
              </w:rPr>
              <w:t>Expert reports</w:t>
            </w:r>
            <w:r w:rsidRPr="00DF7C60">
              <w:rPr>
                <w:szCs w:val="17"/>
              </w:rPr>
              <w:t>.</w:t>
            </w:r>
          </w:p>
        </w:tc>
        <w:tc>
          <w:tcPr>
            <w:tcW w:w="2181" w:type="pct"/>
            <w:tcBorders>
              <w:top w:val="single" w:sz="4" w:space="0" w:color="auto"/>
              <w:left w:val="single" w:sz="4" w:space="0" w:color="auto"/>
              <w:bottom w:val="single" w:sz="4" w:space="0" w:color="auto"/>
              <w:right w:val="single" w:sz="4" w:space="0" w:color="auto"/>
            </w:tcBorders>
            <w:hideMark/>
          </w:tcPr>
          <w:p w14:paraId="74C20D8D" w14:textId="77777777" w:rsidR="00DF7C60" w:rsidRPr="00DF7C60" w:rsidRDefault="00DF7C60" w:rsidP="00DF7C60">
            <w:pPr>
              <w:spacing w:before="120" w:after="120" w:line="240" w:lineRule="auto"/>
              <w:jc w:val="left"/>
              <w:rPr>
                <w:szCs w:val="17"/>
              </w:rPr>
            </w:pPr>
            <w:r w:rsidRPr="00DF7C60">
              <w:rPr>
                <w:szCs w:val="17"/>
              </w:rPr>
              <w:t>$1,100 or such other amount ordered by the Court.</w:t>
            </w:r>
          </w:p>
        </w:tc>
      </w:tr>
      <w:tr w:rsidR="00DF7C60" w:rsidRPr="00DF7C60" w14:paraId="0D61BC45"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263F68BC" w14:textId="77777777" w:rsidR="00DF7C60" w:rsidRPr="00DF7C60" w:rsidRDefault="00DF7C60" w:rsidP="00DF7C60">
            <w:pPr>
              <w:spacing w:before="120" w:after="120" w:line="240" w:lineRule="auto"/>
              <w:jc w:val="left"/>
              <w:rPr>
                <w:szCs w:val="17"/>
              </w:rPr>
            </w:pPr>
            <w:r w:rsidRPr="00DF7C60">
              <w:rPr>
                <w:szCs w:val="17"/>
              </w:rPr>
              <w:t>27</w:t>
            </w:r>
          </w:p>
        </w:tc>
        <w:tc>
          <w:tcPr>
            <w:tcW w:w="2504" w:type="pct"/>
            <w:tcBorders>
              <w:top w:val="single" w:sz="4" w:space="0" w:color="auto"/>
              <w:left w:val="single" w:sz="4" w:space="0" w:color="auto"/>
              <w:bottom w:val="single" w:sz="4" w:space="0" w:color="auto"/>
              <w:right w:val="single" w:sz="4" w:space="0" w:color="auto"/>
            </w:tcBorders>
            <w:hideMark/>
          </w:tcPr>
          <w:p w14:paraId="69A1B795" w14:textId="77777777" w:rsidR="00DF7C60" w:rsidRPr="00DF7C60" w:rsidRDefault="00DF7C60" w:rsidP="00DF7C60">
            <w:pPr>
              <w:spacing w:before="120" w:after="120" w:line="240" w:lineRule="auto"/>
              <w:jc w:val="left"/>
              <w:rPr>
                <w:szCs w:val="17"/>
              </w:rPr>
            </w:pPr>
            <w:r w:rsidRPr="00DF7C60">
              <w:rPr>
                <w:szCs w:val="17"/>
              </w:rPr>
              <w:t>Documents produced by photocopying.</w:t>
            </w:r>
          </w:p>
        </w:tc>
        <w:tc>
          <w:tcPr>
            <w:tcW w:w="2181" w:type="pct"/>
            <w:tcBorders>
              <w:top w:val="single" w:sz="4" w:space="0" w:color="auto"/>
              <w:left w:val="single" w:sz="4" w:space="0" w:color="auto"/>
              <w:bottom w:val="single" w:sz="4" w:space="0" w:color="auto"/>
              <w:right w:val="single" w:sz="4" w:space="0" w:color="auto"/>
            </w:tcBorders>
            <w:hideMark/>
          </w:tcPr>
          <w:p w14:paraId="7C0CAD4F" w14:textId="77777777" w:rsidR="00DF7C60" w:rsidRPr="00DF7C60" w:rsidRDefault="00DF7C60" w:rsidP="00DF7C60">
            <w:pPr>
              <w:spacing w:before="120" w:after="120" w:line="240" w:lineRule="auto"/>
              <w:jc w:val="left"/>
              <w:rPr>
                <w:szCs w:val="17"/>
              </w:rPr>
            </w:pPr>
            <w:r w:rsidRPr="00DF7C60">
              <w:rPr>
                <w:szCs w:val="17"/>
              </w:rPr>
              <w:t>$0.72—for each page.</w:t>
            </w:r>
          </w:p>
        </w:tc>
      </w:tr>
      <w:tr w:rsidR="00DF7C60" w:rsidRPr="00DF7C60" w14:paraId="38EB6AEA" w14:textId="77777777" w:rsidTr="008D0F2D">
        <w:tc>
          <w:tcPr>
            <w:tcW w:w="315" w:type="pct"/>
            <w:tcBorders>
              <w:top w:val="single" w:sz="4" w:space="0" w:color="auto"/>
              <w:left w:val="single" w:sz="4" w:space="0" w:color="auto"/>
              <w:bottom w:val="single" w:sz="4" w:space="0" w:color="auto"/>
              <w:right w:val="single" w:sz="4" w:space="0" w:color="auto"/>
            </w:tcBorders>
            <w:hideMark/>
          </w:tcPr>
          <w:p w14:paraId="79804D3F" w14:textId="77777777" w:rsidR="00DF7C60" w:rsidRPr="00DF7C60" w:rsidRDefault="00DF7C60" w:rsidP="00DF7C60">
            <w:pPr>
              <w:spacing w:before="120" w:after="120" w:line="240" w:lineRule="auto"/>
              <w:jc w:val="left"/>
              <w:rPr>
                <w:szCs w:val="17"/>
              </w:rPr>
            </w:pPr>
            <w:r w:rsidRPr="00DF7C60">
              <w:rPr>
                <w:szCs w:val="17"/>
              </w:rPr>
              <w:t>28</w:t>
            </w:r>
          </w:p>
        </w:tc>
        <w:tc>
          <w:tcPr>
            <w:tcW w:w="2504" w:type="pct"/>
            <w:tcBorders>
              <w:top w:val="single" w:sz="4" w:space="0" w:color="auto"/>
              <w:left w:val="single" w:sz="4" w:space="0" w:color="auto"/>
              <w:bottom w:val="single" w:sz="4" w:space="0" w:color="auto"/>
              <w:right w:val="single" w:sz="4" w:space="0" w:color="auto"/>
            </w:tcBorders>
            <w:hideMark/>
          </w:tcPr>
          <w:p w14:paraId="4A207434" w14:textId="77777777" w:rsidR="00DF7C60" w:rsidRPr="00DF7C60" w:rsidRDefault="00DF7C60" w:rsidP="00DF7C60">
            <w:pPr>
              <w:spacing w:before="120" w:after="120" w:line="240" w:lineRule="auto"/>
              <w:jc w:val="left"/>
              <w:rPr>
                <w:szCs w:val="17"/>
              </w:rPr>
            </w:pPr>
            <w:r w:rsidRPr="00DF7C60">
              <w:rPr>
                <w:szCs w:val="17"/>
              </w:rPr>
              <w:t>Other.</w:t>
            </w:r>
          </w:p>
        </w:tc>
        <w:tc>
          <w:tcPr>
            <w:tcW w:w="2181" w:type="pct"/>
            <w:tcBorders>
              <w:top w:val="single" w:sz="4" w:space="0" w:color="auto"/>
              <w:left w:val="single" w:sz="4" w:space="0" w:color="auto"/>
              <w:bottom w:val="single" w:sz="4" w:space="0" w:color="auto"/>
              <w:right w:val="single" w:sz="4" w:space="0" w:color="auto"/>
            </w:tcBorders>
            <w:hideMark/>
          </w:tcPr>
          <w:p w14:paraId="5A16D4B8" w14:textId="77777777" w:rsidR="00DF7C60" w:rsidRPr="00DF7C60" w:rsidRDefault="00DF7C60" w:rsidP="00DF7C60">
            <w:pPr>
              <w:spacing w:before="120" w:after="120" w:line="240" w:lineRule="auto"/>
              <w:jc w:val="left"/>
              <w:rPr>
                <w:szCs w:val="17"/>
              </w:rPr>
            </w:pPr>
            <w:r w:rsidRPr="00DF7C60">
              <w:rPr>
                <w:szCs w:val="17"/>
              </w:rPr>
              <w:t>All Court fees, search fees, and other fees and payments to the extent to which they have been properly and reasonably incurred and paid; but excluding the usual and incidental expenses and overheads of a legal practice and in particular excluding postage, telephone charges (non STD) and courier expenses.”</w:t>
            </w:r>
          </w:p>
        </w:tc>
      </w:tr>
    </w:tbl>
    <w:p w14:paraId="3A716534" w14:textId="77777777" w:rsidR="00DF7C60" w:rsidRPr="00DF7C60" w:rsidRDefault="00DF7C60" w:rsidP="00DF7C60">
      <w:pPr>
        <w:rPr>
          <w:szCs w:val="17"/>
          <w:highlight w:val="yellow"/>
        </w:rPr>
      </w:pPr>
    </w:p>
    <w:p w14:paraId="2B445FB2" w14:textId="77777777" w:rsidR="00DF7C60" w:rsidRPr="00DF7C60" w:rsidRDefault="00DF7C60" w:rsidP="00965F17">
      <w:pPr>
        <w:numPr>
          <w:ilvl w:val="0"/>
          <w:numId w:val="57"/>
        </w:numPr>
        <w:ind w:left="851" w:hanging="758"/>
        <w:rPr>
          <w:szCs w:val="17"/>
        </w:rPr>
      </w:pPr>
      <w:r w:rsidRPr="00DF7C60">
        <w:rPr>
          <w:szCs w:val="17"/>
        </w:rPr>
        <w:t>Schedule 6, Part 4 is amended as follows:</w:t>
      </w:r>
    </w:p>
    <w:p w14:paraId="79180767" w14:textId="77777777" w:rsidR="00DF7C60" w:rsidRPr="00DF7C60" w:rsidRDefault="00DF7C60" w:rsidP="00DF7C60">
      <w:pPr>
        <w:ind w:left="1436" w:hanging="585"/>
        <w:rPr>
          <w:szCs w:val="17"/>
        </w:rPr>
      </w:pPr>
      <w:r w:rsidRPr="00DF7C60">
        <w:rPr>
          <w:szCs w:val="17"/>
        </w:rPr>
        <w:t>a)</w:t>
      </w:r>
      <w:r w:rsidRPr="00DF7C60">
        <w:rPr>
          <w:szCs w:val="17"/>
        </w:rPr>
        <w:tab/>
        <w:t>Subrule 7(1) is amended to substitute “(4)” for “(3)” and insert the words “</w:t>
      </w:r>
      <w:bookmarkStart w:id="16" w:name="_Hlk121997811"/>
      <w:r w:rsidRPr="00DF7C60">
        <w:rPr>
          <w:szCs w:val="17"/>
        </w:rPr>
        <w:t>in respect of work done from the commencement date to 28 August 2022</w:t>
      </w:r>
      <w:bookmarkEnd w:id="16"/>
      <w:r w:rsidRPr="00DF7C60">
        <w:rPr>
          <w:szCs w:val="17"/>
        </w:rPr>
        <w:t>” after the word “scale”.</w:t>
      </w:r>
    </w:p>
    <w:p w14:paraId="29E0EF28" w14:textId="77777777" w:rsidR="00DF7C60" w:rsidRPr="00DF7C60" w:rsidRDefault="00DF7C60" w:rsidP="00DF7C60">
      <w:pPr>
        <w:ind w:left="1436" w:hanging="585"/>
        <w:rPr>
          <w:szCs w:val="17"/>
        </w:rPr>
      </w:pPr>
      <w:r w:rsidRPr="00DF7C60">
        <w:rPr>
          <w:szCs w:val="17"/>
        </w:rPr>
        <w:t>b)</w:t>
      </w:r>
      <w:r w:rsidRPr="00DF7C60">
        <w:rPr>
          <w:szCs w:val="17"/>
        </w:rPr>
        <w:tab/>
        <w:t>Subrule 7(2) is amended to substitute “(4)” for “(3)”.</w:t>
      </w:r>
    </w:p>
    <w:p w14:paraId="3543AB5F" w14:textId="77777777" w:rsidR="00DF7C60" w:rsidRPr="00DF7C60" w:rsidRDefault="00DF7C60" w:rsidP="00DF7C60">
      <w:pPr>
        <w:ind w:left="1436" w:hanging="585"/>
        <w:rPr>
          <w:szCs w:val="17"/>
        </w:rPr>
      </w:pPr>
      <w:r w:rsidRPr="00DF7C60">
        <w:rPr>
          <w:szCs w:val="17"/>
        </w:rPr>
        <w:t>c)</w:t>
      </w:r>
      <w:r w:rsidRPr="00DF7C60">
        <w:rPr>
          <w:szCs w:val="17"/>
        </w:rPr>
        <w:tab/>
        <w:t xml:space="preserve">Existing subrule 7(3) is renumbered as 7(4) and the words “(1) and (2)” are replaced with “(1), (2) and (3)”.  </w:t>
      </w:r>
    </w:p>
    <w:p w14:paraId="00122D30" w14:textId="77777777" w:rsidR="00DF7C60" w:rsidRPr="00DF7C60" w:rsidRDefault="00DF7C60" w:rsidP="00965F17">
      <w:pPr>
        <w:numPr>
          <w:ilvl w:val="0"/>
          <w:numId w:val="57"/>
        </w:numPr>
        <w:ind w:left="851" w:hanging="758"/>
        <w:rPr>
          <w:szCs w:val="17"/>
        </w:rPr>
      </w:pPr>
      <w:r w:rsidRPr="00DF7C60">
        <w:rPr>
          <w:szCs w:val="17"/>
        </w:rPr>
        <w:t>In Schedule 6, Part 4, a new subrule (3) is inserted as follows:</w:t>
      </w:r>
    </w:p>
    <w:p w14:paraId="545C3D76" w14:textId="77777777" w:rsidR="00DF7C60" w:rsidRPr="00DF7C60" w:rsidRDefault="00DF7C60" w:rsidP="00DF7C60">
      <w:pPr>
        <w:ind w:left="1436" w:hanging="585"/>
        <w:rPr>
          <w:szCs w:val="17"/>
        </w:rPr>
      </w:pPr>
      <w:r w:rsidRPr="00DF7C60">
        <w:rPr>
          <w:szCs w:val="17"/>
        </w:rPr>
        <w:t>“(3)</w:t>
      </w:r>
      <w:r w:rsidRPr="00DF7C60">
        <w:rPr>
          <w:szCs w:val="17"/>
        </w:rPr>
        <w:tab/>
        <w:t xml:space="preserve">Subject to subrule (4), the Minor Civil costs scale in respect of work done from on or after 1 January 2023 is set out in the following table”.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4896"/>
        <w:gridCol w:w="3850"/>
      </w:tblGrid>
      <w:tr w:rsidR="00DF7C60" w:rsidRPr="00DF7C60" w14:paraId="59E67DE4" w14:textId="77777777" w:rsidTr="008D0F2D">
        <w:trPr>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71AECC74" w14:textId="77777777" w:rsidR="00DF7C60" w:rsidRPr="00DF7C60" w:rsidRDefault="00DF7C60" w:rsidP="00DF7C60">
            <w:pPr>
              <w:spacing w:before="120" w:after="120" w:line="240" w:lineRule="auto"/>
              <w:jc w:val="left"/>
              <w:rPr>
                <w:b/>
                <w:szCs w:val="17"/>
              </w:rPr>
            </w:pPr>
            <w:bookmarkStart w:id="17" w:name="_Hlk30602860"/>
            <w:r w:rsidRPr="00DF7C60">
              <w:rPr>
                <w:b/>
                <w:szCs w:val="17"/>
              </w:rPr>
              <w:t>Minor Civil costs scale</w:t>
            </w:r>
          </w:p>
        </w:tc>
      </w:tr>
      <w:tr w:rsidR="00DF7C60" w:rsidRPr="00DF7C60" w14:paraId="54DE209B" w14:textId="77777777" w:rsidTr="008D0F2D">
        <w:trPr>
          <w:tblHeader/>
        </w:trPr>
        <w:tc>
          <w:tcPr>
            <w:tcW w:w="320" w:type="pct"/>
            <w:tcBorders>
              <w:top w:val="single" w:sz="4" w:space="0" w:color="auto"/>
              <w:left w:val="single" w:sz="4" w:space="0" w:color="auto"/>
              <w:bottom w:val="single" w:sz="4" w:space="0" w:color="auto"/>
              <w:right w:val="single" w:sz="4" w:space="0" w:color="auto"/>
            </w:tcBorders>
            <w:hideMark/>
          </w:tcPr>
          <w:p w14:paraId="7A78887D" w14:textId="77777777" w:rsidR="00DF7C60" w:rsidRPr="00DF7C60" w:rsidRDefault="00DF7C60" w:rsidP="00DF7C60">
            <w:pPr>
              <w:spacing w:before="120" w:after="120" w:line="240" w:lineRule="auto"/>
              <w:jc w:val="left"/>
              <w:rPr>
                <w:b/>
                <w:szCs w:val="17"/>
              </w:rPr>
            </w:pPr>
            <w:r w:rsidRPr="00DF7C60">
              <w:rPr>
                <w:b/>
                <w:szCs w:val="17"/>
              </w:rPr>
              <w:t xml:space="preserve">Item </w:t>
            </w:r>
          </w:p>
        </w:tc>
        <w:tc>
          <w:tcPr>
            <w:tcW w:w="2620" w:type="pct"/>
            <w:tcBorders>
              <w:top w:val="single" w:sz="4" w:space="0" w:color="auto"/>
              <w:left w:val="single" w:sz="4" w:space="0" w:color="auto"/>
              <w:bottom w:val="single" w:sz="4" w:space="0" w:color="auto"/>
              <w:right w:val="single" w:sz="4" w:space="0" w:color="auto"/>
            </w:tcBorders>
            <w:hideMark/>
          </w:tcPr>
          <w:p w14:paraId="7D191C7E" w14:textId="77777777" w:rsidR="00DF7C60" w:rsidRPr="00DF7C60" w:rsidRDefault="00DF7C60" w:rsidP="00DF7C60">
            <w:pPr>
              <w:spacing w:before="120" w:after="120" w:line="240" w:lineRule="auto"/>
              <w:jc w:val="left"/>
              <w:rPr>
                <w:b/>
                <w:szCs w:val="17"/>
              </w:rPr>
            </w:pPr>
            <w:r w:rsidRPr="00DF7C60">
              <w:rPr>
                <w:b/>
                <w:szCs w:val="17"/>
              </w:rPr>
              <w:t>Description</w:t>
            </w:r>
          </w:p>
        </w:tc>
        <w:tc>
          <w:tcPr>
            <w:tcW w:w="2060" w:type="pct"/>
            <w:tcBorders>
              <w:top w:val="single" w:sz="4" w:space="0" w:color="auto"/>
              <w:left w:val="single" w:sz="4" w:space="0" w:color="auto"/>
              <w:bottom w:val="single" w:sz="4" w:space="0" w:color="auto"/>
              <w:right w:val="single" w:sz="4" w:space="0" w:color="auto"/>
            </w:tcBorders>
            <w:hideMark/>
          </w:tcPr>
          <w:p w14:paraId="4766FBFE" w14:textId="77777777" w:rsidR="00DF7C60" w:rsidRPr="00DF7C60" w:rsidRDefault="00DF7C60" w:rsidP="00DF7C60">
            <w:pPr>
              <w:spacing w:before="120" w:after="120" w:line="240" w:lineRule="auto"/>
              <w:jc w:val="left"/>
              <w:rPr>
                <w:b/>
                <w:szCs w:val="17"/>
              </w:rPr>
            </w:pPr>
            <w:r w:rsidRPr="00DF7C60">
              <w:rPr>
                <w:b/>
                <w:szCs w:val="17"/>
              </w:rPr>
              <w:t>Amount</w:t>
            </w:r>
          </w:p>
        </w:tc>
      </w:tr>
      <w:tr w:rsidR="00DF7C60" w:rsidRPr="00DF7C60" w14:paraId="46B59B46"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6895B246" w14:textId="77777777" w:rsidR="00DF7C60" w:rsidRPr="00DF7C60" w:rsidRDefault="00DF7C60" w:rsidP="00DF7C60">
            <w:pPr>
              <w:spacing w:before="120" w:after="120" w:line="240" w:lineRule="auto"/>
              <w:jc w:val="left"/>
              <w:rPr>
                <w:szCs w:val="17"/>
              </w:rPr>
            </w:pPr>
            <w:r w:rsidRPr="00DF7C60">
              <w:rPr>
                <w:szCs w:val="17"/>
              </w:rPr>
              <w:t>1</w:t>
            </w:r>
          </w:p>
        </w:tc>
        <w:tc>
          <w:tcPr>
            <w:tcW w:w="2620" w:type="pct"/>
            <w:tcBorders>
              <w:top w:val="single" w:sz="4" w:space="0" w:color="auto"/>
              <w:left w:val="single" w:sz="4" w:space="0" w:color="auto"/>
              <w:bottom w:val="single" w:sz="4" w:space="0" w:color="auto"/>
              <w:right w:val="single" w:sz="4" w:space="0" w:color="auto"/>
            </w:tcBorders>
            <w:hideMark/>
          </w:tcPr>
          <w:p w14:paraId="51E50AB5" w14:textId="77777777" w:rsidR="00DF7C60" w:rsidRPr="00DF7C60" w:rsidRDefault="00DF7C60" w:rsidP="00DF7C60">
            <w:pPr>
              <w:spacing w:before="120" w:after="120" w:line="240" w:lineRule="auto"/>
              <w:jc w:val="left"/>
              <w:rPr>
                <w:szCs w:val="17"/>
              </w:rPr>
            </w:pPr>
            <w:r w:rsidRPr="00DF7C60">
              <w:rPr>
                <w:szCs w:val="17"/>
              </w:rPr>
              <w:t>Filing an action if prepared and filed by a lawyer.</w:t>
            </w:r>
          </w:p>
        </w:tc>
        <w:tc>
          <w:tcPr>
            <w:tcW w:w="2060" w:type="pct"/>
            <w:tcBorders>
              <w:top w:val="single" w:sz="4" w:space="0" w:color="auto"/>
              <w:left w:val="single" w:sz="4" w:space="0" w:color="auto"/>
              <w:bottom w:val="single" w:sz="4" w:space="0" w:color="auto"/>
              <w:right w:val="single" w:sz="4" w:space="0" w:color="auto"/>
            </w:tcBorders>
            <w:hideMark/>
          </w:tcPr>
          <w:p w14:paraId="5AD8B571" w14:textId="77777777" w:rsidR="00DF7C60" w:rsidRPr="00DF7C60" w:rsidRDefault="00DF7C60" w:rsidP="00DF7C60">
            <w:pPr>
              <w:spacing w:after="0" w:line="240" w:lineRule="auto"/>
              <w:contextualSpacing/>
              <w:jc w:val="left"/>
              <w:rPr>
                <w:szCs w:val="17"/>
              </w:rPr>
            </w:pPr>
            <w:r w:rsidRPr="00DF7C60">
              <w:rPr>
                <w:szCs w:val="17"/>
              </w:rPr>
              <w:t xml:space="preserve">$20 plus 5% of </w:t>
            </w:r>
            <w:hyperlink r:id="rId36" w:anchor="_1—Meaning_of_quantum" w:history="1">
              <w:r w:rsidRPr="00DF7C60">
                <w:rPr>
                  <w:szCs w:val="17"/>
                  <w:u w:val="single"/>
                </w:rPr>
                <w:t>quantum</w:t>
              </w:r>
            </w:hyperlink>
            <w:r w:rsidRPr="00DF7C60">
              <w:rPr>
                <w:szCs w:val="17"/>
              </w:rPr>
              <w:t xml:space="preserve"> (up to a maximum of $500).</w:t>
            </w:r>
          </w:p>
        </w:tc>
      </w:tr>
      <w:tr w:rsidR="00DF7C60" w:rsidRPr="00DF7C60" w14:paraId="7547CB71"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4012A37F" w14:textId="77777777" w:rsidR="00DF7C60" w:rsidRPr="00DF7C60" w:rsidRDefault="00DF7C60" w:rsidP="00DF7C60">
            <w:pPr>
              <w:spacing w:before="120" w:after="120" w:line="240" w:lineRule="auto"/>
              <w:jc w:val="left"/>
              <w:rPr>
                <w:szCs w:val="17"/>
              </w:rPr>
            </w:pPr>
            <w:r w:rsidRPr="00DF7C60">
              <w:rPr>
                <w:szCs w:val="17"/>
              </w:rPr>
              <w:t>2</w:t>
            </w:r>
          </w:p>
        </w:tc>
        <w:tc>
          <w:tcPr>
            <w:tcW w:w="2620" w:type="pct"/>
            <w:tcBorders>
              <w:top w:val="single" w:sz="4" w:space="0" w:color="auto"/>
              <w:left w:val="single" w:sz="4" w:space="0" w:color="auto"/>
              <w:bottom w:val="single" w:sz="4" w:space="0" w:color="auto"/>
              <w:right w:val="single" w:sz="4" w:space="0" w:color="auto"/>
            </w:tcBorders>
            <w:hideMark/>
          </w:tcPr>
          <w:p w14:paraId="26171B86" w14:textId="77777777" w:rsidR="00DF7C60" w:rsidRPr="00DF7C60" w:rsidRDefault="00DF7C60" w:rsidP="00DF7C60">
            <w:pPr>
              <w:spacing w:after="0" w:line="240" w:lineRule="auto"/>
              <w:contextualSpacing/>
              <w:jc w:val="left"/>
              <w:rPr>
                <w:szCs w:val="17"/>
              </w:rPr>
            </w:pPr>
            <w:r w:rsidRPr="00DF7C60">
              <w:rPr>
                <w:szCs w:val="17"/>
                <w:lang w:val="en-GB"/>
              </w:rPr>
              <w:t>Having a lawyer prepare and file personal injury particulars.</w:t>
            </w:r>
          </w:p>
        </w:tc>
        <w:tc>
          <w:tcPr>
            <w:tcW w:w="2060" w:type="pct"/>
            <w:tcBorders>
              <w:top w:val="single" w:sz="4" w:space="0" w:color="auto"/>
              <w:left w:val="single" w:sz="4" w:space="0" w:color="auto"/>
              <w:bottom w:val="single" w:sz="4" w:space="0" w:color="auto"/>
              <w:right w:val="single" w:sz="4" w:space="0" w:color="auto"/>
            </w:tcBorders>
            <w:hideMark/>
          </w:tcPr>
          <w:p w14:paraId="5F87BC18" w14:textId="77777777" w:rsidR="00DF7C60" w:rsidRPr="00DF7C60" w:rsidRDefault="00DF7C60" w:rsidP="00DF7C60">
            <w:pPr>
              <w:spacing w:before="120" w:after="120" w:line="240" w:lineRule="auto"/>
              <w:jc w:val="left"/>
              <w:rPr>
                <w:szCs w:val="17"/>
              </w:rPr>
            </w:pPr>
            <w:r w:rsidRPr="00DF7C60">
              <w:rPr>
                <w:szCs w:val="17"/>
              </w:rPr>
              <w:t xml:space="preserve">2% of </w:t>
            </w:r>
            <w:hyperlink r:id="rId37" w:anchor="_1—Meaning_of_quantum" w:history="1">
              <w:r w:rsidRPr="00DF7C60">
                <w:rPr>
                  <w:szCs w:val="17"/>
                  <w:u w:val="single"/>
                </w:rPr>
                <w:t>quantum</w:t>
              </w:r>
            </w:hyperlink>
            <w:r w:rsidRPr="00DF7C60">
              <w:rPr>
                <w:szCs w:val="17"/>
              </w:rPr>
              <w:t>.</w:t>
            </w:r>
          </w:p>
        </w:tc>
      </w:tr>
      <w:tr w:rsidR="00DF7C60" w:rsidRPr="00DF7C60" w14:paraId="0F8FF1D8"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5E54AF60" w14:textId="77777777" w:rsidR="00DF7C60" w:rsidRPr="00DF7C60" w:rsidRDefault="00DF7C60" w:rsidP="00DF7C60">
            <w:pPr>
              <w:spacing w:before="120" w:after="120" w:line="240" w:lineRule="auto"/>
              <w:jc w:val="left"/>
              <w:rPr>
                <w:szCs w:val="17"/>
              </w:rPr>
            </w:pPr>
            <w:r w:rsidRPr="00DF7C60">
              <w:rPr>
                <w:szCs w:val="17"/>
              </w:rPr>
              <w:t>3</w:t>
            </w:r>
          </w:p>
        </w:tc>
        <w:tc>
          <w:tcPr>
            <w:tcW w:w="2620" w:type="pct"/>
            <w:tcBorders>
              <w:top w:val="single" w:sz="4" w:space="0" w:color="auto"/>
              <w:left w:val="single" w:sz="4" w:space="0" w:color="auto"/>
              <w:bottom w:val="single" w:sz="4" w:space="0" w:color="auto"/>
              <w:right w:val="single" w:sz="4" w:space="0" w:color="auto"/>
            </w:tcBorders>
            <w:hideMark/>
          </w:tcPr>
          <w:p w14:paraId="71D8E37E" w14:textId="77777777" w:rsidR="00DF7C60" w:rsidRPr="00DF7C60" w:rsidRDefault="00DF7C60" w:rsidP="00DF7C60">
            <w:pPr>
              <w:spacing w:after="0" w:line="254" w:lineRule="auto"/>
              <w:contextualSpacing/>
              <w:jc w:val="left"/>
              <w:rPr>
                <w:szCs w:val="17"/>
                <w:lang w:val="en-GB"/>
              </w:rPr>
            </w:pPr>
            <w:r w:rsidRPr="00DF7C60">
              <w:rPr>
                <w:szCs w:val="17"/>
                <w:lang w:val="en-GB"/>
              </w:rPr>
              <w:t>Where a matter is defended and a Magistrate orders that the complexity of the action justifies legal advice in the pre-</w:t>
            </w:r>
            <w:hyperlink r:id="rId38" w:anchor="_2.1—Definitions" w:history="1">
              <w:r w:rsidRPr="00DF7C60">
                <w:rPr>
                  <w:szCs w:val="17"/>
                  <w:u w:val="single"/>
                  <w:lang w:val="en-GB"/>
                </w:rPr>
                <w:t>trial</w:t>
              </w:r>
            </w:hyperlink>
            <w:r w:rsidRPr="00DF7C60">
              <w:rPr>
                <w:szCs w:val="17"/>
                <w:lang w:val="en-GB"/>
              </w:rPr>
              <w:t xml:space="preserve"> processes.</w:t>
            </w:r>
          </w:p>
        </w:tc>
        <w:tc>
          <w:tcPr>
            <w:tcW w:w="2060" w:type="pct"/>
            <w:tcBorders>
              <w:top w:val="single" w:sz="4" w:space="0" w:color="auto"/>
              <w:left w:val="single" w:sz="4" w:space="0" w:color="auto"/>
              <w:bottom w:val="single" w:sz="4" w:space="0" w:color="auto"/>
              <w:right w:val="single" w:sz="4" w:space="0" w:color="auto"/>
            </w:tcBorders>
            <w:hideMark/>
          </w:tcPr>
          <w:p w14:paraId="289C4F03" w14:textId="77777777" w:rsidR="00DF7C60" w:rsidRPr="00DF7C60" w:rsidRDefault="00DF7C60" w:rsidP="00DF7C60">
            <w:pPr>
              <w:spacing w:before="120" w:after="120" w:line="240" w:lineRule="auto"/>
              <w:jc w:val="left"/>
              <w:rPr>
                <w:szCs w:val="17"/>
              </w:rPr>
            </w:pPr>
            <w:r w:rsidRPr="00DF7C60">
              <w:rPr>
                <w:szCs w:val="17"/>
              </w:rPr>
              <w:t xml:space="preserve">5% of </w:t>
            </w:r>
            <w:hyperlink r:id="rId39" w:anchor="_1—Meaning_of_quantum" w:history="1">
              <w:r w:rsidRPr="00DF7C60">
                <w:rPr>
                  <w:szCs w:val="17"/>
                  <w:u w:val="single"/>
                </w:rPr>
                <w:t>quantum</w:t>
              </w:r>
            </w:hyperlink>
            <w:r w:rsidRPr="00DF7C60">
              <w:rPr>
                <w:szCs w:val="17"/>
              </w:rPr>
              <w:t>.</w:t>
            </w:r>
          </w:p>
        </w:tc>
      </w:tr>
      <w:tr w:rsidR="00DF7C60" w:rsidRPr="00DF7C60" w14:paraId="2B7ED8A2"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203DB773" w14:textId="77777777" w:rsidR="00DF7C60" w:rsidRPr="00DF7C60" w:rsidRDefault="00DF7C60" w:rsidP="00DF7C60">
            <w:pPr>
              <w:spacing w:before="120" w:after="120" w:line="240" w:lineRule="auto"/>
              <w:jc w:val="left"/>
              <w:rPr>
                <w:szCs w:val="17"/>
              </w:rPr>
            </w:pPr>
            <w:r w:rsidRPr="00DF7C60">
              <w:rPr>
                <w:szCs w:val="17"/>
              </w:rPr>
              <w:t>4</w:t>
            </w:r>
          </w:p>
        </w:tc>
        <w:tc>
          <w:tcPr>
            <w:tcW w:w="2620" w:type="pct"/>
            <w:tcBorders>
              <w:top w:val="single" w:sz="4" w:space="0" w:color="auto"/>
              <w:left w:val="single" w:sz="4" w:space="0" w:color="auto"/>
              <w:bottom w:val="single" w:sz="4" w:space="0" w:color="auto"/>
              <w:right w:val="single" w:sz="4" w:space="0" w:color="auto"/>
            </w:tcBorders>
            <w:hideMark/>
          </w:tcPr>
          <w:p w14:paraId="7AB3714B" w14:textId="77777777" w:rsidR="00DF7C60" w:rsidRPr="00DF7C60" w:rsidRDefault="00DF7C60" w:rsidP="00DF7C60">
            <w:pPr>
              <w:spacing w:before="120" w:after="120" w:line="240" w:lineRule="auto"/>
              <w:jc w:val="left"/>
              <w:rPr>
                <w:szCs w:val="17"/>
              </w:rPr>
            </w:pPr>
            <w:r w:rsidRPr="00DF7C60">
              <w:rPr>
                <w:szCs w:val="17"/>
                <w:lang w:val="en-GB"/>
              </w:rPr>
              <w:t>Any attendance at Court by party or lawyer (when lawyer is entitled to attend).</w:t>
            </w:r>
          </w:p>
        </w:tc>
        <w:tc>
          <w:tcPr>
            <w:tcW w:w="2060" w:type="pct"/>
            <w:tcBorders>
              <w:top w:val="single" w:sz="4" w:space="0" w:color="auto"/>
              <w:left w:val="single" w:sz="4" w:space="0" w:color="auto"/>
              <w:bottom w:val="single" w:sz="4" w:space="0" w:color="auto"/>
              <w:right w:val="single" w:sz="4" w:space="0" w:color="auto"/>
            </w:tcBorders>
            <w:hideMark/>
          </w:tcPr>
          <w:p w14:paraId="510E4521" w14:textId="77777777" w:rsidR="00DF7C60" w:rsidRPr="00DF7C60" w:rsidRDefault="00DF7C60" w:rsidP="00DF7C60">
            <w:pPr>
              <w:spacing w:before="120" w:after="120" w:line="240" w:lineRule="auto"/>
              <w:jc w:val="left"/>
              <w:rPr>
                <w:szCs w:val="17"/>
              </w:rPr>
            </w:pPr>
            <w:r w:rsidRPr="00DF7C60">
              <w:rPr>
                <w:szCs w:val="17"/>
              </w:rPr>
              <w:t xml:space="preserve">0.5% of </w:t>
            </w:r>
            <w:hyperlink r:id="rId40" w:anchor="_1—Meaning_of_quantum" w:history="1">
              <w:r w:rsidRPr="00DF7C60">
                <w:rPr>
                  <w:szCs w:val="17"/>
                  <w:u w:val="single"/>
                </w:rPr>
                <w:t>quantum</w:t>
              </w:r>
            </w:hyperlink>
            <w:r w:rsidRPr="00DF7C60">
              <w:rPr>
                <w:szCs w:val="17"/>
              </w:rPr>
              <w:t>.</w:t>
            </w:r>
          </w:p>
        </w:tc>
      </w:tr>
      <w:tr w:rsidR="00DF7C60" w:rsidRPr="00DF7C60" w14:paraId="1F10C71D"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3C4989EE" w14:textId="77777777" w:rsidR="00DF7C60" w:rsidRPr="00DF7C60" w:rsidRDefault="00DF7C60" w:rsidP="00DF7C60">
            <w:pPr>
              <w:spacing w:before="120" w:after="120" w:line="240" w:lineRule="auto"/>
              <w:jc w:val="left"/>
              <w:rPr>
                <w:szCs w:val="17"/>
              </w:rPr>
            </w:pPr>
            <w:r w:rsidRPr="00DF7C60">
              <w:rPr>
                <w:szCs w:val="17"/>
              </w:rPr>
              <w:t>5</w:t>
            </w:r>
          </w:p>
        </w:tc>
        <w:tc>
          <w:tcPr>
            <w:tcW w:w="2620" w:type="pct"/>
            <w:tcBorders>
              <w:top w:val="single" w:sz="4" w:space="0" w:color="auto"/>
              <w:left w:val="single" w:sz="4" w:space="0" w:color="auto"/>
              <w:bottom w:val="single" w:sz="4" w:space="0" w:color="auto"/>
              <w:right w:val="single" w:sz="4" w:space="0" w:color="auto"/>
            </w:tcBorders>
            <w:hideMark/>
          </w:tcPr>
          <w:p w14:paraId="6C3D4973" w14:textId="77777777" w:rsidR="00DF7C60" w:rsidRPr="00DF7C60" w:rsidRDefault="00DF7C60" w:rsidP="00DF7C60">
            <w:pPr>
              <w:spacing w:before="120" w:after="120" w:line="240" w:lineRule="auto"/>
              <w:jc w:val="left"/>
              <w:rPr>
                <w:szCs w:val="17"/>
              </w:rPr>
            </w:pPr>
            <w:r w:rsidRPr="00DF7C60">
              <w:rPr>
                <w:szCs w:val="17"/>
                <w:lang w:val="en-GB"/>
              </w:rPr>
              <w:t>Filing and serving a subpoena.</w:t>
            </w:r>
          </w:p>
        </w:tc>
        <w:tc>
          <w:tcPr>
            <w:tcW w:w="2060" w:type="pct"/>
            <w:tcBorders>
              <w:top w:val="single" w:sz="4" w:space="0" w:color="auto"/>
              <w:left w:val="single" w:sz="4" w:space="0" w:color="auto"/>
              <w:bottom w:val="single" w:sz="4" w:space="0" w:color="auto"/>
              <w:right w:val="single" w:sz="4" w:space="0" w:color="auto"/>
            </w:tcBorders>
            <w:hideMark/>
          </w:tcPr>
          <w:p w14:paraId="0637A064" w14:textId="77777777" w:rsidR="00DF7C60" w:rsidRPr="00DF7C60" w:rsidRDefault="00DF7C60" w:rsidP="00DF7C60">
            <w:pPr>
              <w:spacing w:before="120" w:after="120" w:line="240" w:lineRule="auto"/>
              <w:jc w:val="left"/>
              <w:rPr>
                <w:szCs w:val="17"/>
              </w:rPr>
            </w:pPr>
            <w:r w:rsidRPr="00DF7C60">
              <w:rPr>
                <w:szCs w:val="17"/>
              </w:rPr>
              <w:t>$55.</w:t>
            </w:r>
          </w:p>
        </w:tc>
      </w:tr>
      <w:tr w:rsidR="00DF7C60" w:rsidRPr="00DF7C60" w14:paraId="70884112"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61B37282" w14:textId="77777777" w:rsidR="00DF7C60" w:rsidRPr="00DF7C60" w:rsidRDefault="00DF7C60" w:rsidP="00DF7C60">
            <w:pPr>
              <w:spacing w:before="120" w:after="120" w:line="240" w:lineRule="auto"/>
              <w:jc w:val="left"/>
              <w:rPr>
                <w:szCs w:val="17"/>
              </w:rPr>
            </w:pPr>
            <w:r w:rsidRPr="00DF7C60">
              <w:rPr>
                <w:szCs w:val="17"/>
              </w:rPr>
              <w:t>6</w:t>
            </w:r>
          </w:p>
        </w:tc>
        <w:tc>
          <w:tcPr>
            <w:tcW w:w="2620" w:type="pct"/>
            <w:tcBorders>
              <w:top w:val="single" w:sz="4" w:space="0" w:color="auto"/>
              <w:left w:val="single" w:sz="4" w:space="0" w:color="auto"/>
              <w:bottom w:val="single" w:sz="4" w:space="0" w:color="auto"/>
              <w:right w:val="single" w:sz="4" w:space="0" w:color="auto"/>
            </w:tcBorders>
            <w:hideMark/>
          </w:tcPr>
          <w:p w14:paraId="3C3CD04D" w14:textId="77777777" w:rsidR="00DF7C60" w:rsidRPr="00DF7C60" w:rsidRDefault="00DF7C60" w:rsidP="00DF7C60">
            <w:pPr>
              <w:spacing w:before="120" w:after="120" w:line="240" w:lineRule="auto"/>
              <w:jc w:val="left"/>
              <w:rPr>
                <w:szCs w:val="17"/>
              </w:rPr>
            </w:pPr>
            <w:r w:rsidRPr="00DF7C60">
              <w:rPr>
                <w:szCs w:val="17"/>
              </w:rPr>
              <w:t xml:space="preserve">Preparation of a </w:t>
            </w:r>
            <w:hyperlink r:id="rId41" w:anchor="_2.1—Definitions" w:history="1">
              <w:r w:rsidRPr="00DF7C60">
                <w:rPr>
                  <w:szCs w:val="17"/>
                  <w:u w:val="single"/>
                </w:rPr>
                <w:t>trial</w:t>
              </w:r>
            </w:hyperlink>
            <w:r w:rsidRPr="00DF7C60">
              <w:rPr>
                <w:szCs w:val="17"/>
              </w:rPr>
              <w:t xml:space="preserve"> plan when the Court permits it due to special circumstances (</w:t>
            </w:r>
            <w:r w:rsidRPr="00DF7C60">
              <w:rPr>
                <w:i/>
                <w:szCs w:val="17"/>
              </w:rPr>
              <w:t>Magistrates Court Act 1991</w:t>
            </w:r>
            <w:r w:rsidRPr="00DF7C60">
              <w:rPr>
                <w:szCs w:val="17"/>
              </w:rPr>
              <w:t xml:space="preserve"> section 38(5)).</w:t>
            </w:r>
          </w:p>
        </w:tc>
        <w:tc>
          <w:tcPr>
            <w:tcW w:w="2060" w:type="pct"/>
            <w:tcBorders>
              <w:top w:val="single" w:sz="4" w:space="0" w:color="auto"/>
              <w:left w:val="single" w:sz="4" w:space="0" w:color="auto"/>
              <w:bottom w:val="single" w:sz="4" w:space="0" w:color="auto"/>
              <w:right w:val="single" w:sz="4" w:space="0" w:color="auto"/>
            </w:tcBorders>
            <w:hideMark/>
          </w:tcPr>
          <w:p w14:paraId="040FE31B" w14:textId="77777777" w:rsidR="00DF7C60" w:rsidRPr="00DF7C60" w:rsidRDefault="00DF7C60" w:rsidP="00DF7C60">
            <w:pPr>
              <w:spacing w:after="0" w:line="240" w:lineRule="auto"/>
              <w:contextualSpacing/>
              <w:jc w:val="left"/>
              <w:rPr>
                <w:szCs w:val="17"/>
              </w:rPr>
            </w:pPr>
            <w:r w:rsidRPr="00DF7C60">
              <w:rPr>
                <w:szCs w:val="17"/>
              </w:rPr>
              <w:t xml:space="preserve">3% of </w:t>
            </w:r>
            <w:hyperlink r:id="rId42" w:anchor="_1—Meaning_of_quantum" w:history="1">
              <w:r w:rsidRPr="00DF7C60">
                <w:rPr>
                  <w:szCs w:val="17"/>
                  <w:u w:val="single"/>
                </w:rPr>
                <w:t>quantum</w:t>
              </w:r>
            </w:hyperlink>
            <w:r w:rsidRPr="00DF7C60">
              <w:rPr>
                <w:szCs w:val="17"/>
              </w:rPr>
              <w:t>.</w:t>
            </w:r>
          </w:p>
        </w:tc>
      </w:tr>
      <w:tr w:rsidR="00DF7C60" w:rsidRPr="00DF7C60" w14:paraId="7E194A39"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36354D92" w14:textId="77777777" w:rsidR="00DF7C60" w:rsidRPr="00DF7C60" w:rsidRDefault="00DF7C60" w:rsidP="00DF7C60">
            <w:pPr>
              <w:spacing w:before="120" w:after="120" w:line="240" w:lineRule="auto"/>
              <w:jc w:val="left"/>
              <w:rPr>
                <w:szCs w:val="17"/>
              </w:rPr>
            </w:pPr>
            <w:r w:rsidRPr="00DF7C60">
              <w:rPr>
                <w:szCs w:val="17"/>
              </w:rPr>
              <w:t>7</w:t>
            </w:r>
          </w:p>
        </w:tc>
        <w:tc>
          <w:tcPr>
            <w:tcW w:w="2620" w:type="pct"/>
            <w:tcBorders>
              <w:top w:val="single" w:sz="4" w:space="0" w:color="auto"/>
              <w:left w:val="single" w:sz="4" w:space="0" w:color="auto"/>
              <w:bottom w:val="single" w:sz="4" w:space="0" w:color="auto"/>
              <w:right w:val="single" w:sz="4" w:space="0" w:color="auto"/>
            </w:tcBorders>
            <w:hideMark/>
          </w:tcPr>
          <w:p w14:paraId="35EDA199" w14:textId="77777777" w:rsidR="00DF7C60" w:rsidRPr="00DF7C60" w:rsidRDefault="00DF7C60" w:rsidP="00DF7C60">
            <w:pPr>
              <w:spacing w:before="120" w:after="120" w:line="240" w:lineRule="auto"/>
              <w:jc w:val="left"/>
              <w:rPr>
                <w:szCs w:val="17"/>
              </w:rPr>
            </w:pPr>
            <w:r w:rsidRPr="00DF7C60">
              <w:rPr>
                <w:szCs w:val="17"/>
              </w:rPr>
              <w:t>To advise on compromise or settlement when court approval required.</w:t>
            </w:r>
          </w:p>
        </w:tc>
        <w:tc>
          <w:tcPr>
            <w:tcW w:w="2060" w:type="pct"/>
            <w:tcBorders>
              <w:top w:val="single" w:sz="4" w:space="0" w:color="auto"/>
              <w:left w:val="single" w:sz="4" w:space="0" w:color="auto"/>
              <w:bottom w:val="single" w:sz="4" w:space="0" w:color="auto"/>
              <w:right w:val="single" w:sz="4" w:space="0" w:color="auto"/>
            </w:tcBorders>
            <w:hideMark/>
          </w:tcPr>
          <w:p w14:paraId="785D2FF6" w14:textId="77777777" w:rsidR="00DF7C60" w:rsidRPr="00DF7C60" w:rsidRDefault="00DF7C60" w:rsidP="00DF7C60">
            <w:pPr>
              <w:spacing w:after="0" w:line="240" w:lineRule="auto"/>
              <w:contextualSpacing/>
              <w:jc w:val="left"/>
              <w:rPr>
                <w:szCs w:val="17"/>
              </w:rPr>
            </w:pPr>
            <w:r w:rsidRPr="00DF7C60">
              <w:rPr>
                <w:szCs w:val="17"/>
              </w:rPr>
              <w:t>Either:</w:t>
            </w:r>
          </w:p>
          <w:p w14:paraId="2A05F837" w14:textId="77777777" w:rsidR="00DF7C60" w:rsidRPr="00DF7C60" w:rsidRDefault="00DF7C60" w:rsidP="00965F17">
            <w:pPr>
              <w:numPr>
                <w:ilvl w:val="0"/>
                <w:numId w:val="47"/>
              </w:numPr>
              <w:spacing w:before="240" w:after="0" w:line="240" w:lineRule="auto"/>
              <w:contextualSpacing/>
              <w:jc w:val="left"/>
              <w:rPr>
                <w:szCs w:val="17"/>
              </w:rPr>
            </w:pPr>
            <w:r w:rsidRPr="00DF7C60">
              <w:rPr>
                <w:szCs w:val="17"/>
              </w:rPr>
              <w:t>when only the amount is in dispute—$1,110; or</w:t>
            </w:r>
          </w:p>
          <w:p w14:paraId="42101598" w14:textId="77777777" w:rsidR="00DF7C60" w:rsidRPr="00DF7C60" w:rsidRDefault="00DF7C60" w:rsidP="00965F17">
            <w:pPr>
              <w:numPr>
                <w:ilvl w:val="0"/>
                <w:numId w:val="47"/>
              </w:numPr>
              <w:spacing w:before="240" w:after="0" w:line="240" w:lineRule="auto"/>
              <w:contextualSpacing/>
              <w:jc w:val="left"/>
              <w:rPr>
                <w:szCs w:val="17"/>
              </w:rPr>
            </w:pPr>
            <w:r w:rsidRPr="00DF7C60">
              <w:rPr>
                <w:szCs w:val="17"/>
              </w:rPr>
              <w:t>when liability and amount are in dispute—$1,670.</w:t>
            </w:r>
          </w:p>
        </w:tc>
      </w:tr>
      <w:tr w:rsidR="00DF7C60" w:rsidRPr="00DF7C60" w14:paraId="363853EB"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2B415D07" w14:textId="77777777" w:rsidR="00DF7C60" w:rsidRPr="00DF7C60" w:rsidRDefault="00DF7C60" w:rsidP="00DF7C60">
            <w:pPr>
              <w:spacing w:before="120" w:after="120" w:line="240" w:lineRule="auto"/>
              <w:jc w:val="left"/>
              <w:rPr>
                <w:szCs w:val="17"/>
              </w:rPr>
            </w:pPr>
            <w:r w:rsidRPr="00DF7C60">
              <w:rPr>
                <w:szCs w:val="17"/>
              </w:rPr>
              <w:t>8</w:t>
            </w:r>
          </w:p>
        </w:tc>
        <w:tc>
          <w:tcPr>
            <w:tcW w:w="2620" w:type="pct"/>
            <w:tcBorders>
              <w:top w:val="single" w:sz="4" w:space="0" w:color="auto"/>
              <w:left w:val="single" w:sz="4" w:space="0" w:color="auto"/>
              <w:bottom w:val="single" w:sz="4" w:space="0" w:color="auto"/>
              <w:right w:val="single" w:sz="4" w:space="0" w:color="auto"/>
            </w:tcBorders>
            <w:hideMark/>
          </w:tcPr>
          <w:p w14:paraId="059A93D0" w14:textId="77777777" w:rsidR="00DF7C60" w:rsidRPr="00DF7C60" w:rsidRDefault="00DF7C60" w:rsidP="00DF7C60">
            <w:pPr>
              <w:spacing w:before="120" w:after="120" w:line="240" w:lineRule="auto"/>
              <w:jc w:val="left"/>
              <w:rPr>
                <w:i/>
                <w:szCs w:val="17"/>
              </w:rPr>
            </w:pPr>
            <w:r w:rsidRPr="00DF7C60">
              <w:rPr>
                <w:szCs w:val="17"/>
              </w:rPr>
              <w:t xml:space="preserve">Notice of Demand and registration of Lien under the </w:t>
            </w:r>
            <w:r w:rsidRPr="00DF7C60">
              <w:rPr>
                <w:i/>
                <w:szCs w:val="17"/>
              </w:rPr>
              <w:t>Worker’s Liens Act 1893.</w:t>
            </w:r>
          </w:p>
        </w:tc>
        <w:tc>
          <w:tcPr>
            <w:tcW w:w="2060" w:type="pct"/>
            <w:tcBorders>
              <w:top w:val="single" w:sz="4" w:space="0" w:color="auto"/>
              <w:left w:val="single" w:sz="4" w:space="0" w:color="auto"/>
              <w:bottom w:val="single" w:sz="4" w:space="0" w:color="auto"/>
              <w:right w:val="single" w:sz="4" w:space="0" w:color="auto"/>
            </w:tcBorders>
            <w:hideMark/>
          </w:tcPr>
          <w:p w14:paraId="162543DE" w14:textId="77777777" w:rsidR="00DF7C60" w:rsidRPr="00DF7C60" w:rsidRDefault="00DF7C60" w:rsidP="00DF7C60">
            <w:pPr>
              <w:spacing w:before="120" w:after="120" w:line="240" w:lineRule="auto"/>
              <w:jc w:val="left"/>
              <w:rPr>
                <w:szCs w:val="17"/>
              </w:rPr>
            </w:pPr>
            <w:r w:rsidRPr="00DF7C60">
              <w:rPr>
                <w:szCs w:val="17"/>
              </w:rPr>
              <w:t>Either:</w:t>
            </w:r>
          </w:p>
          <w:p w14:paraId="2EA9630E" w14:textId="77777777" w:rsidR="00DF7C60" w:rsidRPr="00DF7C60" w:rsidRDefault="00DF7C60" w:rsidP="00965F17">
            <w:pPr>
              <w:numPr>
                <w:ilvl w:val="0"/>
                <w:numId w:val="48"/>
              </w:numPr>
              <w:spacing w:before="240" w:after="0" w:line="240" w:lineRule="auto"/>
              <w:contextualSpacing/>
              <w:jc w:val="left"/>
              <w:rPr>
                <w:szCs w:val="17"/>
              </w:rPr>
            </w:pPr>
            <w:r w:rsidRPr="00DF7C60">
              <w:rPr>
                <w:szCs w:val="17"/>
              </w:rPr>
              <w:t>for claims of $1 up to and including $10,000—$280; or</w:t>
            </w:r>
          </w:p>
          <w:p w14:paraId="3349EDE6" w14:textId="77777777" w:rsidR="00DF7C60" w:rsidRPr="00DF7C60" w:rsidRDefault="00DF7C60" w:rsidP="00965F17">
            <w:pPr>
              <w:numPr>
                <w:ilvl w:val="0"/>
                <w:numId w:val="48"/>
              </w:numPr>
              <w:spacing w:before="240" w:after="0" w:line="240" w:lineRule="auto"/>
              <w:contextualSpacing/>
              <w:jc w:val="left"/>
              <w:rPr>
                <w:szCs w:val="17"/>
              </w:rPr>
            </w:pPr>
            <w:r w:rsidRPr="00DF7C60">
              <w:rPr>
                <w:szCs w:val="17"/>
              </w:rPr>
              <w:t>for claims above $10,000—$500.</w:t>
            </w:r>
          </w:p>
        </w:tc>
      </w:tr>
      <w:tr w:rsidR="00DF7C60" w:rsidRPr="00DF7C60" w14:paraId="53EF4DC5"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29F81D2A" w14:textId="77777777" w:rsidR="00DF7C60" w:rsidRPr="00DF7C60" w:rsidRDefault="00DF7C60" w:rsidP="00DF7C60">
            <w:pPr>
              <w:spacing w:before="120" w:after="120" w:line="240" w:lineRule="auto"/>
              <w:jc w:val="left"/>
              <w:rPr>
                <w:szCs w:val="17"/>
              </w:rPr>
            </w:pPr>
            <w:r w:rsidRPr="00DF7C60">
              <w:rPr>
                <w:szCs w:val="17"/>
              </w:rPr>
              <w:t>9</w:t>
            </w:r>
          </w:p>
        </w:tc>
        <w:tc>
          <w:tcPr>
            <w:tcW w:w="2620" w:type="pct"/>
            <w:tcBorders>
              <w:top w:val="single" w:sz="4" w:space="0" w:color="auto"/>
              <w:left w:val="single" w:sz="4" w:space="0" w:color="auto"/>
              <w:bottom w:val="single" w:sz="4" w:space="0" w:color="auto"/>
              <w:right w:val="single" w:sz="4" w:space="0" w:color="auto"/>
            </w:tcBorders>
            <w:hideMark/>
          </w:tcPr>
          <w:p w14:paraId="2E838FFA" w14:textId="77777777" w:rsidR="00DF7C60" w:rsidRPr="00DF7C60" w:rsidRDefault="00DF7C60" w:rsidP="00DF7C60">
            <w:pPr>
              <w:spacing w:before="120" w:after="120" w:line="240" w:lineRule="auto"/>
              <w:jc w:val="left"/>
              <w:rPr>
                <w:szCs w:val="17"/>
              </w:rPr>
            </w:pPr>
            <w:r w:rsidRPr="00DF7C60">
              <w:rPr>
                <w:szCs w:val="17"/>
              </w:rPr>
              <w:t>Notice of withdrawal or satisfaction of Lien and registration.</w:t>
            </w:r>
          </w:p>
        </w:tc>
        <w:tc>
          <w:tcPr>
            <w:tcW w:w="2060" w:type="pct"/>
            <w:tcBorders>
              <w:top w:val="single" w:sz="4" w:space="0" w:color="auto"/>
              <w:left w:val="single" w:sz="4" w:space="0" w:color="auto"/>
              <w:bottom w:val="single" w:sz="4" w:space="0" w:color="auto"/>
              <w:right w:val="single" w:sz="4" w:space="0" w:color="auto"/>
            </w:tcBorders>
            <w:hideMark/>
          </w:tcPr>
          <w:p w14:paraId="08373ABF" w14:textId="77777777" w:rsidR="00DF7C60" w:rsidRPr="00DF7C60" w:rsidRDefault="00DF7C60" w:rsidP="00DF7C60">
            <w:pPr>
              <w:spacing w:before="120" w:after="120" w:line="240" w:lineRule="auto"/>
              <w:jc w:val="left"/>
              <w:rPr>
                <w:szCs w:val="17"/>
              </w:rPr>
            </w:pPr>
            <w:r w:rsidRPr="00DF7C60">
              <w:rPr>
                <w:szCs w:val="17"/>
              </w:rPr>
              <w:t>Either:</w:t>
            </w:r>
          </w:p>
          <w:p w14:paraId="49D56B75" w14:textId="77777777" w:rsidR="00DF7C60" w:rsidRPr="00DF7C60" w:rsidRDefault="00DF7C60" w:rsidP="00965F17">
            <w:pPr>
              <w:numPr>
                <w:ilvl w:val="0"/>
                <w:numId w:val="49"/>
              </w:numPr>
              <w:spacing w:before="240" w:after="0" w:line="240" w:lineRule="auto"/>
              <w:contextualSpacing/>
              <w:jc w:val="left"/>
              <w:rPr>
                <w:szCs w:val="17"/>
              </w:rPr>
            </w:pPr>
            <w:r w:rsidRPr="00DF7C60">
              <w:rPr>
                <w:szCs w:val="17"/>
              </w:rPr>
              <w:t>for claims of $1 up to and including $10,000—$110; or</w:t>
            </w:r>
          </w:p>
          <w:p w14:paraId="1B883894" w14:textId="77777777" w:rsidR="00DF7C60" w:rsidRPr="00DF7C60" w:rsidRDefault="00DF7C60" w:rsidP="00965F17">
            <w:pPr>
              <w:numPr>
                <w:ilvl w:val="0"/>
                <w:numId w:val="49"/>
              </w:numPr>
              <w:spacing w:before="240" w:after="0" w:line="240" w:lineRule="auto"/>
              <w:contextualSpacing/>
              <w:jc w:val="left"/>
              <w:rPr>
                <w:szCs w:val="17"/>
              </w:rPr>
            </w:pPr>
            <w:r w:rsidRPr="00DF7C60">
              <w:rPr>
                <w:szCs w:val="17"/>
              </w:rPr>
              <w:lastRenderedPageBreak/>
              <w:t>for claims above $10,000—$160.</w:t>
            </w:r>
          </w:p>
        </w:tc>
      </w:tr>
      <w:tr w:rsidR="00DF7C60" w:rsidRPr="00DF7C60" w14:paraId="4C8A9A98" w14:textId="77777777" w:rsidTr="008D0F2D">
        <w:tc>
          <w:tcPr>
            <w:tcW w:w="5000" w:type="pct"/>
            <w:gridSpan w:val="3"/>
            <w:tcBorders>
              <w:top w:val="single" w:sz="4" w:space="0" w:color="auto"/>
              <w:left w:val="single" w:sz="4" w:space="0" w:color="auto"/>
              <w:bottom w:val="single" w:sz="4" w:space="0" w:color="auto"/>
              <w:right w:val="single" w:sz="4" w:space="0" w:color="auto"/>
            </w:tcBorders>
            <w:hideMark/>
          </w:tcPr>
          <w:p w14:paraId="1E876DC3" w14:textId="77777777" w:rsidR="00DF7C60" w:rsidRPr="00DF7C60" w:rsidRDefault="00DF7C60" w:rsidP="00DF7C60">
            <w:pPr>
              <w:spacing w:before="120" w:after="120" w:line="240" w:lineRule="auto"/>
              <w:jc w:val="left"/>
              <w:rPr>
                <w:szCs w:val="17"/>
              </w:rPr>
            </w:pPr>
            <w:r w:rsidRPr="00DF7C60">
              <w:rPr>
                <w:szCs w:val="17"/>
                <w:lang w:val="en-GB" w:eastAsia="en-AU"/>
              </w:rPr>
              <w:lastRenderedPageBreak/>
              <w:t>Enforcement</w:t>
            </w:r>
          </w:p>
        </w:tc>
      </w:tr>
      <w:tr w:rsidR="00DF7C60" w:rsidRPr="00DF7C60" w14:paraId="1E20897F"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7C59A15E" w14:textId="77777777" w:rsidR="00DF7C60" w:rsidRPr="00DF7C60" w:rsidRDefault="00DF7C60" w:rsidP="00DF7C60">
            <w:pPr>
              <w:spacing w:before="120" w:after="120" w:line="240" w:lineRule="auto"/>
              <w:jc w:val="left"/>
              <w:rPr>
                <w:szCs w:val="17"/>
              </w:rPr>
            </w:pPr>
            <w:r w:rsidRPr="00DF7C60">
              <w:rPr>
                <w:szCs w:val="17"/>
              </w:rPr>
              <w:t>10</w:t>
            </w:r>
          </w:p>
        </w:tc>
        <w:tc>
          <w:tcPr>
            <w:tcW w:w="2620" w:type="pct"/>
            <w:tcBorders>
              <w:top w:val="single" w:sz="4" w:space="0" w:color="auto"/>
              <w:left w:val="single" w:sz="4" w:space="0" w:color="auto"/>
              <w:bottom w:val="single" w:sz="4" w:space="0" w:color="auto"/>
              <w:right w:val="single" w:sz="4" w:space="0" w:color="auto"/>
            </w:tcBorders>
            <w:hideMark/>
          </w:tcPr>
          <w:p w14:paraId="15907F6C" w14:textId="77777777" w:rsidR="00DF7C60" w:rsidRPr="00DF7C60" w:rsidRDefault="00DF7C60" w:rsidP="00DF7C60">
            <w:pPr>
              <w:spacing w:before="120" w:after="120" w:line="240" w:lineRule="auto"/>
              <w:jc w:val="left"/>
              <w:rPr>
                <w:szCs w:val="17"/>
              </w:rPr>
            </w:pPr>
            <w:r w:rsidRPr="00DF7C60">
              <w:rPr>
                <w:szCs w:val="17"/>
              </w:rPr>
              <w:t>Request for Investigation or Examination summons including attendance at the hearing.</w:t>
            </w:r>
          </w:p>
        </w:tc>
        <w:tc>
          <w:tcPr>
            <w:tcW w:w="2060" w:type="pct"/>
            <w:tcBorders>
              <w:top w:val="single" w:sz="4" w:space="0" w:color="auto"/>
              <w:left w:val="single" w:sz="4" w:space="0" w:color="auto"/>
              <w:bottom w:val="single" w:sz="4" w:space="0" w:color="auto"/>
              <w:right w:val="single" w:sz="4" w:space="0" w:color="auto"/>
            </w:tcBorders>
            <w:hideMark/>
          </w:tcPr>
          <w:p w14:paraId="637517D7" w14:textId="77777777" w:rsidR="00DF7C60" w:rsidRPr="00DF7C60" w:rsidRDefault="00DF7C60" w:rsidP="00DF7C60">
            <w:pPr>
              <w:spacing w:before="120" w:after="120" w:line="240" w:lineRule="auto"/>
              <w:jc w:val="left"/>
              <w:rPr>
                <w:szCs w:val="17"/>
              </w:rPr>
            </w:pPr>
            <w:r w:rsidRPr="00DF7C60">
              <w:rPr>
                <w:szCs w:val="17"/>
              </w:rPr>
              <w:t>$55.</w:t>
            </w:r>
          </w:p>
        </w:tc>
      </w:tr>
      <w:tr w:rsidR="00DF7C60" w:rsidRPr="00DF7C60" w14:paraId="694325DA"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61478050" w14:textId="77777777" w:rsidR="00DF7C60" w:rsidRPr="00DF7C60" w:rsidRDefault="00DF7C60" w:rsidP="00DF7C60">
            <w:pPr>
              <w:spacing w:before="120" w:after="120" w:line="240" w:lineRule="auto"/>
              <w:jc w:val="left"/>
              <w:rPr>
                <w:szCs w:val="17"/>
              </w:rPr>
            </w:pPr>
            <w:r w:rsidRPr="00DF7C60">
              <w:rPr>
                <w:szCs w:val="17"/>
              </w:rPr>
              <w:t>11</w:t>
            </w:r>
          </w:p>
        </w:tc>
        <w:tc>
          <w:tcPr>
            <w:tcW w:w="2620" w:type="pct"/>
            <w:tcBorders>
              <w:top w:val="single" w:sz="4" w:space="0" w:color="auto"/>
              <w:left w:val="single" w:sz="4" w:space="0" w:color="auto"/>
              <w:bottom w:val="single" w:sz="4" w:space="0" w:color="auto"/>
              <w:right w:val="single" w:sz="4" w:space="0" w:color="auto"/>
            </w:tcBorders>
            <w:hideMark/>
          </w:tcPr>
          <w:p w14:paraId="0F12593A" w14:textId="77777777" w:rsidR="00DF7C60" w:rsidRPr="00DF7C60" w:rsidRDefault="00DF7C60" w:rsidP="00DF7C60">
            <w:pPr>
              <w:spacing w:before="120" w:after="120" w:line="240" w:lineRule="auto"/>
              <w:jc w:val="left"/>
              <w:rPr>
                <w:szCs w:val="17"/>
              </w:rPr>
            </w:pPr>
            <w:r w:rsidRPr="00DF7C60">
              <w:rPr>
                <w:szCs w:val="17"/>
              </w:rPr>
              <w:t>Any other request for enforcement of judgment.</w:t>
            </w:r>
          </w:p>
        </w:tc>
        <w:tc>
          <w:tcPr>
            <w:tcW w:w="2060" w:type="pct"/>
            <w:tcBorders>
              <w:top w:val="single" w:sz="4" w:space="0" w:color="auto"/>
              <w:left w:val="single" w:sz="4" w:space="0" w:color="auto"/>
              <w:bottom w:val="single" w:sz="4" w:space="0" w:color="auto"/>
              <w:right w:val="single" w:sz="4" w:space="0" w:color="auto"/>
            </w:tcBorders>
            <w:hideMark/>
          </w:tcPr>
          <w:p w14:paraId="4DF5C995" w14:textId="77777777" w:rsidR="00DF7C60" w:rsidRPr="00DF7C60" w:rsidRDefault="00DF7C60" w:rsidP="00DF7C60">
            <w:pPr>
              <w:spacing w:before="120" w:after="120" w:line="240" w:lineRule="auto"/>
              <w:jc w:val="left"/>
              <w:rPr>
                <w:szCs w:val="17"/>
              </w:rPr>
            </w:pPr>
            <w:r w:rsidRPr="00DF7C60">
              <w:rPr>
                <w:szCs w:val="17"/>
              </w:rPr>
              <w:t>$55.</w:t>
            </w:r>
          </w:p>
        </w:tc>
      </w:tr>
      <w:tr w:rsidR="00DF7C60" w:rsidRPr="00DF7C60" w14:paraId="04752770"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50101C66" w14:textId="77777777" w:rsidR="00DF7C60" w:rsidRPr="00DF7C60" w:rsidRDefault="00DF7C60" w:rsidP="00DF7C60">
            <w:pPr>
              <w:spacing w:before="120" w:after="120" w:line="240" w:lineRule="auto"/>
              <w:jc w:val="left"/>
              <w:rPr>
                <w:szCs w:val="17"/>
              </w:rPr>
            </w:pPr>
            <w:r w:rsidRPr="00DF7C60">
              <w:rPr>
                <w:szCs w:val="17"/>
              </w:rPr>
              <w:t>12</w:t>
            </w:r>
          </w:p>
        </w:tc>
        <w:tc>
          <w:tcPr>
            <w:tcW w:w="2620" w:type="pct"/>
            <w:tcBorders>
              <w:top w:val="single" w:sz="4" w:space="0" w:color="auto"/>
              <w:left w:val="single" w:sz="4" w:space="0" w:color="auto"/>
              <w:bottom w:val="single" w:sz="4" w:space="0" w:color="auto"/>
              <w:right w:val="single" w:sz="4" w:space="0" w:color="auto"/>
            </w:tcBorders>
            <w:hideMark/>
          </w:tcPr>
          <w:p w14:paraId="151E46BB" w14:textId="77777777" w:rsidR="00DF7C60" w:rsidRPr="00DF7C60" w:rsidRDefault="00DF7C60" w:rsidP="00DF7C60">
            <w:pPr>
              <w:spacing w:before="120" w:after="120" w:line="240" w:lineRule="auto"/>
              <w:jc w:val="left"/>
              <w:rPr>
                <w:szCs w:val="17"/>
              </w:rPr>
            </w:pPr>
            <w:r w:rsidRPr="00DF7C60">
              <w:rPr>
                <w:szCs w:val="17"/>
              </w:rPr>
              <w:t>Preparing and registering a warrant of sale against real property.</w:t>
            </w:r>
          </w:p>
        </w:tc>
        <w:tc>
          <w:tcPr>
            <w:tcW w:w="2060" w:type="pct"/>
            <w:tcBorders>
              <w:top w:val="single" w:sz="4" w:space="0" w:color="auto"/>
              <w:left w:val="single" w:sz="4" w:space="0" w:color="auto"/>
              <w:bottom w:val="single" w:sz="4" w:space="0" w:color="auto"/>
              <w:right w:val="single" w:sz="4" w:space="0" w:color="auto"/>
            </w:tcBorders>
            <w:hideMark/>
          </w:tcPr>
          <w:p w14:paraId="458C26F6" w14:textId="77777777" w:rsidR="00DF7C60" w:rsidRPr="00DF7C60" w:rsidRDefault="00DF7C60" w:rsidP="00DF7C60">
            <w:pPr>
              <w:spacing w:before="120" w:after="120" w:line="240" w:lineRule="auto"/>
              <w:jc w:val="left"/>
              <w:rPr>
                <w:szCs w:val="17"/>
              </w:rPr>
            </w:pPr>
            <w:r w:rsidRPr="00DF7C60">
              <w:rPr>
                <w:szCs w:val="17"/>
              </w:rPr>
              <w:t>Either:</w:t>
            </w:r>
          </w:p>
          <w:p w14:paraId="2CBF7998" w14:textId="77777777" w:rsidR="00DF7C60" w:rsidRPr="00DF7C60" w:rsidRDefault="00DF7C60" w:rsidP="00965F17">
            <w:pPr>
              <w:numPr>
                <w:ilvl w:val="0"/>
                <w:numId w:val="50"/>
              </w:numPr>
              <w:spacing w:before="240" w:after="0" w:line="240" w:lineRule="auto"/>
              <w:contextualSpacing/>
              <w:jc w:val="left"/>
              <w:rPr>
                <w:szCs w:val="17"/>
              </w:rPr>
            </w:pPr>
            <w:r w:rsidRPr="00DF7C60">
              <w:rPr>
                <w:szCs w:val="17"/>
              </w:rPr>
              <w:t>for claims of $1 up to and including $10,000—$160; or</w:t>
            </w:r>
          </w:p>
          <w:p w14:paraId="48A887F9" w14:textId="77777777" w:rsidR="00DF7C60" w:rsidRPr="00DF7C60" w:rsidRDefault="00DF7C60" w:rsidP="00965F17">
            <w:pPr>
              <w:numPr>
                <w:ilvl w:val="0"/>
                <w:numId w:val="50"/>
              </w:numPr>
              <w:spacing w:before="240" w:after="0" w:line="240" w:lineRule="auto"/>
              <w:contextualSpacing/>
              <w:jc w:val="left"/>
              <w:rPr>
                <w:szCs w:val="17"/>
              </w:rPr>
            </w:pPr>
            <w:r w:rsidRPr="00DF7C60">
              <w:rPr>
                <w:szCs w:val="17"/>
              </w:rPr>
              <w:t>for claims above $10,000–$190.</w:t>
            </w:r>
          </w:p>
        </w:tc>
      </w:tr>
      <w:tr w:rsidR="00DF7C60" w:rsidRPr="00DF7C60" w14:paraId="135689FD"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1D76AE35" w14:textId="77777777" w:rsidR="00DF7C60" w:rsidRPr="00DF7C60" w:rsidRDefault="00DF7C60" w:rsidP="00DF7C60">
            <w:pPr>
              <w:spacing w:before="120" w:after="120" w:line="240" w:lineRule="auto"/>
              <w:jc w:val="left"/>
              <w:rPr>
                <w:szCs w:val="17"/>
              </w:rPr>
            </w:pPr>
            <w:r w:rsidRPr="00DF7C60">
              <w:rPr>
                <w:szCs w:val="17"/>
              </w:rPr>
              <w:t>13</w:t>
            </w:r>
          </w:p>
        </w:tc>
        <w:tc>
          <w:tcPr>
            <w:tcW w:w="2620" w:type="pct"/>
            <w:tcBorders>
              <w:top w:val="single" w:sz="4" w:space="0" w:color="auto"/>
              <w:left w:val="single" w:sz="4" w:space="0" w:color="auto"/>
              <w:bottom w:val="single" w:sz="4" w:space="0" w:color="auto"/>
              <w:right w:val="single" w:sz="4" w:space="0" w:color="auto"/>
            </w:tcBorders>
            <w:hideMark/>
          </w:tcPr>
          <w:p w14:paraId="6D05FBC5" w14:textId="77777777" w:rsidR="00DF7C60" w:rsidRPr="00DF7C60" w:rsidRDefault="00DF7C60" w:rsidP="00DF7C60">
            <w:pPr>
              <w:spacing w:before="120" w:after="120" w:line="240" w:lineRule="auto"/>
              <w:jc w:val="left"/>
              <w:rPr>
                <w:szCs w:val="17"/>
              </w:rPr>
            </w:pPr>
            <w:r w:rsidRPr="00DF7C60">
              <w:rPr>
                <w:szCs w:val="17"/>
              </w:rPr>
              <w:t>Discharging a warrant of sale.</w:t>
            </w:r>
          </w:p>
        </w:tc>
        <w:tc>
          <w:tcPr>
            <w:tcW w:w="2060" w:type="pct"/>
            <w:tcBorders>
              <w:top w:val="single" w:sz="4" w:space="0" w:color="auto"/>
              <w:left w:val="single" w:sz="4" w:space="0" w:color="auto"/>
              <w:bottom w:val="single" w:sz="4" w:space="0" w:color="auto"/>
              <w:right w:val="single" w:sz="4" w:space="0" w:color="auto"/>
            </w:tcBorders>
            <w:hideMark/>
          </w:tcPr>
          <w:p w14:paraId="1998B093" w14:textId="77777777" w:rsidR="00DF7C60" w:rsidRPr="00DF7C60" w:rsidRDefault="00DF7C60" w:rsidP="00DF7C60">
            <w:pPr>
              <w:spacing w:before="120" w:after="120" w:line="240" w:lineRule="auto"/>
              <w:jc w:val="left"/>
              <w:rPr>
                <w:szCs w:val="17"/>
              </w:rPr>
            </w:pPr>
            <w:r w:rsidRPr="00DF7C60">
              <w:rPr>
                <w:szCs w:val="17"/>
              </w:rPr>
              <w:t>Either:</w:t>
            </w:r>
          </w:p>
          <w:p w14:paraId="11BAC28F" w14:textId="77777777" w:rsidR="00DF7C60" w:rsidRPr="00DF7C60" w:rsidRDefault="00DF7C60" w:rsidP="00965F17">
            <w:pPr>
              <w:numPr>
                <w:ilvl w:val="0"/>
                <w:numId w:val="51"/>
              </w:numPr>
              <w:spacing w:before="240" w:after="0" w:line="240" w:lineRule="auto"/>
              <w:contextualSpacing/>
              <w:jc w:val="left"/>
              <w:rPr>
                <w:szCs w:val="17"/>
              </w:rPr>
            </w:pPr>
            <w:r w:rsidRPr="00DF7C60">
              <w:rPr>
                <w:szCs w:val="17"/>
              </w:rPr>
              <w:t>for claims of $1 up to and including $10,000—$110; or</w:t>
            </w:r>
          </w:p>
          <w:p w14:paraId="44C6A28B" w14:textId="77777777" w:rsidR="00DF7C60" w:rsidRPr="00DF7C60" w:rsidRDefault="00DF7C60" w:rsidP="00965F17">
            <w:pPr>
              <w:numPr>
                <w:ilvl w:val="0"/>
                <w:numId w:val="51"/>
              </w:numPr>
              <w:spacing w:before="240" w:after="0" w:line="240" w:lineRule="auto"/>
              <w:contextualSpacing/>
              <w:jc w:val="left"/>
              <w:rPr>
                <w:szCs w:val="17"/>
              </w:rPr>
            </w:pPr>
            <w:r w:rsidRPr="00DF7C60">
              <w:rPr>
                <w:szCs w:val="17"/>
              </w:rPr>
              <w:t>for claims above $10,000—$160.</w:t>
            </w:r>
          </w:p>
        </w:tc>
      </w:tr>
      <w:tr w:rsidR="00DF7C60" w:rsidRPr="00DF7C60" w14:paraId="51CF17BF"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79F85A11" w14:textId="77777777" w:rsidR="00DF7C60" w:rsidRPr="00DF7C60" w:rsidRDefault="00DF7C60" w:rsidP="00DF7C60">
            <w:pPr>
              <w:spacing w:before="120" w:after="120" w:line="240" w:lineRule="auto"/>
              <w:jc w:val="left"/>
              <w:rPr>
                <w:szCs w:val="17"/>
              </w:rPr>
            </w:pPr>
            <w:r w:rsidRPr="00DF7C60">
              <w:rPr>
                <w:szCs w:val="17"/>
              </w:rPr>
              <w:t>14</w:t>
            </w:r>
          </w:p>
        </w:tc>
        <w:tc>
          <w:tcPr>
            <w:tcW w:w="2620" w:type="pct"/>
            <w:tcBorders>
              <w:top w:val="single" w:sz="4" w:space="0" w:color="auto"/>
              <w:left w:val="single" w:sz="4" w:space="0" w:color="auto"/>
              <w:bottom w:val="single" w:sz="4" w:space="0" w:color="auto"/>
              <w:right w:val="single" w:sz="4" w:space="0" w:color="auto"/>
            </w:tcBorders>
            <w:hideMark/>
          </w:tcPr>
          <w:p w14:paraId="47A42FFE" w14:textId="77777777" w:rsidR="00DF7C60" w:rsidRPr="00DF7C60" w:rsidRDefault="00DF7C60" w:rsidP="00DF7C60">
            <w:pPr>
              <w:spacing w:before="120" w:after="120" w:line="240" w:lineRule="auto"/>
              <w:jc w:val="left"/>
              <w:rPr>
                <w:szCs w:val="17"/>
              </w:rPr>
            </w:pPr>
            <w:r w:rsidRPr="00DF7C60">
              <w:rPr>
                <w:szCs w:val="17"/>
              </w:rPr>
              <w:t>Applying for and obtaining a charging order over real property and registering it.</w:t>
            </w:r>
          </w:p>
        </w:tc>
        <w:tc>
          <w:tcPr>
            <w:tcW w:w="2060" w:type="pct"/>
            <w:tcBorders>
              <w:top w:val="single" w:sz="4" w:space="0" w:color="auto"/>
              <w:left w:val="single" w:sz="4" w:space="0" w:color="auto"/>
              <w:bottom w:val="single" w:sz="4" w:space="0" w:color="auto"/>
              <w:right w:val="single" w:sz="4" w:space="0" w:color="auto"/>
            </w:tcBorders>
            <w:hideMark/>
          </w:tcPr>
          <w:p w14:paraId="00D1F9D2" w14:textId="77777777" w:rsidR="00DF7C60" w:rsidRPr="00DF7C60" w:rsidRDefault="00DF7C60" w:rsidP="00DF7C60">
            <w:pPr>
              <w:spacing w:before="120" w:after="120" w:line="240" w:lineRule="auto"/>
              <w:jc w:val="left"/>
              <w:rPr>
                <w:szCs w:val="17"/>
              </w:rPr>
            </w:pPr>
            <w:r w:rsidRPr="00DF7C60">
              <w:rPr>
                <w:szCs w:val="17"/>
              </w:rPr>
              <w:t>Either:</w:t>
            </w:r>
          </w:p>
          <w:p w14:paraId="126998E7" w14:textId="77777777" w:rsidR="00DF7C60" w:rsidRPr="00DF7C60" w:rsidRDefault="00DF7C60" w:rsidP="00965F17">
            <w:pPr>
              <w:numPr>
                <w:ilvl w:val="0"/>
                <w:numId w:val="52"/>
              </w:numPr>
              <w:spacing w:before="240" w:after="0" w:line="240" w:lineRule="auto"/>
              <w:contextualSpacing/>
              <w:jc w:val="left"/>
              <w:rPr>
                <w:szCs w:val="17"/>
              </w:rPr>
            </w:pPr>
            <w:r w:rsidRPr="00DF7C60">
              <w:rPr>
                <w:szCs w:val="17"/>
              </w:rPr>
              <w:t>for claims of $1 up to and including $10,000—$240; or</w:t>
            </w:r>
          </w:p>
          <w:p w14:paraId="781B7E74" w14:textId="77777777" w:rsidR="00DF7C60" w:rsidRPr="00DF7C60" w:rsidRDefault="00DF7C60" w:rsidP="00965F17">
            <w:pPr>
              <w:numPr>
                <w:ilvl w:val="0"/>
                <w:numId w:val="52"/>
              </w:numPr>
              <w:spacing w:before="240" w:after="0" w:line="240" w:lineRule="auto"/>
              <w:contextualSpacing/>
              <w:jc w:val="left"/>
              <w:rPr>
                <w:szCs w:val="17"/>
              </w:rPr>
            </w:pPr>
            <w:r w:rsidRPr="00DF7C60">
              <w:rPr>
                <w:szCs w:val="17"/>
              </w:rPr>
              <w:t>for claims above $10,000—$500.</w:t>
            </w:r>
          </w:p>
        </w:tc>
      </w:tr>
      <w:tr w:rsidR="00DF7C60" w:rsidRPr="00DF7C60" w14:paraId="354C5815"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10CED654" w14:textId="77777777" w:rsidR="00DF7C60" w:rsidRPr="00DF7C60" w:rsidRDefault="00DF7C60" w:rsidP="00DF7C60">
            <w:pPr>
              <w:spacing w:before="120" w:after="120" w:line="240" w:lineRule="auto"/>
              <w:jc w:val="left"/>
              <w:rPr>
                <w:szCs w:val="17"/>
              </w:rPr>
            </w:pPr>
            <w:r w:rsidRPr="00DF7C60">
              <w:rPr>
                <w:szCs w:val="17"/>
              </w:rPr>
              <w:t>15</w:t>
            </w:r>
          </w:p>
        </w:tc>
        <w:tc>
          <w:tcPr>
            <w:tcW w:w="2620" w:type="pct"/>
            <w:tcBorders>
              <w:top w:val="single" w:sz="4" w:space="0" w:color="auto"/>
              <w:left w:val="single" w:sz="4" w:space="0" w:color="auto"/>
              <w:bottom w:val="single" w:sz="4" w:space="0" w:color="auto"/>
              <w:right w:val="single" w:sz="4" w:space="0" w:color="auto"/>
            </w:tcBorders>
            <w:hideMark/>
          </w:tcPr>
          <w:p w14:paraId="6A01031E" w14:textId="77777777" w:rsidR="00DF7C60" w:rsidRPr="00DF7C60" w:rsidRDefault="00DF7C60" w:rsidP="00DF7C60">
            <w:pPr>
              <w:spacing w:before="120" w:after="120" w:line="240" w:lineRule="auto"/>
              <w:jc w:val="left"/>
              <w:rPr>
                <w:szCs w:val="17"/>
              </w:rPr>
            </w:pPr>
            <w:r w:rsidRPr="00DF7C60">
              <w:rPr>
                <w:szCs w:val="17"/>
              </w:rPr>
              <w:t>Discharging a charging order at the Lands Titles Office.</w:t>
            </w:r>
          </w:p>
        </w:tc>
        <w:tc>
          <w:tcPr>
            <w:tcW w:w="2060" w:type="pct"/>
            <w:tcBorders>
              <w:top w:val="single" w:sz="4" w:space="0" w:color="auto"/>
              <w:left w:val="single" w:sz="4" w:space="0" w:color="auto"/>
              <w:bottom w:val="single" w:sz="4" w:space="0" w:color="auto"/>
              <w:right w:val="single" w:sz="4" w:space="0" w:color="auto"/>
            </w:tcBorders>
            <w:hideMark/>
          </w:tcPr>
          <w:p w14:paraId="43E1955A" w14:textId="77777777" w:rsidR="00DF7C60" w:rsidRPr="00DF7C60" w:rsidRDefault="00DF7C60" w:rsidP="00DF7C60">
            <w:pPr>
              <w:spacing w:before="120" w:after="120" w:line="240" w:lineRule="auto"/>
              <w:jc w:val="left"/>
              <w:rPr>
                <w:szCs w:val="17"/>
              </w:rPr>
            </w:pPr>
            <w:r w:rsidRPr="00DF7C60">
              <w:rPr>
                <w:szCs w:val="17"/>
              </w:rPr>
              <w:t>Either:</w:t>
            </w:r>
          </w:p>
          <w:p w14:paraId="402B7669" w14:textId="77777777" w:rsidR="00DF7C60" w:rsidRPr="00DF7C60" w:rsidRDefault="00DF7C60" w:rsidP="00965F17">
            <w:pPr>
              <w:numPr>
                <w:ilvl w:val="0"/>
                <w:numId w:val="53"/>
              </w:numPr>
              <w:spacing w:before="240" w:after="0" w:line="240" w:lineRule="auto"/>
              <w:contextualSpacing/>
              <w:jc w:val="left"/>
              <w:rPr>
                <w:szCs w:val="17"/>
              </w:rPr>
            </w:pPr>
            <w:r w:rsidRPr="00DF7C60">
              <w:rPr>
                <w:szCs w:val="17"/>
              </w:rPr>
              <w:t>for claims of $1 up to and including $10,000—$110; or</w:t>
            </w:r>
          </w:p>
          <w:p w14:paraId="5E6A7661" w14:textId="77777777" w:rsidR="00DF7C60" w:rsidRPr="00DF7C60" w:rsidRDefault="00DF7C60" w:rsidP="00965F17">
            <w:pPr>
              <w:numPr>
                <w:ilvl w:val="0"/>
                <w:numId w:val="53"/>
              </w:numPr>
              <w:spacing w:before="240" w:after="0" w:line="240" w:lineRule="auto"/>
              <w:contextualSpacing/>
              <w:jc w:val="left"/>
              <w:rPr>
                <w:szCs w:val="17"/>
              </w:rPr>
            </w:pPr>
            <w:r w:rsidRPr="00DF7C60">
              <w:rPr>
                <w:szCs w:val="17"/>
              </w:rPr>
              <w:t>for claims above $10,000—$160.</w:t>
            </w:r>
          </w:p>
        </w:tc>
      </w:tr>
      <w:tr w:rsidR="00DF7C60" w:rsidRPr="00DF7C60" w14:paraId="2B1C6603" w14:textId="77777777" w:rsidTr="008D0F2D">
        <w:tc>
          <w:tcPr>
            <w:tcW w:w="5000" w:type="pct"/>
            <w:gridSpan w:val="3"/>
            <w:tcBorders>
              <w:top w:val="single" w:sz="4" w:space="0" w:color="auto"/>
              <w:left w:val="single" w:sz="4" w:space="0" w:color="auto"/>
              <w:bottom w:val="single" w:sz="4" w:space="0" w:color="auto"/>
              <w:right w:val="single" w:sz="4" w:space="0" w:color="auto"/>
            </w:tcBorders>
            <w:hideMark/>
          </w:tcPr>
          <w:p w14:paraId="4CDBE63C" w14:textId="77777777" w:rsidR="00DF7C60" w:rsidRPr="00DF7C60" w:rsidRDefault="00DF7C60" w:rsidP="00DF7C60">
            <w:pPr>
              <w:spacing w:before="120" w:after="120" w:line="240" w:lineRule="auto"/>
              <w:jc w:val="left"/>
              <w:rPr>
                <w:szCs w:val="17"/>
              </w:rPr>
            </w:pPr>
            <w:r w:rsidRPr="00DF7C60">
              <w:rPr>
                <w:szCs w:val="17"/>
                <w:lang w:val="en-GB"/>
              </w:rPr>
              <w:t>Disbursements</w:t>
            </w:r>
          </w:p>
        </w:tc>
      </w:tr>
      <w:tr w:rsidR="00DF7C60" w:rsidRPr="00DF7C60" w14:paraId="13DCC658"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7B824F3D" w14:textId="77777777" w:rsidR="00DF7C60" w:rsidRPr="00DF7C60" w:rsidRDefault="00DF7C60" w:rsidP="00DF7C60">
            <w:pPr>
              <w:spacing w:before="120" w:after="120" w:line="240" w:lineRule="auto"/>
              <w:jc w:val="left"/>
              <w:rPr>
                <w:szCs w:val="17"/>
              </w:rPr>
            </w:pPr>
            <w:r w:rsidRPr="00DF7C60">
              <w:rPr>
                <w:szCs w:val="17"/>
              </w:rPr>
              <w:t>16</w:t>
            </w:r>
          </w:p>
        </w:tc>
        <w:tc>
          <w:tcPr>
            <w:tcW w:w="2620" w:type="pct"/>
            <w:tcBorders>
              <w:top w:val="single" w:sz="4" w:space="0" w:color="auto"/>
              <w:left w:val="single" w:sz="4" w:space="0" w:color="auto"/>
              <w:bottom w:val="single" w:sz="4" w:space="0" w:color="auto"/>
              <w:right w:val="single" w:sz="4" w:space="0" w:color="auto"/>
            </w:tcBorders>
            <w:hideMark/>
          </w:tcPr>
          <w:p w14:paraId="5126C24F" w14:textId="77777777" w:rsidR="00DF7C60" w:rsidRPr="00DF7C60" w:rsidRDefault="00DF7C60" w:rsidP="00DF7C60">
            <w:pPr>
              <w:spacing w:before="120" w:after="120" w:line="240" w:lineRule="auto"/>
              <w:jc w:val="left"/>
              <w:rPr>
                <w:szCs w:val="17"/>
              </w:rPr>
            </w:pPr>
            <w:r w:rsidRPr="00DF7C60">
              <w:rPr>
                <w:szCs w:val="17"/>
              </w:rPr>
              <w:t xml:space="preserve">Service of </w:t>
            </w:r>
            <w:hyperlink r:id="rId43" w:anchor="_2.1—Definitions" w:history="1">
              <w:r w:rsidRPr="00DF7C60">
                <w:rPr>
                  <w:szCs w:val="17"/>
                  <w:u w:val="single"/>
                </w:rPr>
                <w:t>originating process</w:t>
              </w:r>
            </w:hyperlink>
            <w:r w:rsidRPr="00DF7C60">
              <w:rPr>
                <w:szCs w:val="17"/>
              </w:rPr>
              <w:t>.</w:t>
            </w:r>
          </w:p>
        </w:tc>
        <w:tc>
          <w:tcPr>
            <w:tcW w:w="2060" w:type="pct"/>
            <w:tcBorders>
              <w:top w:val="single" w:sz="4" w:space="0" w:color="auto"/>
              <w:left w:val="single" w:sz="4" w:space="0" w:color="auto"/>
              <w:bottom w:val="single" w:sz="4" w:space="0" w:color="auto"/>
              <w:right w:val="single" w:sz="4" w:space="0" w:color="auto"/>
            </w:tcBorders>
            <w:hideMark/>
          </w:tcPr>
          <w:p w14:paraId="56F920F2" w14:textId="77777777" w:rsidR="00DF7C60" w:rsidRPr="00DF7C60" w:rsidRDefault="00DF7C60" w:rsidP="00DF7C60">
            <w:pPr>
              <w:spacing w:before="120" w:after="120" w:line="240" w:lineRule="auto"/>
              <w:jc w:val="left"/>
              <w:rPr>
                <w:szCs w:val="17"/>
              </w:rPr>
            </w:pPr>
            <w:r w:rsidRPr="00DF7C60">
              <w:rPr>
                <w:szCs w:val="17"/>
              </w:rPr>
              <w:t>Either:</w:t>
            </w:r>
          </w:p>
          <w:p w14:paraId="2E71D25C" w14:textId="77777777" w:rsidR="00DF7C60" w:rsidRPr="00DF7C60" w:rsidRDefault="001E29AE" w:rsidP="00965F17">
            <w:pPr>
              <w:numPr>
                <w:ilvl w:val="0"/>
                <w:numId w:val="54"/>
              </w:numPr>
              <w:spacing w:before="240" w:after="0" w:line="240" w:lineRule="auto"/>
              <w:contextualSpacing/>
              <w:jc w:val="left"/>
              <w:rPr>
                <w:szCs w:val="17"/>
              </w:rPr>
            </w:pPr>
            <w:hyperlink r:id="rId44" w:anchor="_2.1—Definitions" w:history="1">
              <w:r w:rsidR="00DF7C60" w:rsidRPr="00DF7C60">
                <w:rPr>
                  <w:szCs w:val="17"/>
                  <w:u w:val="single"/>
                </w:rPr>
                <w:t>personal service</w:t>
              </w:r>
            </w:hyperlink>
            <w:r w:rsidR="00DF7C60" w:rsidRPr="00DF7C60">
              <w:rPr>
                <w:szCs w:val="17"/>
              </w:rPr>
              <w:t xml:space="preserve"> on an individual where required—$110; or</w:t>
            </w:r>
          </w:p>
          <w:p w14:paraId="5F9FE338" w14:textId="77777777" w:rsidR="00DF7C60" w:rsidRPr="00DF7C60" w:rsidRDefault="00DF7C60" w:rsidP="00965F17">
            <w:pPr>
              <w:numPr>
                <w:ilvl w:val="0"/>
                <w:numId w:val="54"/>
              </w:numPr>
              <w:spacing w:before="240" w:after="0" w:line="240" w:lineRule="auto"/>
              <w:contextualSpacing/>
              <w:jc w:val="left"/>
              <w:rPr>
                <w:szCs w:val="17"/>
              </w:rPr>
            </w:pPr>
            <w:r w:rsidRPr="00DF7C60">
              <w:rPr>
                <w:szCs w:val="17"/>
              </w:rPr>
              <w:t>other—$55.</w:t>
            </w:r>
          </w:p>
        </w:tc>
      </w:tr>
      <w:tr w:rsidR="00DF7C60" w:rsidRPr="00DF7C60" w14:paraId="37AACA92"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17B1E022" w14:textId="77777777" w:rsidR="00DF7C60" w:rsidRPr="00DF7C60" w:rsidRDefault="00DF7C60" w:rsidP="00DF7C60">
            <w:pPr>
              <w:spacing w:before="120" w:after="120" w:line="240" w:lineRule="auto"/>
              <w:jc w:val="left"/>
              <w:rPr>
                <w:szCs w:val="17"/>
              </w:rPr>
            </w:pPr>
            <w:r w:rsidRPr="00DF7C60">
              <w:rPr>
                <w:szCs w:val="17"/>
              </w:rPr>
              <w:t>17</w:t>
            </w:r>
          </w:p>
        </w:tc>
        <w:tc>
          <w:tcPr>
            <w:tcW w:w="2620" w:type="pct"/>
            <w:tcBorders>
              <w:top w:val="single" w:sz="4" w:space="0" w:color="auto"/>
              <w:left w:val="single" w:sz="4" w:space="0" w:color="auto"/>
              <w:bottom w:val="single" w:sz="4" w:space="0" w:color="auto"/>
              <w:right w:val="single" w:sz="4" w:space="0" w:color="auto"/>
            </w:tcBorders>
            <w:hideMark/>
          </w:tcPr>
          <w:p w14:paraId="1DF03ABE" w14:textId="77777777" w:rsidR="00DF7C60" w:rsidRPr="00DF7C60" w:rsidRDefault="00DF7C60" w:rsidP="00DF7C60">
            <w:pPr>
              <w:spacing w:before="120" w:after="120" w:line="240" w:lineRule="auto"/>
              <w:jc w:val="left"/>
              <w:rPr>
                <w:szCs w:val="17"/>
              </w:rPr>
            </w:pPr>
            <w:r w:rsidRPr="00DF7C60">
              <w:rPr>
                <w:szCs w:val="17"/>
              </w:rPr>
              <w:t>Witness fees generally.</w:t>
            </w:r>
          </w:p>
        </w:tc>
        <w:tc>
          <w:tcPr>
            <w:tcW w:w="2060" w:type="pct"/>
            <w:tcBorders>
              <w:top w:val="single" w:sz="4" w:space="0" w:color="auto"/>
              <w:left w:val="single" w:sz="4" w:space="0" w:color="auto"/>
              <w:bottom w:val="single" w:sz="4" w:space="0" w:color="auto"/>
              <w:right w:val="single" w:sz="4" w:space="0" w:color="auto"/>
            </w:tcBorders>
            <w:hideMark/>
          </w:tcPr>
          <w:p w14:paraId="240A3BF4" w14:textId="77777777" w:rsidR="00DF7C60" w:rsidRPr="00DF7C60" w:rsidRDefault="00DF7C60" w:rsidP="00DF7C60">
            <w:pPr>
              <w:spacing w:before="120" w:after="120" w:line="240" w:lineRule="auto"/>
              <w:jc w:val="left"/>
              <w:rPr>
                <w:szCs w:val="17"/>
              </w:rPr>
            </w:pPr>
            <w:r w:rsidRPr="00DF7C60">
              <w:rPr>
                <w:szCs w:val="17"/>
              </w:rPr>
              <w:t>$90—per day.</w:t>
            </w:r>
          </w:p>
        </w:tc>
      </w:tr>
      <w:tr w:rsidR="00DF7C60" w:rsidRPr="00DF7C60" w14:paraId="1E28EEB0"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2E2A0F18" w14:textId="77777777" w:rsidR="00DF7C60" w:rsidRPr="00DF7C60" w:rsidRDefault="00DF7C60" w:rsidP="00DF7C60">
            <w:pPr>
              <w:spacing w:before="120" w:after="120" w:line="240" w:lineRule="auto"/>
              <w:jc w:val="left"/>
              <w:rPr>
                <w:szCs w:val="17"/>
              </w:rPr>
            </w:pPr>
            <w:r w:rsidRPr="00DF7C60">
              <w:rPr>
                <w:szCs w:val="17"/>
              </w:rPr>
              <w:t>18</w:t>
            </w:r>
          </w:p>
        </w:tc>
        <w:tc>
          <w:tcPr>
            <w:tcW w:w="2620" w:type="pct"/>
            <w:tcBorders>
              <w:top w:val="single" w:sz="4" w:space="0" w:color="auto"/>
              <w:left w:val="single" w:sz="4" w:space="0" w:color="auto"/>
              <w:bottom w:val="single" w:sz="4" w:space="0" w:color="auto"/>
              <w:right w:val="single" w:sz="4" w:space="0" w:color="auto"/>
            </w:tcBorders>
            <w:hideMark/>
          </w:tcPr>
          <w:p w14:paraId="1E91CD35" w14:textId="77777777" w:rsidR="00DF7C60" w:rsidRPr="00DF7C60" w:rsidRDefault="00DF7C60" w:rsidP="00DF7C60">
            <w:pPr>
              <w:spacing w:before="120" w:after="120" w:line="240" w:lineRule="auto"/>
              <w:jc w:val="left"/>
              <w:rPr>
                <w:szCs w:val="17"/>
              </w:rPr>
            </w:pPr>
            <w:r w:rsidRPr="00DF7C60">
              <w:rPr>
                <w:szCs w:val="17"/>
              </w:rPr>
              <w:t>Professional witness.</w:t>
            </w:r>
          </w:p>
        </w:tc>
        <w:tc>
          <w:tcPr>
            <w:tcW w:w="2060" w:type="pct"/>
            <w:tcBorders>
              <w:top w:val="single" w:sz="4" w:space="0" w:color="auto"/>
              <w:left w:val="single" w:sz="4" w:space="0" w:color="auto"/>
              <w:bottom w:val="single" w:sz="4" w:space="0" w:color="auto"/>
              <w:right w:val="single" w:sz="4" w:space="0" w:color="auto"/>
            </w:tcBorders>
            <w:hideMark/>
          </w:tcPr>
          <w:p w14:paraId="5A7A3AA7" w14:textId="77777777" w:rsidR="00DF7C60" w:rsidRPr="00DF7C60" w:rsidRDefault="00DF7C60" w:rsidP="00DF7C60">
            <w:pPr>
              <w:spacing w:before="120" w:after="120" w:line="240" w:lineRule="auto"/>
              <w:jc w:val="left"/>
              <w:rPr>
                <w:szCs w:val="17"/>
              </w:rPr>
            </w:pPr>
            <w:r w:rsidRPr="00DF7C60">
              <w:rPr>
                <w:szCs w:val="17"/>
              </w:rPr>
              <w:t>$560—per day.</w:t>
            </w:r>
          </w:p>
        </w:tc>
      </w:tr>
      <w:tr w:rsidR="00DF7C60" w:rsidRPr="00DF7C60" w14:paraId="2889B103"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23599D7F" w14:textId="77777777" w:rsidR="00DF7C60" w:rsidRPr="00DF7C60" w:rsidRDefault="00DF7C60" w:rsidP="00DF7C60">
            <w:pPr>
              <w:spacing w:before="120" w:after="120" w:line="240" w:lineRule="auto"/>
              <w:jc w:val="left"/>
              <w:rPr>
                <w:szCs w:val="17"/>
              </w:rPr>
            </w:pPr>
            <w:r w:rsidRPr="00DF7C60">
              <w:rPr>
                <w:szCs w:val="17"/>
              </w:rPr>
              <w:t>19</w:t>
            </w:r>
          </w:p>
        </w:tc>
        <w:tc>
          <w:tcPr>
            <w:tcW w:w="2620" w:type="pct"/>
            <w:tcBorders>
              <w:top w:val="single" w:sz="4" w:space="0" w:color="auto"/>
              <w:left w:val="single" w:sz="4" w:space="0" w:color="auto"/>
              <w:bottom w:val="single" w:sz="4" w:space="0" w:color="auto"/>
              <w:right w:val="single" w:sz="4" w:space="0" w:color="auto"/>
            </w:tcBorders>
            <w:hideMark/>
          </w:tcPr>
          <w:p w14:paraId="3FFBD685" w14:textId="77777777" w:rsidR="00DF7C60" w:rsidRPr="00DF7C60" w:rsidRDefault="00DF7C60" w:rsidP="00DF7C60">
            <w:pPr>
              <w:spacing w:before="120" w:after="120" w:line="240" w:lineRule="auto"/>
              <w:jc w:val="left"/>
              <w:rPr>
                <w:szCs w:val="17"/>
              </w:rPr>
            </w:pPr>
            <w:r w:rsidRPr="00DF7C60">
              <w:rPr>
                <w:szCs w:val="17"/>
              </w:rPr>
              <w:t>All other Court fees.</w:t>
            </w:r>
          </w:p>
        </w:tc>
        <w:tc>
          <w:tcPr>
            <w:tcW w:w="2060" w:type="pct"/>
            <w:tcBorders>
              <w:top w:val="single" w:sz="4" w:space="0" w:color="auto"/>
              <w:left w:val="single" w:sz="4" w:space="0" w:color="auto"/>
              <w:bottom w:val="single" w:sz="4" w:space="0" w:color="auto"/>
              <w:right w:val="single" w:sz="4" w:space="0" w:color="auto"/>
            </w:tcBorders>
            <w:hideMark/>
          </w:tcPr>
          <w:p w14:paraId="3B618DCC" w14:textId="77777777" w:rsidR="00DF7C60" w:rsidRPr="00DF7C60" w:rsidRDefault="00DF7C60" w:rsidP="00DF7C60">
            <w:pPr>
              <w:spacing w:before="120" w:after="120" w:line="240" w:lineRule="auto"/>
              <w:jc w:val="left"/>
              <w:rPr>
                <w:szCs w:val="17"/>
              </w:rPr>
            </w:pPr>
            <w:r w:rsidRPr="00DF7C60">
              <w:rPr>
                <w:szCs w:val="17"/>
              </w:rPr>
              <w:t>As allowed by the Court.</w:t>
            </w:r>
          </w:p>
        </w:tc>
      </w:tr>
      <w:tr w:rsidR="00DF7C60" w:rsidRPr="00DF7C60" w14:paraId="25193092" w14:textId="77777777" w:rsidTr="008D0F2D">
        <w:tc>
          <w:tcPr>
            <w:tcW w:w="320" w:type="pct"/>
            <w:tcBorders>
              <w:top w:val="single" w:sz="4" w:space="0" w:color="auto"/>
              <w:left w:val="single" w:sz="4" w:space="0" w:color="auto"/>
              <w:bottom w:val="single" w:sz="4" w:space="0" w:color="auto"/>
              <w:right w:val="single" w:sz="4" w:space="0" w:color="auto"/>
            </w:tcBorders>
            <w:hideMark/>
          </w:tcPr>
          <w:p w14:paraId="45589B21" w14:textId="77777777" w:rsidR="00DF7C60" w:rsidRPr="00DF7C60" w:rsidRDefault="00DF7C60" w:rsidP="00DF7C60">
            <w:pPr>
              <w:spacing w:before="120" w:after="120" w:line="240" w:lineRule="auto"/>
              <w:jc w:val="left"/>
              <w:rPr>
                <w:szCs w:val="17"/>
              </w:rPr>
            </w:pPr>
            <w:r w:rsidRPr="00DF7C60">
              <w:rPr>
                <w:szCs w:val="17"/>
              </w:rPr>
              <w:t>20</w:t>
            </w:r>
          </w:p>
        </w:tc>
        <w:tc>
          <w:tcPr>
            <w:tcW w:w="2620" w:type="pct"/>
            <w:tcBorders>
              <w:top w:val="single" w:sz="4" w:space="0" w:color="auto"/>
              <w:left w:val="single" w:sz="4" w:space="0" w:color="auto"/>
              <w:bottom w:val="single" w:sz="4" w:space="0" w:color="auto"/>
              <w:right w:val="single" w:sz="4" w:space="0" w:color="auto"/>
            </w:tcBorders>
            <w:hideMark/>
          </w:tcPr>
          <w:p w14:paraId="73440F10" w14:textId="77777777" w:rsidR="00DF7C60" w:rsidRPr="00DF7C60" w:rsidRDefault="00DF7C60" w:rsidP="00DF7C60">
            <w:pPr>
              <w:spacing w:before="120" w:after="120" w:line="240" w:lineRule="auto"/>
              <w:jc w:val="left"/>
              <w:rPr>
                <w:szCs w:val="17"/>
              </w:rPr>
            </w:pPr>
            <w:r w:rsidRPr="00DF7C60">
              <w:rPr>
                <w:szCs w:val="17"/>
              </w:rPr>
              <w:t>Other disbursements.</w:t>
            </w:r>
          </w:p>
        </w:tc>
        <w:tc>
          <w:tcPr>
            <w:tcW w:w="2060" w:type="pct"/>
            <w:tcBorders>
              <w:top w:val="single" w:sz="4" w:space="0" w:color="auto"/>
              <w:left w:val="single" w:sz="4" w:space="0" w:color="auto"/>
              <w:bottom w:val="single" w:sz="4" w:space="0" w:color="auto"/>
              <w:right w:val="single" w:sz="4" w:space="0" w:color="auto"/>
            </w:tcBorders>
            <w:hideMark/>
          </w:tcPr>
          <w:p w14:paraId="1502BCFF" w14:textId="77777777" w:rsidR="00DF7C60" w:rsidRPr="00DF7C60" w:rsidRDefault="00DF7C60" w:rsidP="00DF7C60">
            <w:pPr>
              <w:spacing w:before="120" w:after="120" w:line="240" w:lineRule="auto"/>
              <w:jc w:val="left"/>
              <w:rPr>
                <w:szCs w:val="17"/>
              </w:rPr>
            </w:pPr>
            <w:r w:rsidRPr="00DF7C60">
              <w:rPr>
                <w:szCs w:val="17"/>
              </w:rPr>
              <w:t>As allowed by the Court.</w:t>
            </w:r>
          </w:p>
        </w:tc>
        <w:bookmarkEnd w:id="17"/>
      </w:tr>
    </w:tbl>
    <w:p w14:paraId="526911C7" w14:textId="77777777" w:rsidR="00DF7C60" w:rsidRPr="00DF7C60" w:rsidRDefault="00DF7C60" w:rsidP="00DF7C60">
      <w:pPr>
        <w:rPr>
          <w:szCs w:val="17"/>
          <w:highlight w:val="yellow"/>
        </w:rPr>
      </w:pPr>
    </w:p>
    <w:p w14:paraId="23DBD6BD" w14:textId="77777777" w:rsidR="00DF7C60" w:rsidRPr="00DF7C60" w:rsidRDefault="00DF7C60" w:rsidP="00965F17">
      <w:pPr>
        <w:numPr>
          <w:ilvl w:val="0"/>
          <w:numId w:val="57"/>
        </w:numPr>
        <w:ind w:left="851" w:hanging="758"/>
        <w:jc w:val="left"/>
        <w:rPr>
          <w:szCs w:val="17"/>
        </w:rPr>
      </w:pPr>
      <w:r w:rsidRPr="00DF7C60">
        <w:rPr>
          <w:szCs w:val="17"/>
        </w:rPr>
        <w:t>In Schedule 7, Form 126— Notice of and Consent to Discontinuance is inserted to replace Form 126— Consent to Discontinuance as follows:</w:t>
      </w:r>
    </w:p>
    <w:p w14:paraId="43C9C329" w14:textId="77777777" w:rsidR="00DF7C60" w:rsidRPr="00DF7C60" w:rsidRDefault="00DF7C60" w:rsidP="00DF7C60">
      <w:pPr>
        <w:tabs>
          <w:tab w:val="center" w:pos="4153"/>
          <w:tab w:val="right" w:pos="8306"/>
        </w:tabs>
        <w:overflowPunct w:val="0"/>
        <w:autoSpaceDE w:val="0"/>
        <w:autoSpaceDN w:val="0"/>
        <w:adjustRightInd w:val="0"/>
        <w:rPr>
          <w:rFonts w:eastAsia="Times New Roman"/>
          <w:szCs w:val="17"/>
          <w:lang w:val="en-US"/>
        </w:rPr>
      </w:pPr>
      <w:r w:rsidRPr="00DF7C60">
        <w:rPr>
          <w:rFonts w:eastAsia="Times New Roman"/>
          <w:szCs w:val="17"/>
          <w:lang w:val="en-US"/>
        </w:rPr>
        <w:t>Form 126</w:t>
      </w:r>
    </w:p>
    <w:p w14:paraId="2E50E612"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 w:val="24"/>
          <w:szCs w:val="20"/>
          <w:lang w:val="en-US"/>
        </w:rPr>
      </w:pPr>
    </w:p>
    <w:tbl>
      <w:tblPr>
        <w:tblStyle w:val="TableGrid38"/>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DF7C60" w:rsidRPr="00DF7C60" w14:paraId="2DAC948D" w14:textId="77777777" w:rsidTr="0012134E">
        <w:tc>
          <w:tcPr>
            <w:tcW w:w="3899" w:type="pct"/>
            <w:tcBorders>
              <w:top w:val="single" w:sz="4" w:space="0" w:color="auto"/>
            </w:tcBorders>
          </w:tcPr>
          <w:p w14:paraId="709702C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t>To be inserted by Court</w:t>
            </w:r>
          </w:p>
        </w:tc>
        <w:tc>
          <w:tcPr>
            <w:tcW w:w="1101" w:type="pct"/>
            <w:tcBorders>
              <w:top w:val="single" w:sz="4" w:space="0" w:color="auto"/>
            </w:tcBorders>
          </w:tcPr>
          <w:p w14:paraId="6C5255A5"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1926A9D7" w14:textId="77777777" w:rsidTr="0012134E">
        <w:trPr>
          <w:trHeight w:val="1148"/>
        </w:trPr>
        <w:tc>
          <w:tcPr>
            <w:tcW w:w="3899" w:type="pct"/>
            <w:tcBorders>
              <w:bottom w:val="single" w:sz="2" w:space="0" w:color="auto"/>
            </w:tcBorders>
          </w:tcPr>
          <w:p w14:paraId="50CBB79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324E276B"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7B4B035E"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07CD22A4"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Filed:</w:t>
            </w:r>
          </w:p>
          <w:p w14:paraId="63B699DC"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6F39742C"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0A2AA15E"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207D3D7C"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7FAC899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bl>
    <w:p w14:paraId="7B4E640F"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 w:val="24"/>
          <w:szCs w:val="20"/>
          <w:lang w:val="en-US"/>
        </w:rPr>
      </w:pPr>
    </w:p>
    <w:p w14:paraId="0961942E" w14:textId="77777777" w:rsidR="00DF7C60" w:rsidRPr="00DF7C60" w:rsidRDefault="00DF7C60" w:rsidP="00DF7C60">
      <w:pPr>
        <w:tabs>
          <w:tab w:val="left" w:pos="1134"/>
          <w:tab w:val="left" w:pos="2342"/>
          <w:tab w:val="left" w:pos="4536"/>
          <w:tab w:val="right" w:pos="8789"/>
        </w:tabs>
        <w:spacing w:after="160" w:line="360" w:lineRule="auto"/>
        <w:jc w:val="center"/>
        <w:rPr>
          <w:b/>
          <w:bCs/>
          <w:sz w:val="28"/>
        </w:rPr>
      </w:pPr>
      <w:r w:rsidRPr="00DF7C60">
        <w:rPr>
          <w:b/>
          <w:bCs/>
          <w:sz w:val="28"/>
        </w:rPr>
        <w:lastRenderedPageBreak/>
        <w:t>NOTICE OF AND CONSENT TO DISCONTINUANCE</w:t>
      </w:r>
    </w:p>
    <w:p w14:paraId="7F7E5E95" w14:textId="77777777" w:rsidR="00DF7C60" w:rsidRPr="00DF7C60" w:rsidRDefault="00DF7C60" w:rsidP="00DF7C60">
      <w:pPr>
        <w:tabs>
          <w:tab w:val="left" w:pos="1134"/>
          <w:tab w:val="left" w:pos="2342"/>
          <w:tab w:val="left" w:pos="4536"/>
          <w:tab w:val="right" w:pos="8789"/>
        </w:tabs>
        <w:spacing w:after="160" w:line="360" w:lineRule="auto"/>
        <w:jc w:val="center"/>
        <w:rPr>
          <w:b/>
          <w:bCs/>
          <w:sz w:val="28"/>
        </w:rPr>
      </w:pPr>
    </w:p>
    <w:p w14:paraId="2DFF6AF9"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Pr>
          <w:iCs/>
          <w:sz w:val="22"/>
        </w:rPr>
        <w:t>[</w:t>
      </w:r>
      <w:r w:rsidRPr="00DF7C60">
        <w:rPr>
          <w:i/>
          <w:iCs/>
          <w:sz w:val="22"/>
        </w:rPr>
        <w:t>SUPREME/DISTRICT/MAGISTRATES</w:t>
      </w:r>
      <w:r w:rsidRPr="00DF7C60">
        <w:rPr>
          <w:iCs/>
          <w:sz w:val="22"/>
        </w:rPr>
        <w:t xml:space="preserve">] </w:t>
      </w:r>
      <w:r w:rsidRPr="00DF7C60">
        <w:rPr>
          <w:b/>
          <w:sz w:val="12"/>
        </w:rPr>
        <w:t xml:space="preserve">Delete all but one </w:t>
      </w:r>
      <w:r w:rsidRPr="00DF7C60">
        <w:rPr>
          <w:iCs/>
          <w:sz w:val="22"/>
        </w:rPr>
        <w:t xml:space="preserve">COURT </w:t>
      </w:r>
      <w:r w:rsidRPr="00DF7C60">
        <w:rPr>
          <w:bCs/>
          <w:sz w:val="22"/>
        </w:rPr>
        <w:t xml:space="preserve">OF SOUTH AUSTRALIA </w:t>
      </w:r>
    </w:p>
    <w:p w14:paraId="3AB79B37"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w:t>
      </w:r>
      <w:r w:rsidRPr="00DF7C60">
        <w:rPr>
          <w:i/>
          <w:iCs/>
          <w:sz w:val="22"/>
        </w:rPr>
        <w:t>COURT OF APPEAL</w:t>
      </w:r>
      <w:r w:rsidRPr="00DF7C60">
        <w:rPr>
          <w:iCs/>
          <w:sz w:val="22"/>
        </w:rPr>
        <w:t xml:space="preserve">] </w:t>
      </w:r>
      <w:r w:rsidRPr="00DF7C60">
        <w:rPr>
          <w:b/>
          <w:sz w:val="12"/>
        </w:rPr>
        <w:t>If applicable</w:t>
      </w:r>
    </w:p>
    <w:p w14:paraId="30CA4EC5"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CIVIL JURISDICTION</w:t>
      </w:r>
    </w:p>
    <w:p w14:paraId="5C3CA179"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w:t>
      </w:r>
      <w:r w:rsidRPr="00DF7C60">
        <w:rPr>
          <w:i/>
          <w:iCs/>
          <w:sz w:val="22"/>
        </w:rPr>
        <w:t>MINOR CIVIL</w:t>
      </w:r>
      <w:r w:rsidRPr="00DF7C60">
        <w:rPr>
          <w:iCs/>
          <w:sz w:val="22"/>
        </w:rPr>
        <w:t xml:space="preserve">] </w:t>
      </w:r>
      <w:r w:rsidRPr="00DF7C60">
        <w:rPr>
          <w:b/>
          <w:sz w:val="12"/>
        </w:rPr>
        <w:t>If applicable</w:t>
      </w:r>
    </w:p>
    <w:p w14:paraId="1D0B8ADB" w14:textId="77777777" w:rsidR="00DF7C60" w:rsidRPr="00DF7C60" w:rsidRDefault="00DF7C60" w:rsidP="00DF7C60">
      <w:pPr>
        <w:tabs>
          <w:tab w:val="left" w:pos="1134"/>
          <w:tab w:val="left" w:pos="2342"/>
          <w:tab w:val="left" w:pos="4536"/>
          <w:tab w:val="right" w:pos="8789"/>
        </w:tabs>
        <w:spacing w:after="0" w:line="259" w:lineRule="auto"/>
        <w:jc w:val="left"/>
        <w:rPr>
          <w:b/>
          <w:sz w:val="12"/>
        </w:rPr>
      </w:pPr>
      <w:r w:rsidRPr="00DF7C60">
        <w:rPr>
          <w:iCs/>
          <w:sz w:val="22"/>
        </w:rPr>
        <w:t>[</w:t>
      </w:r>
      <w:r w:rsidRPr="00DF7C60">
        <w:rPr>
          <w:i/>
          <w:iCs/>
          <w:sz w:val="22"/>
        </w:rPr>
        <w:t>NAME OF LIST</w:t>
      </w:r>
      <w:r w:rsidRPr="00DF7C60">
        <w:rPr>
          <w:iCs/>
          <w:sz w:val="22"/>
        </w:rPr>
        <w:t xml:space="preserve">] LIST </w:t>
      </w:r>
      <w:r w:rsidRPr="00DF7C60">
        <w:rPr>
          <w:b/>
          <w:sz w:val="12"/>
        </w:rPr>
        <w:t>If applicable</w:t>
      </w:r>
    </w:p>
    <w:p w14:paraId="5EDABC9D"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p>
    <w:p w14:paraId="0882B0B3" w14:textId="77777777" w:rsidR="00DF7C60" w:rsidRPr="00DF7C60" w:rsidRDefault="00DF7C60" w:rsidP="00DF7C60">
      <w:pPr>
        <w:tabs>
          <w:tab w:val="left" w:pos="1134"/>
          <w:tab w:val="left" w:pos="2342"/>
          <w:tab w:val="left" w:pos="4536"/>
          <w:tab w:val="right" w:pos="8789"/>
        </w:tabs>
        <w:spacing w:after="360" w:line="259" w:lineRule="auto"/>
        <w:jc w:val="left"/>
        <w:rPr>
          <w:b/>
          <w:bCs/>
          <w:sz w:val="22"/>
        </w:rPr>
      </w:pPr>
      <w:r w:rsidRPr="00DF7C60">
        <w:rPr>
          <w:b/>
          <w:sz w:val="12"/>
        </w:rPr>
        <w:t>Please specify the Full Name including capacity (eg Administrator, Liquidator, Trustee) and Litigation Guardian Name (if applicable) for each party. Each party should include a party number if more than one party of the same type.</w:t>
      </w:r>
    </w:p>
    <w:p w14:paraId="18C17874" w14:textId="77777777" w:rsidR="00DF7C60" w:rsidRPr="00DF7C60" w:rsidRDefault="00DF7C60" w:rsidP="008D0F2D">
      <w:pPr>
        <w:tabs>
          <w:tab w:val="left" w:pos="1134"/>
          <w:tab w:val="left" w:pos="2342"/>
          <w:tab w:val="left" w:pos="4536"/>
          <w:tab w:val="right" w:pos="8789"/>
        </w:tabs>
        <w:spacing w:before="360" w:after="0" w:line="259" w:lineRule="auto"/>
        <w:jc w:val="left"/>
        <w:rPr>
          <w:b/>
          <w:bCs/>
          <w:sz w:val="22"/>
        </w:rPr>
      </w:pPr>
      <w:bookmarkStart w:id="18" w:name="_Hlk39138649"/>
    </w:p>
    <w:p w14:paraId="5136C12C" w14:textId="77777777" w:rsidR="00DF7C60" w:rsidRPr="00DF7C60" w:rsidDel="00897A6B" w:rsidRDefault="00DF7C60" w:rsidP="00DF7C60">
      <w:pPr>
        <w:tabs>
          <w:tab w:val="left" w:pos="1134"/>
          <w:tab w:val="left" w:pos="2342"/>
          <w:tab w:val="left" w:pos="4536"/>
          <w:tab w:val="right" w:pos="8789"/>
        </w:tabs>
        <w:spacing w:after="480" w:line="259" w:lineRule="auto"/>
        <w:jc w:val="left"/>
        <w:rPr>
          <w:bCs/>
          <w:sz w:val="22"/>
        </w:rPr>
      </w:pPr>
      <w:r w:rsidRPr="00DF7C60" w:rsidDel="00897A6B">
        <w:rPr>
          <w:bCs/>
          <w:sz w:val="22"/>
        </w:rPr>
        <w:t xml:space="preserve">First </w:t>
      </w:r>
      <w:r w:rsidRPr="00DF7C60">
        <w:rPr>
          <w:bCs/>
          <w:sz w:val="22"/>
        </w:rPr>
        <w:t>Applicant</w:t>
      </w:r>
    </w:p>
    <w:p w14:paraId="3C9D9651" w14:textId="77777777" w:rsidR="00DF7C60" w:rsidRPr="00DF7C60" w:rsidRDefault="00DF7C60" w:rsidP="008D0F2D">
      <w:pPr>
        <w:tabs>
          <w:tab w:val="left" w:pos="1134"/>
          <w:tab w:val="left" w:pos="2342"/>
          <w:tab w:val="left" w:pos="4536"/>
          <w:tab w:val="right" w:pos="8789"/>
        </w:tabs>
        <w:spacing w:after="0" w:line="259" w:lineRule="auto"/>
        <w:jc w:val="left"/>
        <w:rPr>
          <w:b/>
          <w:bCs/>
          <w:sz w:val="22"/>
        </w:rPr>
      </w:pPr>
    </w:p>
    <w:p w14:paraId="049C7965" w14:textId="77777777" w:rsidR="00DF7C60" w:rsidRPr="00DF7C60" w:rsidDel="00897A6B" w:rsidRDefault="00DF7C60" w:rsidP="00DF7C60">
      <w:pPr>
        <w:tabs>
          <w:tab w:val="left" w:pos="1134"/>
          <w:tab w:val="left" w:pos="2342"/>
          <w:tab w:val="left" w:pos="4536"/>
          <w:tab w:val="right" w:pos="8789"/>
        </w:tabs>
        <w:spacing w:after="480" w:line="259" w:lineRule="auto"/>
        <w:jc w:val="left"/>
        <w:rPr>
          <w:bCs/>
          <w:sz w:val="22"/>
        </w:rPr>
      </w:pPr>
      <w:r w:rsidRPr="00DF7C60">
        <w:rPr>
          <w:bCs/>
          <w:sz w:val="22"/>
        </w:rPr>
        <w:t>First Respondent</w:t>
      </w:r>
    </w:p>
    <w:p w14:paraId="01E9D49D" w14:textId="77777777" w:rsidR="00DF7C60" w:rsidRPr="00DF7C60" w:rsidRDefault="00DF7C60" w:rsidP="008D0F2D">
      <w:pPr>
        <w:tabs>
          <w:tab w:val="left" w:pos="1134"/>
          <w:tab w:val="left" w:pos="2342"/>
          <w:tab w:val="left" w:pos="4536"/>
          <w:tab w:val="right" w:pos="8789"/>
        </w:tabs>
        <w:spacing w:after="0" w:line="259" w:lineRule="auto"/>
        <w:jc w:val="left"/>
        <w:rPr>
          <w:b/>
          <w:bCs/>
          <w:sz w:val="22"/>
        </w:rPr>
      </w:pPr>
    </w:p>
    <w:p w14:paraId="028E3200" w14:textId="77777777" w:rsidR="00DF7C60" w:rsidRPr="00DF7C60" w:rsidRDefault="00DF7C60" w:rsidP="00DF7C60">
      <w:pPr>
        <w:tabs>
          <w:tab w:val="left" w:pos="1134"/>
          <w:tab w:val="left" w:pos="2342"/>
          <w:tab w:val="left" w:pos="4536"/>
          <w:tab w:val="right" w:pos="8789"/>
        </w:tabs>
        <w:spacing w:after="720" w:line="259" w:lineRule="auto"/>
        <w:jc w:val="left"/>
        <w:rPr>
          <w:bCs/>
          <w:sz w:val="22"/>
        </w:rPr>
      </w:pPr>
      <w:bookmarkStart w:id="19" w:name="_Hlk39140678"/>
      <w:r w:rsidRPr="00DF7C60">
        <w:rPr>
          <w:bCs/>
          <w:sz w:val="22"/>
        </w:rPr>
        <w:t>First Interested Party</w:t>
      </w:r>
    </w:p>
    <w:tbl>
      <w:tblPr>
        <w:tblStyle w:val="TableGrid116"/>
        <w:tblW w:w="5000" w:type="pct"/>
        <w:tblInd w:w="-5" w:type="dxa"/>
        <w:tblLayout w:type="fixed"/>
        <w:tblLook w:val="04A0" w:firstRow="1" w:lastRow="0" w:firstColumn="1" w:lastColumn="0" w:noHBand="0" w:noVBand="1"/>
      </w:tblPr>
      <w:tblGrid>
        <w:gridCol w:w="2311"/>
        <w:gridCol w:w="3516"/>
        <w:gridCol w:w="3517"/>
      </w:tblGrid>
      <w:tr w:rsidR="00DF7C60" w:rsidRPr="00DF7C60" w14:paraId="0A6DC497" w14:textId="77777777" w:rsidTr="0012134E">
        <w:trPr>
          <w:cantSplit/>
          <w:trHeight w:val="454"/>
        </w:trPr>
        <w:tc>
          <w:tcPr>
            <w:tcW w:w="2578" w:type="dxa"/>
            <w:vMerge w:val="restart"/>
            <w:tcBorders>
              <w:top w:val="single" w:sz="4" w:space="0" w:color="auto"/>
              <w:left w:val="single" w:sz="4" w:space="0" w:color="auto"/>
              <w:right w:val="single" w:sz="4" w:space="0" w:color="auto"/>
            </w:tcBorders>
            <w:hideMark/>
          </w:tcPr>
          <w:p w14:paraId="2420EEDD" w14:textId="77777777" w:rsidR="00DF7C60" w:rsidRPr="00DF7C60" w:rsidRDefault="00DF7C60" w:rsidP="00DF7C60">
            <w:pPr>
              <w:keepNext/>
              <w:spacing w:after="0" w:line="240" w:lineRule="auto"/>
              <w:jc w:val="left"/>
              <w:rPr>
                <w:sz w:val="22"/>
              </w:rPr>
            </w:pPr>
            <w:bookmarkStart w:id="20" w:name="_Hlk38351993"/>
            <w:bookmarkStart w:id="21" w:name="_Hlk38383639"/>
            <w:bookmarkEnd w:id="18"/>
            <w:bookmarkEnd w:id="19"/>
            <w:r w:rsidRPr="00DF7C60">
              <w:rPr>
                <w:sz w:val="22"/>
              </w:rPr>
              <w:t>Lodging Party</w:t>
            </w:r>
          </w:p>
        </w:tc>
        <w:tc>
          <w:tcPr>
            <w:tcW w:w="7879" w:type="dxa"/>
            <w:gridSpan w:val="2"/>
            <w:tcBorders>
              <w:top w:val="single" w:sz="4" w:space="0" w:color="auto"/>
              <w:left w:val="single" w:sz="4" w:space="0" w:color="auto"/>
              <w:bottom w:val="nil"/>
              <w:right w:val="single" w:sz="4" w:space="0" w:color="auto"/>
            </w:tcBorders>
          </w:tcPr>
          <w:p w14:paraId="1E785BFD" w14:textId="77777777" w:rsidR="00DF7C60" w:rsidRPr="00DF7C60" w:rsidRDefault="00DF7C60" w:rsidP="00DF7C60">
            <w:pPr>
              <w:keepNext/>
              <w:spacing w:after="0" w:line="240" w:lineRule="auto"/>
              <w:jc w:val="left"/>
              <w:rPr>
                <w:sz w:val="22"/>
              </w:rPr>
            </w:pPr>
          </w:p>
        </w:tc>
      </w:tr>
      <w:tr w:rsidR="00DF7C60" w:rsidRPr="00DF7C60" w14:paraId="1BE12308" w14:textId="77777777" w:rsidTr="0012134E">
        <w:trPr>
          <w:cantSplit/>
          <w:trHeight w:val="85"/>
        </w:trPr>
        <w:tc>
          <w:tcPr>
            <w:tcW w:w="2578" w:type="dxa"/>
            <w:vMerge/>
            <w:tcBorders>
              <w:left w:val="single" w:sz="4" w:space="0" w:color="auto"/>
              <w:bottom w:val="single" w:sz="4" w:space="0" w:color="auto"/>
              <w:right w:val="single" w:sz="4" w:space="0" w:color="auto"/>
            </w:tcBorders>
          </w:tcPr>
          <w:p w14:paraId="301B99DE" w14:textId="77777777" w:rsidR="00DF7C60" w:rsidRPr="00DF7C60" w:rsidRDefault="00DF7C60" w:rsidP="00DF7C60">
            <w:pPr>
              <w:keepNext/>
              <w:spacing w:after="0" w:line="240" w:lineRule="auto"/>
              <w:jc w:val="left"/>
              <w:rPr>
                <w:sz w:val="22"/>
              </w:rPr>
            </w:pPr>
          </w:p>
        </w:tc>
        <w:tc>
          <w:tcPr>
            <w:tcW w:w="7879" w:type="dxa"/>
            <w:gridSpan w:val="2"/>
            <w:tcBorders>
              <w:top w:val="nil"/>
              <w:left w:val="single" w:sz="4" w:space="0" w:color="auto"/>
              <w:bottom w:val="single" w:sz="4" w:space="0" w:color="auto"/>
              <w:right w:val="single" w:sz="4" w:space="0" w:color="auto"/>
            </w:tcBorders>
          </w:tcPr>
          <w:p w14:paraId="2DEA984A" w14:textId="77777777" w:rsidR="00DF7C60" w:rsidRPr="00DF7C60" w:rsidRDefault="00DF7C60" w:rsidP="00DF7C60">
            <w:pPr>
              <w:keepNext/>
              <w:spacing w:after="0" w:line="240" w:lineRule="auto"/>
              <w:jc w:val="left"/>
              <w:rPr>
                <w:sz w:val="22"/>
              </w:rPr>
            </w:pPr>
            <w:r w:rsidRPr="00DF7C60">
              <w:rPr>
                <w:sz w:val="12"/>
              </w:rPr>
              <w:t>Full Name (including Also Known as, capacity (eg Administrator, Liquidator, Trustee) and Litigation Guardian Name (if applicable))</w:t>
            </w:r>
          </w:p>
        </w:tc>
      </w:tr>
      <w:tr w:rsidR="00DF7C60" w:rsidRPr="00DF7C60" w14:paraId="2F18A763" w14:textId="77777777" w:rsidTr="0012134E">
        <w:trPr>
          <w:cantSplit/>
          <w:trHeight w:val="454"/>
        </w:trPr>
        <w:tc>
          <w:tcPr>
            <w:tcW w:w="2578" w:type="dxa"/>
            <w:vMerge w:val="restart"/>
            <w:tcBorders>
              <w:top w:val="single" w:sz="4" w:space="0" w:color="auto"/>
              <w:left w:val="single" w:sz="4" w:space="0" w:color="auto"/>
              <w:right w:val="single" w:sz="4" w:space="0" w:color="auto"/>
            </w:tcBorders>
            <w:hideMark/>
          </w:tcPr>
          <w:p w14:paraId="27099CB6" w14:textId="77777777" w:rsidR="00DF7C60" w:rsidRPr="00DF7C60" w:rsidRDefault="00DF7C60" w:rsidP="00DF7C60">
            <w:pPr>
              <w:keepNext/>
              <w:spacing w:after="0" w:line="240" w:lineRule="auto"/>
              <w:jc w:val="left"/>
              <w:rPr>
                <w:sz w:val="22"/>
              </w:rPr>
            </w:pPr>
            <w:r w:rsidRPr="00DF7C60">
              <w:rPr>
                <w:sz w:val="22"/>
              </w:rPr>
              <w:t>Name of law firm / solicitor</w:t>
            </w:r>
          </w:p>
          <w:p w14:paraId="36CDAB70" w14:textId="77777777" w:rsidR="00DF7C60" w:rsidRPr="00DF7C60" w:rsidRDefault="00DF7C60" w:rsidP="00DF7C60">
            <w:pPr>
              <w:keepNext/>
              <w:spacing w:after="0" w:line="240" w:lineRule="auto"/>
              <w:jc w:val="left"/>
              <w:rPr>
                <w:sz w:val="12"/>
                <w:szCs w:val="12"/>
              </w:rPr>
            </w:pPr>
            <w:r w:rsidRPr="00DF7C60">
              <w:rPr>
                <w:sz w:val="12"/>
                <w:szCs w:val="12"/>
              </w:rPr>
              <w:t>If any</w:t>
            </w:r>
          </w:p>
        </w:tc>
        <w:tc>
          <w:tcPr>
            <w:tcW w:w="3939" w:type="dxa"/>
            <w:tcBorders>
              <w:top w:val="single" w:sz="4" w:space="0" w:color="auto"/>
              <w:left w:val="single" w:sz="4" w:space="0" w:color="auto"/>
              <w:bottom w:val="nil"/>
              <w:right w:val="single" w:sz="4" w:space="0" w:color="auto"/>
            </w:tcBorders>
          </w:tcPr>
          <w:p w14:paraId="0B36BFCF" w14:textId="77777777" w:rsidR="00DF7C60" w:rsidRPr="00DF7C60" w:rsidRDefault="00DF7C60" w:rsidP="00DF7C60">
            <w:pPr>
              <w:keepNext/>
              <w:spacing w:after="0" w:line="240" w:lineRule="auto"/>
              <w:jc w:val="left"/>
              <w:rPr>
                <w:sz w:val="22"/>
              </w:rPr>
            </w:pPr>
          </w:p>
        </w:tc>
        <w:tc>
          <w:tcPr>
            <w:tcW w:w="3940" w:type="dxa"/>
            <w:tcBorders>
              <w:top w:val="single" w:sz="4" w:space="0" w:color="auto"/>
              <w:left w:val="single" w:sz="4" w:space="0" w:color="auto"/>
              <w:bottom w:val="nil"/>
              <w:right w:val="single" w:sz="4" w:space="0" w:color="auto"/>
            </w:tcBorders>
          </w:tcPr>
          <w:p w14:paraId="4E690CB0" w14:textId="77777777" w:rsidR="00DF7C60" w:rsidRPr="00DF7C60" w:rsidRDefault="00DF7C60" w:rsidP="00DF7C60">
            <w:pPr>
              <w:keepNext/>
              <w:spacing w:after="0" w:line="240" w:lineRule="auto"/>
              <w:jc w:val="left"/>
              <w:rPr>
                <w:sz w:val="22"/>
              </w:rPr>
            </w:pPr>
          </w:p>
        </w:tc>
      </w:tr>
      <w:tr w:rsidR="00DF7C60" w:rsidRPr="00DF7C60" w14:paraId="51AF5AE0" w14:textId="77777777" w:rsidTr="0012134E">
        <w:trPr>
          <w:cantSplit/>
          <w:trHeight w:val="85"/>
        </w:trPr>
        <w:tc>
          <w:tcPr>
            <w:tcW w:w="2578" w:type="dxa"/>
            <w:vMerge/>
            <w:tcBorders>
              <w:left w:val="single" w:sz="4" w:space="0" w:color="auto"/>
              <w:bottom w:val="single" w:sz="4" w:space="0" w:color="auto"/>
              <w:right w:val="single" w:sz="4" w:space="0" w:color="auto"/>
            </w:tcBorders>
          </w:tcPr>
          <w:p w14:paraId="5FDA4692" w14:textId="77777777" w:rsidR="00DF7C60" w:rsidRPr="00DF7C60" w:rsidRDefault="00DF7C60" w:rsidP="00DF7C60">
            <w:pPr>
              <w:keepNext/>
              <w:spacing w:after="0" w:line="240" w:lineRule="auto"/>
              <w:jc w:val="left"/>
              <w:rPr>
                <w:sz w:val="22"/>
              </w:rPr>
            </w:pPr>
          </w:p>
        </w:tc>
        <w:tc>
          <w:tcPr>
            <w:tcW w:w="3939" w:type="dxa"/>
            <w:tcBorders>
              <w:top w:val="nil"/>
              <w:left w:val="single" w:sz="4" w:space="0" w:color="auto"/>
              <w:bottom w:val="single" w:sz="4" w:space="0" w:color="auto"/>
              <w:right w:val="single" w:sz="4" w:space="0" w:color="auto"/>
            </w:tcBorders>
            <w:vAlign w:val="bottom"/>
          </w:tcPr>
          <w:p w14:paraId="53D2456D" w14:textId="77777777" w:rsidR="00DF7C60" w:rsidRPr="00DF7C60" w:rsidRDefault="00DF7C60" w:rsidP="00DF7C60">
            <w:pPr>
              <w:keepNext/>
              <w:spacing w:after="0" w:line="240" w:lineRule="auto"/>
              <w:jc w:val="left"/>
              <w:rPr>
                <w:sz w:val="22"/>
              </w:rPr>
            </w:pPr>
            <w:r w:rsidRPr="00DF7C60">
              <w:rPr>
                <w:sz w:val="12"/>
              </w:rPr>
              <w:t>Law Firm</w:t>
            </w:r>
          </w:p>
        </w:tc>
        <w:tc>
          <w:tcPr>
            <w:tcW w:w="3940" w:type="dxa"/>
            <w:tcBorders>
              <w:top w:val="nil"/>
              <w:left w:val="single" w:sz="4" w:space="0" w:color="auto"/>
              <w:bottom w:val="single" w:sz="4" w:space="0" w:color="auto"/>
              <w:right w:val="single" w:sz="4" w:space="0" w:color="auto"/>
            </w:tcBorders>
            <w:vAlign w:val="bottom"/>
          </w:tcPr>
          <w:p w14:paraId="44BE4023" w14:textId="77777777" w:rsidR="00DF7C60" w:rsidRPr="00DF7C60" w:rsidRDefault="00DF7C60" w:rsidP="00DF7C60">
            <w:pPr>
              <w:keepNext/>
              <w:spacing w:after="0" w:line="240" w:lineRule="auto"/>
              <w:jc w:val="left"/>
              <w:rPr>
                <w:sz w:val="22"/>
              </w:rPr>
            </w:pPr>
            <w:r w:rsidRPr="00DF7C60">
              <w:rPr>
                <w:sz w:val="12"/>
              </w:rPr>
              <w:t>Solicitor</w:t>
            </w:r>
          </w:p>
        </w:tc>
      </w:tr>
      <w:bookmarkEnd w:id="20"/>
      <w:bookmarkEnd w:id="21"/>
    </w:tbl>
    <w:p w14:paraId="4F3E2D40" w14:textId="77777777" w:rsidR="00DF7C60" w:rsidRPr="00DF7C60" w:rsidRDefault="00DF7C60" w:rsidP="00DF7C60">
      <w:pPr>
        <w:spacing w:before="120" w:after="120" w:line="259" w:lineRule="auto"/>
        <w:jc w:val="left"/>
        <w:rPr>
          <w:sz w:val="22"/>
        </w:rPr>
      </w:pPr>
    </w:p>
    <w:tbl>
      <w:tblPr>
        <w:tblStyle w:val="TableGrid210"/>
        <w:tblW w:w="0" w:type="auto"/>
        <w:tblLook w:val="04A0" w:firstRow="1" w:lastRow="0" w:firstColumn="1" w:lastColumn="0" w:noHBand="0" w:noVBand="1"/>
      </w:tblPr>
      <w:tblGrid>
        <w:gridCol w:w="9344"/>
      </w:tblGrid>
      <w:tr w:rsidR="00DF7C60" w:rsidRPr="00DF7C60" w14:paraId="5356D111" w14:textId="77777777" w:rsidTr="0012134E">
        <w:tc>
          <w:tcPr>
            <w:tcW w:w="10457" w:type="dxa"/>
            <w:tcBorders>
              <w:bottom w:val="nil"/>
            </w:tcBorders>
          </w:tcPr>
          <w:p w14:paraId="1F5ABCFB" w14:textId="77777777" w:rsidR="00DF7C60" w:rsidRPr="00DF7C60" w:rsidRDefault="00DF7C60" w:rsidP="00DF7C60">
            <w:pPr>
              <w:spacing w:before="120" w:after="0" w:line="240" w:lineRule="auto"/>
              <w:jc w:val="left"/>
              <w:rPr>
                <w:sz w:val="22"/>
              </w:rPr>
            </w:pPr>
            <w:r w:rsidRPr="00DF7C60">
              <w:rPr>
                <w:sz w:val="22"/>
              </w:rPr>
              <w:t>Discontinuance</w:t>
            </w:r>
          </w:p>
          <w:p w14:paraId="77109CA8" w14:textId="77777777" w:rsidR="00DF7C60" w:rsidRPr="00DF7C60" w:rsidRDefault="00DF7C60" w:rsidP="00DF7C60">
            <w:pPr>
              <w:spacing w:after="240" w:line="240" w:lineRule="auto"/>
              <w:jc w:val="left"/>
              <w:rPr>
                <w:sz w:val="12"/>
                <w:szCs w:val="12"/>
              </w:rPr>
            </w:pPr>
            <w:r w:rsidRPr="00DF7C60">
              <w:rPr>
                <w:sz w:val="12"/>
                <w:szCs w:val="12"/>
              </w:rPr>
              <w:t>Mark appropriate section below with an ‘x’</w:t>
            </w:r>
          </w:p>
        </w:tc>
      </w:tr>
      <w:tr w:rsidR="00DF7C60" w:rsidRPr="00DF7C60" w14:paraId="11BF71B1" w14:textId="77777777" w:rsidTr="0012134E">
        <w:tc>
          <w:tcPr>
            <w:tcW w:w="10457" w:type="dxa"/>
            <w:tcBorders>
              <w:top w:val="nil"/>
            </w:tcBorders>
          </w:tcPr>
          <w:p w14:paraId="449F52B7" w14:textId="77777777" w:rsidR="00DF7C60" w:rsidRPr="00DF7C60" w:rsidRDefault="00DF7C60" w:rsidP="00DF7C60">
            <w:pPr>
              <w:tabs>
                <w:tab w:val="left" w:pos="1134"/>
                <w:tab w:val="left" w:pos="2342"/>
                <w:tab w:val="left" w:pos="4536"/>
              </w:tabs>
              <w:spacing w:after="240" w:line="240" w:lineRule="auto"/>
              <w:jc w:val="left"/>
              <w:rPr>
                <w:sz w:val="22"/>
              </w:rPr>
            </w:pPr>
            <w:r w:rsidRPr="00DF7C60">
              <w:rPr>
                <w:sz w:val="22"/>
              </w:rPr>
              <w:t>The following parties [list the Party title and name of each discontinuing party]</w:t>
            </w:r>
          </w:p>
          <w:p w14:paraId="2F3512A5" w14:textId="77777777" w:rsidR="00DF7C60" w:rsidRPr="00DF7C60" w:rsidRDefault="00DF7C60" w:rsidP="00DF7C60">
            <w:pPr>
              <w:tabs>
                <w:tab w:val="left" w:pos="1134"/>
                <w:tab w:val="left" w:pos="2342"/>
                <w:tab w:val="left" w:pos="4536"/>
              </w:tabs>
              <w:spacing w:before="240" w:after="240" w:line="240" w:lineRule="auto"/>
              <w:ind w:left="22" w:hanging="22"/>
              <w:jc w:val="left"/>
              <w:rPr>
                <w:rFonts w:eastAsia="Arial"/>
                <w:sz w:val="22"/>
              </w:rPr>
            </w:pPr>
            <w:r w:rsidRPr="00DF7C60">
              <w:rPr>
                <w:rFonts w:eastAsia="Arial"/>
                <w:sz w:val="22"/>
              </w:rPr>
              <w:t>wholly discontinue the following proceeding against the [list the Party title and name of each party against whom the proceeding is discontinued]:</w:t>
            </w:r>
          </w:p>
          <w:p w14:paraId="22190774" w14:textId="77777777" w:rsidR="00DF7C60" w:rsidRPr="00DF7C60" w:rsidRDefault="00DF7C60" w:rsidP="00DF7C60">
            <w:pPr>
              <w:tabs>
                <w:tab w:val="left" w:pos="1134"/>
                <w:tab w:val="left" w:pos="2342"/>
                <w:tab w:val="left" w:pos="4536"/>
              </w:tabs>
              <w:spacing w:before="240" w:after="0" w:line="276" w:lineRule="auto"/>
              <w:contextualSpacing/>
              <w:jc w:val="left"/>
              <w:rPr>
                <w:rFonts w:eastAsia="Arial"/>
                <w:sz w:val="22"/>
              </w:rPr>
            </w:pPr>
            <w:r w:rsidRPr="00DF7C60">
              <w:rPr>
                <w:rFonts w:eastAsia="Arial"/>
                <w:sz w:val="22"/>
              </w:rPr>
              <w:t>Type of proceeding:</w:t>
            </w:r>
          </w:p>
          <w:p w14:paraId="353FB9DE"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Claim.</w:t>
            </w:r>
          </w:p>
          <w:p w14:paraId="68CA537C"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Originating Application.</w:t>
            </w:r>
          </w:p>
          <w:p w14:paraId="34F1B415"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Counterclaim.</w:t>
            </w:r>
          </w:p>
          <w:p w14:paraId="37966305"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Third Party Claim.</w:t>
            </w:r>
          </w:p>
          <w:p w14:paraId="1F61850B"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 xml:space="preserve">Contribution Notice. </w:t>
            </w:r>
          </w:p>
          <w:p w14:paraId="7B39C2BF"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Appeal.</w:t>
            </w:r>
          </w:p>
          <w:p w14:paraId="71F10BB9"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Cross Appeal.</w:t>
            </w:r>
          </w:p>
          <w:p w14:paraId="475BBF9A" w14:textId="77777777" w:rsidR="00DF7C60" w:rsidRPr="00DF7C60" w:rsidRDefault="00DF7C60" w:rsidP="00DF7C60">
            <w:pPr>
              <w:tabs>
                <w:tab w:val="left" w:pos="1134"/>
                <w:tab w:val="left" w:pos="2342"/>
                <w:tab w:val="left" w:pos="4536"/>
              </w:tabs>
              <w:spacing w:after="0" w:line="276" w:lineRule="auto"/>
              <w:ind w:left="567" w:hanging="567"/>
              <w:contextualSpacing/>
              <w:jc w:val="left"/>
              <w:rPr>
                <w:rFonts w:eastAsia="Arial"/>
                <w:sz w:val="22"/>
              </w:rPr>
            </w:pPr>
            <w:r w:rsidRPr="00DF7C60">
              <w:rPr>
                <w:rFonts w:eastAsia="Arial"/>
                <w:sz w:val="22"/>
              </w:rPr>
              <w:t>[      ]</w:t>
            </w:r>
            <w:r w:rsidRPr="00DF7C60">
              <w:rPr>
                <w:rFonts w:eastAsia="Arial"/>
                <w:sz w:val="22"/>
              </w:rPr>
              <w:tab/>
              <w:t>Notice of Alternative Contention.</w:t>
            </w:r>
          </w:p>
          <w:p w14:paraId="25D2597A" w14:textId="77777777" w:rsidR="00DF7C60" w:rsidRPr="00DF7C60" w:rsidRDefault="00DF7C60" w:rsidP="00DF7C60">
            <w:pPr>
              <w:tabs>
                <w:tab w:val="left" w:pos="4536"/>
              </w:tabs>
              <w:spacing w:after="120" w:line="240" w:lineRule="auto"/>
              <w:ind w:left="567" w:hanging="567"/>
              <w:jc w:val="left"/>
              <w:rPr>
                <w:sz w:val="22"/>
              </w:rPr>
            </w:pPr>
            <w:r w:rsidRPr="00DF7C60">
              <w:rPr>
                <w:rFonts w:eastAsia="Arial"/>
                <w:sz w:val="22"/>
              </w:rPr>
              <w:t>[      ]</w:t>
            </w:r>
            <w:r w:rsidRPr="00DF7C60">
              <w:rPr>
                <w:rFonts w:eastAsia="Arial"/>
                <w:sz w:val="22"/>
              </w:rPr>
              <w:tab/>
              <w:t>Other [specify].</w:t>
            </w:r>
          </w:p>
        </w:tc>
      </w:tr>
    </w:tbl>
    <w:tbl>
      <w:tblPr>
        <w:tblStyle w:val="TableGrid38"/>
        <w:tblW w:w="0" w:type="auto"/>
        <w:tblLook w:val="04A0" w:firstRow="1" w:lastRow="0" w:firstColumn="1" w:lastColumn="0" w:noHBand="0" w:noVBand="1"/>
      </w:tblPr>
      <w:tblGrid>
        <w:gridCol w:w="9344"/>
      </w:tblGrid>
      <w:tr w:rsidR="00DF7C60" w:rsidRPr="00DF7C60" w14:paraId="54B9E1FF" w14:textId="77777777" w:rsidTr="008D0F2D">
        <w:tc>
          <w:tcPr>
            <w:tcW w:w="9344" w:type="dxa"/>
          </w:tcPr>
          <w:p w14:paraId="62A52F0C" w14:textId="77777777" w:rsidR="00DF7C60" w:rsidRPr="00DF7C60" w:rsidRDefault="00DF7C60" w:rsidP="00DF7C60">
            <w:pPr>
              <w:tabs>
                <w:tab w:val="left" w:pos="1134"/>
                <w:tab w:val="left" w:pos="2342"/>
                <w:tab w:val="left" w:pos="4536"/>
              </w:tabs>
              <w:spacing w:before="120" w:after="0" w:line="240" w:lineRule="auto"/>
              <w:jc w:val="left"/>
              <w:rPr>
                <w:b/>
                <w:sz w:val="22"/>
              </w:rPr>
            </w:pPr>
            <w:r w:rsidRPr="00DF7C60">
              <w:rPr>
                <w:b/>
                <w:sz w:val="22"/>
              </w:rPr>
              <w:lastRenderedPageBreak/>
              <w:t>Consent to Discontinuance</w:t>
            </w:r>
          </w:p>
          <w:p w14:paraId="760AB899" w14:textId="77777777" w:rsidR="00DF7C60" w:rsidRPr="00DF7C60" w:rsidRDefault="00DF7C60" w:rsidP="00DF7C60">
            <w:pPr>
              <w:tabs>
                <w:tab w:val="left" w:pos="1134"/>
                <w:tab w:val="left" w:pos="2342"/>
                <w:tab w:val="left" w:pos="4536"/>
              </w:tabs>
              <w:spacing w:after="240" w:line="240" w:lineRule="auto"/>
              <w:jc w:val="left"/>
              <w:rPr>
                <w:b/>
                <w:sz w:val="12"/>
                <w:szCs w:val="12"/>
              </w:rPr>
            </w:pPr>
            <w:r w:rsidRPr="00DF7C60">
              <w:rPr>
                <w:b/>
                <w:sz w:val="12"/>
                <w:szCs w:val="12"/>
              </w:rPr>
              <w:t>Mark appropriate sections below with an ‘x’</w:t>
            </w:r>
          </w:p>
          <w:p w14:paraId="1458AC3D" w14:textId="77777777" w:rsidR="00DF7C60" w:rsidRPr="00DF7C60" w:rsidRDefault="00DF7C60" w:rsidP="00DF7C60">
            <w:pPr>
              <w:tabs>
                <w:tab w:val="left" w:pos="1134"/>
                <w:tab w:val="left" w:pos="2342"/>
                <w:tab w:val="left" w:pos="4536"/>
              </w:tabs>
              <w:spacing w:after="240" w:line="240" w:lineRule="auto"/>
              <w:jc w:val="left"/>
              <w:rPr>
                <w:sz w:val="22"/>
              </w:rPr>
            </w:pPr>
            <w:r w:rsidRPr="00DF7C60">
              <w:rPr>
                <w:sz w:val="22"/>
              </w:rPr>
              <w:t>The following parties [list the Party title and name of each consenting party]</w:t>
            </w:r>
          </w:p>
          <w:p w14:paraId="28D44DF1" w14:textId="77777777" w:rsidR="00DF7C60" w:rsidRPr="00DF7C60" w:rsidRDefault="00DF7C60" w:rsidP="00DF7C60">
            <w:pPr>
              <w:tabs>
                <w:tab w:val="left" w:pos="1134"/>
                <w:tab w:val="left" w:pos="2342"/>
                <w:tab w:val="left" w:pos="4536"/>
              </w:tabs>
              <w:spacing w:before="240" w:after="240" w:line="240" w:lineRule="auto"/>
              <w:jc w:val="left"/>
              <w:rPr>
                <w:rFonts w:eastAsia="Arial"/>
                <w:sz w:val="22"/>
              </w:rPr>
            </w:pPr>
            <w:r w:rsidRPr="00DF7C60">
              <w:rPr>
                <w:sz w:val="22"/>
              </w:rPr>
              <w:t>consent to</w:t>
            </w:r>
            <w:r w:rsidRPr="00DF7C60">
              <w:rPr>
                <w:rFonts w:eastAsia="Arial"/>
                <w:sz w:val="22"/>
              </w:rPr>
              <w:t xml:space="preserve"> the discontinuance identified above.</w:t>
            </w:r>
          </w:p>
          <w:p w14:paraId="73BEEFB6" w14:textId="77777777" w:rsidR="00DF7C60" w:rsidRPr="00DF7C60" w:rsidRDefault="00DF7C60" w:rsidP="00DF7C60">
            <w:pPr>
              <w:keepNext/>
              <w:tabs>
                <w:tab w:val="left" w:pos="1752"/>
              </w:tabs>
              <w:spacing w:before="600" w:after="0" w:line="240" w:lineRule="auto"/>
              <w:jc w:val="left"/>
              <w:rPr>
                <w:b/>
                <w:sz w:val="22"/>
              </w:rPr>
            </w:pPr>
            <w:r w:rsidRPr="00DF7C60">
              <w:rPr>
                <w:b/>
                <w:sz w:val="22"/>
              </w:rPr>
              <w:t>Execution by consenting parties</w:t>
            </w:r>
          </w:p>
          <w:p w14:paraId="7EFF1F29" w14:textId="77777777" w:rsidR="00DF7C60" w:rsidRPr="00DF7C60" w:rsidRDefault="00DF7C60" w:rsidP="00DF7C60">
            <w:pPr>
              <w:keepNext/>
              <w:tabs>
                <w:tab w:val="left" w:pos="1752"/>
              </w:tabs>
              <w:spacing w:before="600" w:after="0" w:line="240" w:lineRule="auto"/>
              <w:jc w:val="left"/>
              <w:rPr>
                <w:sz w:val="22"/>
              </w:rPr>
            </w:pPr>
            <w:r w:rsidRPr="00DF7C60">
              <w:rPr>
                <w:sz w:val="22"/>
              </w:rPr>
              <w:t>…………………………………………</w:t>
            </w:r>
          </w:p>
          <w:p w14:paraId="1C5B6673" w14:textId="77777777" w:rsidR="00DF7C60" w:rsidRPr="00DF7C60" w:rsidRDefault="00DF7C60" w:rsidP="00DF7C60">
            <w:pPr>
              <w:tabs>
                <w:tab w:val="left" w:pos="1752"/>
              </w:tabs>
              <w:spacing w:after="600" w:line="240" w:lineRule="auto"/>
              <w:jc w:val="left"/>
              <w:rPr>
                <w:sz w:val="22"/>
              </w:rPr>
            </w:pPr>
            <w:r w:rsidRPr="00DF7C60">
              <w:rPr>
                <w:sz w:val="22"/>
              </w:rPr>
              <w:t>Signature of [      ] solicitor   [      ] party</w:t>
            </w:r>
          </w:p>
          <w:p w14:paraId="79761BAC" w14:textId="77777777" w:rsidR="00DF7C60" w:rsidRPr="00DF7C60" w:rsidRDefault="00DF7C60" w:rsidP="00DF7C60">
            <w:pPr>
              <w:tabs>
                <w:tab w:val="left" w:pos="1752"/>
              </w:tabs>
              <w:spacing w:after="0" w:line="240" w:lineRule="auto"/>
              <w:jc w:val="left"/>
              <w:rPr>
                <w:sz w:val="22"/>
              </w:rPr>
            </w:pPr>
            <w:r w:rsidRPr="00DF7C60">
              <w:rPr>
                <w:sz w:val="22"/>
              </w:rPr>
              <w:t>…………………………………………</w:t>
            </w:r>
          </w:p>
          <w:p w14:paraId="431083C7" w14:textId="77777777" w:rsidR="00DF7C60" w:rsidRPr="00DF7C60" w:rsidRDefault="00DF7C60" w:rsidP="00DF7C60">
            <w:pPr>
              <w:tabs>
                <w:tab w:val="left" w:pos="1752"/>
              </w:tabs>
              <w:spacing w:after="600" w:line="240" w:lineRule="auto"/>
              <w:jc w:val="left"/>
              <w:rPr>
                <w:sz w:val="22"/>
              </w:rPr>
            </w:pPr>
            <w:r w:rsidRPr="00DF7C60">
              <w:rPr>
                <w:sz w:val="22"/>
              </w:rPr>
              <w:t>Name printed</w:t>
            </w:r>
          </w:p>
          <w:p w14:paraId="6B9C5184" w14:textId="77777777" w:rsidR="00DF7C60" w:rsidRPr="00DF7C60" w:rsidRDefault="00DF7C60" w:rsidP="00DF7C60">
            <w:pPr>
              <w:tabs>
                <w:tab w:val="left" w:pos="1752"/>
              </w:tabs>
              <w:spacing w:after="0" w:line="240" w:lineRule="auto"/>
              <w:jc w:val="left"/>
              <w:rPr>
                <w:sz w:val="22"/>
              </w:rPr>
            </w:pPr>
            <w:r w:rsidRPr="00DF7C60">
              <w:rPr>
                <w:sz w:val="22"/>
              </w:rPr>
              <w:t>…………………………………………</w:t>
            </w:r>
          </w:p>
          <w:p w14:paraId="66F02831" w14:textId="77777777" w:rsidR="00DF7C60" w:rsidRPr="00DF7C60" w:rsidRDefault="00DF7C60" w:rsidP="00DF7C60">
            <w:pPr>
              <w:tabs>
                <w:tab w:val="left" w:pos="1752"/>
              </w:tabs>
              <w:spacing w:after="600" w:line="240" w:lineRule="auto"/>
              <w:jc w:val="left"/>
              <w:rPr>
                <w:sz w:val="22"/>
              </w:rPr>
            </w:pPr>
            <w:r w:rsidRPr="00DF7C60">
              <w:rPr>
                <w:sz w:val="22"/>
              </w:rPr>
              <w:t>Party title</w:t>
            </w:r>
          </w:p>
          <w:p w14:paraId="2642C7BA" w14:textId="77777777" w:rsidR="00DF7C60" w:rsidRPr="00DF7C60" w:rsidRDefault="00DF7C60" w:rsidP="00DF7C60">
            <w:pPr>
              <w:tabs>
                <w:tab w:val="left" w:pos="1752"/>
              </w:tabs>
              <w:spacing w:after="0" w:line="240" w:lineRule="auto"/>
              <w:jc w:val="left"/>
              <w:rPr>
                <w:sz w:val="22"/>
              </w:rPr>
            </w:pPr>
            <w:r w:rsidRPr="00DF7C60">
              <w:rPr>
                <w:sz w:val="22"/>
              </w:rPr>
              <w:t>………………………….</w:t>
            </w:r>
          </w:p>
          <w:p w14:paraId="6AF501EF" w14:textId="77777777" w:rsidR="00DF7C60" w:rsidRPr="00DF7C60" w:rsidRDefault="00DF7C60" w:rsidP="00DF7C60">
            <w:pPr>
              <w:tabs>
                <w:tab w:val="left" w:pos="357"/>
                <w:tab w:val="left" w:pos="454"/>
                <w:tab w:val="left" w:pos="4536"/>
              </w:tabs>
              <w:spacing w:after="120" w:line="240" w:lineRule="auto"/>
              <w:jc w:val="left"/>
              <w:rPr>
                <w:sz w:val="22"/>
              </w:rPr>
            </w:pPr>
            <w:r w:rsidRPr="00DF7C60">
              <w:rPr>
                <w:sz w:val="22"/>
              </w:rPr>
              <w:t>Date</w:t>
            </w:r>
          </w:p>
          <w:p w14:paraId="54582615" w14:textId="77777777" w:rsidR="00DF7C60" w:rsidRPr="00DF7C60" w:rsidRDefault="00DF7C60" w:rsidP="00DF7C60">
            <w:pPr>
              <w:tabs>
                <w:tab w:val="left" w:pos="357"/>
                <w:tab w:val="left" w:pos="454"/>
                <w:tab w:val="left" w:pos="4536"/>
              </w:tabs>
              <w:spacing w:after="120" w:line="240" w:lineRule="auto"/>
              <w:jc w:val="left"/>
              <w:rPr>
                <w:sz w:val="22"/>
              </w:rPr>
            </w:pPr>
          </w:p>
        </w:tc>
      </w:tr>
    </w:tbl>
    <w:p w14:paraId="7A1FE2D4" w14:textId="77777777" w:rsidR="00DF7C60" w:rsidRPr="00DF7C60" w:rsidRDefault="00DF7C60" w:rsidP="00DF7C60">
      <w:pPr>
        <w:rPr>
          <w:szCs w:val="17"/>
        </w:rPr>
      </w:pPr>
    </w:p>
    <w:p w14:paraId="344DCE23" w14:textId="77777777" w:rsidR="00DF7C60" w:rsidRPr="00DF7C60" w:rsidRDefault="00DF7C60" w:rsidP="00965F17">
      <w:pPr>
        <w:numPr>
          <w:ilvl w:val="0"/>
          <w:numId w:val="57"/>
        </w:numPr>
        <w:ind w:left="851" w:hanging="758"/>
        <w:jc w:val="left"/>
        <w:rPr>
          <w:szCs w:val="17"/>
        </w:rPr>
      </w:pPr>
      <w:r w:rsidRPr="00DF7C60">
        <w:rPr>
          <w:szCs w:val="17"/>
        </w:rPr>
        <w:t>In Schedule 7, Form 200— Generic is deleted and substituted as follows:</w:t>
      </w:r>
    </w:p>
    <w:p w14:paraId="27E9D694" w14:textId="77777777" w:rsidR="00DF7C60" w:rsidRPr="00DF7C60" w:rsidRDefault="00DF7C60" w:rsidP="00DF7C60">
      <w:pPr>
        <w:tabs>
          <w:tab w:val="center" w:pos="4153"/>
          <w:tab w:val="right" w:pos="8306"/>
        </w:tabs>
        <w:overflowPunct w:val="0"/>
        <w:autoSpaceDE w:val="0"/>
        <w:autoSpaceDN w:val="0"/>
        <w:adjustRightInd w:val="0"/>
        <w:rPr>
          <w:rFonts w:eastAsia="Times New Roman"/>
          <w:szCs w:val="17"/>
          <w:lang w:val="en-US"/>
        </w:rPr>
      </w:pPr>
      <w:r w:rsidRPr="00DF7C60">
        <w:rPr>
          <w:rFonts w:eastAsia="Times New Roman"/>
          <w:szCs w:val="17"/>
          <w:lang w:val="en-US"/>
        </w:rPr>
        <w:t>Form 200</w:t>
      </w:r>
    </w:p>
    <w:p w14:paraId="50D9B8A4" w14:textId="77777777" w:rsidR="00DF7C60" w:rsidRPr="00DF7C60" w:rsidRDefault="00DF7C60" w:rsidP="00DF7C60">
      <w:pPr>
        <w:tabs>
          <w:tab w:val="center" w:pos="4153"/>
          <w:tab w:val="right" w:pos="8306"/>
        </w:tabs>
        <w:overflowPunct w:val="0"/>
        <w:autoSpaceDE w:val="0"/>
        <w:autoSpaceDN w:val="0"/>
        <w:adjustRightInd w:val="0"/>
        <w:spacing w:after="0" w:line="240" w:lineRule="auto"/>
        <w:rPr>
          <w:rFonts w:eastAsia="Times New Roman"/>
          <w:sz w:val="24"/>
          <w:szCs w:val="20"/>
          <w:lang w:val="en-US"/>
        </w:rPr>
      </w:pPr>
    </w:p>
    <w:tbl>
      <w:tblPr>
        <w:tblStyle w:val="TableGrid38"/>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DF7C60" w:rsidRPr="00DF7C60" w14:paraId="74FDFC8C" w14:textId="77777777" w:rsidTr="0012134E">
        <w:tc>
          <w:tcPr>
            <w:tcW w:w="3899" w:type="pct"/>
            <w:gridSpan w:val="2"/>
            <w:tcBorders>
              <w:top w:val="single" w:sz="4" w:space="0" w:color="auto"/>
            </w:tcBorders>
          </w:tcPr>
          <w:p w14:paraId="4B8D535A"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t>To be inserted by Court</w:t>
            </w:r>
          </w:p>
        </w:tc>
        <w:tc>
          <w:tcPr>
            <w:tcW w:w="1101" w:type="pct"/>
            <w:tcBorders>
              <w:top w:val="single" w:sz="4" w:space="0" w:color="auto"/>
            </w:tcBorders>
          </w:tcPr>
          <w:p w14:paraId="07C3937E"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18DA8203" w14:textId="77777777" w:rsidTr="0012134E">
        <w:trPr>
          <w:trHeight w:val="1148"/>
        </w:trPr>
        <w:tc>
          <w:tcPr>
            <w:tcW w:w="3899" w:type="pct"/>
            <w:gridSpan w:val="2"/>
            <w:tcBorders>
              <w:bottom w:val="single" w:sz="2" w:space="0" w:color="auto"/>
            </w:tcBorders>
          </w:tcPr>
          <w:p w14:paraId="4ECE7467"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615482D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022C2968"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733D3034"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Filed:</w:t>
            </w:r>
          </w:p>
          <w:p w14:paraId="0D6F284B"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7C6970ED"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741E3053"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4530E6A6"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000D49F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71FB888D" w14:textId="77777777" w:rsidTr="0012134E">
        <w:trPr>
          <w:trHeight w:val="410"/>
        </w:trPr>
        <w:tc>
          <w:tcPr>
            <w:tcW w:w="1311" w:type="pct"/>
            <w:tcBorders>
              <w:top w:val="single" w:sz="2" w:space="0" w:color="auto"/>
              <w:bottom w:val="nil"/>
            </w:tcBorders>
          </w:tcPr>
          <w:p w14:paraId="11BA704E"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sz w:val="20"/>
                <w:szCs w:val="20"/>
              </w:rPr>
            </w:pPr>
            <w:r w:rsidRPr="00DF7C60">
              <w:rPr>
                <w:b/>
                <w:sz w:val="20"/>
                <w:szCs w:val="20"/>
              </w:rPr>
              <w:t>Hearing Date and Time:</w:t>
            </w:r>
            <w:r w:rsidRPr="00DF7C60">
              <w:rPr>
                <w:sz w:val="20"/>
                <w:szCs w:val="20"/>
              </w:rPr>
              <w:t xml:space="preserve"> </w:t>
            </w:r>
          </w:p>
          <w:p w14:paraId="38731ED8"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sz w:val="20"/>
                <w:szCs w:val="20"/>
              </w:rPr>
            </w:pPr>
          </w:p>
        </w:tc>
        <w:tc>
          <w:tcPr>
            <w:tcW w:w="2588" w:type="pct"/>
            <w:tcBorders>
              <w:top w:val="single" w:sz="2" w:space="0" w:color="auto"/>
              <w:bottom w:val="nil"/>
            </w:tcBorders>
          </w:tcPr>
          <w:p w14:paraId="3373293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top w:val="single" w:sz="2" w:space="0" w:color="auto"/>
              <w:bottom w:val="nil"/>
            </w:tcBorders>
          </w:tcPr>
          <w:p w14:paraId="64001391"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395693DB" w14:textId="77777777" w:rsidTr="0012134E">
        <w:trPr>
          <w:trHeight w:val="410"/>
        </w:trPr>
        <w:tc>
          <w:tcPr>
            <w:tcW w:w="1311" w:type="pct"/>
            <w:tcBorders>
              <w:top w:val="nil"/>
              <w:bottom w:val="single" w:sz="4" w:space="0" w:color="auto"/>
            </w:tcBorders>
          </w:tcPr>
          <w:p w14:paraId="59B2721F"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b/>
                <w:sz w:val="20"/>
                <w:szCs w:val="20"/>
              </w:rPr>
            </w:pPr>
            <w:r w:rsidRPr="00DF7C60">
              <w:rPr>
                <w:b/>
                <w:sz w:val="20"/>
                <w:szCs w:val="20"/>
              </w:rPr>
              <w:t>Hearing Location:</w:t>
            </w:r>
          </w:p>
          <w:p w14:paraId="2DD0F47E"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sz w:val="20"/>
                <w:szCs w:val="20"/>
              </w:rPr>
            </w:pPr>
          </w:p>
          <w:p w14:paraId="44404876"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sz w:val="20"/>
                <w:szCs w:val="20"/>
              </w:rPr>
            </w:pPr>
          </w:p>
          <w:p w14:paraId="7128A3AA" w14:textId="77777777" w:rsidR="00DF7C60" w:rsidRPr="00DF7C60" w:rsidRDefault="00DF7C60" w:rsidP="00DF7C60">
            <w:pPr>
              <w:tabs>
                <w:tab w:val="center" w:pos="4153"/>
                <w:tab w:val="right" w:pos="8306"/>
              </w:tabs>
              <w:overflowPunct w:val="0"/>
              <w:autoSpaceDE w:val="0"/>
              <w:autoSpaceDN w:val="0"/>
              <w:adjustRightInd w:val="0"/>
              <w:spacing w:after="0" w:line="240" w:lineRule="auto"/>
              <w:jc w:val="left"/>
              <w:textAlignment w:val="baseline"/>
              <w:rPr>
                <w:sz w:val="20"/>
                <w:szCs w:val="20"/>
              </w:rPr>
            </w:pPr>
          </w:p>
        </w:tc>
        <w:tc>
          <w:tcPr>
            <w:tcW w:w="2588" w:type="pct"/>
            <w:tcBorders>
              <w:top w:val="nil"/>
              <w:bottom w:val="single" w:sz="4" w:space="0" w:color="auto"/>
            </w:tcBorders>
          </w:tcPr>
          <w:p w14:paraId="3F1BB7EE"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top w:val="nil"/>
              <w:bottom w:val="single" w:sz="4" w:space="0" w:color="auto"/>
            </w:tcBorders>
          </w:tcPr>
          <w:p w14:paraId="256BF303"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bl>
    <w:p w14:paraId="49730343" w14:textId="77777777" w:rsidR="00DF7C60" w:rsidRPr="00DF7C60" w:rsidRDefault="00DF7C60" w:rsidP="00DF7C60">
      <w:pPr>
        <w:tabs>
          <w:tab w:val="left" w:pos="1134"/>
          <w:tab w:val="left" w:pos="2342"/>
          <w:tab w:val="left" w:pos="4536"/>
          <w:tab w:val="right" w:pos="8789"/>
        </w:tabs>
        <w:spacing w:after="160" w:line="360" w:lineRule="auto"/>
        <w:jc w:val="center"/>
        <w:rPr>
          <w:b/>
          <w:bCs/>
          <w:sz w:val="28"/>
        </w:rPr>
      </w:pPr>
      <w:r w:rsidRPr="00DF7C60">
        <w:rPr>
          <w:b/>
          <w:bCs/>
          <w:sz w:val="28"/>
        </w:rPr>
        <w:t>{TITLE}</w:t>
      </w:r>
    </w:p>
    <w:p w14:paraId="5C50FED9" w14:textId="77777777" w:rsidR="00DF7C60" w:rsidRPr="00DF7C60" w:rsidRDefault="00DF7C60" w:rsidP="00DF7C60">
      <w:pPr>
        <w:tabs>
          <w:tab w:val="left" w:pos="1134"/>
          <w:tab w:val="left" w:pos="2342"/>
          <w:tab w:val="left" w:pos="4536"/>
          <w:tab w:val="right" w:pos="8789"/>
        </w:tabs>
        <w:spacing w:after="160" w:line="360" w:lineRule="auto"/>
        <w:jc w:val="center"/>
        <w:rPr>
          <w:b/>
          <w:bCs/>
          <w:sz w:val="28"/>
        </w:rPr>
      </w:pPr>
    </w:p>
    <w:p w14:paraId="2A4DBF0C"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Pr>
          <w:iCs/>
          <w:sz w:val="22"/>
        </w:rPr>
        <w:t>[</w:t>
      </w:r>
      <w:r w:rsidRPr="00DF7C60">
        <w:rPr>
          <w:i/>
          <w:iCs/>
          <w:sz w:val="22"/>
        </w:rPr>
        <w:t>SUPREME/DISTRICT/MAGISTRATES</w:t>
      </w:r>
      <w:r w:rsidRPr="00DF7C60">
        <w:rPr>
          <w:iCs/>
          <w:sz w:val="22"/>
        </w:rPr>
        <w:t xml:space="preserve">] </w:t>
      </w:r>
      <w:r w:rsidRPr="00DF7C60">
        <w:rPr>
          <w:b/>
          <w:sz w:val="12"/>
        </w:rPr>
        <w:t xml:space="preserve">Delete all but one </w:t>
      </w:r>
      <w:r w:rsidRPr="00DF7C60">
        <w:rPr>
          <w:iCs/>
          <w:sz w:val="22"/>
        </w:rPr>
        <w:t xml:space="preserve">COURT </w:t>
      </w:r>
      <w:r w:rsidRPr="00DF7C60">
        <w:rPr>
          <w:bCs/>
          <w:sz w:val="22"/>
        </w:rPr>
        <w:t xml:space="preserve">OF SOUTH AUSTRALIA </w:t>
      </w:r>
    </w:p>
    <w:p w14:paraId="03A6FEA3"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w:t>
      </w:r>
      <w:r w:rsidRPr="00DF7C60">
        <w:rPr>
          <w:i/>
          <w:iCs/>
          <w:sz w:val="22"/>
        </w:rPr>
        <w:t>COURT OF APPEAL</w:t>
      </w:r>
      <w:r w:rsidRPr="00DF7C60">
        <w:rPr>
          <w:iCs/>
          <w:sz w:val="22"/>
        </w:rPr>
        <w:t xml:space="preserve">] </w:t>
      </w:r>
      <w:r w:rsidRPr="00DF7C60">
        <w:rPr>
          <w:b/>
          <w:sz w:val="12"/>
        </w:rPr>
        <w:t>If applicable</w:t>
      </w:r>
    </w:p>
    <w:p w14:paraId="38836D6F"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lastRenderedPageBreak/>
        <w:t>CIVIL JURISDICTION</w:t>
      </w:r>
    </w:p>
    <w:p w14:paraId="250A1A56"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w:t>
      </w:r>
      <w:r w:rsidRPr="00DF7C60">
        <w:rPr>
          <w:i/>
          <w:iCs/>
          <w:sz w:val="22"/>
        </w:rPr>
        <w:t>MINOR CIVIL</w:t>
      </w:r>
      <w:r w:rsidRPr="00DF7C60">
        <w:rPr>
          <w:iCs/>
          <w:sz w:val="22"/>
        </w:rPr>
        <w:t xml:space="preserve">] </w:t>
      </w:r>
      <w:r w:rsidRPr="00DF7C60">
        <w:rPr>
          <w:b/>
          <w:sz w:val="12"/>
        </w:rPr>
        <w:t>If applicable</w:t>
      </w:r>
    </w:p>
    <w:p w14:paraId="0FA11502" w14:textId="77777777" w:rsidR="00DF7C60" w:rsidRPr="00DF7C60" w:rsidRDefault="00DF7C60" w:rsidP="00DF7C60">
      <w:pPr>
        <w:tabs>
          <w:tab w:val="left" w:pos="1134"/>
          <w:tab w:val="left" w:pos="2342"/>
          <w:tab w:val="left" w:pos="4536"/>
          <w:tab w:val="right" w:pos="8789"/>
        </w:tabs>
        <w:spacing w:after="0" w:line="259" w:lineRule="auto"/>
        <w:jc w:val="left"/>
        <w:rPr>
          <w:b/>
          <w:sz w:val="12"/>
        </w:rPr>
      </w:pPr>
      <w:r w:rsidRPr="00DF7C60">
        <w:rPr>
          <w:iCs/>
          <w:sz w:val="22"/>
        </w:rPr>
        <w:t>[</w:t>
      </w:r>
      <w:r w:rsidRPr="00DF7C60">
        <w:rPr>
          <w:i/>
          <w:iCs/>
          <w:sz w:val="22"/>
        </w:rPr>
        <w:t>NAME OF LIST</w:t>
      </w:r>
      <w:r w:rsidRPr="00DF7C60">
        <w:rPr>
          <w:iCs/>
          <w:sz w:val="22"/>
        </w:rPr>
        <w:t>] LIST</w:t>
      </w:r>
      <w:r w:rsidRPr="00DF7C60">
        <w:rPr>
          <w:b/>
          <w:sz w:val="12"/>
        </w:rPr>
        <w:t xml:space="preserve"> If applicable</w:t>
      </w:r>
    </w:p>
    <w:p w14:paraId="31AFB74F"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p>
    <w:p w14:paraId="3D181369" w14:textId="77777777" w:rsidR="00DF7C60" w:rsidRPr="00DF7C60" w:rsidRDefault="00DF7C60" w:rsidP="00DF7C60">
      <w:pPr>
        <w:tabs>
          <w:tab w:val="left" w:pos="1134"/>
          <w:tab w:val="left" w:pos="2342"/>
          <w:tab w:val="left" w:pos="4536"/>
          <w:tab w:val="right" w:pos="8789"/>
        </w:tabs>
        <w:spacing w:after="360" w:line="259" w:lineRule="auto"/>
        <w:jc w:val="left"/>
        <w:rPr>
          <w:b/>
          <w:bCs/>
          <w:sz w:val="22"/>
        </w:rPr>
      </w:pPr>
      <w:r w:rsidRPr="00DF7C60">
        <w:rPr>
          <w:b/>
          <w:sz w:val="12"/>
        </w:rPr>
        <w:t>Please specify the Full Name including capacity (eg Administrator, Liquidator, Trustee) and Litigation Guardian Name (if applicable) for each party. Each party should include a party number if more than one party of the same type.</w:t>
      </w:r>
    </w:p>
    <w:p w14:paraId="5FAD8872" w14:textId="77777777" w:rsidR="00DF7C60" w:rsidRPr="00DF7C60" w:rsidRDefault="00DF7C60" w:rsidP="00DF7C60">
      <w:pPr>
        <w:tabs>
          <w:tab w:val="left" w:pos="1134"/>
          <w:tab w:val="left" w:pos="2342"/>
          <w:tab w:val="left" w:pos="4536"/>
          <w:tab w:val="right" w:pos="8789"/>
        </w:tabs>
        <w:spacing w:before="360" w:after="160" w:line="259" w:lineRule="auto"/>
        <w:jc w:val="left"/>
        <w:rPr>
          <w:b/>
          <w:bCs/>
          <w:sz w:val="22"/>
        </w:rPr>
      </w:pPr>
    </w:p>
    <w:p w14:paraId="1F586D6F"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sidDel="00897A6B">
        <w:rPr>
          <w:bCs/>
          <w:sz w:val="22"/>
        </w:rPr>
        <w:t xml:space="preserve">First </w:t>
      </w:r>
      <w:r w:rsidRPr="00DF7C60">
        <w:rPr>
          <w:bCs/>
          <w:sz w:val="22"/>
        </w:rPr>
        <w:t>Applicant</w:t>
      </w:r>
    </w:p>
    <w:p w14:paraId="1E6B0402" w14:textId="77777777" w:rsidR="00DF7C60" w:rsidRPr="00DF7C60" w:rsidDel="00897A6B" w:rsidRDefault="00DF7C60" w:rsidP="00DF7C60">
      <w:pPr>
        <w:tabs>
          <w:tab w:val="left" w:pos="1134"/>
          <w:tab w:val="left" w:pos="2342"/>
          <w:tab w:val="left" w:pos="4536"/>
          <w:tab w:val="right" w:pos="8789"/>
        </w:tabs>
        <w:spacing w:after="0" w:line="259" w:lineRule="auto"/>
        <w:jc w:val="left"/>
        <w:rPr>
          <w:bCs/>
          <w:sz w:val="22"/>
        </w:rPr>
      </w:pPr>
    </w:p>
    <w:p w14:paraId="0A857B8D" w14:textId="77777777" w:rsidR="00DF7C60" w:rsidRPr="00DF7C60" w:rsidRDefault="00DF7C60" w:rsidP="00DF7C60">
      <w:pPr>
        <w:tabs>
          <w:tab w:val="left" w:pos="1134"/>
          <w:tab w:val="left" w:pos="2342"/>
          <w:tab w:val="left" w:pos="4536"/>
          <w:tab w:val="right" w:pos="8789"/>
        </w:tabs>
        <w:spacing w:after="0" w:line="259" w:lineRule="auto"/>
        <w:jc w:val="left"/>
        <w:rPr>
          <w:b/>
          <w:bCs/>
          <w:sz w:val="22"/>
        </w:rPr>
      </w:pPr>
    </w:p>
    <w:p w14:paraId="3DE173E4"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Pr>
          <w:bCs/>
          <w:sz w:val="22"/>
        </w:rPr>
        <w:t>First Respondent</w:t>
      </w:r>
    </w:p>
    <w:p w14:paraId="0D27B6FE" w14:textId="77777777" w:rsidR="00DF7C60" w:rsidRPr="00DF7C60" w:rsidDel="00897A6B" w:rsidRDefault="00DF7C60" w:rsidP="00DF7C60">
      <w:pPr>
        <w:tabs>
          <w:tab w:val="left" w:pos="1134"/>
          <w:tab w:val="left" w:pos="2342"/>
          <w:tab w:val="left" w:pos="4536"/>
          <w:tab w:val="right" w:pos="8789"/>
        </w:tabs>
        <w:spacing w:after="0" w:line="259" w:lineRule="auto"/>
        <w:jc w:val="left"/>
        <w:rPr>
          <w:bCs/>
          <w:sz w:val="22"/>
        </w:rPr>
      </w:pPr>
    </w:p>
    <w:p w14:paraId="47A3D47D" w14:textId="77777777" w:rsidR="00DF7C60" w:rsidRPr="00DF7C60" w:rsidRDefault="00DF7C60" w:rsidP="00DF7C60">
      <w:pPr>
        <w:tabs>
          <w:tab w:val="left" w:pos="1134"/>
          <w:tab w:val="left" w:pos="2342"/>
          <w:tab w:val="left" w:pos="4536"/>
          <w:tab w:val="right" w:pos="8789"/>
        </w:tabs>
        <w:spacing w:after="0" w:line="259" w:lineRule="auto"/>
        <w:jc w:val="left"/>
        <w:rPr>
          <w:b/>
          <w:bCs/>
          <w:sz w:val="22"/>
        </w:rPr>
      </w:pPr>
    </w:p>
    <w:p w14:paraId="731B8B4F"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Pr>
          <w:bCs/>
          <w:sz w:val="22"/>
        </w:rPr>
        <w:t>First Interested Party</w:t>
      </w:r>
    </w:p>
    <w:p w14:paraId="02BC55FB"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p>
    <w:p w14:paraId="0E3B3077"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p>
    <w:p w14:paraId="0FBEF424"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p>
    <w:tbl>
      <w:tblPr>
        <w:tblStyle w:val="TableGrid38"/>
        <w:tblW w:w="5000" w:type="pct"/>
        <w:tblInd w:w="-5" w:type="dxa"/>
        <w:tblLayout w:type="fixed"/>
        <w:tblLook w:val="04A0" w:firstRow="1" w:lastRow="0" w:firstColumn="1" w:lastColumn="0" w:noHBand="0" w:noVBand="1"/>
      </w:tblPr>
      <w:tblGrid>
        <w:gridCol w:w="2311"/>
        <w:gridCol w:w="3516"/>
        <w:gridCol w:w="3517"/>
      </w:tblGrid>
      <w:tr w:rsidR="00DF7C60" w:rsidRPr="00DF7C60" w14:paraId="45A65F33" w14:textId="77777777" w:rsidTr="0012134E">
        <w:trPr>
          <w:cantSplit/>
          <w:trHeight w:val="454"/>
        </w:trPr>
        <w:tc>
          <w:tcPr>
            <w:tcW w:w="2578" w:type="dxa"/>
            <w:vMerge w:val="restart"/>
            <w:tcBorders>
              <w:top w:val="single" w:sz="4" w:space="0" w:color="auto"/>
              <w:left w:val="single" w:sz="4" w:space="0" w:color="auto"/>
              <w:right w:val="single" w:sz="4" w:space="0" w:color="auto"/>
            </w:tcBorders>
            <w:hideMark/>
          </w:tcPr>
          <w:p w14:paraId="2BA8C852" w14:textId="77777777" w:rsidR="00DF7C60" w:rsidRPr="00DF7C60" w:rsidRDefault="00DF7C60" w:rsidP="00DF7C60">
            <w:pPr>
              <w:keepNext/>
              <w:spacing w:after="0" w:line="240" w:lineRule="auto"/>
              <w:jc w:val="left"/>
              <w:rPr>
                <w:sz w:val="22"/>
              </w:rPr>
            </w:pPr>
            <w:r w:rsidRPr="00DF7C60">
              <w:rPr>
                <w:sz w:val="22"/>
              </w:rPr>
              <w:t>Lodging Party</w:t>
            </w:r>
          </w:p>
        </w:tc>
        <w:tc>
          <w:tcPr>
            <w:tcW w:w="7879" w:type="dxa"/>
            <w:gridSpan w:val="2"/>
            <w:tcBorders>
              <w:top w:val="single" w:sz="4" w:space="0" w:color="auto"/>
              <w:left w:val="single" w:sz="4" w:space="0" w:color="auto"/>
              <w:bottom w:val="nil"/>
              <w:right w:val="single" w:sz="4" w:space="0" w:color="auto"/>
            </w:tcBorders>
          </w:tcPr>
          <w:p w14:paraId="0519B0F5" w14:textId="77777777" w:rsidR="00DF7C60" w:rsidRPr="00DF7C60" w:rsidRDefault="00DF7C60" w:rsidP="00DF7C60">
            <w:pPr>
              <w:keepNext/>
              <w:spacing w:after="0" w:line="240" w:lineRule="auto"/>
              <w:jc w:val="left"/>
              <w:rPr>
                <w:sz w:val="22"/>
              </w:rPr>
            </w:pPr>
          </w:p>
        </w:tc>
      </w:tr>
      <w:tr w:rsidR="00DF7C60" w:rsidRPr="00DF7C60" w14:paraId="5045D4C7" w14:textId="77777777" w:rsidTr="0012134E">
        <w:trPr>
          <w:cantSplit/>
          <w:trHeight w:val="85"/>
        </w:trPr>
        <w:tc>
          <w:tcPr>
            <w:tcW w:w="2578" w:type="dxa"/>
            <w:vMerge/>
            <w:tcBorders>
              <w:left w:val="single" w:sz="4" w:space="0" w:color="auto"/>
              <w:bottom w:val="single" w:sz="4" w:space="0" w:color="auto"/>
              <w:right w:val="single" w:sz="4" w:space="0" w:color="auto"/>
            </w:tcBorders>
          </w:tcPr>
          <w:p w14:paraId="1A9F0A36" w14:textId="77777777" w:rsidR="00DF7C60" w:rsidRPr="00DF7C60" w:rsidRDefault="00DF7C60" w:rsidP="00DF7C60">
            <w:pPr>
              <w:keepNext/>
              <w:spacing w:after="0" w:line="240" w:lineRule="auto"/>
              <w:jc w:val="left"/>
              <w:rPr>
                <w:sz w:val="22"/>
              </w:rPr>
            </w:pPr>
          </w:p>
        </w:tc>
        <w:tc>
          <w:tcPr>
            <w:tcW w:w="7879" w:type="dxa"/>
            <w:gridSpan w:val="2"/>
            <w:tcBorders>
              <w:top w:val="nil"/>
              <w:left w:val="single" w:sz="4" w:space="0" w:color="auto"/>
              <w:bottom w:val="single" w:sz="4" w:space="0" w:color="auto"/>
              <w:right w:val="single" w:sz="4" w:space="0" w:color="auto"/>
            </w:tcBorders>
          </w:tcPr>
          <w:p w14:paraId="6257758F" w14:textId="77777777" w:rsidR="00DF7C60" w:rsidRPr="00DF7C60" w:rsidRDefault="00DF7C60" w:rsidP="00DF7C60">
            <w:pPr>
              <w:keepNext/>
              <w:spacing w:after="0" w:line="240" w:lineRule="auto"/>
              <w:jc w:val="left"/>
              <w:rPr>
                <w:sz w:val="22"/>
              </w:rPr>
            </w:pPr>
            <w:r w:rsidRPr="00DF7C60">
              <w:rPr>
                <w:b/>
                <w:sz w:val="12"/>
              </w:rPr>
              <w:t>Full Name (including Also Known as, capacity (eg Administrator, Liquidator, Trustee) and Litigation Guardian Name (if applicable))</w:t>
            </w:r>
          </w:p>
        </w:tc>
      </w:tr>
      <w:tr w:rsidR="00DF7C60" w:rsidRPr="00DF7C60" w14:paraId="70A1011E" w14:textId="77777777" w:rsidTr="0012134E">
        <w:trPr>
          <w:cantSplit/>
          <w:trHeight w:val="454"/>
        </w:trPr>
        <w:tc>
          <w:tcPr>
            <w:tcW w:w="2578" w:type="dxa"/>
            <w:vMerge w:val="restart"/>
            <w:tcBorders>
              <w:top w:val="single" w:sz="4" w:space="0" w:color="auto"/>
              <w:left w:val="single" w:sz="4" w:space="0" w:color="auto"/>
              <w:right w:val="single" w:sz="4" w:space="0" w:color="auto"/>
            </w:tcBorders>
            <w:hideMark/>
          </w:tcPr>
          <w:p w14:paraId="2200AA5D" w14:textId="77777777" w:rsidR="00DF7C60" w:rsidRPr="00DF7C60" w:rsidRDefault="00DF7C60" w:rsidP="00DF7C60">
            <w:pPr>
              <w:keepNext/>
              <w:spacing w:after="0" w:line="240" w:lineRule="auto"/>
              <w:jc w:val="left"/>
              <w:rPr>
                <w:sz w:val="22"/>
              </w:rPr>
            </w:pPr>
            <w:r w:rsidRPr="00DF7C60">
              <w:rPr>
                <w:sz w:val="22"/>
              </w:rPr>
              <w:t>Name of law firm / solicitor</w:t>
            </w:r>
          </w:p>
          <w:p w14:paraId="0E9483FC" w14:textId="77777777" w:rsidR="00DF7C60" w:rsidRPr="00DF7C60" w:rsidRDefault="00DF7C60" w:rsidP="00DF7C60">
            <w:pPr>
              <w:keepNext/>
              <w:spacing w:after="0" w:line="240" w:lineRule="auto"/>
              <w:jc w:val="left"/>
              <w:rPr>
                <w:b/>
                <w:sz w:val="12"/>
                <w:szCs w:val="12"/>
              </w:rPr>
            </w:pPr>
            <w:r w:rsidRPr="00DF7C60">
              <w:rPr>
                <w:b/>
                <w:sz w:val="12"/>
                <w:szCs w:val="12"/>
              </w:rPr>
              <w:t>If any</w:t>
            </w:r>
          </w:p>
        </w:tc>
        <w:tc>
          <w:tcPr>
            <w:tcW w:w="3939" w:type="dxa"/>
            <w:tcBorders>
              <w:top w:val="single" w:sz="4" w:space="0" w:color="auto"/>
              <w:left w:val="single" w:sz="4" w:space="0" w:color="auto"/>
              <w:bottom w:val="nil"/>
              <w:right w:val="single" w:sz="4" w:space="0" w:color="auto"/>
            </w:tcBorders>
          </w:tcPr>
          <w:p w14:paraId="729817FC" w14:textId="77777777" w:rsidR="00DF7C60" w:rsidRPr="00DF7C60" w:rsidRDefault="00DF7C60" w:rsidP="00DF7C60">
            <w:pPr>
              <w:keepNext/>
              <w:spacing w:after="0" w:line="240" w:lineRule="auto"/>
              <w:jc w:val="left"/>
              <w:rPr>
                <w:sz w:val="22"/>
              </w:rPr>
            </w:pPr>
          </w:p>
        </w:tc>
        <w:tc>
          <w:tcPr>
            <w:tcW w:w="3940" w:type="dxa"/>
            <w:tcBorders>
              <w:top w:val="single" w:sz="4" w:space="0" w:color="auto"/>
              <w:left w:val="single" w:sz="4" w:space="0" w:color="auto"/>
              <w:bottom w:val="nil"/>
              <w:right w:val="single" w:sz="4" w:space="0" w:color="auto"/>
            </w:tcBorders>
          </w:tcPr>
          <w:p w14:paraId="4FDD1CA7" w14:textId="77777777" w:rsidR="00DF7C60" w:rsidRPr="00DF7C60" w:rsidRDefault="00DF7C60" w:rsidP="00DF7C60">
            <w:pPr>
              <w:keepNext/>
              <w:spacing w:after="0" w:line="240" w:lineRule="auto"/>
              <w:jc w:val="left"/>
              <w:rPr>
                <w:sz w:val="22"/>
              </w:rPr>
            </w:pPr>
          </w:p>
        </w:tc>
      </w:tr>
      <w:tr w:rsidR="00DF7C60" w:rsidRPr="00DF7C60" w14:paraId="4E27A665" w14:textId="77777777" w:rsidTr="0012134E">
        <w:trPr>
          <w:cantSplit/>
          <w:trHeight w:val="85"/>
        </w:trPr>
        <w:tc>
          <w:tcPr>
            <w:tcW w:w="2578" w:type="dxa"/>
            <w:vMerge/>
            <w:tcBorders>
              <w:left w:val="single" w:sz="4" w:space="0" w:color="auto"/>
              <w:bottom w:val="single" w:sz="4" w:space="0" w:color="auto"/>
              <w:right w:val="single" w:sz="4" w:space="0" w:color="auto"/>
            </w:tcBorders>
          </w:tcPr>
          <w:p w14:paraId="6BB4BC8E" w14:textId="77777777" w:rsidR="00DF7C60" w:rsidRPr="00DF7C60" w:rsidRDefault="00DF7C60" w:rsidP="00DF7C60">
            <w:pPr>
              <w:keepNext/>
              <w:spacing w:after="0" w:line="240" w:lineRule="auto"/>
              <w:jc w:val="left"/>
              <w:rPr>
                <w:sz w:val="22"/>
              </w:rPr>
            </w:pPr>
          </w:p>
        </w:tc>
        <w:tc>
          <w:tcPr>
            <w:tcW w:w="3939" w:type="dxa"/>
            <w:tcBorders>
              <w:top w:val="nil"/>
              <w:left w:val="single" w:sz="4" w:space="0" w:color="auto"/>
              <w:bottom w:val="single" w:sz="4" w:space="0" w:color="auto"/>
              <w:right w:val="single" w:sz="4" w:space="0" w:color="auto"/>
            </w:tcBorders>
            <w:vAlign w:val="bottom"/>
          </w:tcPr>
          <w:p w14:paraId="0FB279B7" w14:textId="77777777" w:rsidR="00DF7C60" w:rsidRPr="00DF7C60" w:rsidRDefault="00DF7C60" w:rsidP="00DF7C60">
            <w:pPr>
              <w:keepNext/>
              <w:spacing w:after="0" w:line="240" w:lineRule="auto"/>
              <w:jc w:val="left"/>
              <w:rPr>
                <w:sz w:val="22"/>
              </w:rPr>
            </w:pPr>
            <w:r w:rsidRPr="00DF7C60">
              <w:rPr>
                <w:b/>
                <w:sz w:val="12"/>
              </w:rPr>
              <w:t>Law Firm</w:t>
            </w:r>
          </w:p>
        </w:tc>
        <w:tc>
          <w:tcPr>
            <w:tcW w:w="3940" w:type="dxa"/>
            <w:tcBorders>
              <w:top w:val="nil"/>
              <w:left w:val="single" w:sz="4" w:space="0" w:color="auto"/>
              <w:bottom w:val="single" w:sz="4" w:space="0" w:color="auto"/>
              <w:right w:val="single" w:sz="4" w:space="0" w:color="auto"/>
            </w:tcBorders>
            <w:vAlign w:val="bottom"/>
          </w:tcPr>
          <w:p w14:paraId="4CF42B22" w14:textId="77777777" w:rsidR="00DF7C60" w:rsidRPr="00DF7C60" w:rsidRDefault="00DF7C60" w:rsidP="00DF7C60">
            <w:pPr>
              <w:keepNext/>
              <w:spacing w:after="0" w:line="240" w:lineRule="auto"/>
              <w:jc w:val="left"/>
              <w:rPr>
                <w:sz w:val="22"/>
              </w:rPr>
            </w:pPr>
            <w:r w:rsidRPr="00DF7C60">
              <w:rPr>
                <w:b/>
                <w:sz w:val="12"/>
              </w:rPr>
              <w:t>Solicitor</w:t>
            </w:r>
          </w:p>
        </w:tc>
      </w:tr>
    </w:tbl>
    <w:p w14:paraId="622751DF" w14:textId="77777777" w:rsidR="00DF7C60" w:rsidRPr="00DF7C60" w:rsidRDefault="00DF7C60" w:rsidP="00DF7C60">
      <w:pPr>
        <w:spacing w:before="120" w:after="120" w:line="259" w:lineRule="auto"/>
        <w:jc w:val="left"/>
        <w:rPr>
          <w:sz w:val="22"/>
        </w:rPr>
      </w:pPr>
    </w:p>
    <w:tbl>
      <w:tblPr>
        <w:tblStyle w:val="TableGrid38"/>
        <w:tblW w:w="5000" w:type="pct"/>
        <w:tblLook w:val="04A0" w:firstRow="1" w:lastRow="0" w:firstColumn="1" w:lastColumn="0" w:noHBand="0" w:noVBand="1"/>
      </w:tblPr>
      <w:tblGrid>
        <w:gridCol w:w="9344"/>
      </w:tblGrid>
      <w:tr w:rsidR="00DF7C60" w:rsidRPr="00DF7C60" w14:paraId="7E0D71BD" w14:textId="77777777" w:rsidTr="0012134E">
        <w:tc>
          <w:tcPr>
            <w:tcW w:w="5000" w:type="pct"/>
          </w:tcPr>
          <w:p w14:paraId="197CC868" w14:textId="77777777" w:rsidR="00DF7C60" w:rsidRPr="00DF7C60" w:rsidRDefault="00DF7C60" w:rsidP="00DF7C60">
            <w:pPr>
              <w:spacing w:before="120" w:after="0" w:line="240" w:lineRule="auto"/>
              <w:jc w:val="left"/>
              <w:rPr>
                <w:b/>
                <w:sz w:val="22"/>
              </w:rPr>
            </w:pPr>
            <w:r w:rsidRPr="00DF7C60">
              <w:rPr>
                <w:b/>
                <w:sz w:val="22"/>
              </w:rPr>
              <w:t>[Substantive Title]</w:t>
            </w:r>
          </w:p>
          <w:p w14:paraId="632102F0" w14:textId="77777777" w:rsidR="00DF7C60" w:rsidRPr="00DF7C60" w:rsidRDefault="00DF7C60" w:rsidP="00DF7C60">
            <w:pPr>
              <w:spacing w:after="0" w:line="240" w:lineRule="auto"/>
              <w:ind w:right="57"/>
              <w:jc w:val="left"/>
              <w:rPr>
                <w:b/>
                <w:sz w:val="12"/>
                <w:szCs w:val="12"/>
              </w:rPr>
            </w:pPr>
            <w:r w:rsidRPr="00DF7C60">
              <w:rPr>
                <w:b/>
                <w:sz w:val="12"/>
                <w:szCs w:val="12"/>
              </w:rPr>
              <w:t>Substance of the form</w:t>
            </w:r>
          </w:p>
          <w:p w14:paraId="047AA422" w14:textId="77777777" w:rsidR="00DF7C60" w:rsidRPr="00DF7C60" w:rsidRDefault="00DF7C60" w:rsidP="00DF7C60">
            <w:pPr>
              <w:spacing w:after="120" w:line="240" w:lineRule="auto"/>
              <w:jc w:val="left"/>
              <w:rPr>
                <w:b/>
                <w:sz w:val="22"/>
              </w:rPr>
            </w:pPr>
          </w:p>
          <w:p w14:paraId="6FF751E3" w14:textId="77777777" w:rsidR="00DF7C60" w:rsidRPr="00DF7C60" w:rsidRDefault="00DF7C60" w:rsidP="00DF7C60">
            <w:pPr>
              <w:spacing w:after="120" w:line="240" w:lineRule="auto"/>
              <w:jc w:val="left"/>
              <w:rPr>
                <w:sz w:val="22"/>
              </w:rPr>
            </w:pPr>
          </w:p>
        </w:tc>
      </w:tr>
    </w:tbl>
    <w:p w14:paraId="64D15EA9" w14:textId="77777777" w:rsidR="00DF7C60" w:rsidRPr="00DF7C60" w:rsidRDefault="00DF7C60" w:rsidP="00DF7C60">
      <w:pPr>
        <w:spacing w:before="120" w:after="120" w:line="259" w:lineRule="auto"/>
        <w:jc w:val="left"/>
        <w:rPr>
          <w:sz w:val="10"/>
          <w:szCs w:val="10"/>
        </w:rPr>
      </w:pPr>
    </w:p>
    <w:tbl>
      <w:tblPr>
        <w:tblStyle w:val="TableGrid38"/>
        <w:tblW w:w="5000" w:type="pct"/>
        <w:tblLook w:val="04A0" w:firstRow="1" w:lastRow="0" w:firstColumn="1" w:lastColumn="0" w:noHBand="0" w:noVBand="1"/>
      </w:tblPr>
      <w:tblGrid>
        <w:gridCol w:w="9344"/>
      </w:tblGrid>
      <w:tr w:rsidR="00DF7C60" w:rsidRPr="00DF7C60" w14:paraId="79D1298F" w14:textId="77777777" w:rsidTr="0012134E">
        <w:tc>
          <w:tcPr>
            <w:tcW w:w="5000" w:type="pct"/>
          </w:tcPr>
          <w:p w14:paraId="4F29751A" w14:textId="77777777" w:rsidR="00DF7C60" w:rsidRPr="00DF7C60" w:rsidRDefault="00DF7C60" w:rsidP="00DF7C60">
            <w:pPr>
              <w:spacing w:before="120" w:after="240" w:line="240" w:lineRule="auto"/>
              <w:jc w:val="left"/>
              <w:rPr>
                <w:b/>
                <w:sz w:val="22"/>
              </w:rPr>
            </w:pPr>
            <w:bookmarkStart w:id="22" w:name="_Hlk10463098"/>
            <w:r w:rsidRPr="00DF7C60">
              <w:rPr>
                <w:b/>
                <w:sz w:val="22"/>
              </w:rPr>
              <w:t>Service</w:t>
            </w:r>
          </w:p>
          <w:p w14:paraId="047E3C04" w14:textId="77777777" w:rsidR="00DF7C60" w:rsidRPr="00DF7C60" w:rsidRDefault="00DF7C60" w:rsidP="00DF7C60">
            <w:pPr>
              <w:spacing w:after="120" w:line="240" w:lineRule="auto"/>
              <w:jc w:val="left"/>
              <w:rPr>
                <w:sz w:val="22"/>
              </w:rPr>
            </w:pPr>
            <w:r w:rsidRPr="00DF7C60">
              <w:rPr>
                <w:sz w:val="22"/>
              </w:rPr>
              <w:t>The party filing this document is required to serve it on all other parties in accordance with the Rules of Court.</w:t>
            </w:r>
          </w:p>
        </w:tc>
      </w:tr>
      <w:bookmarkEnd w:id="22"/>
    </w:tbl>
    <w:p w14:paraId="6834576C" w14:textId="77777777" w:rsidR="00DF7C60" w:rsidRPr="00DF7C60" w:rsidRDefault="00DF7C60" w:rsidP="00DF7C60">
      <w:pPr>
        <w:spacing w:before="120" w:after="120" w:line="259" w:lineRule="auto"/>
        <w:jc w:val="left"/>
        <w:rPr>
          <w:b/>
          <w:sz w:val="10"/>
          <w:szCs w:val="10"/>
        </w:rPr>
      </w:pPr>
    </w:p>
    <w:tbl>
      <w:tblPr>
        <w:tblStyle w:val="TableGrid38"/>
        <w:tblW w:w="5000" w:type="pct"/>
        <w:tblLook w:val="04A0" w:firstRow="1" w:lastRow="0" w:firstColumn="1" w:lastColumn="0" w:noHBand="0" w:noVBand="1"/>
      </w:tblPr>
      <w:tblGrid>
        <w:gridCol w:w="9344"/>
      </w:tblGrid>
      <w:tr w:rsidR="00DF7C60" w:rsidRPr="00DF7C60" w14:paraId="3BE79DD1" w14:textId="77777777" w:rsidTr="0012134E">
        <w:trPr>
          <w:cantSplit/>
        </w:trPr>
        <w:tc>
          <w:tcPr>
            <w:tcW w:w="5000" w:type="pct"/>
          </w:tcPr>
          <w:p w14:paraId="3B0AA978" w14:textId="77777777" w:rsidR="00DF7C60" w:rsidRPr="00DF7C60" w:rsidRDefault="00DF7C60" w:rsidP="00DF7C60">
            <w:pPr>
              <w:spacing w:before="120" w:after="240" w:line="240" w:lineRule="auto"/>
              <w:jc w:val="left"/>
              <w:rPr>
                <w:b/>
                <w:sz w:val="22"/>
              </w:rPr>
            </w:pPr>
            <w:r w:rsidRPr="00DF7C60">
              <w:rPr>
                <w:b/>
                <w:sz w:val="22"/>
              </w:rPr>
              <w:t>Accompanying Documents</w:t>
            </w:r>
          </w:p>
          <w:p w14:paraId="23143544" w14:textId="77777777" w:rsidR="00DF7C60" w:rsidRPr="00DF7C60" w:rsidRDefault="00DF7C60" w:rsidP="00DF7C60">
            <w:pPr>
              <w:spacing w:after="0" w:line="240" w:lineRule="auto"/>
              <w:jc w:val="left"/>
              <w:rPr>
                <w:sz w:val="22"/>
              </w:rPr>
            </w:pPr>
            <w:r w:rsidRPr="00DF7C60">
              <w:rPr>
                <w:sz w:val="22"/>
              </w:rPr>
              <w:t xml:space="preserve">Accompanying this Document is a: </w:t>
            </w:r>
          </w:p>
          <w:p w14:paraId="594C2EEB" w14:textId="77777777" w:rsidR="00DF7C60" w:rsidRPr="00DF7C60" w:rsidRDefault="00DF7C60" w:rsidP="00DF7C60">
            <w:pPr>
              <w:spacing w:after="0" w:line="240" w:lineRule="auto"/>
              <w:jc w:val="left"/>
              <w:rPr>
                <w:b/>
                <w:sz w:val="12"/>
              </w:rPr>
            </w:pPr>
            <w:r w:rsidRPr="00DF7C60">
              <w:rPr>
                <w:b/>
                <w:sz w:val="12"/>
              </w:rPr>
              <w:t>If applicable identify document(s)</w:t>
            </w:r>
          </w:p>
          <w:p w14:paraId="5AB0D692" w14:textId="77777777" w:rsidR="00DF7C60" w:rsidRPr="00DF7C60" w:rsidRDefault="00DF7C60" w:rsidP="00DF7C60">
            <w:pPr>
              <w:spacing w:after="0" w:line="240" w:lineRule="auto"/>
              <w:jc w:val="left"/>
              <w:rPr>
                <w:sz w:val="22"/>
              </w:rPr>
            </w:pPr>
          </w:p>
          <w:p w14:paraId="4D2479C7" w14:textId="77777777" w:rsidR="00DF7C60" w:rsidRPr="00DF7C60" w:rsidRDefault="00DF7C60" w:rsidP="00DF7C60">
            <w:pPr>
              <w:spacing w:after="0" w:line="240" w:lineRule="auto"/>
              <w:jc w:val="left"/>
              <w:rPr>
                <w:sz w:val="22"/>
              </w:rPr>
            </w:pPr>
          </w:p>
          <w:p w14:paraId="0B609FDD" w14:textId="77777777" w:rsidR="00DF7C60" w:rsidRPr="00DF7C60" w:rsidRDefault="00DF7C60" w:rsidP="00DF7C60">
            <w:pPr>
              <w:spacing w:after="0" w:line="240" w:lineRule="auto"/>
              <w:jc w:val="left"/>
              <w:rPr>
                <w:sz w:val="22"/>
              </w:rPr>
            </w:pPr>
          </w:p>
          <w:p w14:paraId="14E1893A" w14:textId="77777777" w:rsidR="00DF7C60" w:rsidRPr="00DF7C60" w:rsidRDefault="00DF7C60" w:rsidP="00DF7C60">
            <w:pPr>
              <w:spacing w:after="0" w:line="240" w:lineRule="auto"/>
              <w:jc w:val="left"/>
              <w:rPr>
                <w:sz w:val="22"/>
              </w:rPr>
            </w:pPr>
          </w:p>
          <w:p w14:paraId="2B5A226E" w14:textId="77777777" w:rsidR="00DF7C60" w:rsidRPr="00DF7C60" w:rsidRDefault="00DF7C60" w:rsidP="00DF7C60">
            <w:pPr>
              <w:spacing w:after="120" w:line="240" w:lineRule="auto"/>
              <w:jc w:val="left"/>
              <w:rPr>
                <w:sz w:val="22"/>
              </w:rPr>
            </w:pPr>
          </w:p>
        </w:tc>
      </w:tr>
    </w:tbl>
    <w:p w14:paraId="3F9E3C2F" w14:textId="77777777" w:rsidR="00DF7C60" w:rsidRPr="00DF7C60" w:rsidRDefault="00DF7C60" w:rsidP="00DF7C60">
      <w:pPr>
        <w:rPr>
          <w:szCs w:val="17"/>
        </w:rPr>
      </w:pPr>
    </w:p>
    <w:p w14:paraId="3477A813" w14:textId="77777777" w:rsidR="00DF7C60" w:rsidRPr="00DF7C60" w:rsidRDefault="00DF7C60" w:rsidP="00965F17">
      <w:pPr>
        <w:numPr>
          <w:ilvl w:val="0"/>
          <w:numId w:val="57"/>
        </w:numPr>
        <w:ind w:left="851" w:hanging="758"/>
        <w:jc w:val="left"/>
        <w:rPr>
          <w:szCs w:val="17"/>
        </w:rPr>
      </w:pPr>
      <w:r w:rsidRPr="00DF7C60">
        <w:rPr>
          <w:szCs w:val="17"/>
        </w:rPr>
        <w:t>In Schedule 7, Form P1— Final Notice is deleted and substituted as follows:</w:t>
      </w:r>
    </w:p>
    <w:p w14:paraId="6D77A1F0" w14:textId="1879903F" w:rsidR="008D0F2D" w:rsidRDefault="00DF7C60" w:rsidP="00DF7C60">
      <w:pPr>
        <w:ind w:left="93"/>
        <w:rPr>
          <w:szCs w:val="17"/>
          <w:lang w:val="en-US"/>
        </w:rPr>
      </w:pPr>
      <w:r w:rsidRPr="00DF7C60">
        <w:rPr>
          <w:szCs w:val="17"/>
          <w:lang w:val="en-US"/>
        </w:rPr>
        <w:t>Form P1</w:t>
      </w:r>
    </w:p>
    <w:p w14:paraId="0A9F83F3" w14:textId="77777777" w:rsidR="008D0F2D" w:rsidRDefault="008D0F2D">
      <w:pPr>
        <w:spacing w:after="0" w:line="240" w:lineRule="auto"/>
        <w:jc w:val="left"/>
        <w:rPr>
          <w:szCs w:val="17"/>
          <w:lang w:val="en-US"/>
        </w:rPr>
      </w:pPr>
      <w:r>
        <w:rPr>
          <w:szCs w:val="17"/>
          <w:lang w:val="en-US"/>
        </w:rPr>
        <w:br w:type="page"/>
      </w:r>
    </w:p>
    <w:tbl>
      <w:tblPr>
        <w:tblStyle w:val="TableGrid38"/>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DF7C60" w:rsidRPr="00DF7C60" w14:paraId="0E462892" w14:textId="77777777" w:rsidTr="0012134E">
        <w:tc>
          <w:tcPr>
            <w:tcW w:w="3899" w:type="pct"/>
            <w:tcBorders>
              <w:top w:val="single" w:sz="4" w:space="0" w:color="auto"/>
            </w:tcBorders>
          </w:tcPr>
          <w:p w14:paraId="226B885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b/>
                <w:sz w:val="20"/>
                <w:szCs w:val="20"/>
              </w:rPr>
            </w:pPr>
            <w:r w:rsidRPr="00DF7C60">
              <w:rPr>
                <w:b/>
                <w:sz w:val="16"/>
                <w:szCs w:val="20"/>
              </w:rPr>
              <w:lastRenderedPageBreak/>
              <w:t>To be inserted by Court</w:t>
            </w:r>
          </w:p>
        </w:tc>
        <w:tc>
          <w:tcPr>
            <w:tcW w:w="1101" w:type="pct"/>
            <w:tcBorders>
              <w:top w:val="single" w:sz="4" w:space="0" w:color="auto"/>
            </w:tcBorders>
          </w:tcPr>
          <w:p w14:paraId="12597E12"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r w:rsidR="00DF7C60" w:rsidRPr="00DF7C60" w14:paraId="3C82A681" w14:textId="77777777" w:rsidTr="0012134E">
        <w:trPr>
          <w:trHeight w:val="1148"/>
        </w:trPr>
        <w:tc>
          <w:tcPr>
            <w:tcW w:w="3899" w:type="pct"/>
            <w:tcBorders>
              <w:bottom w:val="single" w:sz="2" w:space="0" w:color="auto"/>
            </w:tcBorders>
          </w:tcPr>
          <w:p w14:paraId="348F2D13"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73C1090B"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 xml:space="preserve">Case Number: </w:t>
            </w:r>
          </w:p>
          <w:p w14:paraId="4F84CE5A"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34ED2724"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Date Filed:</w:t>
            </w:r>
          </w:p>
          <w:p w14:paraId="09035EC2" w14:textId="77777777" w:rsidR="00DF7C60" w:rsidRPr="00DF7C60" w:rsidRDefault="00DF7C60" w:rsidP="00DF7C60">
            <w:pPr>
              <w:overflowPunct w:val="0"/>
              <w:autoSpaceDE w:val="0"/>
              <w:autoSpaceDN w:val="0"/>
              <w:adjustRightInd w:val="0"/>
              <w:spacing w:after="0" w:line="240" w:lineRule="auto"/>
              <w:textAlignment w:val="baseline"/>
              <w:rPr>
                <w:sz w:val="20"/>
                <w:szCs w:val="20"/>
              </w:rPr>
            </w:pPr>
          </w:p>
          <w:p w14:paraId="6156E150"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r w:rsidRPr="00DF7C60">
              <w:rPr>
                <w:sz w:val="20"/>
                <w:szCs w:val="20"/>
              </w:rPr>
              <w:t>FDN:</w:t>
            </w:r>
          </w:p>
          <w:p w14:paraId="5D0E93AD"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p w14:paraId="134436FB"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c>
          <w:tcPr>
            <w:tcW w:w="1101" w:type="pct"/>
            <w:tcBorders>
              <w:bottom w:val="single" w:sz="2" w:space="0" w:color="auto"/>
            </w:tcBorders>
          </w:tcPr>
          <w:p w14:paraId="3AFDFA93" w14:textId="77777777" w:rsidR="00DF7C60" w:rsidRPr="00DF7C60" w:rsidRDefault="00DF7C60" w:rsidP="00DF7C60">
            <w:pPr>
              <w:tabs>
                <w:tab w:val="center" w:pos="4153"/>
                <w:tab w:val="right" w:pos="8306"/>
              </w:tabs>
              <w:overflowPunct w:val="0"/>
              <w:autoSpaceDE w:val="0"/>
              <w:autoSpaceDN w:val="0"/>
              <w:adjustRightInd w:val="0"/>
              <w:spacing w:after="0" w:line="240" w:lineRule="auto"/>
              <w:textAlignment w:val="baseline"/>
              <w:rPr>
                <w:sz w:val="20"/>
                <w:szCs w:val="20"/>
              </w:rPr>
            </w:pPr>
          </w:p>
        </w:tc>
      </w:tr>
    </w:tbl>
    <w:p w14:paraId="7B3A792D" w14:textId="77777777" w:rsidR="00DF7C60" w:rsidRPr="00DF7C60" w:rsidRDefault="00DF7C60" w:rsidP="00DF7C60">
      <w:pPr>
        <w:tabs>
          <w:tab w:val="left" w:pos="1134"/>
          <w:tab w:val="left" w:pos="2342"/>
          <w:tab w:val="left" w:pos="4536"/>
          <w:tab w:val="right" w:pos="8789"/>
        </w:tabs>
        <w:spacing w:after="160" w:line="360" w:lineRule="auto"/>
        <w:jc w:val="center"/>
        <w:rPr>
          <w:b/>
          <w:bCs/>
          <w:sz w:val="28"/>
        </w:rPr>
      </w:pPr>
      <w:r w:rsidRPr="00DF7C60">
        <w:rPr>
          <w:b/>
          <w:bCs/>
          <w:sz w:val="28"/>
        </w:rPr>
        <w:t>FINAL NOTICE</w:t>
      </w:r>
    </w:p>
    <w:p w14:paraId="0D47BD25" w14:textId="77777777" w:rsidR="00DF7C60" w:rsidRPr="00DF7C60" w:rsidRDefault="00DF7C60" w:rsidP="00DF7C60">
      <w:pPr>
        <w:tabs>
          <w:tab w:val="left" w:pos="1134"/>
          <w:tab w:val="left" w:pos="2342"/>
          <w:tab w:val="left" w:pos="4536"/>
          <w:tab w:val="right" w:pos="8789"/>
        </w:tabs>
        <w:spacing w:after="160" w:line="360" w:lineRule="auto"/>
        <w:jc w:val="left"/>
        <w:rPr>
          <w:b/>
          <w:bCs/>
          <w:sz w:val="28"/>
        </w:rPr>
      </w:pPr>
    </w:p>
    <w:p w14:paraId="142FE96B" w14:textId="77777777" w:rsidR="00DF7C60" w:rsidRPr="00DF7C60" w:rsidRDefault="00DF7C60" w:rsidP="00DF7C60">
      <w:pPr>
        <w:tabs>
          <w:tab w:val="left" w:pos="1134"/>
          <w:tab w:val="left" w:pos="2342"/>
          <w:tab w:val="left" w:pos="4536"/>
          <w:tab w:val="right" w:pos="8789"/>
        </w:tabs>
        <w:spacing w:after="160" w:line="259" w:lineRule="auto"/>
        <w:jc w:val="left"/>
        <w:rPr>
          <w:b/>
          <w:bCs/>
          <w:sz w:val="22"/>
        </w:rPr>
      </w:pPr>
    </w:p>
    <w:p w14:paraId="0D1A7176" w14:textId="77777777" w:rsidR="00DF7C60" w:rsidRPr="00DF7C60" w:rsidRDefault="00DF7C60" w:rsidP="00DF7C60">
      <w:pPr>
        <w:tabs>
          <w:tab w:val="left" w:pos="1134"/>
          <w:tab w:val="left" w:pos="2342"/>
          <w:tab w:val="left" w:pos="4536"/>
          <w:tab w:val="right" w:pos="8789"/>
        </w:tabs>
        <w:spacing w:after="0" w:line="259" w:lineRule="auto"/>
        <w:jc w:val="left"/>
        <w:rPr>
          <w:bCs/>
          <w:sz w:val="22"/>
        </w:rPr>
      </w:pPr>
      <w:r w:rsidRPr="00DF7C60">
        <w:rPr>
          <w:iCs/>
          <w:sz w:val="22"/>
        </w:rPr>
        <w:t>[</w:t>
      </w:r>
      <w:r w:rsidRPr="00DF7C60">
        <w:rPr>
          <w:i/>
          <w:iCs/>
          <w:sz w:val="22"/>
        </w:rPr>
        <w:t>SUPREME/DISTRICT/MAGISTRATES</w:t>
      </w:r>
      <w:r w:rsidRPr="00DF7C60">
        <w:rPr>
          <w:iCs/>
          <w:sz w:val="22"/>
        </w:rPr>
        <w:t xml:space="preserve">] COURT </w:t>
      </w:r>
      <w:r w:rsidRPr="00DF7C60">
        <w:rPr>
          <w:bCs/>
          <w:sz w:val="22"/>
        </w:rPr>
        <w:t xml:space="preserve">OF SOUTH AUSTRALIA </w:t>
      </w:r>
    </w:p>
    <w:p w14:paraId="4A7F6933"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r w:rsidRPr="00DF7C60">
        <w:rPr>
          <w:iCs/>
          <w:sz w:val="22"/>
        </w:rPr>
        <w:t>CIVIL JURISDICTION</w:t>
      </w:r>
    </w:p>
    <w:p w14:paraId="14F39F40"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p>
    <w:p w14:paraId="613105EE" w14:textId="77777777" w:rsidR="00DF7C60" w:rsidRPr="00DF7C60" w:rsidRDefault="00DF7C60" w:rsidP="00DF7C60">
      <w:pPr>
        <w:tabs>
          <w:tab w:val="left" w:pos="1134"/>
          <w:tab w:val="left" w:pos="2342"/>
          <w:tab w:val="left" w:pos="4536"/>
          <w:tab w:val="right" w:pos="8789"/>
        </w:tabs>
        <w:spacing w:after="0" w:line="259" w:lineRule="auto"/>
        <w:jc w:val="left"/>
        <w:rPr>
          <w:iCs/>
          <w:sz w:val="22"/>
        </w:rPr>
      </w:pPr>
    </w:p>
    <w:p w14:paraId="30BD77B1" w14:textId="77777777" w:rsidR="00DF7C60" w:rsidRPr="00DF7C60" w:rsidRDefault="00DF7C60" w:rsidP="00DF7C60">
      <w:pPr>
        <w:tabs>
          <w:tab w:val="left" w:pos="1134"/>
          <w:tab w:val="left" w:pos="2342"/>
          <w:tab w:val="left" w:pos="4536"/>
          <w:tab w:val="right" w:pos="8789"/>
        </w:tabs>
        <w:spacing w:after="480" w:line="259" w:lineRule="auto"/>
        <w:jc w:val="left"/>
        <w:rPr>
          <w:b/>
          <w:bCs/>
          <w:sz w:val="22"/>
        </w:rPr>
      </w:pPr>
      <w:r w:rsidRPr="00DF7C60">
        <w:rPr>
          <w:b/>
          <w:sz w:val="12"/>
        </w:rPr>
        <w:t>Please specify the Full Name including capacity (eg Administrator, Liquidator, Trustee) and Litigation Guardian Name (if applicable) for each party. Each party should include a party number if more than one party of the same type.</w:t>
      </w:r>
    </w:p>
    <w:p w14:paraId="6FA5A148" w14:textId="77777777" w:rsidR="00DF7C60" w:rsidRPr="00DF7C60" w:rsidRDefault="00DF7C60" w:rsidP="00DF7C60">
      <w:pPr>
        <w:tabs>
          <w:tab w:val="left" w:pos="1134"/>
          <w:tab w:val="left" w:pos="2342"/>
          <w:tab w:val="left" w:pos="4536"/>
          <w:tab w:val="right" w:pos="8789"/>
        </w:tabs>
        <w:spacing w:after="480" w:line="259" w:lineRule="auto"/>
        <w:jc w:val="left"/>
        <w:rPr>
          <w:bCs/>
          <w:sz w:val="22"/>
        </w:rPr>
      </w:pPr>
      <w:r w:rsidRPr="00DF7C60">
        <w:rPr>
          <w:bCs/>
          <w:sz w:val="22"/>
        </w:rPr>
        <w:t>First Applicant (Sender)</w:t>
      </w:r>
    </w:p>
    <w:p w14:paraId="40293B25" w14:textId="77777777" w:rsidR="00DF7C60" w:rsidRPr="00DF7C60" w:rsidRDefault="00DF7C60" w:rsidP="00DF7C60">
      <w:pPr>
        <w:tabs>
          <w:tab w:val="left" w:pos="1134"/>
          <w:tab w:val="left" w:pos="2342"/>
          <w:tab w:val="left" w:pos="4536"/>
          <w:tab w:val="right" w:pos="8789"/>
        </w:tabs>
        <w:spacing w:after="720" w:line="259" w:lineRule="auto"/>
        <w:jc w:val="left"/>
        <w:rPr>
          <w:bCs/>
          <w:sz w:val="22"/>
        </w:rPr>
      </w:pPr>
      <w:r w:rsidRPr="00DF7C60">
        <w:rPr>
          <w:bCs/>
          <w:sz w:val="22"/>
        </w:rPr>
        <w:t>First Respondent (Recipient)</w:t>
      </w:r>
    </w:p>
    <w:tbl>
      <w:tblPr>
        <w:tblStyle w:val="TableGrid38"/>
        <w:tblW w:w="5000" w:type="pct"/>
        <w:jc w:val="center"/>
        <w:tblLayout w:type="fixed"/>
        <w:tblLook w:val="04A0" w:firstRow="1" w:lastRow="0" w:firstColumn="1" w:lastColumn="0" w:noHBand="0" w:noVBand="1"/>
      </w:tblPr>
      <w:tblGrid>
        <w:gridCol w:w="2295"/>
        <w:gridCol w:w="1822"/>
        <w:gridCol w:w="1668"/>
        <w:gridCol w:w="36"/>
        <w:gridCol w:w="1949"/>
        <w:gridCol w:w="1574"/>
      </w:tblGrid>
      <w:tr w:rsidR="00DF7C60" w:rsidRPr="00DF7C60" w14:paraId="5DF86F58" w14:textId="77777777" w:rsidTr="0012134E">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08CEDB2D" w14:textId="77777777" w:rsidR="00DF7C60" w:rsidRPr="00DF7C60" w:rsidRDefault="00DF7C60" w:rsidP="00DF7C60">
            <w:pPr>
              <w:keepNext/>
              <w:spacing w:after="0" w:line="240" w:lineRule="auto"/>
              <w:jc w:val="left"/>
              <w:rPr>
                <w:sz w:val="22"/>
              </w:rPr>
            </w:pPr>
            <w:bookmarkStart w:id="23" w:name="_Hlk38384183"/>
            <w:bookmarkStart w:id="24" w:name="_Hlk38436125"/>
            <w:bookmarkStart w:id="25" w:name="_Hlk38357244"/>
            <w:r w:rsidRPr="00DF7C60">
              <w:rPr>
                <w:sz w:val="22"/>
              </w:rPr>
              <w:t>Applicant (Sender)</w:t>
            </w:r>
          </w:p>
        </w:tc>
        <w:tc>
          <w:tcPr>
            <w:tcW w:w="7880" w:type="dxa"/>
            <w:gridSpan w:val="5"/>
            <w:tcBorders>
              <w:top w:val="single" w:sz="4" w:space="0" w:color="auto"/>
              <w:left w:val="single" w:sz="4" w:space="0" w:color="auto"/>
              <w:bottom w:val="nil"/>
              <w:right w:val="single" w:sz="4" w:space="0" w:color="auto"/>
            </w:tcBorders>
          </w:tcPr>
          <w:p w14:paraId="02BB13EF" w14:textId="77777777" w:rsidR="00DF7C60" w:rsidRPr="00DF7C60" w:rsidRDefault="00DF7C60" w:rsidP="00DF7C60">
            <w:pPr>
              <w:keepNext/>
              <w:spacing w:after="0" w:line="240" w:lineRule="auto"/>
              <w:jc w:val="left"/>
              <w:rPr>
                <w:sz w:val="22"/>
              </w:rPr>
            </w:pPr>
          </w:p>
        </w:tc>
      </w:tr>
      <w:tr w:rsidR="00DF7C60" w:rsidRPr="00DF7C60" w14:paraId="01DDDF5B" w14:textId="77777777" w:rsidTr="0012134E">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1ED473AA" w14:textId="77777777" w:rsidR="00DF7C60" w:rsidRPr="00DF7C60" w:rsidRDefault="00DF7C60" w:rsidP="00DF7C60">
            <w:pPr>
              <w:spacing w:after="0" w:line="240" w:lineRule="auto"/>
              <w:jc w:val="left"/>
              <w:rPr>
                <w:sz w:val="22"/>
              </w:rPr>
            </w:pPr>
          </w:p>
        </w:tc>
        <w:tc>
          <w:tcPr>
            <w:tcW w:w="7880" w:type="dxa"/>
            <w:gridSpan w:val="5"/>
            <w:tcBorders>
              <w:top w:val="nil"/>
              <w:left w:val="single" w:sz="4" w:space="0" w:color="auto"/>
              <w:bottom w:val="single" w:sz="4" w:space="0" w:color="auto"/>
              <w:right w:val="single" w:sz="4" w:space="0" w:color="auto"/>
            </w:tcBorders>
            <w:vAlign w:val="bottom"/>
            <w:hideMark/>
          </w:tcPr>
          <w:p w14:paraId="5766126E" w14:textId="77777777" w:rsidR="00DF7C60" w:rsidRPr="00DF7C60" w:rsidRDefault="00DF7C60" w:rsidP="00DF7C60">
            <w:pPr>
              <w:keepNext/>
              <w:spacing w:after="0" w:line="240" w:lineRule="auto"/>
              <w:jc w:val="left"/>
              <w:rPr>
                <w:sz w:val="22"/>
              </w:rPr>
            </w:pPr>
            <w:r w:rsidRPr="00DF7C60">
              <w:rPr>
                <w:b/>
                <w:sz w:val="12"/>
              </w:rPr>
              <w:t>Full Name (including Also Known as, capacity (eg Administrator, Liquidator, Trustee) and Litigation Guardian Name (if applicable))</w:t>
            </w:r>
          </w:p>
        </w:tc>
        <w:bookmarkEnd w:id="23"/>
      </w:tr>
      <w:tr w:rsidR="00DF7C60" w:rsidRPr="00DF7C60" w14:paraId="3E802849" w14:textId="77777777" w:rsidTr="0012134E">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37CE4DEC" w14:textId="77777777" w:rsidR="00DF7C60" w:rsidRPr="00DF7C60" w:rsidRDefault="00DF7C60" w:rsidP="00DF7C60">
            <w:pPr>
              <w:keepNext/>
              <w:spacing w:after="0" w:line="240" w:lineRule="auto"/>
              <w:jc w:val="left"/>
              <w:rPr>
                <w:sz w:val="22"/>
              </w:rPr>
            </w:pPr>
            <w:bookmarkStart w:id="26" w:name="_Hlk38384204"/>
            <w:r w:rsidRPr="00DF7C60">
              <w:rPr>
                <w:sz w:val="22"/>
              </w:rPr>
              <w:t>Name of law firm / solicitor</w:t>
            </w:r>
          </w:p>
          <w:p w14:paraId="0090227E" w14:textId="77777777" w:rsidR="00DF7C60" w:rsidRPr="00DF7C60" w:rsidRDefault="00DF7C60" w:rsidP="00DF7C60">
            <w:pPr>
              <w:keepNext/>
              <w:spacing w:after="0" w:line="240" w:lineRule="auto"/>
              <w:jc w:val="left"/>
              <w:rPr>
                <w:sz w:val="22"/>
              </w:rPr>
            </w:pPr>
            <w:r w:rsidRPr="00DF7C60">
              <w:rPr>
                <w:b/>
                <w:sz w:val="12"/>
                <w:szCs w:val="12"/>
              </w:rPr>
              <w:t>If any</w:t>
            </w:r>
          </w:p>
        </w:tc>
        <w:tc>
          <w:tcPr>
            <w:tcW w:w="3940" w:type="dxa"/>
            <w:gridSpan w:val="3"/>
            <w:tcBorders>
              <w:top w:val="single" w:sz="4" w:space="0" w:color="auto"/>
              <w:left w:val="single" w:sz="4" w:space="0" w:color="auto"/>
              <w:bottom w:val="nil"/>
              <w:right w:val="single" w:sz="4" w:space="0" w:color="auto"/>
            </w:tcBorders>
          </w:tcPr>
          <w:p w14:paraId="3487F864" w14:textId="77777777" w:rsidR="00DF7C60" w:rsidRPr="00DF7C60" w:rsidRDefault="00DF7C60" w:rsidP="00DF7C60">
            <w:pPr>
              <w:keepNext/>
              <w:spacing w:after="0" w:line="240" w:lineRule="auto"/>
              <w:jc w:val="left"/>
              <w:rPr>
                <w:sz w:val="22"/>
              </w:rPr>
            </w:pPr>
          </w:p>
        </w:tc>
        <w:tc>
          <w:tcPr>
            <w:tcW w:w="3940" w:type="dxa"/>
            <w:gridSpan w:val="2"/>
            <w:tcBorders>
              <w:top w:val="single" w:sz="4" w:space="0" w:color="auto"/>
              <w:left w:val="single" w:sz="4" w:space="0" w:color="auto"/>
              <w:bottom w:val="nil"/>
              <w:right w:val="single" w:sz="4" w:space="0" w:color="auto"/>
            </w:tcBorders>
          </w:tcPr>
          <w:p w14:paraId="5F50EC25" w14:textId="77777777" w:rsidR="00DF7C60" w:rsidRPr="00DF7C60" w:rsidRDefault="00DF7C60" w:rsidP="00DF7C60">
            <w:pPr>
              <w:keepNext/>
              <w:spacing w:after="0" w:line="240" w:lineRule="auto"/>
              <w:jc w:val="left"/>
              <w:rPr>
                <w:sz w:val="22"/>
              </w:rPr>
            </w:pPr>
          </w:p>
        </w:tc>
      </w:tr>
      <w:tr w:rsidR="00DF7C60" w:rsidRPr="00DF7C60" w14:paraId="6EB84394" w14:textId="77777777" w:rsidTr="0012134E">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5965CC6" w14:textId="77777777" w:rsidR="00DF7C60" w:rsidRPr="00DF7C60" w:rsidRDefault="00DF7C60" w:rsidP="00DF7C60">
            <w:pPr>
              <w:spacing w:after="0" w:line="240" w:lineRule="auto"/>
              <w:jc w:val="left"/>
              <w:rPr>
                <w:sz w:val="22"/>
              </w:rPr>
            </w:pPr>
          </w:p>
        </w:tc>
        <w:tc>
          <w:tcPr>
            <w:tcW w:w="3940" w:type="dxa"/>
            <w:gridSpan w:val="3"/>
            <w:tcBorders>
              <w:top w:val="nil"/>
              <w:left w:val="single" w:sz="4" w:space="0" w:color="auto"/>
              <w:bottom w:val="single" w:sz="4" w:space="0" w:color="auto"/>
              <w:right w:val="single" w:sz="4" w:space="0" w:color="auto"/>
            </w:tcBorders>
            <w:vAlign w:val="bottom"/>
            <w:hideMark/>
          </w:tcPr>
          <w:p w14:paraId="0471F31F" w14:textId="77777777" w:rsidR="00DF7C60" w:rsidRPr="00DF7C60" w:rsidRDefault="00DF7C60" w:rsidP="00DF7C60">
            <w:pPr>
              <w:keepNext/>
              <w:spacing w:after="0" w:line="240" w:lineRule="auto"/>
              <w:jc w:val="left"/>
              <w:rPr>
                <w:sz w:val="22"/>
              </w:rPr>
            </w:pPr>
            <w:r w:rsidRPr="00DF7C60">
              <w:rPr>
                <w:b/>
                <w:sz w:val="12"/>
              </w:rPr>
              <w:t>Law Firm</w:t>
            </w:r>
          </w:p>
        </w:tc>
        <w:tc>
          <w:tcPr>
            <w:tcW w:w="3940" w:type="dxa"/>
            <w:gridSpan w:val="2"/>
            <w:tcBorders>
              <w:top w:val="nil"/>
              <w:left w:val="single" w:sz="4" w:space="0" w:color="auto"/>
              <w:bottom w:val="single" w:sz="4" w:space="0" w:color="auto"/>
              <w:right w:val="single" w:sz="4" w:space="0" w:color="auto"/>
            </w:tcBorders>
            <w:vAlign w:val="bottom"/>
            <w:hideMark/>
          </w:tcPr>
          <w:p w14:paraId="2288A1EA" w14:textId="77777777" w:rsidR="00DF7C60" w:rsidRPr="00DF7C60" w:rsidRDefault="00DF7C60" w:rsidP="00DF7C60">
            <w:pPr>
              <w:keepNext/>
              <w:spacing w:after="0" w:line="240" w:lineRule="auto"/>
              <w:jc w:val="left"/>
              <w:rPr>
                <w:sz w:val="22"/>
              </w:rPr>
            </w:pPr>
            <w:r w:rsidRPr="00DF7C60">
              <w:rPr>
                <w:b/>
                <w:sz w:val="12"/>
              </w:rPr>
              <w:t>Solicitor</w:t>
            </w:r>
          </w:p>
        </w:tc>
        <w:bookmarkEnd w:id="24"/>
        <w:bookmarkEnd w:id="26"/>
      </w:tr>
      <w:tr w:rsidR="00DF7C60" w:rsidRPr="00DF7C60" w14:paraId="1881E872" w14:textId="77777777" w:rsidTr="0012134E">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2E058019" w14:textId="77777777" w:rsidR="00DF7C60" w:rsidRPr="00DF7C60" w:rsidRDefault="00DF7C60" w:rsidP="00DF7C60">
            <w:pPr>
              <w:keepNext/>
              <w:spacing w:after="0" w:line="240" w:lineRule="auto"/>
              <w:jc w:val="left"/>
              <w:rPr>
                <w:sz w:val="22"/>
              </w:rPr>
            </w:pPr>
            <w:r w:rsidRPr="00DF7C60">
              <w:rPr>
                <w:sz w:val="22"/>
              </w:rPr>
              <w:t>Address for service</w:t>
            </w:r>
          </w:p>
        </w:tc>
        <w:tc>
          <w:tcPr>
            <w:tcW w:w="7880" w:type="dxa"/>
            <w:gridSpan w:val="5"/>
            <w:tcBorders>
              <w:top w:val="single" w:sz="4" w:space="0" w:color="auto"/>
              <w:left w:val="single" w:sz="4" w:space="0" w:color="auto"/>
              <w:bottom w:val="nil"/>
              <w:right w:val="single" w:sz="4" w:space="0" w:color="auto"/>
            </w:tcBorders>
          </w:tcPr>
          <w:p w14:paraId="24101853" w14:textId="77777777" w:rsidR="00DF7C60" w:rsidRPr="00DF7C60" w:rsidRDefault="00DF7C60" w:rsidP="00DF7C60">
            <w:pPr>
              <w:keepNext/>
              <w:spacing w:after="0" w:line="240" w:lineRule="auto"/>
              <w:jc w:val="left"/>
              <w:rPr>
                <w:sz w:val="22"/>
              </w:rPr>
            </w:pPr>
          </w:p>
        </w:tc>
      </w:tr>
      <w:tr w:rsidR="00DF7C60" w:rsidRPr="00DF7C60" w14:paraId="09F8E06C" w14:textId="77777777" w:rsidTr="0012134E">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4ABF0B0C" w14:textId="77777777" w:rsidR="00DF7C60" w:rsidRPr="00DF7C60" w:rsidRDefault="00DF7C60" w:rsidP="00DF7C60">
            <w:pPr>
              <w:spacing w:after="0" w:line="240" w:lineRule="auto"/>
              <w:jc w:val="left"/>
              <w:rPr>
                <w:sz w:val="22"/>
              </w:rPr>
            </w:pPr>
          </w:p>
        </w:tc>
        <w:tc>
          <w:tcPr>
            <w:tcW w:w="7880" w:type="dxa"/>
            <w:gridSpan w:val="5"/>
            <w:tcBorders>
              <w:top w:val="nil"/>
              <w:left w:val="single" w:sz="4" w:space="0" w:color="auto"/>
              <w:bottom w:val="single" w:sz="4" w:space="0" w:color="auto"/>
              <w:right w:val="single" w:sz="4" w:space="0" w:color="auto"/>
            </w:tcBorders>
            <w:vAlign w:val="bottom"/>
            <w:hideMark/>
          </w:tcPr>
          <w:p w14:paraId="1E179697" w14:textId="77777777" w:rsidR="00DF7C60" w:rsidRPr="00DF7C60" w:rsidRDefault="00DF7C60" w:rsidP="00DF7C60">
            <w:pPr>
              <w:keepNext/>
              <w:spacing w:after="0" w:line="240" w:lineRule="auto"/>
              <w:jc w:val="left"/>
              <w:rPr>
                <w:b/>
                <w:sz w:val="22"/>
              </w:rPr>
            </w:pPr>
            <w:r w:rsidRPr="00DF7C60">
              <w:rPr>
                <w:b/>
                <w:sz w:val="12"/>
              </w:rPr>
              <w:t>Street Address (including unit or level number and name of property if required)</w:t>
            </w:r>
          </w:p>
        </w:tc>
      </w:tr>
      <w:tr w:rsidR="00DF7C60" w:rsidRPr="00DF7C60" w14:paraId="356ABF96" w14:textId="77777777" w:rsidTr="0012134E">
        <w:trPr>
          <w:cantSplit/>
          <w:trHeight w:val="454"/>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BC6403D" w14:textId="77777777" w:rsidR="00DF7C60" w:rsidRPr="00DF7C60" w:rsidRDefault="00DF7C60" w:rsidP="00DF7C60">
            <w:pPr>
              <w:spacing w:after="0" w:line="240" w:lineRule="auto"/>
              <w:jc w:val="left"/>
              <w:rPr>
                <w:sz w:val="22"/>
              </w:rPr>
            </w:pPr>
          </w:p>
        </w:tc>
        <w:tc>
          <w:tcPr>
            <w:tcW w:w="2038" w:type="dxa"/>
            <w:tcBorders>
              <w:top w:val="single" w:sz="4" w:space="0" w:color="auto"/>
              <w:left w:val="single" w:sz="4" w:space="0" w:color="auto"/>
              <w:bottom w:val="nil"/>
              <w:right w:val="single" w:sz="4" w:space="0" w:color="auto"/>
            </w:tcBorders>
          </w:tcPr>
          <w:p w14:paraId="6F9B360E" w14:textId="77777777" w:rsidR="00DF7C60" w:rsidRPr="00DF7C60" w:rsidRDefault="00DF7C60" w:rsidP="00DF7C60">
            <w:pPr>
              <w:keepNext/>
              <w:spacing w:after="0" w:line="240" w:lineRule="auto"/>
              <w:jc w:val="left"/>
              <w:rPr>
                <w:sz w:val="22"/>
              </w:rPr>
            </w:pPr>
          </w:p>
        </w:tc>
        <w:tc>
          <w:tcPr>
            <w:tcW w:w="1863" w:type="dxa"/>
            <w:tcBorders>
              <w:top w:val="single" w:sz="4" w:space="0" w:color="auto"/>
              <w:left w:val="single" w:sz="4" w:space="0" w:color="auto"/>
              <w:bottom w:val="nil"/>
              <w:right w:val="single" w:sz="4" w:space="0" w:color="auto"/>
            </w:tcBorders>
          </w:tcPr>
          <w:p w14:paraId="3075A562" w14:textId="77777777" w:rsidR="00DF7C60" w:rsidRPr="00DF7C60" w:rsidRDefault="00DF7C60" w:rsidP="00DF7C60">
            <w:pPr>
              <w:keepNext/>
              <w:spacing w:after="0" w:line="240" w:lineRule="auto"/>
              <w:jc w:val="left"/>
              <w:rPr>
                <w:sz w:val="22"/>
              </w:rPr>
            </w:pPr>
          </w:p>
        </w:tc>
        <w:tc>
          <w:tcPr>
            <w:tcW w:w="2223" w:type="dxa"/>
            <w:gridSpan w:val="2"/>
            <w:tcBorders>
              <w:top w:val="single" w:sz="4" w:space="0" w:color="auto"/>
              <w:left w:val="single" w:sz="4" w:space="0" w:color="auto"/>
              <w:bottom w:val="nil"/>
              <w:right w:val="single" w:sz="4" w:space="0" w:color="auto"/>
            </w:tcBorders>
          </w:tcPr>
          <w:p w14:paraId="2C566277" w14:textId="77777777" w:rsidR="00DF7C60" w:rsidRPr="00DF7C60" w:rsidRDefault="00DF7C60" w:rsidP="00DF7C60">
            <w:pPr>
              <w:keepNext/>
              <w:spacing w:after="0" w:line="240" w:lineRule="auto"/>
              <w:jc w:val="left"/>
              <w:rPr>
                <w:sz w:val="22"/>
              </w:rPr>
            </w:pPr>
          </w:p>
        </w:tc>
        <w:tc>
          <w:tcPr>
            <w:tcW w:w="1756" w:type="dxa"/>
            <w:tcBorders>
              <w:top w:val="single" w:sz="4" w:space="0" w:color="auto"/>
              <w:left w:val="single" w:sz="4" w:space="0" w:color="auto"/>
              <w:bottom w:val="nil"/>
              <w:right w:val="single" w:sz="4" w:space="0" w:color="auto"/>
            </w:tcBorders>
          </w:tcPr>
          <w:p w14:paraId="090C3C1C" w14:textId="77777777" w:rsidR="00DF7C60" w:rsidRPr="00DF7C60" w:rsidRDefault="00DF7C60" w:rsidP="00DF7C60">
            <w:pPr>
              <w:keepNext/>
              <w:spacing w:after="0" w:line="240" w:lineRule="auto"/>
              <w:jc w:val="left"/>
              <w:rPr>
                <w:sz w:val="22"/>
              </w:rPr>
            </w:pPr>
          </w:p>
        </w:tc>
      </w:tr>
      <w:tr w:rsidR="00DF7C60" w:rsidRPr="00DF7C60" w14:paraId="7073B1F7" w14:textId="77777777" w:rsidTr="0012134E">
        <w:trPr>
          <w:cantSplit/>
          <w:trHeight w:val="86"/>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B44A6EC" w14:textId="77777777" w:rsidR="00DF7C60" w:rsidRPr="00DF7C60" w:rsidRDefault="00DF7C60" w:rsidP="00DF7C60">
            <w:pPr>
              <w:spacing w:after="0" w:line="240" w:lineRule="auto"/>
              <w:jc w:val="left"/>
              <w:rPr>
                <w:sz w:val="22"/>
              </w:rPr>
            </w:pPr>
          </w:p>
        </w:tc>
        <w:tc>
          <w:tcPr>
            <w:tcW w:w="2038" w:type="dxa"/>
            <w:tcBorders>
              <w:top w:val="nil"/>
              <w:left w:val="single" w:sz="4" w:space="0" w:color="auto"/>
              <w:bottom w:val="single" w:sz="4" w:space="0" w:color="auto"/>
              <w:right w:val="single" w:sz="4" w:space="0" w:color="auto"/>
            </w:tcBorders>
            <w:vAlign w:val="bottom"/>
            <w:hideMark/>
          </w:tcPr>
          <w:p w14:paraId="73C485DF" w14:textId="77777777" w:rsidR="00DF7C60" w:rsidRPr="00DF7C60" w:rsidRDefault="00DF7C60" w:rsidP="00DF7C60">
            <w:pPr>
              <w:keepNext/>
              <w:spacing w:after="0" w:line="240" w:lineRule="auto"/>
              <w:jc w:val="left"/>
              <w:rPr>
                <w:sz w:val="22"/>
              </w:rPr>
            </w:pPr>
            <w:r w:rsidRPr="00DF7C60">
              <w:rPr>
                <w:b/>
                <w:sz w:val="12"/>
              </w:rPr>
              <w:t>City/town/suburb</w:t>
            </w:r>
          </w:p>
        </w:tc>
        <w:tc>
          <w:tcPr>
            <w:tcW w:w="1863" w:type="dxa"/>
            <w:tcBorders>
              <w:top w:val="nil"/>
              <w:left w:val="single" w:sz="4" w:space="0" w:color="auto"/>
              <w:bottom w:val="single" w:sz="4" w:space="0" w:color="auto"/>
              <w:right w:val="single" w:sz="4" w:space="0" w:color="auto"/>
            </w:tcBorders>
            <w:vAlign w:val="bottom"/>
            <w:hideMark/>
          </w:tcPr>
          <w:p w14:paraId="5550A98E" w14:textId="77777777" w:rsidR="00DF7C60" w:rsidRPr="00DF7C60" w:rsidRDefault="00DF7C60" w:rsidP="00DF7C60">
            <w:pPr>
              <w:keepNext/>
              <w:spacing w:after="0" w:line="240" w:lineRule="auto"/>
              <w:jc w:val="left"/>
              <w:rPr>
                <w:sz w:val="22"/>
              </w:rPr>
            </w:pPr>
            <w:r w:rsidRPr="00DF7C60">
              <w:rPr>
                <w:b/>
                <w:sz w:val="12"/>
              </w:rPr>
              <w:t>State</w:t>
            </w:r>
          </w:p>
        </w:tc>
        <w:tc>
          <w:tcPr>
            <w:tcW w:w="2223" w:type="dxa"/>
            <w:gridSpan w:val="2"/>
            <w:tcBorders>
              <w:top w:val="nil"/>
              <w:left w:val="single" w:sz="4" w:space="0" w:color="auto"/>
              <w:bottom w:val="single" w:sz="4" w:space="0" w:color="auto"/>
              <w:right w:val="single" w:sz="4" w:space="0" w:color="auto"/>
            </w:tcBorders>
            <w:vAlign w:val="bottom"/>
            <w:hideMark/>
          </w:tcPr>
          <w:p w14:paraId="12859C02" w14:textId="77777777" w:rsidR="00DF7C60" w:rsidRPr="00DF7C60" w:rsidRDefault="00DF7C60" w:rsidP="00DF7C60">
            <w:pPr>
              <w:keepNext/>
              <w:spacing w:after="0" w:line="240" w:lineRule="auto"/>
              <w:jc w:val="left"/>
              <w:rPr>
                <w:sz w:val="22"/>
              </w:rPr>
            </w:pPr>
            <w:r w:rsidRPr="00DF7C60">
              <w:rPr>
                <w:b/>
                <w:sz w:val="12"/>
              </w:rPr>
              <w:t>Postcode</w:t>
            </w:r>
          </w:p>
        </w:tc>
        <w:tc>
          <w:tcPr>
            <w:tcW w:w="1756" w:type="dxa"/>
            <w:tcBorders>
              <w:top w:val="nil"/>
              <w:left w:val="single" w:sz="4" w:space="0" w:color="auto"/>
              <w:bottom w:val="single" w:sz="4" w:space="0" w:color="auto"/>
              <w:right w:val="single" w:sz="4" w:space="0" w:color="auto"/>
            </w:tcBorders>
            <w:vAlign w:val="bottom"/>
            <w:hideMark/>
          </w:tcPr>
          <w:p w14:paraId="2ABEB006" w14:textId="77777777" w:rsidR="00DF7C60" w:rsidRPr="00DF7C60" w:rsidRDefault="00DF7C60" w:rsidP="00DF7C60">
            <w:pPr>
              <w:keepNext/>
              <w:spacing w:after="0" w:line="240" w:lineRule="auto"/>
              <w:jc w:val="left"/>
              <w:rPr>
                <w:sz w:val="22"/>
              </w:rPr>
            </w:pPr>
            <w:r w:rsidRPr="00DF7C60">
              <w:rPr>
                <w:b/>
                <w:sz w:val="12"/>
              </w:rPr>
              <w:t>Country</w:t>
            </w:r>
          </w:p>
        </w:tc>
      </w:tr>
      <w:tr w:rsidR="00DF7C60" w:rsidRPr="00DF7C60" w14:paraId="0FD2B8F9" w14:textId="77777777" w:rsidTr="0012134E">
        <w:trPr>
          <w:cantSplit/>
          <w:trHeight w:val="454"/>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17F3E21" w14:textId="77777777" w:rsidR="00DF7C60" w:rsidRPr="00DF7C60" w:rsidRDefault="00DF7C60" w:rsidP="00DF7C60">
            <w:pPr>
              <w:spacing w:after="0" w:line="240" w:lineRule="auto"/>
              <w:jc w:val="left"/>
              <w:rPr>
                <w:sz w:val="22"/>
              </w:rPr>
            </w:pPr>
          </w:p>
        </w:tc>
        <w:tc>
          <w:tcPr>
            <w:tcW w:w="7880" w:type="dxa"/>
            <w:gridSpan w:val="5"/>
            <w:tcBorders>
              <w:top w:val="single" w:sz="4" w:space="0" w:color="auto"/>
              <w:left w:val="single" w:sz="4" w:space="0" w:color="auto"/>
              <w:bottom w:val="nil"/>
              <w:right w:val="single" w:sz="4" w:space="0" w:color="auto"/>
            </w:tcBorders>
          </w:tcPr>
          <w:p w14:paraId="297F32F5" w14:textId="77777777" w:rsidR="00DF7C60" w:rsidRPr="00DF7C60" w:rsidRDefault="00DF7C60" w:rsidP="00DF7C60">
            <w:pPr>
              <w:keepNext/>
              <w:spacing w:after="0" w:line="240" w:lineRule="auto"/>
              <w:jc w:val="left"/>
              <w:rPr>
                <w:sz w:val="22"/>
              </w:rPr>
            </w:pPr>
          </w:p>
        </w:tc>
      </w:tr>
      <w:tr w:rsidR="00DF7C60" w:rsidRPr="00DF7C60" w14:paraId="14D7CCC1" w14:textId="77777777" w:rsidTr="0012134E">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220EE560" w14:textId="77777777" w:rsidR="00DF7C60" w:rsidRPr="00DF7C60" w:rsidRDefault="00DF7C60" w:rsidP="00DF7C60">
            <w:pPr>
              <w:spacing w:after="0" w:line="240" w:lineRule="auto"/>
              <w:jc w:val="left"/>
              <w:rPr>
                <w:sz w:val="22"/>
              </w:rPr>
            </w:pPr>
          </w:p>
        </w:tc>
        <w:tc>
          <w:tcPr>
            <w:tcW w:w="7880" w:type="dxa"/>
            <w:gridSpan w:val="5"/>
            <w:tcBorders>
              <w:top w:val="nil"/>
              <w:left w:val="single" w:sz="4" w:space="0" w:color="auto"/>
              <w:bottom w:val="single" w:sz="4" w:space="0" w:color="auto"/>
              <w:right w:val="single" w:sz="4" w:space="0" w:color="auto"/>
            </w:tcBorders>
            <w:hideMark/>
          </w:tcPr>
          <w:p w14:paraId="30826134" w14:textId="77777777" w:rsidR="00DF7C60" w:rsidRPr="00DF7C60" w:rsidRDefault="00DF7C60" w:rsidP="00DF7C60">
            <w:pPr>
              <w:keepNext/>
              <w:spacing w:after="0" w:line="240" w:lineRule="auto"/>
              <w:jc w:val="left"/>
              <w:rPr>
                <w:b/>
                <w:sz w:val="22"/>
              </w:rPr>
            </w:pPr>
            <w:r w:rsidRPr="00DF7C60">
              <w:rPr>
                <w:b/>
                <w:sz w:val="12"/>
              </w:rPr>
              <w:t>Email address</w:t>
            </w:r>
          </w:p>
        </w:tc>
      </w:tr>
      <w:tr w:rsidR="00DF7C60" w:rsidRPr="00DF7C60" w14:paraId="1C68037B" w14:textId="77777777" w:rsidTr="0012134E">
        <w:trPr>
          <w:cantSplit/>
          <w:trHeight w:val="454"/>
          <w:jc w:val="center"/>
        </w:trPr>
        <w:tc>
          <w:tcPr>
            <w:tcW w:w="2577" w:type="dxa"/>
            <w:vMerge w:val="restart"/>
            <w:tcBorders>
              <w:top w:val="single" w:sz="4" w:space="0" w:color="auto"/>
              <w:left w:val="single" w:sz="4" w:space="0" w:color="auto"/>
              <w:bottom w:val="single" w:sz="4" w:space="0" w:color="auto"/>
              <w:right w:val="single" w:sz="4" w:space="0" w:color="auto"/>
            </w:tcBorders>
            <w:hideMark/>
          </w:tcPr>
          <w:p w14:paraId="35D6B8D1" w14:textId="77777777" w:rsidR="00DF7C60" w:rsidRPr="00DF7C60" w:rsidRDefault="00DF7C60" w:rsidP="00DF7C60">
            <w:pPr>
              <w:keepNext/>
              <w:spacing w:after="0" w:line="240" w:lineRule="auto"/>
              <w:jc w:val="left"/>
              <w:rPr>
                <w:sz w:val="22"/>
              </w:rPr>
            </w:pPr>
            <w:r w:rsidRPr="00DF7C60">
              <w:rPr>
                <w:sz w:val="22"/>
              </w:rPr>
              <w:t>Phone Details</w:t>
            </w:r>
          </w:p>
        </w:tc>
        <w:tc>
          <w:tcPr>
            <w:tcW w:w="7880" w:type="dxa"/>
            <w:gridSpan w:val="5"/>
            <w:tcBorders>
              <w:top w:val="single" w:sz="4" w:space="0" w:color="auto"/>
              <w:left w:val="single" w:sz="4" w:space="0" w:color="auto"/>
              <w:bottom w:val="nil"/>
              <w:right w:val="single" w:sz="4" w:space="0" w:color="auto"/>
            </w:tcBorders>
          </w:tcPr>
          <w:p w14:paraId="097D0651" w14:textId="77777777" w:rsidR="00DF7C60" w:rsidRPr="00DF7C60" w:rsidRDefault="00DF7C60" w:rsidP="00DF7C60">
            <w:pPr>
              <w:keepNext/>
              <w:spacing w:after="0" w:line="240" w:lineRule="auto"/>
              <w:jc w:val="left"/>
              <w:rPr>
                <w:sz w:val="22"/>
              </w:rPr>
            </w:pPr>
          </w:p>
        </w:tc>
      </w:tr>
      <w:tr w:rsidR="00DF7C60" w:rsidRPr="00DF7C60" w14:paraId="47C4D842" w14:textId="77777777" w:rsidTr="0012134E">
        <w:trPr>
          <w:cantSplit/>
          <w:trHeight w:val="85"/>
          <w:jc w:val="center"/>
        </w:trPr>
        <w:tc>
          <w:tcPr>
            <w:tcW w:w="2577" w:type="dxa"/>
            <w:vMerge/>
            <w:tcBorders>
              <w:top w:val="single" w:sz="4" w:space="0" w:color="auto"/>
              <w:left w:val="single" w:sz="4" w:space="0" w:color="auto"/>
              <w:bottom w:val="single" w:sz="4" w:space="0" w:color="auto"/>
              <w:right w:val="single" w:sz="4" w:space="0" w:color="auto"/>
            </w:tcBorders>
            <w:vAlign w:val="center"/>
            <w:hideMark/>
          </w:tcPr>
          <w:p w14:paraId="5D5A460C" w14:textId="77777777" w:rsidR="00DF7C60" w:rsidRPr="00DF7C60" w:rsidRDefault="00DF7C60" w:rsidP="00DF7C60">
            <w:pPr>
              <w:spacing w:after="0" w:line="240" w:lineRule="auto"/>
              <w:jc w:val="left"/>
              <w:rPr>
                <w:sz w:val="22"/>
              </w:rPr>
            </w:pPr>
          </w:p>
        </w:tc>
        <w:tc>
          <w:tcPr>
            <w:tcW w:w="7880" w:type="dxa"/>
            <w:gridSpan w:val="5"/>
            <w:tcBorders>
              <w:top w:val="nil"/>
              <w:left w:val="single" w:sz="4" w:space="0" w:color="auto"/>
              <w:bottom w:val="single" w:sz="4" w:space="0" w:color="auto"/>
              <w:right w:val="single" w:sz="4" w:space="0" w:color="auto"/>
            </w:tcBorders>
            <w:hideMark/>
          </w:tcPr>
          <w:p w14:paraId="6B3E1552" w14:textId="77777777" w:rsidR="00DF7C60" w:rsidRPr="00DF7C60" w:rsidRDefault="00DF7C60" w:rsidP="00DF7C60">
            <w:pPr>
              <w:keepNext/>
              <w:spacing w:after="0" w:line="240" w:lineRule="auto"/>
              <w:jc w:val="left"/>
              <w:rPr>
                <w:b/>
                <w:sz w:val="22"/>
              </w:rPr>
            </w:pPr>
            <w:r w:rsidRPr="00DF7C60">
              <w:rPr>
                <w:b/>
                <w:sz w:val="12"/>
              </w:rPr>
              <w:t>Type - Number</w:t>
            </w:r>
          </w:p>
        </w:tc>
      </w:tr>
    </w:tbl>
    <w:p w14:paraId="65A9445A" w14:textId="77777777" w:rsidR="00DF7C60" w:rsidRPr="00DF7C60" w:rsidRDefault="00DF7C60" w:rsidP="00DF7C60">
      <w:pPr>
        <w:spacing w:after="160" w:line="259" w:lineRule="auto"/>
        <w:ind w:right="141"/>
        <w:jc w:val="left"/>
        <w:rPr>
          <w:sz w:val="22"/>
        </w:rPr>
      </w:pPr>
      <w:r w:rsidRPr="00DF7C60">
        <w:rPr>
          <w:b/>
          <w:sz w:val="12"/>
        </w:rPr>
        <w:t>Duplicate panel if multiple Applicants</w:t>
      </w:r>
      <w:bookmarkEnd w:id="25"/>
    </w:p>
    <w:p w14:paraId="29B00B83" w14:textId="77777777" w:rsidR="00DF7C60" w:rsidRPr="00DF7C60" w:rsidRDefault="00DF7C60" w:rsidP="00DF7C60">
      <w:pPr>
        <w:spacing w:after="120" w:line="259" w:lineRule="auto"/>
        <w:ind w:right="142"/>
        <w:jc w:val="left"/>
        <w:rPr>
          <w:sz w:val="22"/>
        </w:rPr>
      </w:pPr>
    </w:p>
    <w:tbl>
      <w:tblPr>
        <w:tblStyle w:val="TableGrid38"/>
        <w:tblW w:w="5000" w:type="pct"/>
        <w:jc w:val="center"/>
        <w:tblLayout w:type="fixed"/>
        <w:tblLook w:val="04A0" w:firstRow="1" w:lastRow="0" w:firstColumn="1" w:lastColumn="0" w:noHBand="0" w:noVBand="1"/>
      </w:tblPr>
      <w:tblGrid>
        <w:gridCol w:w="2295"/>
        <w:gridCol w:w="1822"/>
        <w:gridCol w:w="1668"/>
        <w:gridCol w:w="1985"/>
        <w:gridCol w:w="1574"/>
      </w:tblGrid>
      <w:tr w:rsidR="00DF7C60" w:rsidRPr="00DF7C60" w14:paraId="74A38AE9" w14:textId="77777777" w:rsidTr="001213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61B659C2" w14:textId="77777777" w:rsidR="00DF7C60" w:rsidRPr="00DF7C60" w:rsidRDefault="00DF7C60" w:rsidP="00DF7C60">
            <w:pPr>
              <w:keepNext/>
              <w:spacing w:after="0" w:line="240" w:lineRule="auto"/>
              <w:jc w:val="left"/>
              <w:rPr>
                <w:sz w:val="22"/>
              </w:rPr>
            </w:pPr>
            <w:bookmarkStart w:id="27" w:name="_Hlk38379415"/>
            <w:r w:rsidRPr="00DF7C60">
              <w:rPr>
                <w:sz w:val="22"/>
              </w:rPr>
              <w:t>Respondent (Recipient)</w:t>
            </w:r>
          </w:p>
        </w:tc>
        <w:tc>
          <w:tcPr>
            <w:tcW w:w="7889" w:type="dxa"/>
            <w:gridSpan w:val="4"/>
            <w:tcBorders>
              <w:top w:val="single" w:sz="4" w:space="0" w:color="auto"/>
              <w:left w:val="single" w:sz="4" w:space="0" w:color="auto"/>
              <w:bottom w:val="nil"/>
              <w:right w:val="single" w:sz="4" w:space="0" w:color="auto"/>
            </w:tcBorders>
          </w:tcPr>
          <w:p w14:paraId="2B9E5805" w14:textId="77777777" w:rsidR="00DF7C60" w:rsidRPr="00DF7C60" w:rsidRDefault="00DF7C60" w:rsidP="00DF7C60">
            <w:pPr>
              <w:keepNext/>
              <w:spacing w:after="0" w:line="240" w:lineRule="auto"/>
              <w:jc w:val="left"/>
              <w:rPr>
                <w:sz w:val="22"/>
              </w:rPr>
            </w:pPr>
          </w:p>
        </w:tc>
      </w:tr>
      <w:tr w:rsidR="00DF7C60" w:rsidRPr="00DF7C60" w14:paraId="2BCE21A2" w14:textId="77777777" w:rsidTr="0012134E">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4114F758" w14:textId="77777777" w:rsidR="00DF7C60" w:rsidRPr="00DF7C60" w:rsidRDefault="00DF7C60" w:rsidP="00DF7C60">
            <w:pPr>
              <w:spacing w:after="0" w:line="240" w:lineRule="auto"/>
              <w:jc w:val="left"/>
              <w:rPr>
                <w:sz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5C61B79E" w14:textId="77777777" w:rsidR="00DF7C60" w:rsidRPr="00DF7C60" w:rsidRDefault="00DF7C60" w:rsidP="00DF7C60">
            <w:pPr>
              <w:keepNext/>
              <w:spacing w:after="0" w:line="240" w:lineRule="auto"/>
              <w:jc w:val="left"/>
              <w:rPr>
                <w:sz w:val="22"/>
              </w:rPr>
            </w:pPr>
            <w:r w:rsidRPr="00DF7C60">
              <w:rPr>
                <w:b/>
                <w:sz w:val="12"/>
              </w:rPr>
              <w:t>Full Name (including Also Known as, capacity (eg Administrator, Liquidator, Trustee) and Litigation Guardian Name (if applicable))</w:t>
            </w:r>
          </w:p>
        </w:tc>
      </w:tr>
      <w:tr w:rsidR="00DF7C60" w:rsidRPr="00DF7C60" w14:paraId="3D2133C0" w14:textId="77777777" w:rsidTr="001213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1DED19A6" w14:textId="77777777" w:rsidR="00DF7C60" w:rsidRPr="00DF7C60" w:rsidRDefault="00DF7C60" w:rsidP="00DF7C60">
            <w:pPr>
              <w:keepNext/>
              <w:spacing w:after="0" w:line="240" w:lineRule="auto"/>
              <w:jc w:val="left"/>
              <w:rPr>
                <w:sz w:val="22"/>
              </w:rPr>
            </w:pPr>
            <w:r w:rsidRPr="00DF7C60">
              <w:rPr>
                <w:sz w:val="22"/>
              </w:rPr>
              <w:t>Address</w:t>
            </w:r>
          </w:p>
        </w:tc>
        <w:tc>
          <w:tcPr>
            <w:tcW w:w="7889" w:type="dxa"/>
            <w:gridSpan w:val="4"/>
            <w:tcBorders>
              <w:top w:val="single" w:sz="4" w:space="0" w:color="auto"/>
              <w:left w:val="single" w:sz="4" w:space="0" w:color="auto"/>
              <w:bottom w:val="nil"/>
              <w:right w:val="single" w:sz="4" w:space="0" w:color="auto"/>
            </w:tcBorders>
          </w:tcPr>
          <w:p w14:paraId="2BFDA7F5" w14:textId="77777777" w:rsidR="00DF7C60" w:rsidRPr="00DF7C60" w:rsidRDefault="00DF7C60" w:rsidP="00DF7C60">
            <w:pPr>
              <w:keepNext/>
              <w:spacing w:after="0" w:line="240" w:lineRule="auto"/>
              <w:jc w:val="left"/>
              <w:rPr>
                <w:sz w:val="22"/>
              </w:rPr>
            </w:pPr>
          </w:p>
        </w:tc>
      </w:tr>
      <w:tr w:rsidR="00DF7C60" w:rsidRPr="00DF7C60" w14:paraId="0D6A50EC" w14:textId="77777777" w:rsidTr="0012134E">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3DCB2D1C" w14:textId="77777777" w:rsidR="00DF7C60" w:rsidRPr="00DF7C60" w:rsidRDefault="00DF7C60" w:rsidP="00DF7C60">
            <w:pPr>
              <w:spacing w:after="0" w:line="240" w:lineRule="auto"/>
              <w:jc w:val="left"/>
              <w:rPr>
                <w:sz w:val="22"/>
              </w:rPr>
            </w:pPr>
          </w:p>
        </w:tc>
        <w:tc>
          <w:tcPr>
            <w:tcW w:w="7889" w:type="dxa"/>
            <w:gridSpan w:val="4"/>
            <w:tcBorders>
              <w:top w:val="nil"/>
              <w:left w:val="single" w:sz="4" w:space="0" w:color="auto"/>
              <w:bottom w:val="single" w:sz="4" w:space="0" w:color="auto"/>
              <w:right w:val="single" w:sz="4" w:space="0" w:color="auto"/>
            </w:tcBorders>
            <w:vAlign w:val="bottom"/>
            <w:hideMark/>
          </w:tcPr>
          <w:p w14:paraId="368E5547" w14:textId="77777777" w:rsidR="00DF7C60" w:rsidRPr="00DF7C60" w:rsidRDefault="00DF7C60" w:rsidP="00DF7C60">
            <w:pPr>
              <w:keepNext/>
              <w:spacing w:after="0" w:line="240" w:lineRule="auto"/>
              <w:jc w:val="left"/>
              <w:rPr>
                <w:b/>
                <w:sz w:val="22"/>
              </w:rPr>
            </w:pPr>
            <w:r w:rsidRPr="00DF7C60">
              <w:rPr>
                <w:b/>
                <w:sz w:val="12"/>
              </w:rPr>
              <w:t>Street Address (including unit or level number and name of property if required)</w:t>
            </w:r>
          </w:p>
        </w:tc>
      </w:tr>
      <w:tr w:rsidR="00DF7C60" w:rsidRPr="00DF7C60" w14:paraId="2E6E89E0" w14:textId="77777777" w:rsidTr="0012134E">
        <w:trPr>
          <w:cantSplit/>
          <w:trHeight w:val="454"/>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42AF3631" w14:textId="77777777" w:rsidR="00DF7C60" w:rsidRPr="00DF7C60" w:rsidRDefault="00DF7C60" w:rsidP="00DF7C60">
            <w:pPr>
              <w:spacing w:after="0" w:line="240" w:lineRule="auto"/>
              <w:jc w:val="left"/>
              <w:rPr>
                <w:sz w:val="22"/>
              </w:rPr>
            </w:pPr>
          </w:p>
        </w:tc>
        <w:tc>
          <w:tcPr>
            <w:tcW w:w="2040" w:type="dxa"/>
            <w:tcBorders>
              <w:top w:val="single" w:sz="4" w:space="0" w:color="auto"/>
              <w:left w:val="single" w:sz="4" w:space="0" w:color="auto"/>
              <w:bottom w:val="nil"/>
              <w:right w:val="single" w:sz="4" w:space="0" w:color="auto"/>
            </w:tcBorders>
          </w:tcPr>
          <w:p w14:paraId="56BEC214" w14:textId="77777777" w:rsidR="00DF7C60" w:rsidRPr="00DF7C60" w:rsidRDefault="00DF7C60" w:rsidP="00DF7C60">
            <w:pPr>
              <w:keepNext/>
              <w:spacing w:after="0" w:line="240" w:lineRule="auto"/>
              <w:jc w:val="left"/>
              <w:rPr>
                <w:sz w:val="22"/>
              </w:rPr>
            </w:pPr>
          </w:p>
        </w:tc>
        <w:tc>
          <w:tcPr>
            <w:tcW w:w="1865" w:type="dxa"/>
            <w:tcBorders>
              <w:top w:val="single" w:sz="4" w:space="0" w:color="auto"/>
              <w:left w:val="single" w:sz="4" w:space="0" w:color="auto"/>
              <w:bottom w:val="nil"/>
              <w:right w:val="single" w:sz="4" w:space="0" w:color="auto"/>
            </w:tcBorders>
          </w:tcPr>
          <w:p w14:paraId="6F284FA8" w14:textId="77777777" w:rsidR="00DF7C60" w:rsidRPr="00DF7C60" w:rsidRDefault="00DF7C60" w:rsidP="00DF7C60">
            <w:pPr>
              <w:keepNext/>
              <w:spacing w:after="0" w:line="240" w:lineRule="auto"/>
              <w:jc w:val="left"/>
              <w:rPr>
                <w:sz w:val="22"/>
              </w:rPr>
            </w:pPr>
          </w:p>
        </w:tc>
        <w:tc>
          <w:tcPr>
            <w:tcW w:w="2226" w:type="dxa"/>
            <w:tcBorders>
              <w:top w:val="single" w:sz="4" w:space="0" w:color="auto"/>
              <w:left w:val="single" w:sz="4" w:space="0" w:color="auto"/>
              <w:bottom w:val="nil"/>
              <w:right w:val="single" w:sz="4" w:space="0" w:color="auto"/>
            </w:tcBorders>
          </w:tcPr>
          <w:p w14:paraId="7884CA6D" w14:textId="77777777" w:rsidR="00DF7C60" w:rsidRPr="00DF7C60" w:rsidRDefault="00DF7C60" w:rsidP="00DF7C60">
            <w:pPr>
              <w:keepNext/>
              <w:spacing w:after="0" w:line="240" w:lineRule="auto"/>
              <w:jc w:val="left"/>
              <w:rPr>
                <w:sz w:val="22"/>
              </w:rPr>
            </w:pPr>
          </w:p>
        </w:tc>
        <w:tc>
          <w:tcPr>
            <w:tcW w:w="1758" w:type="dxa"/>
            <w:tcBorders>
              <w:top w:val="single" w:sz="4" w:space="0" w:color="auto"/>
              <w:left w:val="single" w:sz="4" w:space="0" w:color="auto"/>
              <w:bottom w:val="nil"/>
              <w:right w:val="single" w:sz="4" w:space="0" w:color="auto"/>
            </w:tcBorders>
          </w:tcPr>
          <w:p w14:paraId="1956B51B" w14:textId="77777777" w:rsidR="00DF7C60" w:rsidRPr="00DF7C60" w:rsidRDefault="00DF7C60" w:rsidP="00DF7C60">
            <w:pPr>
              <w:keepNext/>
              <w:spacing w:after="0" w:line="240" w:lineRule="auto"/>
              <w:jc w:val="left"/>
              <w:rPr>
                <w:sz w:val="22"/>
              </w:rPr>
            </w:pPr>
          </w:p>
        </w:tc>
      </w:tr>
      <w:tr w:rsidR="00DF7C60" w:rsidRPr="00DF7C60" w14:paraId="5925F325" w14:textId="77777777" w:rsidTr="0012134E">
        <w:trPr>
          <w:cantSplit/>
          <w:trHeight w:val="86"/>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61AC31A3" w14:textId="77777777" w:rsidR="00DF7C60" w:rsidRPr="00DF7C60" w:rsidRDefault="00DF7C60" w:rsidP="00DF7C60">
            <w:pPr>
              <w:spacing w:after="0" w:line="240" w:lineRule="auto"/>
              <w:jc w:val="left"/>
              <w:rPr>
                <w:sz w:val="22"/>
              </w:rPr>
            </w:pPr>
          </w:p>
        </w:tc>
        <w:tc>
          <w:tcPr>
            <w:tcW w:w="2040" w:type="dxa"/>
            <w:tcBorders>
              <w:top w:val="nil"/>
              <w:left w:val="single" w:sz="4" w:space="0" w:color="auto"/>
              <w:bottom w:val="single" w:sz="4" w:space="0" w:color="auto"/>
              <w:right w:val="single" w:sz="4" w:space="0" w:color="auto"/>
            </w:tcBorders>
            <w:vAlign w:val="bottom"/>
            <w:hideMark/>
          </w:tcPr>
          <w:p w14:paraId="25F91D32" w14:textId="77777777" w:rsidR="00DF7C60" w:rsidRPr="00DF7C60" w:rsidRDefault="00DF7C60" w:rsidP="00DF7C60">
            <w:pPr>
              <w:keepNext/>
              <w:spacing w:after="0" w:line="240" w:lineRule="auto"/>
              <w:jc w:val="left"/>
              <w:rPr>
                <w:sz w:val="22"/>
              </w:rPr>
            </w:pPr>
            <w:r w:rsidRPr="00DF7C60">
              <w:rPr>
                <w:b/>
                <w:sz w:val="12"/>
              </w:rPr>
              <w:t>City/town/suburb</w:t>
            </w:r>
          </w:p>
        </w:tc>
        <w:tc>
          <w:tcPr>
            <w:tcW w:w="1865" w:type="dxa"/>
            <w:tcBorders>
              <w:top w:val="nil"/>
              <w:left w:val="single" w:sz="4" w:space="0" w:color="auto"/>
              <w:bottom w:val="single" w:sz="4" w:space="0" w:color="auto"/>
              <w:right w:val="single" w:sz="4" w:space="0" w:color="auto"/>
            </w:tcBorders>
            <w:vAlign w:val="bottom"/>
            <w:hideMark/>
          </w:tcPr>
          <w:p w14:paraId="60E1DEFA" w14:textId="77777777" w:rsidR="00DF7C60" w:rsidRPr="00DF7C60" w:rsidRDefault="00DF7C60" w:rsidP="00DF7C60">
            <w:pPr>
              <w:keepNext/>
              <w:spacing w:after="0" w:line="240" w:lineRule="auto"/>
              <w:jc w:val="left"/>
              <w:rPr>
                <w:sz w:val="22"/>
              </w:rPr>
            </w:pPr>
            <w:r w:rsidRPr="00DF7C60">
              <w:rPr>
                <w:b/>
                <w:sz w:val="12"/>
              </w:rPr>
              <w:t>State</w:t>
            </w:r>
          </w:p>
        </w:tc>
        <w:tc>
          <w:tcPr>
            <w:tcW w:w="2226" w:type="dxa"/>
            <w:tcBorders>
              <w:top w:val="nil"/>
              <w:left w:val="single" w:sz="4" w:space="0" w:color="auto"/>
              <w:bottom w:val="single" w:sz="4" w:space="0" w:color="auto"/>
              <w:right w:val="single" w:sz="4" w:space="0" w:color="auto"/>
            </w:tcBorders>
            <w:vAlign w:val="bottom"/>
            <w:hideMark/>
          </w:tcPr>
          <w:p w14:paraId="54341887" w14:textId="77777777" w:rsidR="00DF7C60" w:rsidRPr="00DF7C60" w:rsidRDefault="00DF7C60" w:rsidP="00DF7C60">
            <w:pPr>
              <w:keepNext/>
              <w:spacing w:after="0" w:line="240" w:lineRule="auto"/>
              <w:jc w:val="left"/>
              <w:rPr>
                <w:sz w:val="22"/>
              </w:rPr>
            </w:pPr>
            <w:r w:rsidRPr="00DF7C60">
              <w:rPr>
                <w:b/>
                <w:sz w:val="12"/>
              </w:rPr>
              <w:t>Postcode</w:t>
            </w:r>
          </w:p>
        </w:tc>
        <w:tc>
          <w:tcPr>
            <w:tcW w:w="1758" w:type="dxa"/>
            <w:tcBorders>
              <w:top w:val="nil"/>
              <w:left w:val="single" w:sz="4" w:space="0" w:color="auto"/>
              <w:bottom w:val="single" w:sz="4" w:space="0" w:color="auto"/>
              <w:right w:val="single" w:sz="4" w:space="0" w:color="auto"/>
            </w:tcBorders>
            <w:vAlign w:val="bottom"/>
            <w:hideMark/>
          </w:tcPr>
          <w:p w14:paraId="6D9DC89C" w14:textId="77777777" w:rsidR="00DF7C60" w:rsidRPr="00DF7C60" w:rsidRDefault="00DF7C60" w:rsidP="00DF7C60">
            <w:pPr>
              <w:keepNext/>
              <w:spacing w:after="0" w:line="240" w:lineRule="auto"/>
              <w:jc w:val="left"/>
              <w:rPr>
                <w:sz w:val="22"/>
              </w:rPr>
            </w:pPr>
            <w:r w:rsidRPr="00DF7C60">
              <w:rPr>
                <w:b/>
                <w:sz w:val="12"/>
              </w:rPr>
              <w:t>Country</w:t>
            </w:r>
          </w:p>
        </w:tc>
      </w:tr>
      <w:tr w:rsidR="00DF7C60" w:rsidRPr="00DF7C60" w14:paraId="4D4DF710" w14:textId="77777777" w:rsidTr="0012134E">
        <w:trPr>
          <w:cantSplit/>
          <w:trHeight w:val="454"/>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1FEDB0A1" w14:textId="77777777" w:rsidR="00DF7C60" w:rsidRPr="00DF7C60" w:rsidRDefault="00DF7C60" w:rsidP="00DF7C60">
            <w:pPr>
              <w:spacing w:after="0" w:line="240" w:lineRule="auto"/>
              <w:jc w:val="left"/>
              <w:rPr>
                <w:sz w:val="22"/>
              </w:rPr>
            </w:pPr>
          </w:p>
        </w:tc>
        <w:tc>
          <w:tcPr>
            <w:tcW w:w="7889" w:type="dxa"/>
            <w:gridSpan w:val="4"/>
            <w:tcBorders>
              <w:top w:val="single" w:sz="4" w:space="0" w:color="auto"/>
              <w:left w:val="single" w:sz="4" w:space="0" w:color="auto"/>
              <w:bottom w:val="nil"/>
              <w:right w:val="single" w:sz="4" w:space="0" w:color="auto"/>
            </w:tcBorders>
          </w:tcPr>
          <w:p w14:paraId="7C9DD053" w14:textId="77777777" w:rsidR="00DF7C60" w:rsidRPr="00DF7C60" w:rsidRDefault="00DF7C60" w:rsidP="00DF7C60">
            <w:pPr>
              <w:keepNext/>
              <w:spacing w:after="0" w:line="240" w:lineRule="auto"/>
              <w:jc w:val="left"/>
              <w:rPr>
                <w:sz w:val="22"/>
              </w:rPr>
            </w:pPr>
          </w:p>
        </w:tc>
      </w:tr>
      <w:tr w:rsidR="00DF7C60" w:rsidRPr="00DF7C60" w14:paraId="2D4AE620" w14:textId="77777777" w:rsidTr="0012134E">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430C04D8" w14:textId="77777777" w:rsidR="00DF7C60" w:rsidRPr="00DF7C60" w:rsidRDefault="00DF7C60" w:rsidP="00DF7C60">
            <w:pPr>
              <w:spacing w:after="0" w:line="240" w:lineRule="auto"/>
              <w:jc w:val="left"/>
              <w:rPr>
                <w:sz w:val="22"/>
              </w:rPr>
            </w:pPr>
          </w:p>
        </w:tc>
        <w:tc>
          <w:tcPr>
            <w:tcW w:w="7889" w:type="dxa"/>
            <w:gridSpan w:val="4"/>
            <w:tcBorders>
              <w:top w:val="nil"/>
              <w:left w:val="single" w:sz="4" w:space="0" w:color="auto"/>
              <w:bottom w:val="single" w:sz="4" w:space="0" w:color="auto"/>
              <w:right w:val="single" w:sz="4" w:space="0" w:color="auto"/>
            </w:tcBorders>
            <w:hideMark/>
          </w:tcPr>
          <w:p w14:paraId="3F2298C0" w14:textId="77777777" w:rsidR="00DF7C60" w:rsidRPr="00DF7C60" w:rsidRDefault="00DF7C60" w:rsidP="00DF7C60">
            <w:pPr>
              <w:keepNext/>
              <w:spacing w:after="0" w:line="240" w:lineRule="auto"/>
              <w:jc w:val="left"/>
              <w:rPr>
                <w:b/>
                <w:sz w:val="22"/>
              </w:rPr>
            </w:pPr>
            <w:r w:rsidRPr="00DF7C60">
              <w:rPr>
                <w:b/>
                <w:sz w:val="12"/>
              </w:rPr>
              <w:t>Email address</w:t>
            </w:r>
          </w:p>
        </w:tc>
      </w:tr>
      <w:tr w:rsidR="00DF7C60" w:rsidRPr="00DF7C60" w14:paraId="765B30E2" w14:textId="77777777" w:rsidTr="0012134E">
        <w:trPr>
          <w:cantSplit/>
          <w:trHeight w:val="454"/>
          <w:jc w:val="center"/>
        </w:trPr>
        <w:tc>
          <w:tcPr>
            <w:tcW w:w="2580" w:type="dxa"/>
            <w:vMerge w:val="restart"/>
            <w:tcBorders>
              <w:top w:val="single" w:sz="4" w:space="0" w:color="auto"/>
              <w:left w:val="single" w:sz="4" w:space="0" w:color="auto"/>
              <w:bottom w:val="single" w:sz="4" w:space="0" w:color="auto"/>
              <w:right w:val="single" w:sz="4" w:space="0" w:color="auto"/>
            </w:tcBorders>
            <w:hideMark/>
          </w:tcPr>
          <w:p w14:paraId="2D6B3471" w14:textId="77777777" w:rsidR="00DF7C60" w:rsidRPr="00DF7C60" w:rsidRDefault="00DF7C60" w:rsidP="00DF7C60">
            <w:pPr>
              <w:keepNext/>
              <w:spacing w:after="0" w:line="240" w:lineRule="auto"/>
              <w:jc w:val="left"/>
              <w:rPr>
                <w:sz w:val="22"/>
              </w:rPr>
            </w:pPr>
            <w:r w:rsidRPr="00DF7C60">
              <w:rPr>
                <w:sz w:val="22"/>
              </w:rPr>
              <w:t>Phone Details</w:t>
            </w:r>
          </w:p>
        </w:tc>
        <w:tc>
          <w:tcPr>
            <w:tcW w:w="7889" w:type="dxa"/>
            <w:gridSpan w:val="4"/>
            <w:tcBorders>
              <w:top w:val="single" w:sz="4" w:space="0" w:color="auto"/>
              <w:left w:val="single" w:sz="4" w:space="0" w:color="auto"/>
              <w:bottom w:val="nil"/>
              <w:right w:val="single" w:sz="4" w:space="0" w:color="auto"/>
            </w:tcBorders>
          </w:tcPr>
          <w:p w14:paraId="04C78C3A" w14:textId="77777777" w:rsidR="00DF7C60" w:rsidRPr="00DF7C60" w:rsidRDefault="00DF7C60" w:rsidP="00DF7C60">
            <w:pPr>
              <w:keepNext/>
              <w:spacing w:after="0" w:line="240" w:lineRule="auto"/>
              <w:jc w:val="left"/>
              <w:rPr>
                <w:sz w:val="22"/>
              </w:rPr>
            </w:pPr>
          </w:p>
        </w:tc>
      </w:tr>
      <w:tr w:rsidR="00DF7C60" w:rsidRPr="00DF7C60" w14:paraId="027C43D5" w14:textId="77777777" w:rsidTr="0012134E">
        <w:trPr>
          <w:cantSplit/>
          <w:trHeight w:val="85"/>
          <w:jc w:val="center"/>
        </w:trPr>
        <w:tc>
          <w:tcPr>
            <w:tcW w:w="2580" w:type="dxa"/>
            <w:vMerge/>
            <w:tcBorders>
              <w:top w:val="single" w:sz="4" w:space="0" w:color="auto"/>
              <w:left w:val="single" w:sz="4" w:space="0" w:color="auto"/>
              <w:bottom w:val="single" w:sz="4" w:space="0" w:color="auto"/>
              <w:right w:val="single" w:sz="4" w:space="0" w:color="auto"/>
            </w:tcBorders>
            <w:vAlign w:val="center"/>
            <w:hideMark/>
          </w:tcPr>
          <w:p w14:paraId="236F4790" w14:textId="77777777" w:rsidR="00DF7C60" w:rsidRPr="00DF7C60" w:rsidRDefault="00DF7C60" w:rsidP="00DF7C60">
            <w:pPr>
              <w:spacing w:after="0" w:line="240" w:lineRule="auto"/>
              <w:jc w:val="left"/>
              <w:rPr>
                <w:sz w:val="22"/>
              </w:rPr>
            </w:pPr>
          </w:p>
        </w:tc>
        <w:tc>
          <w:tcPr>
            <w:tcW w:w="7889" w:type="dxa"/>
            <w:gridSpan w:val="4"/>
            <w:tcBorders>
              <w:top w:val="nil"/>
              <w:left w:val="single" w:sz="4" w:space="0" w:color="auto"/>
              <w:bottom w:val="single" w:sz="4" w:space="0" w:color="auto"/>
              <w:right w:val="single" w:sz="4" w:space="0" w:color="auto"/>
            </w:tcBorders>
            <w:hideMark/>
          </w:tcPr>
          <w:p w14:paraId="7F1923B8" w14:textId="77777777" w:rsidR="00DF7C60" w:rsidRPr="00DF7C60" w:rsidRDefault="00DF7C60" w:rsidP="00DF7C60">
            <w:pPr>
              <w:keepNext/>
              <w:spacing w:after="0" w:line="240" w:lineRule="auto"/>
              <w:jc w:val="left"/>
              <w:rPr>
                <w:b/>
                <w:sz w:val="22"/>
              </w:rPr>
            </w:pPr>
            <w:r w:rsidRPr="00DF7C60">
              <w:rPr>
                <w:b/>
                <w:sz w:val="12"/>
              </w:rPr>
              <w:t>Type - Number</w:t>
            </w:r>
          </w:p>
        </w:tc>
      </w:tr>
    </w:tbl>
    <w:p w14:paraId="7442EAC3" w14:textId="77777777" w:rsidR="00DF7C60" w:rsidRPr="00DF7C60" w:rsidRDefault="00DF7C60" w:rsidP="00DF7C60">
      <w:pPr>
        <w:tabs>
          <w:tab w:val="left" w:pos="1134"/>
          <w:tab w:val="left" w:pos="2342"/>
          <w:tab w:val="left" w:pos="4536"/>
        </w:tabs>
        <w:spacing w:after="160" w:line="259" w:lineRule="auto"/>
        <w:jc w:val="left"/>
        <w:rPr>
          <w:b/>
          <w:sz w:val="12"/>
        </w:rPr>
      </w:pPr>
      <w:r w:rsidRPr="00DF7C60">
        <w:rPr>
          <w:b/>
          <w:sz w:val="12"/>
        </w:rPr>
        <w:t>Duplicate panel if multiple Respondents</w:t>
      </w:r>
      <w:bookmarkEnd w:id="27"/>
    </w:p>
    <w:p w14:paraId="4635375F" w14:textId="77777777" w:rsidR="00DF7C60" w:rsidRPr="00DF7C60" w:rsidRDefault="00DF7C60" w:rsidP="00DF7C60">
      <w:pPr>
        <w:spacing w:after="120" w:line="259" w:lineRule="auto"/>
        <w:jc w:val="left"/>
        <w:rPr>
          <w:b/>
          <w:sz w:val="22"/>
        </w:rPr>
      </w:pPr>
    </w:p>
    <w:tbl>
      <w:tblPr>
        <w:tblStyle w:val="TableGrid38"/>
        <w:tblW w:w="5000" w:type="pct"/>
        <w:tblLook w:val="04A0" w:firstRow="1" w:lastRow="0" w:firstColumn="1" w:lastColumn="0" w:noHBand="0" w:noVBand="1"/>
      </w:tblPr>
      <w:tblGrid>
        <w:gridCol w:w="9344"/>
      </w:tblGrid>
      <w:tr w:rsidR="00DF7C60" w:rsidRPr="00DF7C60" w14:paraId="101E278D" w14:textId="77777777" w:rsidTr="0012134E">
        <w:tc>
          <w:tcPr>
            <w:tcW w:w="5000" w:type="pct"/>
          </w:tcPr>
          <w:p w14:paraId="029A2416" w14:textId="77777777" w:rsidR="00DF7C60" w:rsidRPr="00DF7C60" w:rsidRDefault="00DF7C60" w:rsidP="00DF7C60">
            <w:pPr>
              <w:spacing w:before="120" w:after="240" w:line="240" w:lineRule="auto"/>
              <w:jc w:val="left"/>
              <w:rPr>
                <w:b/>
                <w:sz w:val="22"/>
              </w:rPr>
            </w:pPr>
            <w:r w:rsidRPr="00DF7C60">
              <w:rPr>
                <w:b/>
                <w:sz w:val="22"/>
              </w:rPr>
              <w:t>Notice to the Recipient</w:t>
            </w:r>
          </w:p>
          <w:p w14:paraId="6E671B08" w14:textId="77777777" w:rsidR="00DF7C60" w:rsidRPr="00DF7C60" w:rsidRDefault="00DF7C60" w:rsidP="00DF7C60">
            <w:pPr>
              <w:tabs>
                <w:tab w:val="left" w:pos="567"/>
              </w:tabs>
              <w:spacing w:after="240" w:line="240" w:lineRule="auto"/>
              <w:jc w:val="left"/>
              <w:rPr>
                <w:sz w:val="22"/>
              </w:rPr>
            </w:pPr>
            <w:r w:rsidRPr="00DF7C60">
              <w:rPr>
                <w:sz w:val="22"/>
              </w:rPr>
              <w:t>The Sender intends to file an action against you in one of the above named Courts for $[amount] plus the cost of this Final Notice $[amount]; a total of $[amount].</w:t>
            </w:r>
          </w:p>
          <w:p w14:paraId="04850736" w14:textId="77777777" w:rsidR="00DF7C60" w:rsidRPr="00DF7C60" w:rsidRDefault="00DF7C60" w:rsidP="00DF7C60">
            <w:pPr>
              <w:tabs>
                <w:tab w:val="left" w:pos="567"/>
              </w:tabs>
              <w:spacing w:after="0" w:line="240" w:lineRule="auto"/>
              <w:jc w:val="left"/>
              <w:rPr>
                <w:sz w:val="22"/>
              </w:rPr>
            </w:pPr>
            <w:r w:rsidRPr="00DF7C60">
              <w:rPr>
                <w:sz w:val="22"/>
              </w:rPr>
              <w:t>A brief basis of the action is below:</w:t>
            </w:r>
          </w:p>
          <w:p w14:paraId="7E724C0D" w14:textId="77777777" w:rsidR="00DF7C60" w:rsidRPr="00DF7C60" w:rsidRDefault="00DF7C60" w:rsidP="00DF7C60">
            <w:pPr>
              <w:spacing w:after="0" w:line="240" w:lineRule="auto"/>
              <w:jc w:val="left"/>
              <w:rPr>
                <w:b/>
                <w:sz w:val="12"/>
              </w:rPr>
            </w:pPr>
            <w:r w:rsidRPr="00DF7C60">
              <w:rPr>
                <w:b/>
                <w:sz w:val="12"/>
              </w:rPr>
              <w:t>Number each paragraph separately if there is more than one paragraph</w:t>
            </w:r>
          </w:p>
          <w:p w14:paraId="01DC79B9" w14:textId="77777777" w:rsidR="00DF7C60" w:rsidRPr="00DF7C60" w:rsidRDefault="00DF7C60" w:rsidP="00DF7C60">
            <w:pPr>
              <w:spacing w:after="0" w:line="240" w:lineRule="auto"/>
              <w:jc w:val="left"/>
              <w:rPr>
                <w:sz w:val="22"/>
              </w:rPr>
            </w:pPr>
          </w:p>
          <w:p w14:paraId="0236705F" w14:textId="77777777" w:rsidR="00DF7C60" w:rsidRPr="00DF7C60" w:rsidRDefault="00DF7C60" w:rsidP="00DF7C60">
            <w:pPr>
              <w:spacing w:after="0" w:line="240" w:lineRule="auto"/>
              <w:jc w:val="left"/>
              <w:rPr>
                <w:sz w:val="22"/>
              </w:rPr>
            </w:pPr>
          </w:p>
          <w:p w14:paraId="7D81AEE6" w14:textId="77777777" w:rsidR="00DF7C60" w:rsidRPr="00DF7C60" w:rsidRDefault="00DF7C60" w:rsidP="00DF7C60">
            <w:pPr>
              <w:spacing w:after="0" w:line="240" w:lineRule="auto"/>
              <w:jc w:val="left"/>
              <w:rPr>
                <w:sz w:val="22"/>
              </w:rPr>
            </w:pPr>
          </w:p>
          <w:p w14:paraId="731F9BD7" w14:textId="77777777" w:rsidR="00DF7C60" w:rsidRPr="00DF7C60" w:rsidRDefault="00DF7C60" w:rsidP="00DF7C60">
            <w:pPr>
              <w:spacing w:after="0" w:line="240" w:lineRule="auto"/>
              <w:jc w:val="left"/>
              <w:rPr>
                <w:sz w:val="22"/>
              </w:rPr>
            </w:pPr>
          </w:p>
          <w:p w14:paraId="1EAA8E34" w14:textId="77777777" w:rsidR="00DF7C60" w:rsidRPr="00DF7C60" w:rsidRDefault="00DF7C60" w:rsidP="00DF7C60">
            <w:pPr>
              <w:spacing w:before="240" w:after="120" w:line="240" w:lineRule="auto"/>
              <w:jc w:val="left"/>
              <w:rPr>
                <w:sz w:val="22"/>
              </w:rPr>
            </w:pPr>
            <w:r w:rsidRPr="00DF7C60">
              <w:rPr>
                <w:sz w:val="22"/>
              </w:rPr>
              <w:t>The sender seeks a response from you within 21 days. Details of your options, what they mean and how they work are set out below.</w:t>
            </w:r>
          </w:p>
        </w:tc>
      </w:tr>
    </w:tbl>
    <w:p w14:paraId="41398636" w14:textId="2495CA8F" w:rsidR="00DF7C60" w:rsidRDefault="00DF7C60">
      <w:pPr>
        <w:spacing w:after="0" w:line="240" w:lineRule="auto"/>
        <w:jc w:val="left"/>
        <w:rPr>
          <w:b/>
          <w:sz w:val="22"/>
        </w:rPr>
      </w:pPr>
    </w:p>
    <w:tbl>
      <w:tblPr>
        <w:tblStyle w:val="TableGrid38"/>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48"/>
      </w:tblGrid>
      <w:tr w:rsidR="00DF7C60" w:rsidRPr="00DF7C60" w14:paraId="0EAEFFC7" w14:textId="77777777" w:rsidTr="0012134E">
        <w:tc>
          <w:tcPr>
            <w:tcW w:w="5000" w:type="pct"/>
            <w:tcBorders>
              <w:top w:val="single" w:sz="2" w:space="0" w:color="auto"/>
              <w:left w:val="single" w:sz="2" w:space="0" w:color="auto"/>
              <w:bottom w:val="single" w:sz="2" w:space="0" w:color="auto"/>
              <w:right w:val="single" w:sz="2" w:space="0" w:color="auto"/>
            </w:tcBorders>
          </w:tcPr>
          <w:p w14:paraId="0107D4B1" w14:textId="77777777" w:rsidR="00DF7C60" w:rsidRPr="00DF7C60" w:rsidRDefault="00DF7C60" w:rsidP="00DF7C60">
            <w:pPr>
              <w:spacing w:before="120" w:after="240" w:line="240" w:lineRule="auto"/>
              <w:jc w:val="left"/>
              <w:rPr>
                <w:sz w:val="22"/>
              </w:rPr>
            </w:pPr>
            <w:r w:rsidRPr="00DF7C60">
              <w:rPr>
                <w:b/>
                <w:bCs/>
                <w:spacing w:val="-3"/>
                <w:sz w:val="22"/>
                <w:lang w:bidi="en-US"/>
              </w:rPr>
              <w:t>Information about this Notice</w:t>
            </w:r>
          </w:p>
          <w:p w14:paraId="2477456C" w14:textId="77777777" w:rsidR="00DF7C60" w:rsidRPr="00DF7C60" w:rsidRDefault="00DF7C60" w:rsidP="00DF7C60">
            <w:pPr>
              <w:spacing w:after="120" w:line="240" w:lineRule="auto"/>
              <w:jc w:val="left"/>
              <w:rPr>
                <w:bCs/>
                <w:spacing w:val="-3"/>
                <w:sz w:val="22"/>
                <w:lang w:bidi="en-US"/>
              </w:rPr>
            </w:pPr>
            <w:r w:rsidRPr="00DF7C60">
              <w:rPr>
                <w:bCs/>
                <w:spacing w:val="-3"/>
                <w:sz w:val="22"/>
                <w:lang w:bidi="en-US"/>
              </w:rPr>
              <w:t>This notice is not a formal court action. However, it provides an opportunity for you to voluntarily negotiate a resolution with the Sender without further involvement by the Court. This may save you costs, time and court appearances.</w:t>
            </w:r>
          </w:p>
        </w:tc>
      </w:tr>
    </w:tbl>
    <w:p w14:paraId="6A973577" w14:textId="77777777" w:rsidR="00DF7C60" w:rsidRPr="00DF7C60" w:rsidRDefault="00DF7C60" w:rsidP="00DF7C60">
      <w:pPr>
        <w:spacing w:before="120" w:after="120" w:line="259" w:lineRule="auto"/>
        <w:jc w:val="left"/>
        <w:rPr>
          <w:b/>
          <w:sz w:val="22"/>
        </w:rPr>
      </w:pPr>
    </w:p>
    <w:tbl>
      <w:tblPr>
        <w:tblStyle w:val="TableGrid38"/>
        <w:tblW w:w="5000" w:type="pct"/>
        <w:tblLook w:val="04A0" w:firstRow="1" w:lastRow="0" w:firstColumn="1" w:lastColumn="0" w:noHBand="0" w:noVBand="1"/>
      </w:tblPr>
      <w:tblGrid>
        <w:gridCol w:w="9344"/>
      </w:tblGrid>
      <w:tr w:rsidR="00DF7C60" w:rsidRPr="00DF7C60" w14:paraId="169F3EA2" w14:textId="77777777" w:rsidTr="0012134E">
        <w:tc>
          <w:tcPr>
            <w:tcW w:w="10602" w:type="dxa"/>
          </w:tcPr>
          <w:p w14:paraId="45EB1951" w14:textId="77777777" w:rsidR="00DF7C60" w:rsidRPr="00DF7C60" w:rsidRDefault="00DF7C60" w:rsidP="00DF7C60">
            <w:pPr>
              <w:spacing w:before="120" w:after="240" w:line="240" w:lineRule="auto"/>
              <w:jc w:val="left"/>
              <w:rPr>
                <w:b/>
                <w:bCs/>
                <w:spacing w:val="-3"/>
                <w:sz w:val="22"/>
                <w:lang w:bidi="en-US"/>
              </w:rPr>
            </w:pPr>
            <w:r w:rsidRPr="00DF7C60">
              <w:rPr>
                <w:b/>
                <w:bCs/>
                <w:spacing w:val="-3"/>
                <w:sz w:val="22"/>
                <w:lang w:bidi="en-US"/>
              </w:rPr>
              <w:t>Possible Consequences of Ignoring this Notice</w:t>
            </w:r>
          </w:p>
          <w:p w14:paraId="67371CFA" w14:textId="77777777" w:rsidR="00DF7C60" w:rsidRPr="00DF7C60" w:rsidRDefault="00DF7C60" w:rsidP="00DF7C60">
            <w:pPr>
              <w:spacing w:after="240" w:line="240" w:lineRule="auto"/>
              <w:jc w:val="left"/>
              <w:rPr>
                <w:sz w:val="22"/>
              </w:rPr>
            </w:pPr>
            <w:r w:rsidRPr="00DF7C60">
              <w:rPr>
                <w:bCs/>
                <w:spacing w:val="-3"/>
                <w:sz w:val="22"/>
                <w:lang w:bidi="en-US"/>
              </w:rPr>
              <w:t>You may wish to seek independent legal or financial counselling advice before deciding what to do.</w:t>
            </w:r>
          </w:p>
          <w:p w14:paraId="485F99E2" w14:textId="77777777" w:rsidR="00DF7C60" w:rsidRPr="00DF7C60" w:rsidRDefault="00DF7C60" w:rsidP="00DF7C60">
            <w:pPr>
              <w:spacing w:after="120" w:line="240" w:lineRule="auto"/>
              <w:jc w:val="left"/>
              <w:rPr>
                <w:color w:val="000000"/>
                <w:sz w:val="22"/>
              </w:rPr>
            </w:pPr>
            <w:r w:rsidRPr="00DF7C60">
              <w:rPr>
                <w:bCs/>
                <w:spacing w:val="-3"/>
                <w:sz w:val="22"/>
                <w:lang w:bidi="en-US"/>
              </w:rPr>
              <w:t xml:space="preserve">If you ignore this notice or if you are not able to reach a resolution within 21 days of receipt of this notice, the Sender may file an action against you in </w:t>
            </w:r>
            <w:r w:rsidRPr="00DF7C60">
              <w:rPr>
                <w:sz w:val="22"/>
              </w:rPr>
              <w:t xml:space="preserve">one of the above named </w:t>
            </w:r>
            <w:r w:rsidRPr="00DF7C60">
              <w:rPr>
                <w:bCs/>
                <w:spacing w:val="-3"/>
                <w:sz w:val="22"/>
                <w:lang w:bidi="en-US"/>
              </w:rPr>
              <w:t>Courts. If you lose the case you will have to pay or provide what is claimed and in addition you may have to pay extra costs if you ignore this notice.  A court judgment against you may affect your credit rating.</w:t>
            </w:r>
          </w:p>
        </w:tc>
      </w:tr>
    </w:tbl>
    <w:p w14:paraId="763283EC" w14:textId="77777777" w:rsidR="00DF7C60" w:rsidRPr="00DF7C60" w:rsidRDefault="00DF7C60" w:rsidP="00DF7C60">
      <w:pPr>
        <w:spacing w:before="120" w:after="120" w:line="259" w:lineRule="auto"/>
        <w:jc w:val="left"/>
        <w:rPr>
          <w:b/>
          <w:sz w:val="22"/>
        </w:rPr>
      </w:pPr>
    </w:p>
    <w:tbl>
      <w:tblPr>
        <w:tblStyle w:val="TableGrid38"/>
        <w:tblW w:w="5000" w:type="pct"/>
        <w:tblLook w:val="04A0" w:firstRow="1" w:lastRow="0" w:firstColumn="1" w:lastColumn="0" w:noHBand="0" w:noVBand="1"/>
      </w:tblPr>
      <w:tblGrid>
        <w:gridCol w:w="9344"/>
      </w:tblGrid>
      <w:tr w:rsidR="00DF7C60" w:rsidRPr="00DF7C60" w14:paraId="584A9CB7" w14:textId="77777777" w:rsidTr="0012134E">
        <w:tc>
          <w:tcPr>
            <w:tcW w:w="10602" w:type="dxa"/>
          </w:tcPr>
          <w:p w14:paraId="0AFBE1FC" w14:textId="77777777" w:rsidR="00DF7C60" w:rsidRPr="00DF7C60" w:rsidRDefault="00DF7C60" w:rsidP="00DF7C60">
            <w:pPr>
              <w:spacing w:before="120" w:after="240" w:line="240" w:lineRule="auto"/>
              <w:jc w:val="left"/>
              <w:rPr>
                <w:b/>
                <w:bCs/>
                <w:spacing w:val="-3"/>
                <w:sz w:val="22"/>
                <w:lang w:bidi="en-US"/>
              </w:rPr>
            </w:pPr>
            <w:r w:rsidRPr="00DF7C60">
              <w:rPr>
                <w:b/>
                <w:bCs/>
                <w:spacing w:val="-3"/>
                <w:sz w:val="22"/>
                <w:lang w:bidi="en-US"/>
              </w:rPr>
              <w:t>Options for Payment/Settlement of the Action</w:t>
            </w:r>
          </w:p>
          <w:p w14:paraId="7C192DBA" w14:textId="77777777" w:rsidR="00DF7C60" w:rsidRPr="00DF7C60" w:rsidRDefault="00DF7C60" w:rsidP="00965F17">
            <w:pPr>
              <w:numPr>
                <w:ilvl w:val="0"/>
                <w:numId w:val="55"/>
              </w:numPr>
              <w:tabs>
                <w:tab w:val="left" w:pos="284"/>
              </w:tabs>
              <w:suppressAutoHyphens/>
              <w:overflowPunct w:val="0"/>
              <w:autoSpaceDE w:val="0"/>
              <w:autoSpaceDN w:val="0"/>
              <w:adjustRightInd w:val="0"/>
              <w:spacing w:after="0" w:line="240" w:lineRule="auto"/>
              <w:ind w:left="284" w:hanging="284"/>
              <w:jc w:val="left"/>
              <w:textAlignment w:val="baseline"/>
              <w:rPr>
                <w:sz w:val="22"/>
              </w:rPr>
            </w:pPr>
            <w:r w:rsidRPr="00DF7C60">
              <w:rPr>
                <w:sz w:val="22"/>
              </w:rPr>
              <w:t xml:space="preserve">If you accept that you owe the full amount claimed, you can avoid the risk of the Sender filing an action against you if you pay the amount claimed to the Sender within 21 days. </w:t>
            </w:r>
            <w:r w:rsidRPr="00DF7C60">
              <w:rPr>
                <w:b/>
                <w:bCs/>
                <w:sz w:val="22"/>
              </w:rPr>
              <w:t>Do not send money to Court.</w:t>
            </w:r>
            <w:r w:rsidRPr="00DF7C60">
              <w:rPr>
                <w:sz w:val="22"/>
              </w:rPr>
              <w:t xml:space="preserve"> </w:t>
            </w:r>
          </w:p>
          <w:p w14:paraId="6CFC26B6"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0" w:line="240" w:lineRule="auto"/>
              <w:jc w:val="left"/>
              <w:textAlignment w:val="baseline"/>
              <w:rPr>
                <w:sz w:val="22"/>
              </w:rPr>
            </w:pPr>
            <w:r w:rsidRPr="00DF7C60">
              <w:rPr>
                <w:sz w:val="22"/>
              </w:rPr>
              <w:t xml:space="preserve">If you accept that you owe the full amount claimed but cannot afford to pay the amount in full, you can try to arrange instalment payments with the Sender. You can use an Enforceable Payment Agreement (EPA) where in return for you acknowledging the debt and making payments, the Sender agrees not to commence a formal action, nor to report the debt to credit referencing </w:t>
            </w:r>
            <w:r w:rsidRPr="00DF7C60">
              <w:rPr>
                <w:sz w:val="22"/>
              </w:rPr>
              <w:lastRenderedPageBreak/>
              <w:t>agencies. You can obtain these from the CAA website (http://www.courts.sa.gov.au/ForLawyers/Pages/</w:t>
            </w:r>
            <w:r w:rsidRPr="00DF7C60" w:rsidDel="003B72D3">
              <w:rPr>
                <w:sz w:val="22"/>
              </w:rPr>
              <w:t xml:space="preserve"> </w:t>
            </w:r>
            <w:r w:rsidRPr="00DF7C60">
              <w:rPr>
                <w:sz w:val="22"/>
              </w:rPr>
              <w:t>Rules-Forms-and-Fees.aspx) or any Court Registry. Keep a record of payments made.</w:t>
            </w:r>
          </w:p>
          <w:p w14:paraId="206614EC"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0" w:line="240" w:lineRule="auto"/>
              <w:ind w:left="284" w:hanging="284"/>
              <w:jc w:val="left"/>
              <w:textAlignment w:val="baseline"/>
              <w:rPr>
                <w:b/>
                <w:sz w:val="22"/>
              </w:rPr>
            </w:pPr>
            <w:r w:rsidRPr="00DF7C60">
              <w:rPr>
                <w:sz w:val="22"/>
              </w:rPr>
              <w:t xml:space="preserve">If you agree there is an amount owed but disagree with the amount claimed, try to negotiate with the Sender. If the Sender agrees, you may be able to use the free mediation service to do this (see below). </w:t>
            </w:r>
          </w:p>
          <w:p w14:paraId="073D5E81"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0" w:line="240" w:lineRule="auto"/>
              <w:ind w:left="284" w:hanging="284"/>
              <w:jc w:val="left"/>
              <w:textAlignment w:val="baseline"/>
              <w:rPr>
                <w:b/>
                <w:sz w:val="22"/>
              </w:rPr>
            </w:pPr>
            <w:r w:rsidRPr="00DF7C60">
              <w:rPr>
                <w:sz w:val="22"/>
              </w:rPr>
              <w:t>If you owe some of the amount claimed, you could pay that to reduce the amount in dispute.</w:t>
            </w:r>
          </w:p>
          <w:p w14:paraId="585F3A40"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120" w:line="240" w:lineRule="auto"/>
              <w:ind w:left="284" w:hanging="284"/>
              <w:jc w:val="left"/>
              <w:textAlignment w:val="baseline"/>
              <w:rPr>
                <w:b/>
                <w:sz w:val="22"/>
              </w:rPr>
            </w:pPr>
            <w:r w:rsidRPr="00DF7C60">
              <w:rPr>
                <w:sz w:val="22"/>
              </w:rPr>
              <w:t>The Sender is not entitled to debt collecting costs unless you agreed to pay them in your credit or other agreement for goods or services supplied.</w:t>
            </w:r>
          </w:p>
        </w:tc>
      </w:tr>
    </w:tbl>
    <w:p w14:paraId="416AEECC" w14:textId="77777777" w:rsidR="00DF7C60" w:rsidRPr="00DF7C60" w:rsidRDefault="00DF7C60" w:rsidP="00DF7C60">
      <w:pPr>
        <w:spacing w:before="120" w:after="120" w:line="259" w:lineRule="auto"/>
        <w:jc w:val="left"/>
        <w:rPr>
          <w:b/>
          <w:color w:val="000000"/>
          <w:sz w:val="22"/>
        </w:rPr>
      </w:pPr>
    </w:p>
    <w:tbl>
      <w:tblPr>
        <w:tblStyle w:val="TableGrid38"/>
        <w:tblpPr w:leftFromText="180" w:rightFromText="180" w:vertAnchor="text" w:horzAnchor="margin" w:tblpY="25"/>
        <w:tblW w:w="5000" w:type="pct"/>
        <w:tblLook w:val="04A0" w:firstRow="1" w:lastRow="0" w:firstColumn="1" w:lastColumn="0" w:noHBand="0" w:noVBand="1"/>
      </w:tblPr>
      <w:tblGrid>
        <w:gridCol w:w="9344"/>
      </w:tblGrid>
      <w:tr w:rsidR="00DF7C60" w:rsidRPr="00DF7C60" w14:paraId="17F20B12" w14:textId="77777777" w:rsidTr="0012134E">
        <w:tc>
          <w:tcPr>
            <w:tcW w:w="10602" w:type="dxa"/>
          </w:tcPr>
          <w:p w14:paraId="3E57EB8A" w14:textId="77777777" w:rsidR="00DF7C60" w:rsidRPr="00DF7C60" w:rsidRDefault="00DF7C60" w:rsidP="00DF7C60">
            <w:pPr>
              <w:spacing w:before="120" w:after="240" w:line="240" w:lineRule="auto"/>
              <w:jc w:val="left"/>
              <w:rPr>
                <w:b/>
                <w:bCs/>
                <w:spacing w:val="-3"/>
                <w:sz w:val="22"/>
                <w:lang w:bidi="en-US"/>
              </w:rPr>
            </w:pPr>
            <w:r w:rsidRPr="00DF7C60">
              <w:rPr>
                <w:b/>
                <w:bCs/>
                <w:spacing w:val="-3"/>
                <w:sz w:val="22"/>
                <w:lang w:bidi="en-US"/>
              </w:rPr>
              <w:t>Mediation and Expert Services</w:t>
            </w:r>
          </w:p>
          <w:p w14:paraId="4DF3E865" w14:textId="77777777" w:rsidR="00DF7C60" w:rsidRPr="00DF7C60" w:rsidRDefault="00DF7C60" w:rsidP="00DF7C60">
            <w:pPr>
              <w:tabs>
                <w:tab w:val="left" w:pos="284"/>
              </w:tabs>
              <w:suppressAutoHyphens/>
              <w:spacing w:after="240" w:line="240" w:lineRule="auto"/>
              <w:jc w:val="left"/>
              <w:rPr>
                <w:color w:val="000000"/>
                <w:sz w:val="22"/>
              </w:rPr>
            </w:pPr>
            <w:r w:rsidRPr="00DF7C60">
              <w:rPr>
                <w:color w:val="000000"/>
                <w:sz w:val="22"/>
              </w:rPr>
              <w:t>Mediation is an alternative way of resolving a dispute other than by court processes leading to trial.</w:t>
            </w:r>
          </w:p>
          <w:p w14:paraId="21274DAD"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120" w:line="240" w:lineRule="auto"/>
              <w:ind w:left="284" w:hanging="284"/>
              <w:jc w:val="left"/>
              <w:textAlignment w:val="baseline"/>
              <w:rPr>
                <w:color w:val="000000"/>
                <w:sz w:val="22"/>
              </w:rPr>
            </w:pPr>
            <w:r w:rsidRPr="00DF7C60">
              <w:rPr>
                <w:color w:val="000000"/>
                <w:sz w:val="22"/>
              </w:rPr>
              <w:t xml:space="preserve">Court mediation is available in the Magistrates Court, depending on the type of matter this may be at no cost or there may be a charge.  </w:t>
            </w:r>
          </w:p>
          <w:p w14:paraId="7BDB974C"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120" w:line="240" w:lineRule="auto"/>
              <w:ind w:left="284" w:hanging="284"/>
              <w:jc w:val="left"/>
              <w:textAlignment w:val="baseline"/>
              <w:rPr>
                <w:color w:val="000000"/>
                <w:sz w:val="22"/>
              </w:rPr>
            </w:pPr>
            <w:r w:rsidRPr="00DF7C60">
              <w:rPr>
                <w:color w:val="000000"/>
                <w:sz w:val="22"/>
              </w:rPr>
              <w:t>A number of independent court experts are available via the Magistrates Court to provide an opinion on technical issues.</w:t>
            </w:r>
          </w:p>
          <w:p w14:paraId="32483A51" w14:textId="77777777" w:rsidR="00DF7C60" w:rsidRPr="00DF7C60" w:rsidRDefault="00DF7C60" w:rsidP="00965F17">
            <w:pPr>
              <w:numPr>
                <w:ilvl w:val="0"/>
                <w:numId w:val="56"/>
              </w:numPr>
              <w:tabs>
                <w:tab w:val="left" w:pos="284"/>
              </w:tabs>
              <w:suppressAutoHyphens/>
              <w:overflowPunct w:val="0"/>
              <w:autoSpaceDE w:val="0"/>
              <w:autoSpaceDN w:val="0"/>
              <w:adjustRightInd w:val="0"/>
              <w:spacing w:before="120" w:after="120" w:line="240" w:lineRule="auto"/>
              <w:ind w:left="284" w:hanging="284"/>
              <w:jc w:val="left"/>
              <w:textAlignment w:val="baseline"/>
              <w:rPr>
                <w:color w:val="000000"/>
                <w:sz w:val="22"/>
              </w:rPr>
            </w:pPr>
            <w:r w:rsidRPr="00DF7C60">
              <w:rPr>
                <w:color w:val="000000"/>
                <w:sz w:val="22"/>
              </w:rPr>
              <w:t>Information regarding Mediation is available on the CAA website (http://</w:t>
            </w:r>
            <w:hyperlink r:id="rId45" w:history="1">
              <w:r w:rsidRPr="00DF7C60">
                <w:rPr>
                  <w:color w:val="0563C1"/>
                  <w:sz w:val="22"/>
                  <w:u w:val="single"/>
                </w:rPr>
                <w:t>www.courts.sa.gov.au/civil-cases/mediation</w:t>
              </w:r>
            </w:hyperlink>
            <w:r w:rsidRPr="00DF7C60">
              <w:rPr>
                <w:sz w:val="22"/>
              </w:rPr>
              <w:t>).</w:t>
            </w:r>
          </w:p>
        </w:tc>
      </w:tr>
    </w:tbl>
    <w:p w14:paraId="28FBF9C9" w14:textId="56DEA5F9" w:rsidR="00DF7C60" w:rsidRDefault="00DF7C60">
      <w:pPr>
        <w:spacing w:after="0" w:line="240" w:lineRule="auto"/>
        <w:jc w:val="left"/>
        <w:rPr>
          <w:b/>
          <w:color w:val="000000"/>
          <w:sz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9344"/>
      </w:tblGrid>
      <w:tr w:rsidR="00DF7C60" w:rsidRPr="00DF7C60" w14:paraId="05D845A1" w14:textId="77777777" w:rsidTr="00DF7C60">
        <w:trPr>
          <w:trHeight w:val="567"/>
        </w:trPr>
        <w:tc>
          <w:tcPr>
            <w:tcW w:w="9344" w:type="dxa"/>
            <w:tcBorders>
              <w:bottom w:val="single" w:sz="4" w:space="0" w:color="auto"/>
            </w:tcBorders>
            <w:vAlign w:val="center"/>
          </w:tcPr>
          <w:p w14:paraId="707C9362" w14:textId="77777777" w:rsidR="00DF7C60" w:rsidRPr="00DF7C60" w:rsidRDefault="00DF7C60" w:rsidP="00DF7C60">
            <w:pPr>
              <w:spacing w:before="120" w:after="240" w:line="259" w:lineRule="auto"/>
              <w:jc w:val="left"/>
              <w:rPr>
                <w:rFonts w:eastAsia="Times New Roman"/>
                <w:b/>
                <w:bCs/>
                <w:spacing w:val="-3"/>
                <w:sz w:val="22"/>
                <w:lang w:val="en-US" w:bidi="en-US"/>
              </w:rPr>
            </w:pPr>
            <w:r w:rsidRPr="00DF7C60">
              <w:rPr>
                <w:rFonts w:eastAsia="Times New Roman"/>
                <w:b/>
                <w:bCs/>
                <w:spacing w:val="-3"/>
                <w:sz w:val="22"/>
                <w:lang w:val="en-US" w:bidi="en-US"/>
              </w:rPr>
              <w:t>Contacts</w:t>
            </w:r>
          </w:p>
          <w:p w14:paraId="762F1C92" w14:textId="77777777" w:rsidR="00DF7C60" w:rsidRPr="00DF7C60" w:rsidRDefault="00DF7C60" w:rsidP="00DF7C60">
            <w:pPr>
              <w:spacing w:after="240" w:line="259" w:lineRule="auto"/>
              <w:jc w:val="left"/>
              <w:rPr>
                <w:sz w:val="22"/>
              </w:rPr>
            </w:pPr>
            <w:r w:rsidRPr="00DF7C60">
              <w:rPr>
                <w:rFonts w:eastAsia="Times New Roman"/>
                <w:bCs/>
                <w:spacing w:val="-3"/>
                <w:sz w:val="22"/>
                <w:lang w:val="en-US" w:bidi="en-US"/>
              </w:rPr>
              <w:t xml:space="preserve">For further information about Court services that may be available to you, call CourtSA Registry Services </w:t>
            </w:r>
            <w:r w:rsidRPr="00DF7C60">
              <w:rPr>
                <w:sz w:val="22"/>
              </w:rPr>
              <w:t>on 8204 2444.</w:t>
            </w:r>
          </w:p>
          <w:p w14:paraId="0868048E" w14:textId="77777777" w:rsidR="00DF7C60" w:rsidRPr="00DF7C60" w:rsidRDefault="00DF7C60" w:rsidP="00DF7C60">
            <w:pPr>
              <w:spacing w:before="60" w:after="60" w:line="259" w:lineRule="auto"/>
              <w:jc w:val="left"/>
              <w:rPr>
                <w:bCs/>
                <w:sz w:val="22"/>
              </w:rPr>
            </w:pPr>
            <w:r w:rsidRPr="00DF7C60">
              <w:rPr>
                <w:bCs/>
                <w:sz w:val="22"/>
              </w:rPr>
              <w:t>The Interpreting and Translating Centre may be able to assist you if English is your second language. This is not a free service.</w:t>
            </w:r>
          </w:p>
          <w:p w14:paraId="19836446" w14:textId="77777777" w:rsidR="00DF7C60" w:rsidRPr="00DF7C60" w:rsidRDefault="00DF7C60" w:rsidP="00DF7C60">
            <w:pPr>
              <w:spacing w:before="240" w:after="160" w:line="259" w:lineRule="auto"/>
              <w:jc w:val="left"/>
              <w:rPr>
                <w:sz w:val="22"/>
              </w:rPr>
            </w:pPr>
            <w:r w:rsidRPr="00DF7C60">
              <w:rPr>
                <w:sz w:val="22"/>
              </w:rPr>
              <w:t xml:space="preserve">91-97 Grenfell Street </w:t>
            </w:r>
          </w:p>
          <w:p w14:paraId="60AA9D1B" w14:textId="77777777" w:rsidR="00DF7C60" w:rsidRPr="00DF7C60" w:rsidRDefault="00DF7C60" w:rsidP="00DF7C60">
            <w:pPr>
              <w:spacing w:after="160" w:line="259" w:lineRule="auto"/>
              <w:jc w:val="left"/>
              <w:rPr>
                <w:b/>
                <w:bCs/>
                <w:sz w:val="22"/>
              </w:rPr>
            </w:pPr>
            <w:r w:rsidRPr="00DF7C60">
              <w:rPr>
                <w:sz w:val="22"/>
              </w:rPr>
              <w:t>ADELAIDE   SA   5000</w:t>
            </w:r>
          </w:p>
          <w:p w14:paraId="0C5A002F" w14:textId="77777777" w:rsidR="00DF7C60" w:rsidRPr="00DF7C60" w:rsidRDefault="00DF7C60" w:rsidP="00DF7C60">
            <w:pPr>
              <w:tabs>
                <w:tab w:val="left" w:pos="1168"/>
              </w:tabs>
              <w:spacing w:after="160" w:line="259" w:lineRule="auto"/>
              <w:jc w:val="left"/>
              <w:rPr>
                <w:sz w:val="22"/>
              </w:rPr>
            </w:pPr>
            <w:r w:rsidRPr="00DF7C60">
              <w:rPr>
                <w:sz w:val="22"/>
              </w:rPr>
              <w:t>Telephone:</w:t>
            </w:r>
            <w:r w:rsidRPr="00DF7C60">
              <w:rPr>
                <w:sz w:val="22"/>
              </w:rPr>
              <w:tab/>
              <w:t>1800 280 203</w:t>
            </w:r>
          </w:p>
          <w:p w14:paraId="73C5C9B6" w14:textId="77777777" w:rsidR="00DF7C60" w:rsidRPr="00DF7C60" w:rsidRDefault="00DF7C60" w:rsidP="00DF7C60">
            <w:pPr>
              <w:tabs>
                <w:tab w:val="left" w:pos="1168"/>
              </w:tabs>
              <w:spacing w:after="120" w:line="259" w:lineRule="auto"/>
              <w:jc w:val="left"/>
              <w:rPr>
                <w:sz w:val="22"/>
              </w:rPr>
            </w:pPr>
            <w:r w:rsidRPr="00DF7C60">
              <w:rPr>
                <w:sz w:val="22"/>
              </w:rPr>
              <w:t>Website:</w:t>
            </w:r>
            <w:r w:rsidRPr="00DF7C60">
              <w:rPr>
                <w:sz w:val="22"/>
              </w:rPr>
              <w:tab/>
              <w:t xml:space="preserve">www.translate.sa.gov.au </w:t>
            </w:r>
          </w:p>
        </w:tc>
      </w:tr>
    </w:tbl>
    <w:p w14:paraId="54F3E45D" w14:textId="77777777" w:rsidR="00DF7C60" w:rsidRPr="00DF7C60" w:rsidRDefault="00DF7C60" w:rsidP="00DF7C60">
      <w:pPr>
        <w:rPr>
          <w:rFonts w:eastAsia="Times New Roman"/>
          <w:szCs w:val="17"/>
        </w:rPr>
      </w:pPr>
      <w:bookmarkStart w:id="28" w:name="_Toc386726044"/>
      <w:bookmarkStart w:id="29" w:name="_Toc387412508"/>
      <w:bookmarkStart w:id="30" w:name="_Toc387413574"/>
      <w:bookmarkStart w:id="31" w:name="_Toc387916370"/>
      <w:bookmarkEnd w:id="28"/>
      <w:bookmarkEnd w:id="29"/>
      <w:bookmarkEnd w:id="30"/>
      <w:bookmarkEnd w:id="31"/>
    </w:p>
    <w:p w14:paraId="2B8CAA70" w14:textId="77777777" w:rsidR="00DF7C60" w:rsidRPr="00DF7C60" w:rsidRDefault="00DF7C60" w:rsidP="00DF7C60">
      <w:pPr>
        <w:rPr>
          <w:rFonts w:eastAsia="Times New Roman"/>
          <w:szCs w:val="17"/>
        </w:rPr>
      </w:pPr>
      <w:r w:rsidRPr="00DF7C60">
        <w:rPr>
          <w:rFonts w:eastAsia="Times New Roman"/>
          <w:szCs w:val="17"/>
        </w:rPr>
        <w:t xml:space="preserve">In accordance with the </w:t>
      </w:r>
      <w:r w:rsidRPr="00DF7C60">
        <w:rPr>
          <w:rFonts w:eastAsia="Times New Roman"/>
          <w:i/>
          <w:szCs w:val="17"/>
        </w:rPr>
        <w:t xml:space="preserve">Supreme Court Act 1935, </w:t>
      </w:r>
      <w:r w:rsidRPr="00DF7C60">
        <w:rPr>
          <w:rFonts w:eastAsia="Times New Roman"/>
          <w:szCs w:val="17"/>
        </w:rPr>
        <w:t xml:space="preserve">the </w:t>
      </w:r>
      <w:r w:rsidRPr="00DF7C60">
        <w:rPr>
          <w:rFonts w:eastAsia="Times New Roman"/>
          <w:i/>
          <w:szCs w:val="17"/>
        </w:rPr>
        <w:t xml:space="preserve">District Court Act 1991 </w:t>
      </w:r>
      <w:r w:rsidRPr="00DF7C60">
        <w:rPr>
          <w:rFonts w:eastAsia="Times New Roman"/>
          <w:szCs w:val="17"/>
        </w:rPr>
        <w:t xml:space="preserve">and the </w:t>
      </w:r>
      <w:r w:rsidRPr="00DF7C60">
        <w:rPr>
          <w:rFonts w:eastAsia="Times New Roman"/>
          <w:i/>
          <w:szCs w:val="17"/>
        </w:rPr>
        <w:t>Magistrates Court Act 1991,</w:t>
      </w:r>
      <w:r w:rsidRPr="00DF7C60">
        <w:rPr>
          <w:rFonts w:eastAsia="Times New Roman"/>
          <w:szCs w:val="17"/>
        </w:rPr>
        <w:t xml:space="preserve"> and all other enabling powers, the </w:t>
      </w:r>
      <w:r w:rsidRPr="00DF7C60">
        <w:rPr>
          <w:rFonts w:eastAsia="Times New Roman"/>
          <w:i/>
          <w:iCs/>
          <w:szCs w:val="17"/>
        </w:rPr>
        <w:t xml:space="preserve">Uniform Civil (No 8) Amending Rules 2022 </w:t>
      </w:r>
      <w:r w:rsidRPr="00DF7C60">
        <w:rPr>
          <w:rFonts w:eastAsia="Times New Roman"/>
          <w:szCs w:val="17"/>
        </w:rPr>
        <w:t xml:space="preserve">have been made – </w:t>
      </w:r>
    </w:p>
    <w:p w14:paraId="4E735EAE" w14:textId="77777777" w:rsidR="00DF7C60" w:rsidRPr="00DF7C60" w:rsidRDefault="00DF7C60" w:rsidP="00965F17">
      <w:pPr>
        <w:numPr>
          <w:ilvl w:val="0"/>
          <w:numId w:val="18"/>
        </w:numPr>
        <w:jc w:val="left"/>
        <w:rPr>
          <w:szCs w:val="17"/>
        </w:rPr>
      </w:pPr>
      <w:r w:rsidRPr="00DF7C60">
        <w:rPr>
          <w:szCs w:val="17"/>
        </w:rPr>
        <w:t xml:space="preserve">as rules of the Supreme Court by 3 or more Judges of the Supreme Court; and </w:t>
      </w:r>
    </w:p>
    <w:p w14:paraId="3B042ACE" w14:textId="77777777" w:rsidR="00DF7C60" w:rsidRPr="00DF7C60" w:rsidRDefault="00DF7C60" w:rsidP="00965F17">
      <w:pPr>
        <w:numPr>
          <w:ilvl w:val="0"/>
          <w:numId w:val="18"/>
        </w:numPr>
        <w:jc w:val="left"/>
        <w:rPr>
          <w:szCs w:val="17"/>
        </w:rPr>
      </w:pPr>
      <w:r w:rsidRPr="00DF7C60">
        <w:rPr>
          <w:szCs w:val="17"/>
        </w:rPr>
        <w:t xml:space="preserve">as rules of the District Court by the Chief Judge and 2 or more other Judges of that Court; and </w:t>
      </w:r>
    </w:p>
    <w:p w14:paraId="29EAE266" w14:textId="77777777" w:rsidR="00DF7C60" w:rsidRPr="00DF7C60" w:rsidRDefault="00DF7C60" w:rsidP="00965F17">
      <w:pPr>
        <w:numPr>
          <w:ilvl w:val="0"/>
          <w:numId w:val="18"/>
        </w:numPr>
        <w:jc w:val="left"/>
        <w:rPr>
          <w:szCs w:val="17"/>
        </w:rPr>
      </w:pPr>
      <w:r w:rsidRPr="00DF7C60">
        <w:rPr>
          <w:szCs w:val="17"/>
        </w:rPr>
        <w:t>as rules of the Magistrates Court by the Chief Magistrate and 2 or more other Magistrates,</w:t>
      </w:r>
    </w:p>
    <w:p w14:paraId="32FC3A6C" w14:textId="77777777" w:rsidR="00DF7C60" w:rsidRPr="00DF7C60" w:rsidRDefault="00DF7C60" w:rsidP="00DF7C60">
      <w:pPr>
        <w:rPr>
          <w:rFonts w:eastAsia="Times New Roman"/>
          <w:szCs w:val="17"/>
        </w:rPr>
      </w:pPr>
      <w:r w:rsidRPr="00DF7C60">
        <w:rPr>
          <w:rFonts w:eastAsia="Times New Roman"/>
          <w:szCs w:val="17"/>
        </w:rPr>
        <w:t>and such rules will apply to and in relation to the Court in accordance with their terms.</w:t>
      </w:r>
    </w:p>
    <w:p w14:paraId="115A1322" w14:textId="77777777" w:rsidR="00DF7C60" w:rsidRPr="00DF7C60" w:rsidRDefault="00DF7C60" w:rsidP="00DF7C60">
      <w:pPr>
        <w:spacing w:after="0"/>
        <w:rPr>
          <w:rFonts w:eastAsia="Times New Roman"/>
          <w:szCs w:val="17"/>
        </w:rPr>
      </w:pPr>
      <w:r w:rsidRPr="00DF7C60">
        <w:rPr>
          <w:rFonts w:eastAsia="Times New Roman"/>
          <w:szCs w:val="17"/>
        </w:rPr>
        <w:t>Dated: 13 December 2022</w:t>
      </w:r>
    </w:p>
    <w:p w14:paraId="479CC748"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Chief Justice Kourakis</w:t>
      </w:r>
    </w:p>
    <w:p w14:paraId="6495FD61" w14:textId="77777777" w:rsidR="00DF7C60" w:rsidRPr="00DF7C60" w:rsidRDefault="00DF7C60" w:rsidP="00DF7C60">
      <w:pPr>
        <w:spacing w:after="0"/>
        <w:jc w:val="right"/>
        <w:rPr>
          <w:rFonts w:eastAsia="Times New Roman"/>
          <w:smallCaps/>
          <w:szCs w:val="20"/>
        </w:rPr>
      </w:pPr>
      <w:r w:rsidRPr="00DF7C60">
        <w:rPr>
          <w:rFonts w:eastAsia="Times New Roman"/>
          <w:smallCaps/>
          <w:szCs w:val="20"/>
        </w:rPr>
        <w:t>Chief Judge Evans</w:t>
      </w:r>
    </w:p>
    <w:p w14:paraId="593B4583" w14:textId="200528E3" w:rsidR="00DF7C60" w:rsidRDefault="00DF7C60" w:rsidP="00E900FE">
      <w:pPr>
        <w:spacing w:after="0"/>
        <w:jc w:val="right"/>
        <w:rPr>
          <w:rFonts w:eastAsia="Times New Roman"/>
          <w:smallCaps/>
          <w:szCs w:val="20"/>
        </w:rPr>
      </w:pPr>
      <w:r w:rsidRPr="00DF7C60">
        <w:rPr>
          <w:rFonts w:eastAsia="Times New Roman"/>
          <w:smallCaps/>
          <w:szCs w:val="20"/>
        </w:rPr>
        <w:t>Chief Magistrate Hribal</w:t>
      </w:r>
    </w:p>
    <w:p w14:paraId="00FE5D77" w14:textId="39545F45" w:rsidR="00E900FE" w:rsidRDefault="00E900FE" w:rsidP="00E900FE">
      <w:pPr>
        <w:pBdr>
          <w:bottom w:val="single" w:sz="4" w:space="1" w:color="auto"/>
        </w:pBdr>
        <w:spacing w:after="0" w:line="52" w:lineRule="exact"/>
        <w:jc w:val="center"/>
        <w:rPr>
          <w:rFonts w:eastAsia="Times New Roman"/>
          <w:smallCaps/>
          <w:szCs w:val="20"/>
        </w:rPr>
      </w:pPr>
    </w:p>
    <w:p w14:paraId="74D7A704" w14:textId="102F3EAA" w:rsidR="00E900FE" w:rsidRDefault="00E900FE" w:rsidP="00E900FE">
      <w:pPr>
        <w:pBdr>
          <w:top w:val="single" w:sz="4" w:space="1" w:color="auto"/>
        </w:pBdr>
        <w:spacing w:before="34" w:after="0" w:line="14" w:lineRule="exact"/>
        <w:jc w:val="center"/>
        <w:rPr>
          <w:rFonts w:eastAsia="Times New Roman"/>
          <w:smallCaps/>
          <w:szCs w:val="20"/>
        </w:rPr>
      </w:pPr>
    </w:p>
    <w:p w14:paraId="7F83BD1F" w14:textId="77777777" w:rsidR="00E900FE" w:rsidRPr="00DF7C60" w:rsidRDefault="00E900FE" w:rsidP="00E90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mallCaps/>
          <w:szCs w:val="20"/>
        </w:rPr>
      </w:pPr>
    </w:p>
    <w:p w14:paraId="2BE397DC" w14:textId="77777777" w:rsidR="009D1E2E" w:rsidRDefault="009D1E2E" w:rsidP="00B13C12">
      <w:pPr>
        <w:pStyle w:val="GG-body"/>
        <w:rPr>
          <w:lang w:val="en-US"/>
        </w:rPr>
      </w:pPr>
    </w:p>
    <w:p w14:paraId="5545ACFD" w14:textId="77777777" w:rsidR="009D1E2E" w:rsidRPr="009D1E2E" w:rsidRDefault="009D1E2E" w:rsidP="00F80EF5">
      <w:pPr>
        <w:pStyle w:val="Heading1"/>
      </w:pPr>
      <w:r>
        <w:rPr>
          <w:lang w:val="en-US"/>
        </w:rPr>
        <w:br w:type="page"/>
      </w:r>
      <w:bookmarkStart w:id="32" w:name="_Toc33707982"/>
      <w:bookmarkStart w:id="33" w:name="_Toc33708153"/>
      <w:bookmarkStart w:id="34" w:name="_Toc122600831"/>
      <w:r w:rsidRPr="009D1E2E">
        <w:lastRenderedPageBreak/>
        <w:t>State Government Instruments</w:t>
      </w:r>
      <w:bookmarkEnd w:id="32"/>
      <w:bookmarkEnd w:id="33"/>
      <w:bookmarkEnd w:id="34"/>
    </w:p>
    <w:p w14:paraId="04301213" w14:textId="77777777" w:rsidR="00965F17" w:rsidRPr="00965F17" w:rsidRDefault="00965F17" w:rsidP="00392842">
      <w:pPr>
        <w:pStyle w:val="Heading2"/>
      </w:pPr>
      <w:bookmarkStart w:id="35" w:name="_Toc122600832"/>
      <w:r w:rsidRPr="00965F17">
        <w:t>Building Work Contractors Act 1995</w:t>
      </w:r>
      <w:bookmarkEnd w:id="35"/>
    </w:p>
    <w:p w14:paraId="43322870" w14:textId="77777777" w:rsidR="00965F17" w:rsidRPr="00965F17" w:rsidRDefault="00965F17" w:rsidP="00965F17">
      <w:pPr>
        <w:jc w:val="center"/>
        <w:rPr>
          <w:i/>
          <w:szCs w:val="17"/>
        </w:rPr>
      </w:pPr>
      <w:r w:rsidRPr="00965F17">
        <w:rPr>
          <w:i/>
          <w:szCs w:val="17"/>
        </w:rPr>
        <w:t>Exemption</w:t>
      </w:r>
    </w:p>
    <w:p w14:paraId="764619BD" w14:textId="77777777" w:rsidR="00965F17" w:rsidRPr="00965F17" w:rsidRDefault="00965F17" w:rsidP="00965F17">
      <w:pPr>
        <w:rPr>
          <w:szCs w:val="17"/>
        </w:rPr>
      </w:pPr>
      <w:r w:rsidRPr="00965F17">
        <w:rPr>
          <w:szCs w:val="17"/>
        </w:rPr>
        <w:t xml:space="preserve">TAKE notice that, pursuant to section 45 of the </w:t>
      </w:r>
      <w:r w:rsidRPr="00965F17">
        <w:rPr>
          <w:i/>
          <w:szCs w:val="17"/>
        </w:rPr>
        <w:t>Building Work Contractors Act 1995</w:t>
      </w:r>
      <w:r w:rsidRPr="00965F17">
        <w:rPr>
          <w:szCs w:val="17"/>
        </w:rPr>
        <w:t>, I, Zoe Thomas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A566BAE" w14:textId="77777777" w:rsidR="00965F17" w:rsidRPr="00965F17" w:rsidRDefault="00965F17" w:rsidP="00965F17">
      <w:pPr>
        <w:jc w:val="center"/>
        <w:rPr>
          <w:smallCaps/>
          <w:szCs w:val="17"/>
        </w:rPr>
      </w:pPr>
      <w:r w:rsidRPr="00965F17">
        <w:rPr>
          <w:smallCaps/>
          <w:szCs w:val="17"/>
        </w:rPr>
        <w:t>Schedule 1</w:t>
      </w:r>
    </w:p>
    <w:p w14:paraId="606DF482" w14:textId="77777777" w:rsidR="00965F17" w:rsidRPr="00965F17" w:rsidRDefault="00965F17" w:rsidP="00965F17">
      <w:pPr>
        <w:jc w:val="center"/>
        <w:rPr>
          <w:caps/>
          <w:szCs w:val="17"/>
        </w:rPr>
      </w:pPr>
      <w:r w:rsidRPr="00965F17">
        <w:rPr>
          <w:caps/>
          <w:szCs w:val="17"/>
        </w:rPr>
        <w:t>DUNCAN MCKENZIE COOKE BLD 205722</w:t>
      </w:r>
    </w:p>
    <w:p w14:paraId="754A1AA1" w14:textId="77777777" w:rsidR="00965F17" w:rsidRPr="00965F17" w:rsidRDefault="00965F17" w:rsidP="00965F17">
      <w:pPr>
        <w:jc w:val="center"/>
        <w:rPr>
          <w:smallCaps/>
          <w:szCs w:val="17"/>
        </w:rPr>
      </w:pPr>
      <w:r w:rsidRPr="00965F17">
        <w:rPr>
          <w:smallCaps/>
          <w:szCs w:val="17"/>
        </w:rPr>
        <w:t>Schedule 2</w:t>
      </w:r>
    </w:p>
    <w:p w14:paraId="36EC98E9" w14:textId="77777777" w:rsidR="00965F17" w:rsidRPr="00965F17" w:rsidRDefault="00965F17" w:rsidP="00965F17">
      <w:pPr>
        <w:rPr>
          <w:szCs w:val="17"/>
        </w:rPr>
      </w:pPr>
      <w:r w:rsidRPr="00965F17">
        <w:rPr>
          <w:szCs w:val="17"/>
        </w:rPr>
        <w:t>Construction of a two storey residential dwelling and swimming pool at Allotment 28 in Deposited Plan 4664 being a portion of the land described in Certificate of Title Volume 5216 Folio 331, more commonly known as 20 Attunga Street, Glenelg North SA 5045.</w:t>
      </w:r>
    </w:p>
    <w:p w14:paraId="2DB2F764" w14:textId="77777777" w:rsidR="00965F17" w:rsidRPr="00965F17" w:rsidRDefault="00965F17" w:rsidP="00965F17">
      <w:pPr>
        <w:jc w:val="center"/>
        <w:rPr>
          <w:smallCaps/>
          <w:szCs w:val="17"/>
        </w:rPr>
      </w:pPr>
      <w:r w:rsidRPr="00965F17">
        <w:rPr>
          <w:smallCaps/>
          <w:szCs w:val="17"/>
        </w:rPr>
        <w:t>Schedule 3</w:t>
      </w:r>
    </w:p>
    <w:p w14:paraId="45C97B83" w14:textId="77777777" w:rsidR="00965F17" w:rsidRPr="00965F17" w:rsidRDefault="00965F17" w:rsidP="00965F17">
      <w:pPr>
        <w:ind w:left="284" w:hanging="284"/>
        <w:rPr>
          <w:szCs w:val="17"/>
        </w:rPr>
      </w:pPr>
      <w:r w:rsidRPr="00965F17">
        <w:rPr>
          <w:szCs w:val="17"/>
        </w:rPr>
        <w:t>1.</w:t>
      </w:r>
      <w:r w:rsidRPr="00965F17">
        <w:rPr>
          <w:szCs w:val="17"/>
        </w:rPr>
        <w:tab/>
        <w:t>This exemption is limited to domestic building work personally performed by the licensee in relation to the building work described in Schedule 2.</w:t>
      </w:r>
    </w:p>
    <w:p w14:paraId="5D9435AB" w14:textId="77777777" w:rsidR="00965F17" w:rsidRPr="00965F17" w:rsidRDefault="00965F17" w:rsidP="00965F17">
      <w:pPr>
        <w:ind w:left="284" w:hanging="284"/>
        <w:rPr>
          <w:szCs w:val="17"/>
        </w:rPr>
      </w:pPr>
      <w:r w:rsidRPr="00965F17">
        <w:rPr>
          <w:szCs w:val="17"/>
        </w:rPr>
        <w:t>2.</w:t>
      </w:r>
      <w:r w:rsidRPr="00965F17">
        <w:rPr>
          <w:szCs w:val="17"/>
        </w:rPr>
        <w:tab/>
        <w:t>This exemption does not apply to any domestic building work the licensee contracts to another building work contractor, for which that contractor is required by law to hold building indemnity insurance.</w:t>
      </w:r>
    </w:p>
    <w:p w14:paraId="19DBBC3D" w14:textId="77777777" w:rsidR="00965F17" w:rsidRPr="00965F17" w:rsidRDefault="00965F17" w:rsidP="00965F17">
      <w:pPr>
        <w:overflowPunct w:val="0"/>
        <w:autoSpaceDE w:val="0"/>
        <w:autoSpaceDN w:val="0"/>
        <w:adjustRightInd w:val="0"/>
        <w:ind w:left="284" w:hanging="284"/>
        <w:textAlignment w:val="baseline"/>
        <w:rPr>
          <w:rFonts w:eastAsia="Times New Roman"/>
          <w:szCs w:val="17"/>
        </w:rPr>
      </w:pPr>
      <w:r w:rsidRPr="00965F17">
        <w:rPr>
          <w:rFonts w:eastAsia="Times New Roman"/>
          <w:szCs w:val="17"/>
        </w:rPr>
        <w:t>3.</w:t>
      </w:r>
      <w:r w:rsidRPr="00965F17">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1DD11ED8" w14:textId="77777777" w:rsidR="00965F17" w:rsidRPr="00965F17" w:rsidRDefault="00965F17" w:rsidP="00965F17">
      <w:pPr>
        <w:numPr>
          <w:ilvl w:val="0"/>
          <w:numId w:val="58"/>
        </w:numPr>
        <w:overflowPunct w:val="0"/>
        <w:autoSpaceDE w:val="0"/>
        <w:autoSpaceDN w:val="0"/>
        <w:adjustRightInd w:val="0"/>
        <w:spacing w:after="0"/>
        <w:ind w:left="567" w:hanging="284"/>
        <w:textAlignment w:val="baseline"/>
        <w:rPr>
          <w:szCs w:val="17"/>
        </w:rPr>
      </w:pPr>
      <w:r w:rsidRPr="00965F17">
        <w:rPr>
          <w:szCs w:val="17"/>
        </w:rPr>
        <w:t>Providing evidence that an adequate policy of building indemnity insurance is in force to cover the balance of the five-year period from the date of completion of the building work the subject of this exemption;</w:t>
      </w:r>
    </w:p>
    <w:p w14:paraId="7A98FE29" w14:textId="77777777" w:rsidR="00965F17" w:rsidRPr="00965F17" w:rsidRDefault="00965F17" w:rsidP="00965F17">
      <w:pPr>
        <w:numPr>
          <w:ilvl w:val="0"/>
          <w:numId w:val="58"/>
        </w:numPr>
        <w:overflowPunct w:val="0"/>
        <w:autoSpaceDE w:val="0"/>
        <w:autoSpaceDN w:val="0"/>
        <w:adjustRightInd w:val="0"/>
        <w:spacing w:after="0"/>
        <w:ind w:left="567" w:hanging="284"/>
        <w:textAlignment w:val="baseline"/>
        <w:rPr>
          <w:szCs w:val="17"/>
        </w:rPr>
      </w:pPr>
      <w:r w:rsidRPr="00965F17">
        <w:rPr>
          <w:szCs w:val="17"/>
        </w:rPr>
        <w:t>Providing evidence of an independent expert inspection of the building work the subject of this exemption;</w:t>
      </w:r>
    </w:p>
    <w:p w14:paraId="5A5B65DA" w14:textId="77777777" w:rsidR="00965F17" w:rsidRPr="00965F17" w:rsidRDefault="00965F17" w:rsidP="00965F17">
      <w:pPr>
        <w:numPr>
          <w:ilvl w:val="0"/>
          <w:numId w:val="58"/>
        </w:numPr>
        <w:overflowPunct w:val="0"/>
        <w:autoSpaceDE w:val="0"/>
        <w:autoSpaceDN w:val="0"/>
        <w:adjustRightInd w:val="0"/>
        <w:spacing w:after="0"/>
        <w:ind w:left="567" w:hanging="284"/>
        <w:textAlignment w:val="baseline"/>
        <w:rPr>
          <w:szCs w:val="17"/>
        </w:rPr>
      </w:pPr>
      <w:r w:rsidRPr="00965F17">
        <w:rPr>
          <w:szCs w:val="17"/>
        </w:rPr>
        <w:t>Making an independent expert report available to prospective purchasers of the property;</w:t>
      </w:r>
    </w:p>
    <w:p w14:paraId="7F5F38E1" w14:textId="77777777" w:rsidR="00965F17" w:rsidRPr="00965F17" w:rsidRDefault="00965F17" w:rsidP="00965F17">
      <w:pPr>
        <w:numPr>
          <w:ilvl w:val="0"/>
          <w:numId w:val="58"/>
        </w:numPr>
        <w:overflowPunct w:val="0"/>
        <w:autoSpaceDE w:val="0"/>
        <w:autoSpaceDN w:val="0"/>
        <w:adjustRightInd w:val="0"/>
        <w:ind w:left="567" w:hanging="284"/>
        <w:textAlignment w:val="baseline"/>
        <w:rPr>
          <w:szCs w:val="17"/>
        </w:rPr>
      </w:pPr>
      <w:r w:rsidRPr="00965F17">
        <w:rPr>
          <w:szCs w:val="17"/>
        </w:rPr>
        <w:t>Giving prospective purchasers of the property notice of the absence of a policy of building indemnity insurance.</w:t>
      </w:r>
    </w:p>
    <w:p w14:paraId="03160408" w14:textId="77777777" w:rsidR="00965F17" w:rsidRPr="00965F17" w:rsidRDefault="00965F17" w:rsidP="00965F17">
      <w:pPr>
        <w:spacing w:after="0"/>
        <w:rPr>
          <w:rFonts w:eastAsia="Times New Roman"/>
          <w:szCs w:val="17"/>
        </w:rPr>
      </w:pPr>
      <w:r w:rsidRPr="00965F17">
        <w:rPr>
          <w:rFonts w:eastAsia="Times New Roman"/>
          <w:szCs w:val="17"/>
        </w:rPr>
        <w:t>Dated: 19 December 2022</w:t>
      </w:r>
    </w:p>
    <w:p w14:paraId="7EA556C8" w14:textId="77777777" w:rsidR="00965F17" w:rsidRPr="00965F17" w:rsidRDefault="00965F17" w:rsidP="00965F17">
      <w:pPr>
        <w:spacing w:after="0"/>
        <w:jc w:val="right"/>
        <w:rPr>
          <w:rFonts w:eastAsia="Times New Roman"/>
          <w:smallCaps/>
          <w:szCs w:val="20"/>
        </w:rPr>
      </w:pPr>
      <w:r w:rsidRPr="00965F17">
        <w:rPr>
          <w:rFonts w:eastAsia="Times New Roman"/>
          <w:smallCaps/>
          <w:szCs w:val="20"/>
        </w:rPr>
        <w:t>Zoe Thomas</w:t>
      </w:r>
    </w:p>
    <w:p w14:paraId="27FF397C" w14:textId="77777777" w:rsidR="00965F17" w:rsidRPr="00965F17" w:rsidRDefault="00965F17" w:rsidP="00965F17">
      <w:pPr>
        <w:spacing w:after="0"/>
        <w:jc w:val="right"/>
        <w:rPr>
          <w:rFonts w:eastAsia="Times New Roman"/>
          <w:szCs w:val="17"/>
        </w:rPr>
      </w:pPr>
      <w:r w:rsidRPr="00965F17">
        <w:rPr>
          <w:rFonts w:eastAsia="Times New Roman"/>
          <w:szCs w:val="17"/>
        </w:rPr>
        <w:t>Assistant Director, Licensing</w:t>
      </w:r>
    </w:p>
    <w:p w14:paraId="287F8B52" w14:textId="3D35BBC7" w:rsidR="00965F17" w:rsidRDefault="00965F17" w:rsidP="00965F17">
      <w:pPr>
        <w:spacing w:after="0"/>
        <w:jc w:val="right"/>
        <w:rPr>
          <w:rFonts w:eastAsia="Times New Roman"/>
          <w:szCs w:val="17"/>
        </w:rPr>
      </w:pPr>
      <w:r w:rsidRPr="00965F17">
        <w:rPr>
          <w:rFonts w:eastAsia="Times New Roman"/>
          <w:szCs w:val="17"/>
        </w:rPr>
        <w:t>Delegate for the Minister for Consumer and Business Affairs</w:t>
      </w:r>
    </w:p>
    <w:p w14:paraId="5171A8EB" w14:textId="106A213B" w:rsidR="00965F17" w:rsidRDefault="00965F17" w:rsidP="00965F17">
      <w:pPr>
        <w:pBdr>
          <w:bottom w:val="single" w:sz="4" w:space="1" w:color="auto"/>
        </w:pBdr>
        <w:spacing w:after="0" w:line="52" w:lineRule="exact"/>
        <w:jc w:val="center"/>
      </w:pPr>
    </w:p>
    <w:p w14:paraId="52899073" w14:textId="02777894" w:rsidR="00965F17" w:rsidRDefault="00965F17" w:rsidP="00965F17">
      <w:pPr>
        <w:pBdr>
          <w:top w:val="single" w:sz="4" w:space="1" w:color="auto"/>
        </w:pBdr>
        <w:spacing w:before="34" w:after="0" w:line="14" w:lineRule="exact"/>
        <w:jc w:val="center"/>
      </w:pPr>
    </w:p>
    <w:p w14:paraId="6D0A3D20" w14:textId="5E65D54E" w:rsidR="009D1E2E" w:rsidRDefault="009D1E2E" w:rsidP="00965F17">
      <w:pPr>
        <w:pStyle w:val="GG-body"/>
        <w:spacing w:after="0"/>
        <w:rPr>
          <w:lang w:val="en-US"/>
        </w:rPr>
      </w:pPr>
    </w:p>
    <w:p w14:paraId="1CDB794A" w14:textId="77777777" w:rsidR="00965F17" w:rsidRPr="00965F17" w:rsidRDefault="00965F17" w:rsidP="00392842">
      <w:pPr>
        <w:pStyle w:val="Heading2"/>
      </w:pPr>
      <w:bookmarkStart w:id="36" w:name="_Toc122600833"/>
      <w:r w:rsidRPr="00965F17">
        <w:t>Explosives Act 1936</w:t>
      </w:r>
      <w:bookmarkEnd w:id="36"/>
    </w:p>
    <w:p w14:paraId="2AC8DCA8" w14:textId="77777777" w:rsidR="00965F17" w:rsidRPr="00965F17" w:rsidRDefault="00965F17" w:rsidP="00965F17">
      <w:pPr>
        <w:jc w:val="center"/>
        <w:rPr>
          <w:i/>
          <w:szCs w:val="17"/>
        </w:rPr>
      </w:pPr>
      <w:r w:rsidRPr="00965F17">
        <w:rPr>
          <w:i/>
          <w:szCs w:val="17"/>
        </w:rPr>
        <w:t>Appointment</w:t>
      </w:r>
    </w:p>
    <w:p w14:paraId="76C5EB86" w14:textId="77777777" w:rsidR="00965F17" w:rsidRPr="00965F17" w:rsidRDefault="00965F17" w:rsidP="00965F17">
      <w:pPr>
        <w:rPr>
          <w:rFonts w:eastAsia="Times New Roman"/>
          <w:szCs w:val="17"/>
        </w:rPr>
      </w:pPr>
      <w:r w:rsidRPr="00965F17">
        <w:rPr>
          <w:rFonts w:eastAsia="Times New Roman"/>
          <w:szCs w:val="17"/>
        </w:rPr>
        <w:t xml:space="preserve">I, Kyam Joseph Maher, Minister for Industrial Relations and Public Sector in and for the State of South Australia, hereby appoint the following persons as an Inspector of explosives for the purposes of the </w:t>
      </w:r>
      <w:r w:rsidRPr="00965F17">
        <w:rPr>
          <w:rFonts w:eastAsia="Times New Roman"/>
          <w:i/>
          <w:iCs/>
          <w:szCs w:val="17"/>
        </w:rPr>
        <w:t>Explosives Act 1936</w:t>
      </w:r>
      <w:r w:rsidRPr="00965F17">
        <w:rPr>
          <w:rFonts w:eastAsia="Times New Roman"/>
          <w:szCs w:val="17"/>
        </w:rPr>
        <w:t xml:space="preserve"> pursuant to section 9(1) of that Act:</w:t>
      </w:r>
    </w:p>
    <w:p w14:paraId="21E9735C" w14:textId="77777777" w:rsidR="00965F17" w:rsidRPr="00965F17" w:rsidRDefault="00965F17" w:rsidP="00965F17">
      <w:pPr>
        <w:numPr>
          <w:ilvl w:val="0"/>
          <w:numId w:val="59"/>
        </w:numPr>
        <w:ind w:left="426" w:hanging="284"/>
        <w:rPr>
          <w:rFonts w:eastAsia="Times New Roman"/>
          <w:szCs w:val="17"/>
        </w:rPr>
      </w:pPr>
      <w:r w:rsidRPr="00965F17">
        <w:rPr>
          <w:rFonts w:eastAsia="Times New Roman"/>
          <w:szCs w:val="17"/>
        </w:rPr>
        <w:t>Clare Margaret WHARTON</w:t>
      </w:r>
    </w:p>
    <w:p w14:paraId="13FB57AF" w14:textId="77777777" w:rsidR="00965F17" w:rsidRPr="00965F17" w:rsidRDefault="00965F17" w:rsidP="00965F17">
      <w:pPr>
        <w:spacing w:after="0"/>
        <w:rPr>
          <w:rFonts w:eastAsia="Times New Roman"/>
          <w:szCs w:val="17"/>
        </w:rPr>
      </w:pPr>
      <w:r w:rsidRPr="00965F17">
        <w:rPr>
          <w:rFonts w:eastAsia="Times New Roman"/>
          <w:szCs w:val="17"/>
        </w:rPr>
        <w:t>Dated: 17 December 2022</w:t>
      </w:r>
    </w:p>
    <w:p w14:paraId="2C5F7E16" w14:textId="77777777" w:rsidR="00965F17" w:rsidRPr="00965F17" w:rsidRDefault="00965F17" w:rsidP="00965F17">
      <w:pPr>
        <w:spacing w:after="0"/>
        <w:jc w:val="right"/>
        <w:rPr>
          <w:rFonts w:eastAsia="Times New Roman"/>
          <w:smallCaps/>
          <w:szCs w:val="20"/>
        </w:rPr>
      </w:pPr>
      <w:r w:rsidRPr="00965F17">
        <w:rPr>
          <w:rFonts w:eastAsia="Times New Roman"/>
          <w:smallCaps/>
          <w:szCs w:val="20"/>
        </w:rPr>
        <w:t>Hon Kyam Maher MLC</w:t>
      </w:r>
    </w:p>
    <w:p w14:paraId="6674DD98" w14:textId="77777777" w:rsidR="00965F17" w:rsidRPr="00965F17" w:rsidRDefault="00965F17" w:rsidP="00965F17">
      <w:pPr>
        <w:jc w:val="right"/>
        <w:rPr>
          <w:rFonts w:eastAsia="Times New Roman"/>
          <w:szCs w:val="17"/>
        </w:rPr>
      </w:pPr>
      <w:r w:rsidRPr="00965F17">
        <w:rPr>
          <w:rFonts w:eastAsia="Times New Roman"/>
          <w:szCs w:val="17"/>
        </w:rPr>
        <w:t>Minister for Industrial Relations and Public Sector</w:t>
      </w:r>
    </w:p>
    <w:p w14:paraId="2C65F4A0" w14:textId="77777777" w:rsidR="00965F17" w:rsidRPr="00965F17" w:rsidRDefault="00965F17" w:rsidP="00965F17">
      <w:pPr>
        <w:pBdr>
          <w:top w:val="single" w:sz="4" w:space="1" w:color="auto"/>
        </w:pBdr>
        <w:spacing w:before="100" w:after="0" w:line="14" w:lineRule="exact"/>
        <w:jc w:val="center"/>
        <w:rPr>
          <w:rFonts w:eastAsia="Times New Roman"/>
          <w:szCs w:val="17"/>
        </w:rPr>
      </w:pPr>
    </w:p>
    <w:p w14:paraId="5E6660E2" w14:textId="77777777" w:rsidR="00965F17" w:rsidRPr="00965F17" w:rsidRDefault="00965F17" w:rsidP="00965F17">
      <w:pPr>
        <w:spacing w:after="0"/>
        <w:rPr>
          <w:rFonts w:eastAsia="Times New Roman"/>
          <w:szCs w:val="17"/>
        </w:rPr>
      </w:pPr>
    </w:p>
    <w:p w14:paraId="302176D8" w14:textId="77777777" w:rsidR="00965F17" w:rsidRPr="00965F17" w:rsidRDefault="00965F17" w:rsidP="00965F17">
      <w:pPr>
        <w:jc w:val="center"/>
        <w:rPr>
          <w:caps/>
          <w:szCs w:val="17"/>
        </w:rPr>
      </w:pPr>
      <w:r w:rsidRPr="00965F17">
        <w:rPr>
          <w:caps/>
          <w:szCs w:val="17"/>
        </w:rPr>
        <w:t>Explosives Act 1936</w:t>
      </w:r>
    </w:p>
    <w:p w14:paraId="0ED90DFF" w14:textId="77777777" w:rsidR="00965F17" w:rsidRPr="00965F17" w:rsidRDefault="00965F17" w:rsidP="00965F17">
      <w:pPr>
        <w:jc w:val="center"/>
        <w:rPr>
          <w:i/>
          <w:szCs w:val="17"/>
        </w:rPr>
      </w:pPr>
      <w:r w:rsidRPr="00965F17">
        <w:rPr>
          <w:i/>
          <w:szCs w:val="17"/>
        </w:rPr>
        <w:t>Revocation</w:t>
      </w:r>
    </w:p>
    <w:p w14:paraId="37FAABBB" w14:textId="77777777" w:rsidR="00965F17" w:rsidRPr="00965F17" w:rsidRDefault="00965F17" w:rsidP="00965F17">
      <w:pPr>
        <w:rPr>
          <w:rFonts w:eastAsia="Times New Roman"/>
          <w:szCs w:val="17"/>
        </w:rPr>
      </w:pPr>
      <w:r w:rsidRPr="00965F17">
        <w:rPr>
          <w:rFonts w:eastAsia="Times New Roman"/>
          <w:szCs w:val="17"/>
        </w:rPr>
        <w:t xml:space="preserve">I, Kyam Joseph Maher, Minister for Industrial Relations and Public Sector in and for the State of South Australia, hereby revoke the appointments of the following persons as Inspectors of explosives for the purposes of the </w:t>
      </w:r>
      <w:r w:rsidRPr="00965F17">
        <w:rPr>
          <w:rFonts w:eastAsia="Times New Roman"/>
          <w:i/>
          <w:iCs/>
          <w:szCs w:val="17"/>
        </w:rPr>
        <w:t>Explosives Act 1936</w:t>
      </w:r>
      <w:r w:rsidRPr="00965F17">
        <w:rPr>
          <w:rFonts w:eastAsia="Times New Roman"/>
          <w:szCs w:val="17"/>
        </w:rPr>
        <w:t xml:space="preserve"> pursuant to section 9(1) of that Act:</w:t>
      </w:r>
    </w:p>
    <w:p w14:paraId="269AF256" w14:textId="77777777" w:rsidR="00965F17" w:rsidRPr="00965F17" w:rsidRDefault="00965F17" w:rsidP="00965F17">
      <w:pPr>
        <w:numPr>
          <w:ilvl w:val="0"/>
          <w:numId w:val="59"/>
        </w:numPr>
        <w:spacing w:after="0"/>
        <w:ind w:left="426" w:hanging="284"/>
        <w:rPr>
          <w:rFonts w:eastAsia="Times New Roman"/>
          <w:bCs/>
          <w:szCs w:val="17"/>
        </w:rPr>
      </w:pPr>
      <w:r w:rsidRPr="00965F17">
        <w:rPr>
          <w:rFonts w:eastAsia="Times New Roman"/>
          <w:bCs/>
          <w:szCs w:val="17"/>
        </w:rPr>
        <w:t>Luke Robert BRAMMY</w:t>
      </w:r>
    </w:p>
    <w:p w14:paraId="214F9912" w14:textId="77777777" w:rsidR="00965F17" w:rsidRPr="00965F17" w:rsidRDefault="00965F17" w:rsidP="00965F17">
      <w:pPr>
        <w:numPr>
          <w:ilvl w:val="0"/>
          <w:numId w:val="59"/>
        </w:numPr>
        <w:spacing w:after="0"/>
        <w:ind w:left="426" w:hanging="284"/>
        <w:rPr>
          <w:rFonts w:eastAsia="Times New Roman"/>
          <w:bCs/>
          <w:szCs w:val="17"/>
        </w:rPr>
      </w:pPr>
      <w:r w:rsidRPr="00965F17">
        <w:rPr>
          <w:rFonts w:eastAsia="Times New Roman"/>
          <w:bCs/>
          <w:szCs w:val="17"/>
        </w:rPr>
        <w:t>Grant Andrew IRELAND</w:t>
      </w:r>
    </w:p>
    <w:p w14:paraId="05B01A7D" w14:textId="77777777" w:rsidR="00965F17" w:rsidRPr="00965F17" w:rsidRDefault="00965F17" w:rsidP="00965F17">
      <w:pPr>
        <w:numPr>
          <w:ilvl w:val="0"/>
          <w:numId w:val="59"/>
        </w:numPr>
        <w:spacing w:after="0"/>
        <w:ind w:left="426" w:hanging="284"/>
        <w:rPr>
          <w:rFonts w:eastAsia="Times New Roman"/>
          <w:bCs/>
          <w:szCs w:val="17"/>
        </w:rPr>
      </w:pPr>
      <w:r w:rsidRPr="00965F17">
        <w:rPr>
          <w:rFonts w:eastAsia="Times New Roman"/>
          <w:bCs/>
          <w:szCs w:val="17"/>
        </w:rPr>
        <w:t>Marrie JONGENEEL</w:t>
      </w:r>
    </w:p>
    <w:p w14:paraId="4FF4E3CF" w14:textId="77777777" w:rsidR="00965F17" w:rsidRPr="00965F17" w:rsidRDefault="00965F17" w:rsidP="00965F17">
      <w:pPr>
        <w:numPr>
          <w:ilvl w:val="0"/>
          <w:numId w:val="59"/>
        </w:numPr>
        <w:spacing w:after="0"/>
        <w:ind w:left="426" w:hanging="284"/>
        <w:rPr>
          <w:rFonts w:eastAsia="Times New Roman"/>
          <w:bCs/>
          <w:szCs w:val="17"/>
        </w:rPr>
      </w:pPr>
      <w:r w:rsidRPr="00965F17">
        <w:rPr>
          <w:rFonts w:eastAsia="Times New Roman"/>
          <w:bCs/>
          <w:szCs w:val="17"/>
        </w:rPr>
        <w:t>Kyla Valerie Gail ORMROD</w:t>
      </w:r>
    </w:p>
    <w:p w14:paraId="00D45119" w14:textId="77777777" w:rsidR="00965F17" w:rsidRPr="00965F17" w:rsidRDefault="00965F17" w:rsidP="00965F17">
      <w:pPr>
        <w:numPr>
          <w:ilvl w:val="0"/>
          <w:numId w:val="59"/>
        </w:numPr>
        <w:spacing w:after="0"/>
        <w:ind w:left="426" w:hanging="284"/>
        <w:rPr>
          <w:rFonts w:eastAsia="Times New Roman"/>
          <w:bCs/>
          <w:szCs w:val="17"/>
        </w:rPr>
      </w:pPr>
      <w:r w:rsidRPr="00965F17">
        <w:rPr>
          <w:rFonts w:eastAsia="Times New Roman"/>
          <w:bCs/>
          <w:szCs w:val="17"/>
        </w:rPr>
        <w:t>Adrian John Smith</w:t>
      </w:r>
    </w:p>
    <w:p w14:paraId="6C37D7D6" w14:textId="77777777" w:rsidR="00965F17" w:rsidRPr="00965F17" w:rsidRDefault="00965F17" w:rsidP="00965F17">
      <w:pPr>
        <w:numPr>
          <w:ilvl w:val="0"/>
          <w:numId w:val="59"/>
        </w:numPr>
        <w:ind w:left="426" w:hanging="284"/>
        <w:rPr>
          <w:rFonts w:eastAsia="Times New Roman"/>
          <w:bCs/>
          <w:szCs w:val="17"/>
        </w:rPr>
      </w:pPr>
      <w:r w:rsidRPr="00965F17">
        <w:rPr>
          <w:rFonts w:eastAsia="Times New Roman"/>
          <w:bCs/>
          <w:szCs w:val="17"/>
        </w:rPr>
        <w:t>Emma-Jane Louise WATSON</w:t>
      </w:r>
    </w:p>
    <w:p w14:paraId="35602FF2" w14:textId="77777777" w:rsidR="00965F17" w:rsidRPr="00965F17" w:rsidRDefault="00965F17" w:rsidP="00965F17">
      <w:pPr>
        <w:spacing w:after="0"/>
        <w:rPr>
          <w:rFonts w:eastAsia="Times New Roman"/>
          <w:szCs w:val="17"/>
        </w:rPr>
      </w:pPr>
      <w:r w:rsidRPr="00965F17">
        <w:rPr>
          <w:rFonts w:eastAsia="Times New Roman"/>
          <w:szCs w:val="17"/>
        </w:rPr>
        <w:t>Dated: 17 December 2022</w:t>
      </w:r>
    </w:p>
    <w:p w14:paraId="461C1807" w14:textId="77777777" w:rsidR="00965F17" w:rsidRPr="00965F17" w:rsidRDefault="00965F17" w:rsidP="00965F17">
      <w:pPr>
        <w:spacing w:after="0"/>
        <w:jc w:val="right"/>
        <w:rPr>
          <w:rFonts w:eastAsia="Times New Roman"/>
          <w:smallCaps/>
          <w:szCs w:val="20"/>
        </w:rPr>
      </w:pPr>
      <w:r w:rsidRPr="00965F17">
        <w:rPr>
          <w:rFonts w:eastAsia="Times New Roman"/>
          <w:smallCaps/>
          <w:szCs w:val="20"/>
        </w:rPr>
        <w:t>Hon Kyam Maher MLC</w:t>
      </w:r>
    </w:p>
    <w:p w14:paraId="35849475" w14:textId="5D6650C8" w:rsidR="00965F17" w:rsidRDefault="00965F17" w:rsidP="00965F17">
      <w:pPr>
        <w:jc w:val="right"/>
        <w:rPr>
          <w:rFonts w:eastAsia="Times New Roman"/>
          <w:szCs w:val="17"/>
        </w:rPr>
      </w:pPr>
      <w:r w:rsidRPr="00965F17">
        <w:rPr>
          <w:rFonts w:eastAsia="Times New Roman"/>
          <w:szCs w:val="17"/>
        </w:rPr>
        <w:t>Minister for Industrial Relations and Public Sector</w:t>
      </w:r>
    </w:p>
    <w:p w14:paraId="3935F9F3" w14:textId="66C2AB54" w:rsidR="00965F17" w:rsidRDefault="00965F17" w:rsidP="00965F17">
      <w:pPr>
        <w:pBdr>
          <w:bottom w:val="single" w:sz="4" w:space="1" w:color="auto"/>
        </w:pBdr>
        <w:spacing w:after="0" w:line="52" w:lineRule="exact"/>
        <w:jc w:val="center"/>
        <w:rPr>
          <w:rFonts w:eastAsia="Times New Roman"/>
          <w:szCs w:val="17"/>
        </w:rPr>
      </w:pPr>
    </w:p>
    <w:p w14:paraId="55339D5E" w14:textId="3828EF8C" w:rsidR="00965F17" w:rsidRDefault="00965F17" w:rsidP="00965F17">
      <w:pPr>
        <w:pBdr>
          <w:top w:val="single" w:sz="4" w:space="1" w:color="auto"/>
        </w:pBdr>
        <w:spacing w:before="34" w:after="0" w:line="14" w:lineRule="exact"/>
        <w:jc w:val="center"/>
        <w:rPr>
          <w:rFonts w:eastAsia="Times New Roman"/>
          <w:szCs w:val="17"/>
        </w:rPr>
      </w:pPr>
    </w:p>
    <w:p w14:paraId="03B4F944" w14:textId="1CEDB64C" w:rsidR="00965F17" w:rsidRDefault="00965F17" w:rsidP="00965F17">
      <w:pPr>
        <w:pStyle w:val="GG-body"/>
        <w:spacing w:after="0"/>
        <w:rPr>
          <w:lang w:val="en-US"/>
        </w:rPr>
      </w:pPr>
    </w:p>
    <w:p w14:paraId="28DBB168" w14:textId="77777777" w:rsidR="00965F17" w:rsidRDefault="00965F17" w:rsidP="00392842">
      <w:pPr>
        <w:pStyle w:val="Heading2"/>
      </w:pPr>
      <w:bookmarkStart w:id="37" w:name="_Toc122600834"/>
      <w:r w:rsidRPr="00760898">
        <w:t>Fisheries Management (General) Regulations 2017</w:t>
      </w:r>
      <w:bookmarkEnd w:id="37"/>
    </w:p>
    <w:p w14:paraId="0F31B2F6" w14:textId="77777777" w:rsidR="00965F17" w:rsidRPr="00D87F34" w:rsidRDefault="00965F17" w:rsidP="00965F17">
      <w:pPr>
        <w:pStyle w:val="GG-Title2"/>
      </w:pPr>
      <w:r w:rsidRPr="00760898">
        <w:rPr>
          <w:bCs/>
        </w:rPr>
        <w:t>Regulation 23B</w:t>
      </w:r>
    </w:p>
    <w:p w14:paraId="00AB2D9F" w14:textId="77777777" w:rsidR="00965F17" w:rsidRPr="00D87F34" w:rsidRDefault="00965F17" w:rsidP="00965F17">
      <w:pPr>
        <w:pStyle w:val="GG-Title3"/>
      </w:pPr>
      <w:r w:rsidRPr="00760898">
        <w:t>Taking of Murray Cod in certain waters</w:t>
      </w:r>
      <w:r>
        <w:t>—</w:t>
      </w:r>
      <w:r w:rsidRPr="00760898">
        <w:t>Rescue</w:t>
      </w:r>
    </w:p>
    <w:p w14:paraId="4201E8F8" w14:textId="77777777" w:rsidR="00965F17" w:rsidRPr="00D87F34" w:rsidRDefault="00965F17" w:rsidP="00965F17">
      <w:pPr>
        <w:pStyle w:val="GG-body"/>
      </w:pPr>
      <w:r w:rsidRPr="00760898">
        <w:t xml:space="preserve">For the purposes of regulation 23B of the </w:t>
      </w:r>
      <w:r w:rsidRPr="00760898">
        <w:rPr>
          <w:i/>
          <w:iCs/>
        </w:rPr>
        <w:t xml:space="preserve">Fisheries Management (General) Regulations 2017 </w:t>
      </w:r>
      <w:r w:rsidRPr="00760898">
        <w:t>regarding the taking of Murray Cod</w:t>
      </w:r>
      <w:r w:rsidRPr="00760898">
        <w:rPr>
          <w:i/>
          <w:iCs/>
        </w:rPr>
        <w:t xml:space="preserve"> </w:t>
      </w:r>
      <w:r w:rsidRPr="00760898">
        <w:t>in certain waters, – I, Prof Gavin Begg, Executive Director of Fisheries and Aquaculture, delegate of the Minister for Primary Industries and Regional Development make the following determination</w:t>
      </w:r>
      <w:r w:rsidRPr="003F39D3">
        <w:t>–</w:t>
      </w:r>
    </w:p>
    <w:p w14:paraId="5E5336C4" w14:textId="77777777" w:rsidR="00965F17" w:rsidRPr="00760898" w:rsidRDefault="00965F17" w:rsidP="00965F17">
      <w:pPr>
        <w:numPr>
          <w:ilvl w:val="0"/>
          <w:numId w:val="60"/>
        </w:numPr>
        <w:ind w:left="567" w:hanging="448"/>
        <w:jc w:val="left"/>
        <w:rPr>
          <w:szCs w:val="17"/>
        </w:rPr>
      </w:pPr>
      <w:r w:rsidRPr="00760898">
        <w:rPr>
          <w:szCs w:val="17"/>
        </w:rPr>
        <w:t>Mr Braeden Lampard of OzFish Unlimited Ltd and listed OzFish volunteers may take up to 500 Murray Cod (</w:t>
      </w:r>
      <w:r w:rsidRPr="00760898">
        <w:rPr>
          <w:i/>
          <w:iCs/>
          <w:szCs w:val="17"/>
        </w:rPr>
        <w:t>Maccullochella peelii</w:t>
      </w:r>
      <w:r w:rsidRPr="00760898">
        <w:rPr>
          <w:szCs w:val="17"/>
        </w:rPr>
        <w:t>) to rescue them from waters exhibiting hypoxic blackwater conditions within the waters of the River Murray proper and Lakes Albert and Alexandrina, following flooding.</w:t>
      </w:r>
    </w:p>
    <w:p w14:paraId="3968E188" w14:textId="77777777" w:rsidR="00965F17" w:rsidRPr="00760898" w:rsidRDefault="00965F17" w:rsidP="00965F17">
      <w:pPr>
        <w:numPr>
          <w:ilvl w:val="0"/>
          <w:numId w:val="60"/>
        </w:numPr>
        <w:ind w:left="567" w:hanging="448"/>
        <w:jc w:val="left"/>
        <w:rPr>
          <w:szCs w:val="17"/>
        </w:rPr>
      </w:pPr>
      <w:r w:rsidRPr="00760898">
        <w:rPr>
          <w:szCs w:val="17"/>
        </w:rPr>
        <w:t>Fish taken pursuant to this determination must be translocated directly interstate and must not be released into any other waters of the state.</w:t>
      </w:r>
    </w:p>
    <w:p w14:paraId="07A10091" w14:textId="77777777" w:rsidR="00965F17" w:rsidRPr="00760898" w:rsidRDefault="00965F17" w:rsidP="00965F17">
      <w:pPr>
        <w:numPr>
          <w:ilvl w:val="0"/>
          <w:numId w:val="60"/>
        </w:numPr>
        <w:ind w:left="567" w:hanging="448"/>
        <w:jc w:val="left"/>
        <w:rPr>
          <w:szCs w:val="17"/>
        </w:rPr>
      </w:pPr>
      <w:r w:rsidRPr="00760898">
        <w:rPr>
          <w:szCs w:val="17"/>
        </w:rPr>
        <w:lastRenderedPageBreak/>
        <w:t>Activities under this determination may only be conducted together with actions under Ministerial exemption ME9903236.</w:t>
      </w:r>
    </w:p>
    <w:p w14:paraId="469F6C34" w14:textId="77777777" w:rsidR="00965F17" w:rsidRPr="00760898" w:rsidRDefault="00965F17" w:rsidP="00965F17">
      <w:pPr>
        <w:numPr>
          <w:ilvl w:val="0"/>
          <w:numId w:val="60"/>
        </w:numPr>
        <w:ind w:left="567" w:hanging="448"/>
        <w:jc w:val="left"/>
        <w:rPr>
          <w:szCs w:val="17"/>
        </w:rPr>
      </w:pPr>
      <w:r w:rsidRPr="00760898">
        <w:rPr>
          <w:szCs w:val="17"/>
        </w:rPr>
        <w:t>The activity under this determination may only occur during the period 18 December 2022 to 17 December 2023.</w:t>
      </w:r>
    </w:p>
    <w:p w14:paraId="6D06E333" w14:textId="77777777" w:rsidR="00965F17" w:rsidRPr="00D87F34" w:rsidRDefault="00965F17" w:rsidP="00965F17">
      <w:pPr>
        <w:pStyle w:val="GG-SDated"/>
      </w:pPr>
      <w:r w:rsidRPr="00D87F34">
        <w:t xml:space="preserve">Dated: </w:t>
      </w:r>
      <w:r>
        <w:t>17 December</w:t>
      </w:r>
      <w:r w:rsidRPr="00D87F34">
        <w:t xml:space="preserve"> 2022</w:t>
      </w:r>
    </w:p>
    <w:p w14:paraId="3C471357" w14:textId="77777777" w:rsidR="00965F17" w:rsidRPr="00D87F34" w:rsidRDefault="00965F17" w:rsidP="00965F17">
      <w:pPr>
        <w:pStyle w:val="GG-SName"/>
      </w:pPr>
      <w:r w:rsidRPr="00D87F34">
        <w:t>Prof</w:t>
      </w:r>
      <w:r>
        <w:t>.</w:t>
      </w:r>
      <w:r w:rsidRPr="00D87F34">
        <w:t xml:space="preserve"> Gavin Begg</w:t>
      </w:r>
    </w:p>
    <w:p w14:paraId="0DBDB52B" w14:textId="77777777" w:rsidR="00965F17" w:rsidRPr="00D87F34" w:rsidRDefault="00965F17" w:rsidP="00965F17">
      <w:pPr>
        <w:pStyle w:val="GG-Signature"/>
      </w:pPr>
      <w:r w:rsidRPr="00D87F34">
        <w:t>Executive Director</w:t>
      </w:r>
      <w:r>
        <w:t xml:space="preserve">, </w:t>
      </w:r>
      <w:r w:rsidRPr="00D87F34">
        <w:t xml:space="preserve">Fisheries </w:t>
      </w:r>
      <w:r>
        <w:t>a</w:t>
      </w:r>
      <w:r w:rsidRPr="00D87F34">
        <w:t>nd Aquaculture</w:t>
      </w:r>
    </w:p>
    <w:p w14:paraId="6C58463D" w14:textId="23E7C3B7" w:rsidR="00965F17" w:rsidRDefault="00965F17" w:rsidP="00965F17">
      <w:pPr>
        <w:pStyle w:val="GG-Signature"/>
      </w:pPr>
      <w:r w:rsidRPr="00D87F34">
        <w:t>Delegate of the Minister for Primary Industries and Regional Development</w:t>
      </w:r>
    </w:p>
    <w:p w14:paraId="0D4C135C" w14:textId="3A8F55A9" w:rsidR="00965F17" w:rsidRDefault="00965F17" w:rsidP="00965F17">
      <w:pPr>
        <w:pStyle w:val="GG-Signature"/>
        <w:pBdr>
          <w:bottom w:val="single" w:sz="4" w:space="1" w:color="auto"/>
        </w:pBdr>
        <w:spacing w:line="52" w:lineRule="exact"/>
        <w:jc w:val="center"/>
      </w:pPr>
    </w:p>
    <w:p w14:paraId="27D618CD" w14:textId="5B82333B" w:rsidR="00965F17" w:rsidRDefault="00965F17" w:rsidP="00965F17">
      <w:pPr>
        <w:pStyle w:val="GG-Signature"/>
        <w:pBdr>
          <w:top w:val="single" w:sz="4" w:space="1" w:color="auto"/>
        </w:pBdr>
        <w:spacing w:before="34" w:line="14" w:lineRule="exact"/>
        <w:jc w:val="center"/>
      </w:pPr>
    </w:p>
    <w:p w14:paraId="667746FE" w14:textId="34F68F5D" w:rsidR="00965F17" w:rsidRDefault="00965F17" w:rsidP="00965F17">
      <w:pPr>
        <w:pStyle w:val="GG-body"/>
        <w:spacing w:after="0"/>
        <w:rPr>
          <w:lang w:val="en-US"/>
        </w:rPr>
      </w:pPr>
    </w:p>
    <w:p w14:paraId="289102F8" w14:textId="77777777" w:rsidR="00965F17" w:rsidRPr="00965F17" w:rsidRDefault="00965F17" w:rsidP="00392842">
      <w:pPr>
        <w:pStyle w:val="Heading2"/>
      </w:pPr>
      <w:bookmarkStart w:id="38" w:name="_Toc122600835"/>
      <w:r w:rsidRPr="00965F17">
        <w:t>Fisheries Management Act 2007</w:t>
      </w:r>
      <w:bookmarkEnd w:id="38"/>
    </w:p>
    <w:p w14:paraId="5E2BA85A" w14:textId="77777777" w:rsidR="00965F17" w:rsidRPr="00965F17" w:rsidRDefault="00965F17" w:rsidP="00965F17">
      <w:pPr>
        <w:jc w:val="center"/>
        <w:rPr>
          <w:smallCaps/>
          <w:szCs w:val="17"/>
        </w:rPr>
      </w:pPr>
      <w:r w:rsidRPr="00965F17">
        <w:rPr>
          <w:smallCaps/>
          <w:szCs w:val="17"/>
        </w:rPr>
        <w:t>Section 115</w:t>
      </w:r>
    </w:p>
    <w:p w14:paraId="4BE670BE" w14:textId="77777777" w:rsidR="00965F17" w:rsidRPr="00965F17" w:rsidRDefault="00965F17" w:rsidP="00965F17">
      <w:pPr>
        <w:jc w:val="center"/>
        <w:rPr>
          <w:i/>
          <w:szCs w:val="17"/>
        </w:rPr>
      </w:pPr>
      <w:r w:rsidRPr="00965F17">
        <w:rPr>
          <w:i/>
          <w:szCs w:val="17"/>
        </w:rPr>
        <w:t>Ministerial Exemption ME9903220</w:t>
      </w:r>
    </w:p>
    <w:p w14:paraId="62800003" w14:textId="77777777" w:rsidR="00965F17" w:rsidRPr="00965F17" w:rsidRDefault="00965F17" w:rsidP="00965F17">
      <w:pPr>
        <w:rPr>
          <w:rFonts w:eastAsia="Times New Roman"/>
          <w:szCs w:val="17"/>
        </w:rPr>
      </w:pPr>
      <w:r w:rsidRPr="00965F17">
        <w:rPr>
          <w:rFonts w:eastAsia="Times New Roman"/>
          <w:szCs w:val="17"/>
        </w:rPr>
        <w:t xml:space="preserve">TAKE NOTICE that pursuant to section 115 of the </w:t>
      </w:r>
      <w:r w:rsidRPr="00965F17">
        <w:rPr>
          <w:rFonts w:eastAsia="Times New Roman"/>
          <w:i/>
          <w:szCs w:val="17"/>
        </w:rPr>
        <w:t>Fisheries Management Act 2007</w:t>
      </w:r>
      <w:r w:rsidRPr="00965F17">
        <w:rPr>
          <w:rFonts w:eastAsia="Times New Roman"/>
          <w:szCs w:val="17"/>
        </w:rPr>
        <w:t xml:space="preserve">, I Professor Gavin Begg, Executive Director Fisheries and Aquaculture, delegate of the Minister for Primary Industries and Regional Development, hereby exempt Garry Warrick of 1979 Kingston Road, New Residence SA 5333, holder of River Fishery licence number R27 (the ‘exemption holder’), and his nominated agents, from sections 53(2) and 70 of the </w:t>
      </w:r>
      <w:r w:rsidRPr="00965F17">
        <w:rPr>
          <w:rFonts w:eastAsia="Times New Roman"/>
          <w:i/>
          <w:szCs w:val="17"/>
        </w:rPr>
        <w:t xml:space="preserve">Fisheries Management Act 2007 </w:t>
      </w:r>
      <w:r w:rsidRPr="00965F17">
        <w:rPr>
          <w:rFonts w:eastAsia="Times New Roman"/>
          <w:iCs/>
          <w:szCs w:val="17"/>
        </w:rPr>
        <w:t xml:space="preserve">and Regulation 5, </w:t>
      </w:r>
      <w:r w:rsidRPr="00965F17">
        <w:rPr>
          <w:rFonts w:eastAsia="Times New Roman"/>
          <w:szCs w:val="17"/>
        </w:rPr>
        <w:t xml:space="preserve">and Schedule 7 of the </w:t>
      </w:r>
      <w:r w:rsidRPr="00965F17">
        <w:rPr>
          <w:rFonts w:eastAsia="Times New Roman"/>
          <w:i/>
          <w:iCs/>
          <w:szCs w:val="17"/>
        </w:rPr>
        <w:t>Fisheries Management (General) Regulations 2017</w:t>
      </w:r>
      <w:r w:rsidRPr="00965F17">
        <w:rPr>
          <w:rFonts w:eastAsia="Times New Roman"/>
          <w:szCs w:val="17"/>
        </w:rPr>
        <w:t xml:space="preserve"> but only insofar as he may use the devices described in Schedule 1 (the ‘exempted activity’) to take the species specified in Schedule 2 from the areas specified in Schedule 3 , subject to the conditions set out in Schedule 4, from  18 December 2022 until 17 December 2023, unless varied or revoked earlier.</w:t>
      </w:r>
    </w:p>
    <w:p w14:paraId="638D6EDF" w14:textId="77777777" w:rsidR="00965F17" w:rsidRPr="00965F17" w:rsidRDefault="00965F17" w:rsidP="00965F17">
      <w:pPr>
        <w:jc w:val="center"/>
        <w:rPr>
          <w:smallCaps/>
          <w:szCs w:val="17"/>
        </w:rPr>
      </w:pPr>
      <w:r w:rsidRPr="00965F17">
        <w:rPr>
          <w:smallCaps/>
          <w:szCs w:val="17"/>
        </w:rPr>
        <w:t>Schedule 1</w:t>
      </w:r>
    </w:p>
    <w:p w14:paraId="43E33D8C" w14:textId="77777777" w:rsidR="00965F17" w:rsidRPr="00965F17" w:rsidRDefault="00965F17" w:rsidP="00965F17">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965F17">
        <w:rPr>
          <w:rFonts w:eastAsia="Times New Roman" w:cs="AFHDL H+ Helvetica Neue"/>
          <w:color w:val="000000"/>
          <w:szCs w:val="17"/>
        </w:rPr>
        <w:t>30 x ‘Carp net’ – a gill net with a ply greater than 5, having a maximum length of 50 metres and a minimum mesh size of 10 centimetres and a maximum mesh size not exceeding 18 centimetres.</w:t>
      </w:r>
    </w:p>
    <w:p w14:paraId="7FBD0A35" w14:textId="77777777" w:rsidR="00965F17" w:rsidRPr="00965F17" w:rsidRDefault="00965F17" w:rsidP="00965F17">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965F17">
        <w:rPr>
          <w:rFonts w:eastAsia="Times New Roman" w:cs="AFHDL H+ Helvetica Neue"/>
          <w:color w:val="000000"/>
          <w:szCs w:val="17"/>
        </w:rPr>
        <w:t>2 x Carp Separation Cages forming part of Lock 1 in Blanchetown on the River Murray.</w:t>
      </w:r>
    </w:p>
    <w:p w14:paraId="123D981B" w14:textId="77777777" w:rsidR="00965F17" w:rsidRPr="00965F17" w:rsidRDefault="00965F17" w:rsidP="00965F17">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965F17">
        <w:rPr>
          <w:rFonts w:eastAsia="Times New Roman" w:cs="AFHDL H+ Helvetica Neue"/>
          <w:color w:val="000000"/>
          <w:szCs w:val="17"/>
        </w:rPr>
        <w:t>1 x Backpack electrofisher (Smith-Root LR24).</w:t>
      </w:r>
    </w:p>
    <w:p w14:paraId="6000F93B" w14:textId="77777777" w:rsidR="00965F17" w:rsidRPr="00965F17" w:rsidRDefault="00965F17" w:rsidP="00965F17">
      <w:pPr>
        <w:numPr>
          <w:ilvl w:val="0"/>
          <w:numId w:val="62"/>
        </w:numPr>
        <w:autoSpaceDE w:val="0"/>
        <w:autoSpaceDN w:val="0"/>
        <w:adjustRightInd w:val="0"/>
        <w:ind w:left="426" w:hanging="283"/>
        <w:rPr>
          <w:rFonts w:eastAsia="Times New Roman"/>
          <w:color w:val="000000"/>
          <w:szCs w:val="17"/>
        </w:rPr>
      </w:pPr>
      <w:r w:rsidRPr="00965F17">
        <w:rPr>
          <w:rFonts w:eastAsia="Times New Roman"/>
          <w:color w:val="000000"/>
          <w:szCs w:val="17"/>
        </w:rPr>
        <w:t>1 x Boat electrofisher (Smith-Root 5.0 kW GPP).</w:t>
      </w:r>
    </w:p>
    <w:p w14:paraId="206639D5" w14:textId="77777777" w:rsidR="00965F17" w:rsidRPr="00965F17" w:rsidRDefault="00965F17" w:rsidP="00965F17">
      <w:pPr>
        <w:jc w:val="center"/>
        <w:rPr>
          <w:smallCaps/>
          <w:szCs w:val="17"/>
        </w:rPr>
      </w:pPr>
      <w:r w:rsidRPr="00965F17">
        <w:rPr>
          <w:smallCaps/>
          <w:szCs w:val="17"/>
        </w:rPr>
        <w:t>Schedule 2</w:t>
      </w:r>
    </w:p>
    <w:p w14:paraId="0CC55B5A" w14:textId="77777777" w:rsidR="00965F17" w:rsidRPr="00965F17" w:rsidRDefault="00965F17" w:rsidP="00965F17">
      <w:pPr>
        <w:numPr>
          <w:ilvl w:val="0"/>
          <w:numId w:val="62"/>
        </w:numPr>
        <w:autoSpaceDE w:val="0"/>
        <w:autoSpaceDN w:val="0"/>
        <w:adjustRightInd w:val="0"/>
        <w:spacing w:after="0"/>
        <w:ind w:left="426" w:hanging="283"/>
        <w:rPr>
          <w:rFonts w:eastAsia="Times New Roman"/>
          <w:color w:val="000000"/>
          <w:szCs w:val="17"/>
        </w:rPr>
      </w:pPr>
      <w:bookmarkStart w:id="39" w:name="_Hlk122527427"/>
      <w:r w:rsidRPr="00965F17">
        <w:rPr>
          <w:rFonts w:eastAsia="Times New Roman"/>
          <w:color w:val="000000"/>
          <w:szCs w:val="17"/>
        </w:rPr>
        <w:t>Carp</w:t>
      </w:r>
    </w:p>
    <w:p w14:paraId="0A4E3D4D" w14:textId="77777777" w:rsidR="00965F17" w:rsidRPr="00965F17" w:rsidRDefault="00965F17" w:rsidP="00965F17">
      <w:pPr>
        <w:numPr>
          <w:ilvl w:val="0"/>
          <w:numId w:val="62"/>
        </w:numPr>
        <w:autoSpaceDE w:val="0"/>
        <w:autoSpaceDN w:val="0"/>
        <w:adjustRightInd w:val="0"/>
        <w:ind w:left="426" w:hanging="283"/>
        <w:rPr>
          <w:rFonts w:eastAsia="Times New Roman"/>
          <w:color w:val="000000"/>
          <w:szCs w:val="17"/>
        </w:rPr>
      </w:pPr>
      <w:r w:rsidRPr="00965F17">
        <w:rPr>
          <w:rFonts w:eastAsia="Times New Roman"/>
          <w:color w:val="000000"/>
          <w:szCs w:val="17"/>
        </w:rPr>
        <w:t>Bony Bream</w:t>
      </w:r>
    </w:p>
    <w:bookmarkEnd w:id="39"/>
    <w:p w14:paraId="76926FE3" w14:textId="77777777" w:rsidR="00965F17" w:rsidRPr="00965F17" w:rsidRDefault="00965F17" w:rsidP="00965F17">
      <w:pPr>
        <w:jc w:val="center"/>
        <w:rPr>
          <w:smallCaps/>
          <w:szCs w:val="17"/>
        </w:rPr>
      </w:pPr>
      <w:r w:rsidRPr="00965F17">
        <w:rPr>
          <w:smallCaps/>
          <w:szCs w:val="17"/>
        </w:rPr>
        <w:t>Schedule 3</w:t>
      </w:r>
    </w:p>
    <w:p w14:paraId="6ADB4B27" w14:textId="77777777" w:rsidR="00965F17" w:rsidRPr="00965F17" w:rsidRDefault="00965F17" w:rsidP="00965F17">
      <w:pPr>
        <w:numPr>
          <w:ilvl w:val="0"/>
          <w:numId w:val="61"/>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 xml:space="preserve">The </w:t>
      </w:r>
      <w:bookmarkStart w:id="40" w:name="_Hlk89092817"/>
      <w:r w:rsidRPr="00965F17">
        <w:rPr>
          <w:rFonts w:eastAsia="Times New Roman" w:cs="AFHDL H+ Helvetica Neue"/>
          <w:color w:val="000000"/>
          <w:szCs w:val="17"/>
        </w:rPr>
        <w:t>exemption holder</w:t>
      </w:r>
      <w:bookmarkEnd w:id="40"/>
      <w:r w:rsidRPr="00965F17">
        <w:rPr>
          <w:rFonts w:eastAsia="Times New Roman" w:cs="AFHDL H+ Helvetica Neue"/>
          <w:color w:val="000000"/>
          <w:szCs w:val="17"/>
        </w:rPr>
        <w:t xml:space="preserve"> may conduct fishing activities using the Carp nets and electrofisher gear specified in Schedule 1 in the following areas of the backwaters of the River Murray:</w:t>
      </w:r>
    </w:p>
    <w:p w14:paraId="79DF0263" w14:textId="77777777" w:rsidR="00965F17" w:rsidRPr="00965F17" w:rsidRDefault="00965F17" w:rsidP="00965F17">
      <w:pPr>
        <w:numPr>
          <w:ilvl w:val="0"/>
          <w:numId w:val="63"/>
        </w:numPr>
        <w:autoSpaceDE w:val="0"/>
        <w:autoSpaceDN w:val="0"/>
        <w:adjustRightInd w:val="0"/>
        <w:spacing w:after="0"/>
        <w:ind w:left="851" w:hanging="284"/>
        <w:rPr>
          <w:rFonts w:eastAsia="Times New Roman" w:cs="AFHDL H+ Helvetica Neue"/>
          <w:color w:val="000000"/>
          <w:szCs w:val="17"/>
        </w:rPr>
      </w:pPr>
      <w:r w:rsidRPr="00965F17">
        <w:rPr>
          <w:rFonts w:eastAsia="Times New Roman" w:cs="AFHDL H+ Helvetica Neue"/>
          <w:color w:val="000000"/>
          <w:szCs w:val="17"/>
        </w:rPr>
        <w:t>Lake Bonney and connected Chambers Creek</w:t>
      </w:r>
    </w:p>
    <w:p w14:paraId="7B6B8D77" w14:textId="77777777" w:rsidR="00965F17" w:rsidRPr="00965F17" w:rsidRDefault="00965F17" w:rsidP="00965F17">
      <w:pPr>
        <w:numPr>
          <w:ilvl w:val="0"/>
          <w:numId w:val="63"/>
        </w:numPr>
        <w:autoSpaceDE w:val="0"/>
        <w:autoSpaceDN w:val="0"/>
        <w:adjustRightInd w:val="0"/>
        <w:spacing w:after="0"/>
        <w:ind w:left="851" w:hanging="284"/>
        <w:rPr>
          <w:rFonts w:eastAsia="Times New Roman" w:cs="AFHDL H+ Helvetica Neue"/>
          <w:color w:val="000000"/>
          <w:szCs w:val="17"/>
        </w:rPr>
      </w:pPr>
      <w:r w:rsidRPr="00965F17">
        <w:rPr>
          <w:rFonts w:eastAsia="Times New Roman" w:cs="AFHDL H+ Helvetica Neue"/>
          <w:color w:val="000000"/>
          <w:szCs w:val="17"/>
        </w:rPr>
        <w:t>Wachtels Lagoon</w:t>
      </w:r>
    </w:p>
    <w:p w14:paraId="681F1805" w14:textId="77777777" w:rsidR="00965F17" w:rsidRPr="00965F17" w:rsidRDefault="00965F17" w:rsidP="00965F17">
      <w:pPr>
        <w:numPr>
          <w:ilvl w:val="0"/>
          <w:numId w:val="63"/>
        </w:numPr>
        <w:autoSpaceDE w:val="0"/>
        <w:autoSpaceDN w:val="0"/>
        <w:adjustRightInd w:val="0"/>
        <w:spacing w:after="0"/>
        <w:ind w:left="851" w:hanging="284"/>
        <w:rPr>
          <w:rFonts w:eastAsia="Times New Roman" w:cs="AFHDL H+ Helvetica Neue"/>
          <w:color w:val="000000"/>
          <w:szCs w:val="17"/>
        </w:rPr>
      </w:pPr>
      <w:r w:rsidRPr="00965F17">
        <w:rPr>
          <w:rFonts w:eastAsia="Times New Roman" w:cs="AFHDL H+ Helvetica Neue"/>
          <w:color w:val="000000"/>
          <w:szCs w:val="17"/>
        </w:rPr>
        <w:t>Spectacle Lakes and unnamed connected creek</w:t>
      </w:r>
    </w:p>
    <w:p w14:paraId="0BE97985" w14:textId="77777777" w:rsidR="00965F17" w:rsidRPr="00965F17" w:rsidRDefault="00965F17" w:rsidP="00965F17">
      <w:pPr>
        <w:numPr>
          <w:ilvl w:val="0"/>
          <w:numId w:val="63"/>
        </w:numPr>
        <w:autoSpaceDE w:val="0"/>
        <w:autoSpaceDN w:val="0"/>
        <w:adjustRightInd w:val="0"/>
        <w:spacing w:after="0"/>
        <w:ind w:left="851" w:hanging="284"/>
        <w:rPr>
          <w:rFonts w:eastAsia="Times New Roman" w:cs="AFHDL H+ Helvetica Neue"/>
          <w:color w:val="000000"/>
          <w:szCs w:val="17"/>
        </w:rPr>
      </w:pPr>
      <w:r w:rsidRPr="00965F17">
        <w:rPr>
          <w:rFonts w:eastAsia="Times New Roman" w:cs="AFHDL H+ Helvetica Neue"/>
          <w:color w:val="000000"/>
          <w:szCs w:val="17"/>
        </w:rPr>
        <w:t xml:space="preserve">Yatco Lagoon </w:t>
      </w:r>
    </w:p>
    <w:p w14:paraId="16E7A6E8" w14:textId="77777777" w:rsidR="00965F17" w:rsidRPr="00965F17" w:rsidRDefault="00965F17" w:rsidP="00965F17">
      <w:pPr>
        <w:numPr>
          <w:ilvl w:val="0"/>
          <w:numId w:val="63"/>
        </w:numPr>
        <w:autoSpaceDE w:val="0"/>
        <w:autoSpaceDN w:val="0"/>
        <w:adjustRightInd w:val="0"/>
        <w:ind w:left="851" w:hanging="284"/>
        <w:rPr>
          <w:rFonts w:eastAsia="Times New Roman" w:cs="AFHDL H+ Helvetica Neue"/>
          <w:color w:val="000000"/>
          <w:szCs w:val="17"/>
        </w:rPr>
      </w:pPr>
      <w:r w:rsidRPr="00965F17">
        <w:rPr>
          <w:rFonts w:eastAsia="Times New Roman" w:cs="AFHDL H+ Helvetica Neue"/>
          <w:color w:val="000000"/>
          <w:szCs w:val="17"/>
        </w:rPr>
        <w:t xml:space="preserve">Gurra Gurra Lakes </w:t>
      </w:r>
    </w:p>
    <w:p w14:paraId="4FFABF9D" w14:textId="77777777" w:rsidR="00965F17" w:rsidRPr="00965F17" w:rsidRDefault="00965F17" w:rsidP="00965F17">
      <w:pPr>
        <w:numPr>
          <w:ilvl w:val="0"/>
          <w:numId w:val="61"/>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The exemption holder may conduct fishing activities using the Carp Separation Cages which form part of Lock 1 at Blanchetown on the River Murray. </w:t>
      </w:r>
    </w:p>
    <w:p w14:paraId="6195BFC0" w14:textId="77777777" w:rsidR="00965F17" w:rsidRPr="00965F17" w:rsidRDefault="00965F17" w:rsidP="00965F17">
      <w:pPr>
        <w:jc w:val="center"/>
        <w:rPr>
          <w:smallCaps/>
          <w:szCs w:val="17"/>
        </w:rPr>
      </w:pPr>
      <w:r w:rsidRPr="00965F17">
        <w:rPr>
          <w:smallCaps/>
          <w:szCs w:val="17"/>
        </w:rPr>
        <w:t>Schedule 4</w:t>
      </w:r>
    </w:p>
    <w:p w14:paraId="48EA2129" w14:textId="77777777" w:rsidR="00965F17" w:rsidRPr="00965F17" w:rsidRDefault="00965F17" w:rsidP="00965F17">
      <w:pPr>
        <w:widowControl w:val="0"/>
        <w:numPr>
          <w:ilvl w:val="0"/>
          <w:numId w:val="64"/>
        </w:numPr>
        <w:autoSpaceDE w:val="0"/>
        <w:autoSpaceDN w:val="0"/>
        <w:adjustRightInd w:val="0"/>
        <w:ind w:left="364" w:hanging="364"/>
        <w:rPr>
          <w:rFonts w:eastAsia="Times New Roman" w:cs="AFHDL H+ Helvetica Neue"/>
          <w:color w:val="000000"/>
          <w:szCs w:val="17"/>
        </w:rPr>
      </w:pPr>
      <w:r w:rsidRPr="00965F17">
        <w:rPr>
          <w:rFonts w:eastAsia="Times New Roman" w:cs="AFHDL H+ Helvetica Neue"/>
          <w:color w:val="000000"/>
          <w:szCs w:val="17"/>
        </w:rPr>
        <w:t>The exemption holder must not use more than the permitted number of devices specified in Schedule 1 at any one time.</w:t>
      </w:r>
    </w:p>
    <w:p w14:paraId="5906F7C3"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 xml:space="preserve">The exemption holder must not have more than 30 Carp nets in his possession at any time when he is deploying Carp nets in the backwaters of the River Murray. </w:t>
      </w:r>
    </w:p>
    <w:p w14:paraId="7B5BD3D2"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The exemption holder may only engage in the exempted activity when also fishing pursuant to River Fishery licence number R27, and may only use a boat to engage in the exempted activity if that boat is registered by endorsement on River Fishery licence number R27.</w:t>
      </w:r>
    </w:p>
    <w:p w14:paraId="0CDA1348"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The exempted activity may only be conducted by the exemption holder or his nominated agents, Mr Jayden Warrick and/or Mr Keith Bell.</w:t>
      </w:r>
    </w:p>
    <w:p w14:paraId="25226B87"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 xml:space="preserve">Use of the electrofisher gear must comply with guidelines set out by the Australian Code of Electrofishing Practice. All persons using the devices must be trained in accordance with these guidelines. </w:t>
      </w:r>
    </w:p>
    <w:p w14:paraId="3483E0A0"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All native fish (excluding Bony Bream) taken in the course of the exempted activity must be immediately returned to the water, and consistent with the Australian Code of Electrofishing Practice, when native species are encountered while electrofishing, electrofishing must be discontinued until the native species recovers and escapes.</w:t>
      </w:r>
    </w:p>
    <w:p w14:paraId="424D3803"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Immediately prior to commencing the exempted activity, the exemption holder must contact the Department via PIRSA Fishwatch on 1800 065 522 and provide the following details:</w:t>
      </w:r>
    </w:p>
    <w:p w14:paraId="276A956C" w14:textId="77777777" w:rsidR="00965F17" w:rsidRPr="00965F17" w:rsidRDefault="00965F17" w:rsidP="00965F17">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965F17">
        <w:rPr>
          <w:rFonts w:eastAsia="Times New Roman" w:cs="AFHDL H+ Helvetica Neue"/>
          <w:color w:val="000000"/>
          <w:szCs w:val="17"/>
        </w:rPr>
        <w:t>The licence number and person(s) conducting the activity;</w:t>
      </w:r>
    </w:p>
    <w:p w14:paraId="3EF30AE7" w14:textId="77777777" w:rsidR="00965F17" w:rsidRPr="00965F17" w:rsidRDefault="00965F17" w:rsidP="00965F17">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965F17">
        <w:rPr>
          <w:rFonts w:eastAsia="Times New Roman" w:cs="AFHDL H+ Helvetica Neue"/>
          <w:color w:val="000000"/>
          <w:szCs w:val="17"/>
        </w:rPr>
        <w:t>The exact location(s) of the fishing activities;</w:t>
      </w:r>
    </w:p>
    <w:p w14:paraId="0CF62261" w14:textId="77777777" w:rsidR="00965F17" w:rsidRPr="00965F17" w:rsidRDefault="00965F17" w:rsidP="00965F17">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965F17">
        <w:rPr>
          <w:rFonts w:eastAsia="Times New Roman" w:cs="AFHDL H+ Helvetica Neue"/>
          <w:color w:val="000000"/>
          <w:szCs w:val="17"/>
        </w:rPr>
        <w:t>The gear type and quantity being used;</w:t>
      </w:r>
    </w:p>
    <w:p w14:paraId="59918A46" w14:textId="77777777" w:rsidR="00965F17" w:rsidRPr="00965F17" w:rsidRDefault="00965F17" w:rsidP="00965F17">
      <w:pPr>
        <w:widowControl w:val="0"/>
        <w:numPr>
          <w:ilvl w:val="0"/>
          <w:numId w:val="65"/>
        </w:numPr>
        <w:autoSpaceDE w:val="0"/>
        <w:autoSpaceDN w:val="0"/>
        <w:adjustRightInd w:val="0"/>
        <w:ind w:left="709" w:hanging="284"/>
        <w:rPr>
          <w:rFonts w:eastAsia="Times New Roman" w:cs="AFHDL H+ Helvetica Neue"/>
          <w:color w:val="000000"/>
          <w:szCs w:val="17"/>
        </w:rPr>
      </w:pPr>
      <w:r w:rsidRPr="00965F17">
        <w:rPr>
          <w:rFonts w:eastAsia="Times New Roman" w:cs="AFHDL H+ Helvetica Neue"/>
          <w:b/>
          <w:bCs/>
          <w:color w:val="000000"/>
          <w:szCs w:val="17"/>
        </w:rPr>
        <w:t xml:space="preserve">Exemption number </w:t>
      </w:r>
      <w:r w:rsidRPr="00965F17">
        <w:rPr>
          <w:rFonts w:eastAsia="Times New Roman" w:cs="AFHDL H+ Helvetica Neue"/>
          <w:b/>
          <w:color w:val="000000"/>
          <w:szCs w:val="17"/>
        </w:rPr>
        <w:t>ME9903220</w:t>
      </w:r>
      <w:r w:rsidRPr="00965F17">
        <w:rPr>
          <w:rFonts w:eastAsia="Times New Roman" w:cs="AFHDL H+ Helvetica Neue"/>
          <w:bCs/>
          <w:color w:val="000000"/>
          <w:szCs w:val="17"/>
        </w:rPr>
        <w:t>.</w:t>
      </w:r>
    </w:p>
    <w:p w14:paraId="3F72919F"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 xml:space="preserve">The exemption holder must ensure that the Carp nets are checked and all fish removed at least once during any 24 hour period during which they are in the water. All noxious species captured during these activities must not be returned to the water and disposed of appropriately. </w:t>
      </w:r>
    </w:p>
    <w:p w14:paraId="294953B6"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Carp nets must be removed from the water when fishing pursuant to this exemption notice ceases.</w:t>
      </w:r>
    </w:p>
    <w:p w14:paraId="7D1D2383"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Where the exemption holder moves the Carp nets more than 3 kilometres from the location of the nets reported to the Department under condition 7, or removes any of the nets from the river completely, the exemption holder must provide an additional report to the Department of Primary Industries and Regions (PIRSA) Fishwatch on 1800 065 522 and either provide details as required under condition 7 of this exemption notice, or report that fishing with Carp nets and Carp Separation Cages has ceased.</w:t>
      </w:r>
    </w:p>
    <w:p w14:paraId="61E853D8" w14:textId="77777777" w:rsidR="00965F17" w:rsidRPr="00965F17" w:rsidRDefault="00965F17" w:rsidP="00965F17">
      <w:pPr>
        <w:widowControl w:val="0"/>
        <w:numPr>
          <w:ilvl w:val="0"/>
          <w:numId w:val="64"/>
        </w:numPr>
        <w:autoSpaceDE w:val="0"/>
        <w:autoSpaceDN w:val="0"/>
        <w:adjustRightInd w:val="0"/>
        <w:ind w:left="357" w:hanging="357"/>
        <w:rPr>
          <w:rFonts w:eastAsia="Times New Roman" w:cs="AFHDL H+ Helvetica Neue"/>
          <w:color w:val="000000"/>
          <w:szCs w:val="17"/>
        </w:rPr>
      </w:pPr>
      <w:r w:rsidRPr="00965F17">
        <w:rPr>
          <w:rFonts w:eastAsia="Times New Roman" w:cs="AFHDL H+ Helvetica Neue"/>
          <w:color w:val="000000"/>
          <w:szCs w:val="17"/>
        </w:rPr>
        <w:t>While engaging in the exempted activity, the exemption holder must be in possession of a copy of this notice.  Such notice must be produced to a Fisheries Officer as requested.</w:t>
      </w:r>
    </w:p>
    <w:p w14:paraId="28E57E08" w14:textId="77777777" w:rsidR="00965F17" w:rsidRPr="00965F17" w:rsidRDefault="00965F17" w:rsidP="00965F17">
      <w:pPr>
        <w:numPr>
          <w:ilvl w:val="0"/>
          <w:numId w:val="64"/>
        </w:numPr>
        <w:autoSpaceDE w:val="0"/>
        <w:autoSpaceDN w:val="0"/>
        <w:adjustRightInd w:val="0"/>
        <w:ind w:left="357" w:hanging="357"/>
        <w:rPr>
          <w:rFonts w:eastAsia="Times New Roman"/>
          <w:color w:val="000000"/>
          <w:szCs w:val="17"/>
        </w:rPr>
      </w:pPr>
      <w:r w:rsidRPr="00965F17">
        <w:rPr>
          <w:rFonts w:eastAsia="Times New Roman"/>
          <w:color w:val="000000"/>
          <w:szCs w:val="17"/>
        </w:rPr>
        <w:lastRenderedPageBreak/>
        <w:t xml:space="preserve">The exemption holder must not contravene or fail to comply with the </w:t>
      </w:r>
      <w:r w:rsidRPr="00965F17">
        <w:rPr>
          <w:rFonts w:eastAsia="Times New Roman"/>
          <w:i/>
          <w:color w:val="000000"/>
          <w:szCs w:val="17"/>
        </w:rPr>
        <w:t xml:space="preserve">Fisheries Management Act 2007 </w:t>
      </w:r>
      <w:r w:rsidRPr="00965F17">
        <w:rPr>
          <w:rFonts w:eastAsia="Times New Roman"/>
          <w:color w:val="000000"/>
          <w:szCs w:val="17"/>
        </w:rPr>
        <w:t>or any regulations made under that Act, except where specifically exempted by this notice.</w:t>
      </w:r>
    </w:p>
    <w:p w14:paraId="0720B65A" w14:textId="77777777" w:rsidR="00965F17" w:rsidRPr="00965F17" w:rsidRDefault="00965F17" w:rsidP="00965F17">
      <w:pPr>
        <w:spacing w:after="0"/>
        <w:rPr>
          <w:rFonts w:eastAsia="Times New Roman"/>
          <w:szCs w:val="17"/>
        </w:rPr>
      </w:pPr>
      <w:r w:rsidRPr="00965F17">
        <w:rPr>
          <w:rFonts w:eastAsia="Times New Roman"/>
          <w:szCs w:val="17"/>
        </w:rPr>
        <w:t>Dated: 17 December 2022</w:t>
      </w:r>
    </w:p>
    <w:p w14:paraId="0D004C14" w14:textId="77777777" w:rsidR="00965F17" w:rsidRPr="00965F17" w:rsidRDefault="00965F17" w:rsidP="00965F17">
      <w:pPr>
        <w:spacing w:after="0"/>
        <w:jc w:val="right"/>
        <w:rPr>
          <w:rFonts w:eastAsia="Times New Roman"/>
          <w:smallCaps/>
          <w:szCs w:val="20"/>
        </w:rPr>
      </w:pPr>
      <w:r w:rsidRPr="00965F17">
        <w:rPr>
          <w:rFonts w:eastAsia="Times New Roman"/>
          <w:smallCaps/>
          <w:szCs w:val="20"/>
        </w:rPr>
        <w:t>Professor Gavin Begg</w:t>
      </w:r>
    </w:p>
    <w:p w14:paraId="5F734347" w14:textId="77777777" w:rsidR="00965F17" w:rsidRPr="00965F17" w:rsidRDefault="00965F17" w:rsidP="00965F17">
      <w:pPr>
        <w:spacing w:after="0"/>
        <w:jc w:val="right"/>
        <w:rPr>
          <w:rFonts w:eastAsia="Times New Roman"/>
          <w:szCs w:val="17"/>
        </w:rPr>
      </w:pPr>
      <w:r w:rsidRPr="00965F17">
        <w:rPr>
          <w:rFonts w:eastAsia="Times New Roman"/>
          <w:szCs w:val="17"/>
        </w:rPr>
        <w:t>Executive Director, Fisheries and Aquaculture</w:t>
      </w:r>
    </w:p>
    <w:p w14:paraId="63E8D47B" w14:textId="77777777" w:rsidR="00965F17" w:rsidRPr="00965F17" w:rsidRDefault="00965F17" w:rsidP="00965F17">
      <w:pPr>
        <w:spacing w:after="0"/>
        <w:jc w:val="right"/>
        <w:rPr>
          <w:rFonts w:eastAsia="Times New Roman"/>
          <w:szCs w:val="17"/>
        </w:rPr>
      </w:pPr>
      <w:r w:rsidRPr="00965F17">
        <w:rPr>
          <w:rFonts w:eastAsia="Times New Roman"/>
          <w:szCs w:val="17"/>
        </w:rPr>
        <w:t>Delegate of the Minister for Primary Industries and Regional Development</w:t>
      </w:r>
    </w:p>
    <w:p w14:paraId="762C5CC7" w14:textId="77777777" w:rsidR="00965F17" w:rsidRPr="00965F17" w:rsidRDefault="00965F17" w:rsidP="00965F17">
      <w:pPr>
        <w:pBdr>
          <w:top w:val="single" w:sz="4" w:space="1" w:color="auto"/>
        </w:pBdr>
        <w:spacing w:before="100" w:after="0" w:line="14" w:lineRule="exact"/>
        <w:jc w:val="center"/>
        <w:rPr>
          <w:rFonts w:eastAsia="Times New Roman"/>
          <w:szCs w:val="17"/>
        </w:rPr>
      </w:pPr>
    </w:p>
    <w:p w14:paraId="71E6B0B5" w14:textId="654A063E" w:rsidR="00965F17" w:rsidRDefault="00965F17" w:rsidP="00965F17">
      <w:pPr>
        <w:pStyle w:val="GG-body"/>
        <w:spacing w:after="0"/>
        <w:rPr>
          <w:lang w:val="en-US"/>
        </w:rPr>
      </w:pPr>
    </w:p>
    <w:p w14:paraId="4E8ED6DF" w14:textId="77777777" w:rsidR="00965F17" w:rsidRPr="00965F17" w:rsidRDefault="00965F17" w:rsidP="00965F17">
      <w:pPr>
        <w:jc w:val="center"/>
        <w:rPr>
          <w:caps/>
          <w:szCs w:val="17"/>
        </w:rPr>
      </w:pPr>
      <w:r w:rsidRPr="00965F17">
        <w:rPr>
          <w:caps/>
          <w:szCs w:val="17"/>
        </w:rPr>
        <w:t>Fisheries Management Act 2007</w:t>
      </w:r>
    </w:p>
    <w:p w14:paraId="58D6162E" w14:textId="77777777" w:rsidR="00965F17" w:rsidRPr="00965F17" w:rsidRDefault="00965F17" w:rsidP="00965F17">
      <w:pPr>
        <w:jc w:val="center"/>
        <w:rPr>
          <w:smallCaps/>
          <w:szCs w:val="17"/>
        </w:rPr>
      </w:pPr>
      <w:r w:rsidRPr="00965F17">
        <w:rPr>
          <w:smallCaps/>
          <w:szCs w:val="17"/>
        </w:rPr>
        <w:t>Section 115</w:t>
      </w:r>
    </w:p>
    <w:p w14:paraId="281DD581" w14:textId="77777777" w:rsidR="00965F17" w:rsidRPr="00965F17" w:rsidRDefault="00965F17" w:rsidP="00965F17">
      <w:pPr>
        <w:jc w:val="center"/>
        <w:rPr>
          <w:i/>
          <w:szCs w:val="17"/>
        </w:rPr>
      </w:pPr>
      <w:r w:rsidRPr="00965F17">
        <w:rPr>
          <w:i/>
          <w:szCs w:val="17"/>
        </w:rPr>
        <w:t>Ministerial Exemption ME9903228</w:t>
      </w:r>
    </w:p>
    <w:p w14:paraId="1B9473D5" w14:textId="77777777" w:rsidR="00965F17" w:rsidRPr="00965F17" w:rsidRDefault="00965F17" w:rsidP="00965F17">
      <w:pPr>
        <w:rPr>
          <w:rFonts w:eastAsia="Times New Roman"/>
          <w:szCs w:val="17"/>
        </w:rPr>
      </w:pPr>
      <w:r w:rsidRPr="00965F17">
        <w:rPr>
          <w:rFonts w:eastAsia="Times New Roman"/>
          <w:szCs w:val="17"/>
        </w:rPr>
        <w:t xml:space="preserve">TAKE NOTICE that pursuant to section 115 of the </w:t>
      </w:r>
      <w:r w:rsidRPr="00965F17">
        <w:rPr>
          <w:rFonts w:eastAsia="Times New Roman"/>
          <w:i/>
          <w:szCs w:val="17"/>
        </w:rPr>
        <w:t xml:space="preserve">Fisheries Management Act 2007 </w:t>
      </w:r>
      <w:r w:rsidRPr="00965F17">
        <w:rPr>
          <w:rFonts w:eastAsia="Times New Roman"/>
          <w:szCs w:val="17"/>
        </w:rPr>
        <w:t xml:space="preserve">(the Act), Dr Scotte Wedderburn of the School of Biological Sciences, University of Adelaide SA 5005 (the ‘exemption holder’) is exempt from </w:t>
      </w:r>
      <w:r w:rsidRPr="00965F17">
        <w:rPr>
          <w:rFonts w:eastAsia="Times New Roman"/>
          <w:iCs/>
          <w:szCs w:val="17"/>
        </w:rPr>
        <w:t>Sections 70 of</w:t>
      </w:r>
      <w:r w:rsidRPr="00965F17">
        <w:rPr>
          <w:rFonts w:eastAsia="Times New Roman"/>
          <w:szCs w:val="17"/>
        </w:rPr>
        <w:t xml:space="preserve"> the </w:t>
      </w:r>
      <w:r w:rsidRPr="00965F17">
        <w:rPr>
          <w:rFonts w:eastAsia="Times New Roman"/>
          <w:i/>
          <w:szCs w:val="17"/>
        </w:rPr>
        <w:t>Fisheries Management Act 2007</w:t>
      </w:r>
      <w:r w:rsidRPr="00965F17">
        <w:rPr>
          <w:rFonts w:eastAsia="Times New Roman"/>
          <w:szCs w:val="17"/>
        </w:rPr>
        <w:t xml:space="preserve">, Schedule 6, Regulation 5, clauses 42 and 74 of the </w:t>
      </w:r>
      <w:r w:rsidRPr="00965F17">
        <w:rPr>
          <w:rFonts w:eastAsia="Times New Roman"/>
          <w:i/>
          <w:szCs w:val="17"/>
        </w:rPr>
        <w:t xml:space="preserve">Fisheries Management (General) Regulations 2017 </w:t>
      </w:r>
      <w:r w:rsidRPr="00965F17">
        <w:rPr>
          <w:rFonts w:eastAsia="Times New Roman"/>
          <w:szCs w:val="17"/>
        </w:rPr>
        <w:t>but only insofar as he may use the fishing gear specified in Schedule 1, in the waters specified in Schedule 2 (the exempted activity), to survey turtles subject to the conditions specified in Schedule 3, from 2 January 2023 to 1 January 2024, unless varied or revoked earlier.</w:t>
      </w:r>
    </w:p>
    <w:p w14:paraId="292C6E2C" w14:textId="77777777" w:rsidR="00965F17" w:rsidRPr="00965F17" w:rsidRDefault="00965F17" w:rsidP="00965F17">
      <w:pPr>
        <w:jc w:val="center"/>
        <w:rPr>
          <w:smallCaps/>
          <w:szCs w:val="17"/>
        </w:rPr>
      </w:pPr>
      <w:r w:rsidRPr="00965F17">
        <w:rPr>
          <w:smallCaps/>
          <w:szCs w:val="17"/>
        </w:rPr>
        <w:t>Schedule 1</w:t>
      </w:r>
    </w:p>
    <w:p w14:paraId="288B65E1" w14:textId="77777777" w:rsidR="00965F17" w:rsidRPr="00965F17" w:rsidRDefault="00965F17" w:rsidP="00965F17">
      <w:pPr>
        <w:numPr>
          <w:ilvl w:val="0"/>
          <w:numId w:val="67"/>
        </w:numPr>
        <w:autoSpaceDE w:val="0"/>
        <w:autoSpaceDN w:val="0"/>
        <w:adjustRightInd w:val="0"/>
        <w:spacing w:after="0" w:line="240" w:lineRule="auto"/>
        <w:ind w:left="426" w:hanging="284"/>
        <w:rPr>
          <w:rFonts w:eastAsia="Times New Roman"/>
          <w:color w:val="000000"/>
          <w:szCs w:val="17"/>
        </w:rPr>
      </w:pPr>
      <w:r w:rsidRPr="00965F17">
        <w:rPr>
          <w:rFonts w:eastAsia="Times New Roman"/>
          <w:color w:val="000000"/>
          <w:szCs w:val="17"/>
        </w:rPr>
        <w:t xml:space="preserve">Up to 12 fyke nets that are consistent with the following dimensions: </w:t>
      </w:r>
    </w:p>
    <w:p w14:paraId="06D01EB1" w14:textId="77777777" w:rsidR="00965F17" w:rsidRPr="00965F17" w:rsidRDefault="00965F17" w:rsidP="00965F17">
      <w:pPr>
        <w:numPr>
          <w:ilvl w:val="0"/>
          <w:numId w:val="66"/>
        </w:numPr>
        <w:autoSpaceDE w:val="0"/>
        <w:autoSpaceDN w:val="0"/>
        <w:adjustRightInd w:val="0"/>
        <w:spacing w:line="240" w:lineRule="auto"/>
        <w:ind w:left="709" w:hanging="284"/>
        <w:rPr>
          <w:rFonts w:eastAsia="Times New Roman"/>
          <w:color w:val="000000"/>
          <w:szCs w:val="17"/>
        </w:rPr>
      </w:pPr>
      <w:r w:rsidRPr="00965F17">
        <w:rPr>
          <w:rFonts w:eastAsia="Times New Roman"/>
          <w:color w:val="000000"/>
          <w:szCs w:val="17"/>
        </w:rPr>
        <w:t>Having a single 6 m wing, 4 m long body, 1 m height hoops, 28 mm mesh.</w:t>
      </w:r>
    </w:p>
    <w:p w14:paraId="79361762" w14:textId="77777777" w:rsidR="00965F17" w:rsidRPr="00965F17" w:rsidRDefault="00965F17" w:rsidP="00965F17">
      <w:pPr>
        <w:jc w:val="center"/>
        <w:rPr>
          <w:smallCaps/>
          <w:szCs w:val="17"/>
        </w:rPr>
      </w:pPr>
      <w:r w:rsidRPr="00965F17">
        <w:rPr>
          <w:smallCaps/>
          <w:szCs w:val="17"/>
        </w:rPr>
        <w:t>Schedule 2</w:t>
      </w:r>
    </w:p>
    <w:p w14:paraId="2B2BF573" w14:textId="77777777" w:rsidR="00965F17" w:rsidRPr="00965F17" w:rsidRDefault="00965F17" w:rsidP="00965F17">
      <w:pPr>
        <w:numPr>
          <w:ilvl w:val="0"/>
          <w:numId w:val="67"/>
        </w:numPr>
        <w:ind w:left="426" w:hanging="284"/>
        <w:jc w:val="left"/>
        <w:rPr>
          <w:szCs w:val="17"/>
        </w:rPr>
      </w:pPr>
      <w:r w:rsidRPr="00965F17">
        <w:rPr>
          <w:szCs w:val="17"/>
        </w:rPr>
        <w:t xml:space="preserve">In wetland habitats associated with the River Murray Proper, Lake Albert and Lake Alexandrina, South Australia. </w:t>
      </w:r>
    </w:p>
    <w:p w14:paraId="50741784" w14:textId="77777777" w:rsidR="00965F17" w:rsidRPr="00965F17" w:rsidRDefault="00965F17" w:rsidP="00965F17">
      <w:pPr>
        <w:jc w:val="center"/>
        <w:rPr>
          <w:smallCaps/>
          <w:szCs w:val="17"/>
        </w:rPr>
      </w:pPr>
      <w:r w:rsidRPr="00965F17">
        <w:rPr>
          <w:smallCaps/>
          <w:szCs w:val="17"/>
        </w:rPr>
        <w:t>Schedule 3</w:t>
      </w:r>
    </w:p>
    <w:p w14:paraId="10B6FB86" w14:textId="77777777" w:rsidR="00965F17" w:rsidRPr="00965F17" w:rsidRDefault="00965F17" w:rsidP="00965F17">
      <w:pPr>
        <w:numPr>
          <w:ilvl w:val="0"/>
          <w:numId w:val="68"/>
        </w:numPr>
        <w:autoSpaceDE w:val="0"/>
        <w:autoSpaceDN w:val="0"/>
        <w:adjustRightInd w:val="0"/>
        <w:ind w:left="364"/>
        <w:rPr>
          <w:rFonts w:eastAsia="Times New Roman"/>
          <w:color w:val="000000"/>
          <w:szCs w:val="17"/>
        </w:rPr>
      </w:pPr>
      <w:r w:rsidRPr="00965F17">
        <w:rPr>
          <w:rFonts w:eastAsia="Times New Roman"/>
          <w:color w:val="000000"/>
          <w:szCs w:val="17"/>
        </w:rPr>
        <w:t xml:space="preserve">Any native fish captured during the exempted activity must be immediately returned to the water in the location where they were caught. </w:t>
      </w:r>
    </w:p>
    <w:p w14:paraId="56DBEB9E"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All noxious fish captured during the exempted activity must be humanely destroyed and not returned to the water. </w:t>
      </w:r>
    </w:p>
    <w:p w14:paraId="4DEADF1E"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A maximum of three (3) fyke nets may be set at any one site but must be retrieved from the water the following morning. </w:t>
      </w:r>
    </w:p>
    <w:p w14:paraId="467E701E"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Fyke nets must be deployed with a minimum of two floats &gt;10 cm diameter in the cod end (final chamber) to permit surface access of &gt;3 cm for air-breathing animals.  </w:t>
      </w:r>
    </w:p>
    <w:p w14:paraId="7BA01027"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Fyke nets may only be deployed after 4pm and must be checked and cleaned each morning before 10am. </w:t>
      </w:r>
    </w:p>
    <w:p w14:paraId="46989F87"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The exempted activity may only occur where it is consistent with activities authorised under Scientific Research permit Q26018-14 issued under the </w:t>
      </w:r>
      <w:r w:rsidRPr="00965F17">
        <w:rPr>
          <w:rFonts w:eastAsia="Times New Roman"/>
          <w:i/>
          <w:iCs/>
          <w:color w:val="000000"/>
          <w:szCs w:val="17"/>
        </w:rPr>
        <w:t>National Parks and Wildlife Act 1972</w:t>
      </w:r>
      <w:r w:rsidRPr="00965F17">
        <w:rPr>
          <w:rFonts w:eastAsia="Times New Roman"/>
          <w:color w:val="000000"/>
          <w:szCs w:val="17"/>
        </w:rPr>
        <w:t xml:space="preserve">.  </w:t>
      </w:r>
    </w:p>
    <w:p w14:paraId="682CE584"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Any equipment used to collect and hold fish/turtles during the exempted activity must be decontaminated prior to and after undertaking the exempted activity. </w:t>
      </w:r>
    </w:p>
    <w:p w14:paraId="1D6DF33D"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At least 1 hour before conducting activities under this exemption, the exemption holder must contact the Department of Primary Industries and Regions (PIRSA) Fishwatch on </w:t>
      </w:r>
      <w:r w:rsidRPr="00965F17">
        <w:rPr>
          <w:rFonts w:eastAsia="Times New Roman"/>
          <w:b/>
          <w:bCs/>
          <w:color w:val="000000"/>
          <w:szCs w:val="17"/>
        </w:rPr>
        <w:t xml:space="preserve">1800 065 522 </w:t>
      </w:r>
      <w:r w:rsidRPr="00965F17">
        <w:rPr>
          <w:rFonts w:eastAsia="Times New Roman"/>
          <w:color w:val="000000"/>
          <w:szCs w:val="17"/>
        </w:rPr>
        <w:t>and answer a series of questions about the exempted activity. The exemption holder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14:paraId="1E192F6C"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The exemption holder must provide a report in writing detailing the activities carried out pursuant to this notice to the Executive Director, Fisheries and Aquaculture (GPO Box 1625, ADELAIDE SA 5001) within 30 days of the expiry of this exemption that includes the following details: </w:t>
      </w:r>
    </w:p>
    <w:p w14:paraId="473D07EB" w14:textId="77777777" w:rsidR="00965F17" w:rsidRPr="00965F17" w:rsidRDefault="00965F17" w:rsidP="00965F17">
      <w:pPr>
        <w:numPr>
          <w:ilvl w:val="1"/>
          <w:numId w:val="67"/>
        </w:numPr>
        <w:autoSpaceDE w:val="0"/>
        <w:autoSpaceDN w:val="0"/>
        <w:adjustRightInd w:val="0"/>
        <w:spacing w:after="0"/>
        <w:rPr>
          <w:rFonts w:eastAsia="Times New Roman"/>
          <w:color w:val="000000"/>
          <w:szCs w:val="17"/>
        </w:rPr>
      </w:pPr>
      <w:r w:rsidRPr="00965F17">
        <w:rPr>
          <w:rFonts w:eastAsia="Times New Roman"/>
          <w:color w:val="000000"/>
          <w:szCs w:val="17"/>
        </w:rPr>
        <w:t>the date and location of sampling;</w:t>
      </w:r>
    </w:p>
    <w:p w14:paraId="0B65995E" w14:textId="77777777" w:rsidR="00965F17" w:rsidRPr="00965F17" w:rsidRDefault="00965F17" w:rsidP="00965F17">
      <w:pPr>
        <w:numPr>
          <w:ilvl w:val="1"/>
          <w:numId w:val="67"/>
        </w:numPr>
        <w:autoSpaceDE w:val="0"/>
        <w:autoSpaceDN w:val="0"/>
        <w:adjustRightInd w:val="0"/>
        <w:spacing w:after="0"/>
        <w:rPr>
          <w:rFonts w:eastAsia="Times New Roman"/>
          <w:color w:val="000000"/>
          <w:szCs w:val="17"/>
        </w:rPr>
      </w:pPr>
      <w:r w:rsidRPr="00965F17">
        <w:rPr>
          <w:rFonts w:eastAsia="Times New Roman"/>
          <w:color w:val="000000"/>
          <w:szCs w:val="17"/>
        </w:rPr>
        <w:t>the gear used;</w:t>
      </w:r>
    </w:p>
    <w:p w14:paraId="53B95A34" w14:textId="77777777" w:rsidR="00965F17" w:rsidRPr="00965F17" w:rsidRDefault="00965F17" w:rsidP="00965F17">
      <w:pPr>
        <w:numPr>
          <w:ilvl w:val="1"/>
          <w:numId w:val="67"/>
        </w:numPr>
        <w:autoSpaceDE w:val="0"/>
        <w:autoSpaceDN w:val="0"/>
        <w:adjustRightInd w:val="0"/>
        <w:spacing w:after="0"/>
        <w:rPr>
          <w:rFonts w:eastAsia="Times New Roman"/>
          <w:color w:val="000000"/>
          <w:szCs w:val="17"/>
        </w:rPr>
      </w:pPr>
      <w:r w:rsidRPr="00965F17">
        <w:rPr>
          <w:rFonts w:eastAsia="Times New Roman"/>
          <w:color w:val="000000"/>
          <w:szCs w:val="17"/>
        </w:rPr>
        <w:t>any interactions with protected species and mammals; and</w:t>
      </w:r>
    </w:p>
    <w:p w14:paraId="08C6596E" w14:textId="77777777" w:rsidR="00965F17" w:rsidRPr="00965F17" w:rsidRDefault="00965F17" w:rsidP="00965F17">
      <w:pPr>
        <w:numPr>
          <w:ilvl w:val="1"/>
          <w:numId w:val="67"/>
        </w:numPr>
        <w:autoSpaceDE w:val="0"/>
        <w:autoSpaceDN w:val="0"/>
        <w:adjustRightInd w:val="0"/>
        <w:rPr>
          <w:rFonts w:eastAsia="Times New Roman"/>
          <w:color w:val="000000"/>
          <w:szCs w:val="17"/>
        </w:rPr>
      </w:pPr>
      <w:r w:rsidRPr="00965F17">
        <w:rPr>
          <w:rFonts w:eastAsia="Times New Roman"/>
          <w:color w:val="000000"/>
          <w:szCs w:val="17"/>
        </w:rPr>
        <w:t xml:space="preserve">other information regarding size, breeding or anything deemed relevant or of interest that is able to be volunteered. </w:t>
      </w:r>
    </w:p>
    <w:p w14:paraId="3C6190F3"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 While engaging in the exempted activity, the exemption holder must be in possession of a copy of this exemption. This exemption must be produced to a PIRSA Fisheries Officer, if requested. </w:t>
      </w:r>
    </w:p>
    <w:p w14:paraId="060298C4"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olor w:val="000000"/>
          <w:szCs w:val="17"/>
        </w:rPr>
        <w:t xml:space="preserve"> The exemption holder must not contravene or fail to comply with the </w:t>
      </w:r>
      <w:r w:rsidRPr="00965F17">
        <w:rPr>
          <w:rFonts w:eastAsia="Times New Roman"/>
          <w:i/>
          <w:iCs/>
          <w:color w:val="000000"/>
          <w:szCs w:val="17"/>
        </w:rPr>
        <w:t>Fisheries Management Act 2007</w:t>
      </w:r>
      <w:r w:rsidRPr="00965F17">
        <w:rPr>
          <w:rFonts w:eastAsia="Times New Roman"/>
          <w:color w:val="000000"/>
          <w:szCs w:val="17"/>
        </w:rPr>
        <w:t xml:space="preserve"> or any regulations made under that Act, except where specifically exempted by this notice</w:t>
      </w:r>
    </w:p>
    <w:p w14:paraId="2CAB4C8E" w14:textId="77777777" w:rsidR="00965F17" w:rsidRPr="00965F17" w:rsidRDefault="00965F17" w:rsidP="00965F17">
      <w:pPr>
        <w:numPr>
          <w:ilvl w:val="0"/>
          <w:numId w:val="68"/>
        </w:numPr>
        <w:autoSpaceDE w:val="0"/>
        <w:autoSpaceDN w:val="0"/>
        <w:adjustRightInd w:val="0"/>
        <w:ind w:left="357" w:hanging="357"/>
        <w:rPr>
          <w:rFonts w:eastAsia="Times New Roman"/>
          <w:color w:val="000000"/>
          <w:szCs w:val="17"/>
        </w:rPr>
      </w:pPr>
      <w:r w:rsidRPr="00965F17">
        <w:rPr>
          <w:rFonts w:eastAsia="Times New Roman" w:cs="AFHDL H+ Helvetica Neue"/>
          <w:color w:val="000000"/>
          <w:szCs w:val="24"/>
        </w:rPr>
        <w:t xml:space="preserve">This notice does not purport to override the provisions or operation of any other Act including, but not limited to, the </w:t>
      </w:r>
      <w:r w:rsidRPr="00965F17">
        <w:rPr>
          <w:rFonts w:eastAsia="Times New Roman" w:cs="AFHDL H+ Helvetica Neue"/>
          <w:i/>
          <w:iCs/>
          <w:color w:val="000000"/>
          <w:szCs w:val="24"/>
        </w:rPr>
        <w:t xml:space="preserve">River Murray Act 2003 </w:t>
      </w:r>
      <w:r w:rsidRPr="00965F17">
        <w:rPr>
          <w:rFonts w:eastAsia="Times New Roman" w:cs="AFHDL H+ Helvetica Neue"/>
          <w:color w:val="000000"/>
          <w:szCs w:val="24"/>
        </w:rPr>
        <w:t>or the</w:t>
      </w:r>
      <w:r w:rsidRPr="00965F17">
        <w:rPr>
          <w:rFonts w:eastAsia="Times New Roman" w:cs="AFHDL H+ Helvetica Neue"/>
          <w:i/>
          <w:iCs/>
          <w:color w:val="000000"/>
          <w:szCs w:val="24"/>
        </w:rPr>
        <w:t xml:space="preserve"> National Parks and Wildlife Act 1972.</w:t>
      </w:r>
      <w:r w:rsidRPr="00965F17">
        <w:rPr>
          <w:rFonts w:eastAsia="Times New Roman" w:cs="AFHDL H+ Helvetica Neue"/>
          <w:color w:val="000000"/>
          <w:szCs w:val="24"/>
        </w:rPr>
        <w:t xml:space="preserve"> The exemption holder must comply with any relevant regulations, permits, requirements and directions from the Department for Environment and Water when undertaking activities within a specially protected area </w:t>
      </w:r>
      <w:r w:rsidRPr="00965F17">
        <w:rPr>
          <w:rFonts w:eastAsia="Times New Roman" w:cs="AFHDL H+ Helvetica Neue"/>
          <w:bCs/>
          <w:color w:val="000000"/>
          <w:szCs w:val="24"/>
        </w:rPr>
        <w:t>made under that Act, except where specifically exempted by this notice</w:t>
      </w:r>
    </w:p>
    <w:p w14:paraId="42A4A3A6" w14:textId="77777777" w:rsidR="00965F17" w:rsidRPr="00965F17" w:rsidRDefault="00965F17" w:rsidP="00965F17">
      <w:pPr>
        <w:spacing w:after="0"/>
        <w:rPr>
          <w:rFonts w:eastAsia="Times New Roman"/>
          <w:szCs w:val="17"/>
        </w:rPr>
      </w:pPr>
      <w:r w:rsidRPr="00965F17">
        <w:rPr>
          <w:rFonts w:eastAsia="Times New Roman"/>
          <w:szCs w:val="17"/>
        </w:rPr>
        <w:t>Dated: 14 December 2022</w:t>
      </w:r>
    </w:p>
    <w:p w14:paraId="4126FCC2" w14:textId="77777777" w:rsidR="00965F17" w:rsidRPr="00965F17" w:rsidRDefault="00965F17" w:rsidP="00965F17">
      <w:pPr>
        <w:spacing w:after="0"/>
        <w:jc w:val="right"/>
        <w:rPr>
          <w:rFonts w:eastAsia="Times New Roman"/>
          <w:smallCaps/>
          <w:szCs w:val="20"/>
        </w:rPr>
      </w:pPr>
      <w:r w:rsidRPr="00965F17">
        <w:rPr>
          <w:rFonts w:eastAsia="Times New Roman"/>
          <w:smallCaps/>
          <w:szCs w:val="20"/>
        </w:rPr>
        <w:t>Professor Gavin Begg</w:t>
      </w:r>
    </w:p>
    <w:p w14:paraId="0FBB7612" w14:textId="77777777" w:rsidR="00965F17" w:rsidRPr="00965F17" w:rsidRDefault="00965F17" w:rsidP="00965F17">
      <w:pPr>
        <w:spacing w:after="0"/>
        <w:jc w:val="right"/>
        <w:rPr>
          <w:rFonts w:eastAsia="Times New Roman"/>
          <w:szCs w:val="17"/>
        </w:rPr>
      </w:pPr>
      <w:r w:rsidRPr="00965F17">
        <w:rPr>
          <w:rFonts w:eastAsia="Times New Roman"/>
          <w:szCs w:val="17"/>
        </w:rPr>
        <w:t>Executive Director, Fisheries and Aquaculture</w:t>
      </w:r>
    </w:p>
    <w:p w14:paraId="25AD50FB" w14:textId="77777777" w:rsidR="00965F17" w:rsidRPr="00965F17" w:rsidRDefault="00965F17" w:rsidP="00965F17">
      <w:pPr>
        <w:spacing w:after="0"/>
        <w:jc w:val="right"/>
        <w:rPr>
          <w:rFonts w:eastAsia="Times New Roman"/>
          <w:szCs w:val="17"/>
        </w:rPr>
      </w:pPr>
      <w:r w:rsidRPr="00965F17">
        <w:rPr>
          <w:rFonts w:eastAsia="Times New Roman"/>
          <w:szCs w:val="17"/>
        </w:rPr>
        <w:t>Delegate of the Minister for Primary Industries and Regional Development</w:t>
      </w:r>
    </w:p>
    <w:p w14:paraId="050868C1" w14:textId="77777777" w:rsidR="00965F17" w:rsidRPr="00965F17" w:rsidRDefault="00965F17" w:rsidP="00965F17">
      <w:pPr>
        <w:pBdr>
          <w:top w:val="single" w:sz="4" w:space="1" w:color="auto"/>
        </w:pBdr>
        <w:spacing w:before="100" w:after="0" w:line="14" w:lineRule="exact"/>
        <w:jc w:val="center"/>
        <w:rPr>
          <w:rFonts w:eastAsia="Times New Roman"/>
          <w:szCs w:val="17"/>
        </w:rPr>
      </w:pPr>
    </w:p>
    <w:p w14:paraId="63DE5C8D" w14:textId="5D5425F5" w:rsidR="00965F17" w:rsidRDefault="00965F17" w:rsidP="00965F17">
      <w:pPr>
        <w:pStyle w:val="GG-body"/>
        <w:spacing w:after="0"/>
        <w:rPr>
          <w:lang w:val="en-US"/>
        </w:rPr>
      </w:pPr>
    </w:p>
    <w:p w14:paraId="7F9A94A0" w14:textId="77777777" w:rsidR="00480FA5" w:rsidRPr="00480FA5" w:rsidRDefault="00480FA5" w:rsidP="00480FA5">
      <w:pPr>
        <w:jc w:val="center"/>
        <w:rPr>
          <w:caps/>
          <w:szCs w:val="17"/>
        </w:rPr>
      </w:pPr>
      <w:r w:rsidRPr="00480FA5">
        <w:rPr>
          <w:caps/>
          <w:szCs w:val="17"/>
        </w:rPr>
        <w:t>Fisheries Management Act 2007</w:t>
      </w:r>
    </w:p>
    <w:p w14:paraId="6844B8EE" w14:textId="77777777" w:rsidR="00480FA5" w:rsidRPr="00480FA5" w:rsidRDefault="00480FA5" w:rsidP="00480FA5">
      <w:pPr>
        <w:jc w:val="center"/>
        <w:rPr>
          <w:smallCaps/>
          <w:szCs w:val="17"/>
        </w:rPr>
      </w:pPr>
      <w:r w:rsidRPr="00480FA5">
        <w:rPr>
          <w:smallCaps/>
          <w:szCs w:val="17"/>
        </w:rPr>
        <w:t>Section 115</w:t>
      </w:r>
    </w:p>
    <w:p w14:paraId="2F777793" w14:textId="77777777" w:rsidR="00480FA5" w:rsidRPr="00480FA5" w:rsidRDefault="00480FA5" w:rsidP="00480FA5">
      <w:pPr>
        <w:jc w:val="center"/>
        <w:rPr>
          <w:i/>
          <w:szCs w:val="17"/>
        </w:rPr>
      </w:pPr>
      <w:r w:rsidRPr="00480FA5">
        <w:rPr>
          <w:i/>
          <w:szCs w:val="17"/>
        </w:rPr>
        <w:t>Ministerial Exemption ME9903236</w:t>
      </w:r>
    </w:p>
    <w:p w14:paraId="15331893" w14:textId="2C1C9ED3" w:rsidR="00480FA5" w:rsidRDefault="00480FA5" w:rsidP="00480FA5">
      <w:pPr>
        <w:rPr>
          <w:rFonts w:eastAsia="Times New Roman"/>
          <w:szCs w:val="17"/>
        </w:rPr>
      </w:pPr>
      <w:r w:rsidRPr="00480FA5">
        <w:rPr>
          <w:rFonts w:eastAsia="Times New Roman"/>
          <w:szCs w:val="17"/>
        </w:rPr>
        <w:t xml:space="preserve">TAKE NOTICE that pursuant to section 115 of the </w:t>
      </w:r>
      <w:r w:rsidRPr="00480FA5">
        <w:rPr>
          <w:rFonts w:eastAsia="Times New Roman"/>
          <w:i/>
          <w:szCs w:val="17"/>
        </w:rPr>
        <w:t xml:space="preserve">Fisheries Management Act 2007 </w:t>
      </w:r>
      <w:r w:rsidRPr="00480FA5">
        <w:rPr>
          <w:rFonts w:eastAsia="Times New Roman"/>
          <w:szCs w:val="17"/>
        </w:rPr>
        <w:t xml:space="preserve">(the Act), Mr Braeden Lampard of Ozfish Unlimited, (the ‘exemption holder’) or listed Ozfish volunteers, are exempt from </w:t>
      </w:r>
      <w:r w:rsidRPr="00480FA5">
        <w:rPr>
          <w:rFonts w:eastAsia="Times New Roman"/>
          <w:iCs/>
          <w:szCs w:val="17"/>
        </w:rPr>
        <w:t>Sections 70 and 71(1) and 71(2) of</w:t>
      </w:r>
      <w:r w:rsidRPr="00480FA5">
        <w:rPr>
          <w:rFonts w:eastAsia="Times New Roman"/>
          <w:szCs w:val="17"/>
        </w:rPr>
        <w:t xml:space="preserve"> the </w:t>
      </w:r>
      <w:r w:rsidRPr="00480FA5">
        <w:rPr>
          <w:rFonts w:eastAsia="Times New Roman"/>
          <w:i/>
          <w:szCs w:val="17"/>
        </w:rPr>
        <w:t>Fisheries Management Act 2007</w:t>
      </w:r>
      <w:r w:rsidRPr="00480FA5">
        <w:rPr>
          <w:rFonts w:eastAsia="Times New Roman"/>
          <w:szCs w:val="17"/>
        </w:rPr>
        <w:t xml:space="preserve">, and regulation 5, Schedule 2 of the </w:t>
      </w:r>
      <w:r w:rsidRPr="00480FA5">
        <w:rPr>
          <w:rFonts w:eastAsia="Times New Roman"/>
          <w:i/>
          <w:iCs/>
          <w:szCs w:val="17"/>
        </w:rPr>
        <w:t xml:space="preserve">Fisheries Management (General) Regulations 2017, </w:t>
      </w:r>
      <w:r w:rsidRPr="00480FA5">
        <w:rPr>
          <w:rFonts w:eastAsia="Times New Roman"/>
          <w:szCs w:val="17"/>
        </w:rPr>
        <w:t xml:space="preserve">and clauses 63, 64, 113 (1) of Schedule 6 of the </w:t>
      </w:r>
      <w:r w:rsidRPr="00480FA5">
        <w:rPr>
          <w:rFonts w:eastAsia="Times New Roman"/>
          <w:i/>
          <w:szCs w:val="17"/>
        </w:rPr>
        <w:t xml:space="preserve">Fisheries Management (General) Regulations 2017 </w:t>
      </w:r>
      <w:r w:rsidRPr="00480FA5">
        <w:rPr>
          <w:rFonts w:eastAsia="Times New Roman"/>
          <w:szCs w:val="17"/>
        </w:rPr>
        <w:t>but only insofar as they may use the methods specified in Schedule 1 to take the identified species, in the waters specified in Schedule 2, subject to the conditions specified in Schedule 3, from 18 December 2022 to 17 December 2023, unless varied or revoked earlier.</w:t>
      </w:r>
    </w:p>
    <w:p w14:paraId="6105DDD1" w14:textId="77777777" w:rsidR="00480FA5" w:rsidRDefault="00480FA5">
      <w:pPr>
        <w:spacing w:after="0" w:line="240" w:lineRule="auto"/>
        <w:jc w:val="left"/>
        <w:rPr>
          <w:rFonts w:eastAsia="Times New Roman"/>
          <w:szCs w:val="17"/>
        </w:rPr>
      </w:pPr>
      <w:r>
        <w:rPr>
          <w:rFonts w:eastAsia="Times New Roman"/>
          <w:szCs w:val="17"/>
        </w:rPr>
        <w:br w:type="page"/>
      </w:r>
    </w:p>
    <w:p w14:paraId="64426E88" w14:textId="77777777" w:rsidR="00480FA5" w:rsidRPr="00480FA5" w:rsidRDefault="00480FA5" w:rsidP="00480FA5">
      <w:pPr>
        <w:jc w:val="center"/>
        <w:rPr>
          <w:smallCaps/>
          <w:szCs w:val="17"/>
        </w:rPr>
      </w:pPr>
      <w:r w:rsidRPr="00480FA5">
        <w:rPr>
          <w:smallCaps/>
          <w:szCs w:val="17"/>
        </w:rPr>
        <w:lastRenderedPageBreak/>
        <w:t>Schedule 1</w:t>
      </w:r>
    </w:p>
    <w:p w14:paraId="63973AE9"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480FA5">
        <w:rPr>
          <w:rFonts w:eastAsia="Times New Roman" w:cs="AFHDL H+ Helvetica Neue"/>
          <w:color w:val="000000"/>
          <w:szCs w:val="17"/>
        </w:rPr>
        <w:t xml:space="preserve">30 x landing net / hand net as defined under the </w:t>
      </w:r>
      <w:r w:rsidRPr="00480FA5">
        <w:rPr>
          <w:rFonts w:eastAsia="Times New Roman" w:cs="AFHDL H+ Helvetica Neue"/>
          <w:i/>
          <w:iCs/>
          <w:color w:val="000000"/>
          <w:szCs w:val="17"/>
        </w:rPr>
        <w:t xml:space="preserve">Fisheries Management (General) Regulations) </w:t>
      </w:r>
      <w:r w:rsidRPr="00480FA5">
        <w:rPr>
          <w:rFonts w:eastAsia="Times New Roman" w:cs="AFHDL H+ Helvetica Neue"/>
          <w:color w:val="000000"/>
          <w:szCs w:val="17"/>
        </w:rPr>
        <w:t xml:space="preserve">with dimensions of 60 cm; or </w:t>
      </w:r>
    </w:p>
    <w:p w14:paraId="3BBBDEE0" w14:textId="77777777" w:rsidR="00480FA5" w:rsidRPr="00480FA5" w:rsidRDefault="00480FA5" w:rsidP="00480FA5">
      <w:pPr>
        <w:numPr>
          <w:ilvl w:val="0"/>
          <w:numId w:val="62"/>
        </w:numPr>
        <w:autoSpaceDE w:val="0"/>
        <w:autoSpaceDN w:val="0"/>
        <w:adjustRightInd w:val="0"/>
        <w:ind w:left="426" w:hanging="283"/>
        <w:rPr>
          <w:rFonts w:eastAsia="Times New Roman"/>
          <w:color w:val="000000"/>
          <w:szCs w:val="17"/>
        </w:rPr>
      </w:pPr>
      <w:r w:rsidRPr="00480FA5">
        <w:rPr>
          <w:rFonts w:eastAsia="Times New Roman" w:cs="AFHDL H+ Helvetica Neue"/>
          <w:color w:val="000000"/>
          <w:szCs w:val="17"/>
        </w:rPr>
        <w:t>Hand collection</w:t>
      </w:r>
      <w:r w:rsidRPr="00480FA5">
        <w:rPr>
          <w:rFonts w:eastAsia="Times New Roman"/>
          <w:color w:val="000000"/>
          <w:szCs w:val="17"/>
        </w:rPr>
        <w:t>.</w:t>
      </w:r>
    </w:p>
    <w:p w14:paraId="3162163C" w14:textId="77777777" w:rsidR="00480FA5" w:rsidRPr="00480FA5" w:rsidRDefault="00480FA5" w:rsidP="00480FA5">
      <w:pPr>
        <w:jc w:val="center"/>
        <w:rPr>
          <w:smallCaps/>
          <w:szCs w:val="17"/>
        </w:rPr>
      </w:pPr>
      <w:r w:rsidRPr="00480FA5">
        <w:rPr>
          <w:smallCaps/>
          <w:szCs w:val="17"/>
        </w:rPr>
        <w:t>Schedule 2</w:t>
      </w:r>
    </w:p>
    <w:p w14:paraId="1AFBD3FD" w14:textId="77777777" w:rsidR="00480FA5" w:rsidRPr="00480FA5" w:rsidRDefault="00480FA5" w:rsidP="00480FA5">
      <w:pPr>
        <w:numPr>
          <w:ilvl w:val="0"/>
          <w:numId w:val="62"/>
        </w:numPr>
        <w:autoSpaceDE w:val="0"/>
        <w:autoSpaceDN w:val="0"/>
        <w:adjustRightInd w:val="0"/>
        <w:ind w:left="426" w:hanging="283"/>
        <w:rPr>
          <w:rFonts w:eastAsia="Times New Roman"/>
          <w:color w:val="000000"/>
          <w:szCs w:val="17"/>
        </w:rPr>
      </w:pPr>
      <w:r w:rsidRPr="00480FA5">
        <w:rPr>
          <w:rFonts w:eastAsia="Times New Roman"/>
          <w:color w:val="000000"/>
          <w:szCs w:val="17"/>
        </w:rPr>
        <w:t>The River Murray System from the South Australian border to the mouth of the Murray River and associated tributaries.</w:t>
      </w:r>
    </w:p>
    <w:p w14:paraId="4A0062BB" w14:textId="77777777" w:rsidR="00480FA5" w:rsidRPr="00480FA5" w:rsidRDefault="00480FA5" w:rsidP="00480FA5">
      <w:pPr>
        <w:jc w:val="center"/>
        <w:rPr>
          <w:smallCaps/>
          <w:szCs w:val="17"/>
        </w:rPr>
      </w:pPr>
      <w:r w:rsidRPr="00480FA5">
        <w:rPr>
          <w:smallCaps/>
          <w:szCs w:val="17"/>
        </w:rPr>
        <w:t>Schedule 3</w:t>
      </w:r>
    </w:p>
    <w:p w14:paraId="0BD88743" w14:textId="77777777" w:rsidR="00480FA5" w:rsidRPr="00480FA5" w:rsidRDefault="00480FA5" w:rsidP="009B29CF">
      <w:pPr>
        <w:widowControl w:val="0"/>
        <w:numPr>
          <w:ilvl w:val="0"/>
          <w:numId w:val="71"/>
        </w:numPr>
        <w:autoSpaceDE w:val="0"/>
        <w:autoSpaceDN w:val="0"/>
        <w:adjustRightInd w:val="0"/>
        <w:ind w:left="364"/>
        <w:rPr>
          <w:rFonts w:eastAsia="Times New Roman" w:cs="AFHDL H+ Helvetica Neue"/>
          <w:color w:val="000000"/>
          <w:szCs w:val="17"/>
        </w:rPr>
      </w:pPr>
      <w:r w:rsidRPr="00480FA5">
        <w:rPr>
          <w:rFonts w:eastAsia="Times New Roman" w:cs="AFHDL H+ Helvetica Neue"/>
          <w:color w:val="000000"/>
          <w:szCs w:val="17"/>
        </w:rPr>
        <w:t xml:space="preserve">The exemption holder will be deemed responsible for the conduct of all listed Ozfish volunteers conducting the exempted activities under this notice. Any Ozfish volunteer conducting activities under this exemption must be provided with a copy of this notice, which they must have signed as an indication that they have read and understand the conditions under it. </w:t>
      </w:r>
    </w:p>
    <w:p w14:paraId="0CC9DB54"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Noxious fish captured during the exempted activity must not be returned to the water and must be humanely destroyed. </w:t>
      </w:r>
    </w:p>
    <w:p w14:paraId="36EFCBA8"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The exemption holder must provide a list of the names of the Ozfish volunteers that will be undertaking the exempted activity as nominated agents to the Director Operations, Department of Primary Industries and Regions (PIRSA) Fisheries and Aquaculture Division (GPO Box 1625, ADELAIDE SA 5001). In the event that the list of volunteers is varied an updated list must be provided to the Director Operations as soon as practicable. </w:t>
      </w:r>
    </w:p>
    <w:p w14:paraId="2864B0F8"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In conducting the exempted activity, the 4.5 m boat Hornet Trophey, with registration TV 629 may be used. </w:t>
      </w:r>
    </w:p>
    <w:p w14:paraId="39E5D1C4"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The exemption holder or nominated agent/s may only retain the following specified species as part of the exempted activity:</w:t>
      </w:r>
    </w:p>
    <w:p w14:paraId="40AD2478" w14:textId="77777777" w:rsidR="00480FA5" w:rsidRPr="00480FA5" w:rsidRDefault="00480FA5" w:rsidP="00480FA5">
      <w:pPr>
        <w:widowControl w:val="0"/>
        <w:numPr>
          <w:ilvl w:val="0"/>
          <w:numId w:val="69"/>
        </w:numPr>
        <w:autoSpaceDE w:val="0"/>
        <w:autoSpaceDN w:val="0"/>
        <w:adjustRightInd w:val="0"/>
        <w:spacing w:after="0"/>
        <w:ind w:left="709" w:hanging="283"/>
        <w:rPr>
          <w:rFonts w:eastAsia="Times New Roman" w:cs="AFHDL H+ Helvetica Neue"/>
          <w:color w:val="000000"/>
          <w:szCs w:val="17"/>
        </w:rPr>
      </w:pPr>
      <w:r w:rsidRPr="00480FA5">
        <w:rPr>
          <w:rFonts w:eastAsia="Times New Roman" w:cs="AFHDL H+ Helvetica Neue"/>
          <w:color w:val="000000"/>
          <w:szCs w:val="17"/>
        </w:rPr>
        <w:t>Murray Cod (</w:t>
      </w:r>
      <w:r w:rsidRPr="00480FA5">
        <w:rPr>
          <w:rFonts w:eastAsia="Times New Roman" w:cs="AFHDL H+ Helvetica Neue"/>
          <w:i/>
          <w:iCs/>
          <w:color w:val="000000"/>
          <w:szCs w:val="17"/>
        </w:rPr>
        <w:t>Maccullochella peelii</w:t>
      </w:r>
      <w:r w:rsidRPr="00480FA5">
        <w:rPr>
          <w:rFonts w:eastAsia="Times New Roman" w:cs="AFHDL H+ Helvetica Neue"/>
          <w:color w:val="000000"/>
          <w:szCs w:val="17"/>
        </w:rPr>
        <w:t>)</w:t>
      </w:r>
    </w:p>
    <w:p w14:paraId="4D5CE862" w14:textId="77777777" w:rsidR="00480FA5" w:rsidRPr="00480FA5" w:rsidRDefault="00480FA5" w:rsidP="00480FA5">
      <w:pPr>
        <w:widowControl w:val="0"/>
        <w:numPr>
          <w:ilvl w:val="0"/>
          <w:numId w:val="69"/>
        </w:numPr>
        <w:autoSpaceDE w:val="0"/>
        <w:autoSpaceDN w:val="0"/>
        <w:adjustRightInd w:val="0"/>
        <w:spacing w:after="0"/>
        <w:ind w:left="709" w:hanging="283"/>
        <w:rPr>
          <w:rFonts w:eastAsia="Times New Roman" w:cs="AFHDL H+ Helvetica Neue"/>
          <w:color w:val="000000"/>
          <w:szCs w:val="17"/>
        </w:rPr>
      </w:pPr>
      <w:r w:rsidRPr="00480FA5">
        <w:rPr>
          <w:rFonts w:eastAsia="Times New Roman" w:cs="AFHDL H+ Helvetica Neue"/>
          <w:color w:val="000000"/>
          <w:szCs w:val="17"/>
        </w:rPr>
        <w:t>Golden Perch / Callop (</w:t>
      </w:r>
      <w:r w:rsidRPr="00480FA5">
        <w:rPr>
          <w:rFonts w:eastAsia="Times New Roman" w:cs="AFHDL H+ Helvetica Neue"/>
          <w:i/>
          <w:iCs/>
          <w:color w:val="000000"/>
          <w:szCs w:val="17"/>
        </w:rPr>
        <w:t>Macquaria ambigua</w:t>
      </w:r>
      <w:r w:rsidRPr="00480FA5">
        <w:rPr>
          <w:rFonts w:eastAsia="Times New Roman" w:cs="AFHDL H+ Helvetica Neue"/>
          <w:color w:val="000000"/>
          <w:szCs w:val="17"/>
        </w:rPr>
        <w:t>)</w:t>
      </w:r>
    </w:p>
    <w:p w14:paraId="004BDAD0" w14:textId="77777777" w:rsidR="00480FA5" w:rsidRPr="00480FA5" w:rsidRDefault="00480FA5" w:rsidP="00480FA5">
      <w:pPr>
        <w:widowControl w:val="0"/>
        <w:numPr>
          <w:ilvl w:val="0"/>
          <w:numId w:val="69"/>
        </w:numPr>
        <w:autoSpaceDE w:val="0"/>
        <w:autoSpaceDN w:val="0"/>
        <w:adjustRightInd w:val="0"/>
        <w:spacing w:after="0"/>
        <w:ind w:left="709" w:hanging="283"/>
        <w:rPr>
          <w:rFonts w:eastAsia="Times New Roman" w:cs="AFHDL H+ Helvetica Neue"/>
          <w:color w:val="000000"/>
          <w:szCs w:val="17"/>
        </w:rPr>
      </w:pPr>
      <w:r w:rsidRPr="00480FA5">
        <w:rPr>
          <w:rFonts w:eastAsia="Times New Roman" w:cs="AFHDL H+ Helvetica Neue"/>
          <w:color w:val="000000"/>
          <w:szCs w:val="17"/>
        </w:rPr>
        <w:t>Silver Perch (Bidyanus bidyanus)</w:t>
      </w:r>
    </w:p>
    <w:p w14:paraId="7915FD8E" w14:textId="77777777" w:rsidR="00480FA5" w:rsidRPr="00480FA5" w:rsidRDefault="00480FA5" w:rsidP="00480FA5">
      <w:pPr>
        <w:widowControl w:val="0"/>
        <w:numPr>
          <w:ilvl w:val="0"/>
          <w:numId w:val="69"/>
        </w:numPr>
        <w:autoSpaceDE w:val="0"/>
        <w:autoSpaceDN w:val="0"/>
        <w:adjustRightInd w:val="0"/>
        <w:spacing w:after="0"/>
        <w:ind w:left="709" w:hanging="283"/>
        <w:rPr>
          <w:rFonts w:eastAsia="Times New Roman" w:cs="AFHDL H+ Helvetica Neue"/>
          <w:color w:val="000000"/>
          <w:szCs w:val="17"/>
        </w:rPr>
      </w:pPr>
      <w:r w:rsidRPr="00480FA5">
        <w:rPr>
          <w:rFonts w:eastAsia="Times New Roman" w:cs="AFHDL H+ Helvetica Neue"/>
          <w:color w:val="000000"/>
          <w:szCs w:val="17"/>
        </w:rPr>
        <w:t>Tandan Catfish (Tandanus tandanus)</w:t>
      </w:r>
    </w:p>
    <w:p w14:paraId="5BAD1FEE" w14:textId="77777777" w:rsidR="00480FA5" w:rsidRPr="00480FA5" w:rsidRDefault="00480FA5" w:rsidP="00480FA5">
      <w:pPr>
        <w:widowControl w:val="0"/>
        <w:numPr>
          <w:ilvl w:val="0"/>
          <w:numId w:val="69"/>
        </w:numPr>
        <w:autoSpaceDE w:val="0"/>
        <w:autoSpaceDN w:val="0"/>
        <w:adjustRightInd w:val="0"/>
        <w:ind w:left="709" w:hanging="283"/>
        <w:rPr>
          <w:rFonts w:eastAsia="Times New Roman" w:cs="AFHDL H+ Helvetica Neue"/>
          <w:color w:val="000000"/>
          <w:szCs w:val="17"/>
        </w:rPr>
      </w:pPr>
      <w:r w:rsidRPr="00480FA5">
        <w:rPr>
          <w:rFonts w:eastAsia="Times New Roman" w:cs="AFHDL H+ Helvetica Neue"/>
          <w:color w:val="000000"/>
          <w:szCs w:val="17"/>
        </w:rPr>
        <w:t>Trout Cod (Maccullochella macquariensis).</w:t>
      </w:r>
    </w:p>
    <w:p w14:paraId="1BAED28B"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The exemption holder or listed Ozfish volunteers may only take a maximum of 500 individuals of each of the specified species during the term of the exemption. </w:t>
      </w:r>
    </w:p>
    <w:p w14:paraId="1CCFD340"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The fish collected pursuant to this exemption must be immediately translocated interstate and are to be kept at the aquaculture facilities of ‘North West Aquaculture’, 3376 Etiwanda Ave Mildura, Victoria 3500.</w:t>
      </w:r>
    </w:p>
    <w:p w14:paraId="6BE7ECEE"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bookmarkStart w:id="41" w:name="_Hlk120093414"/>
      <w:r w:rsidRPr="00480FA5">
        <w:rPr>
          <w:rFonts w:eastAsia="Times New Roman" w:cs="AFHDL H+ Helvetica Neue"/>
          <w:color w:val="000000"/>
          <w:szCs w:val="17"/>
        </w:rPr>
        <w:t xml:space="preserve">The specified species must not be released or deposited into any waters of the State once taken unless otherwise authorised under a permit pursuant to section 78(2) of the </w:t>
      </w:r>
      <w:r w:rsidRPr="00480FA5">
        <w:rPr>
          <w:rFonts w:eastAsia="Times New Roman" w:cs="AFHDL H+ Helvetica Neue"/>
          <w:i/>
          <w:iCs/>
          <w:color w:val="000000"/>
          <w:szCs w:val="17"/>
        </w:rPr>
        <w:t>Fisheries Management Act 2007</w:t>
      </w:r>
      <w:r w:rsidRPr="00480FA5">
        <w:rPr>
          <w:rFonts w:eastAsia="Times New Roman" w:cs="AFHDL H+ Helvetica Neue"/>
          <w:color w:val="000000"/>
          <w:szCs w:val="17"/>
        </w:rPr>
        <w:t>.</w:t>
      </w:r>
    </w:p>
    <w:bookmarkEnd w:id="41"/>
    <w:p w14:paraId="3B794685"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Any equipment used to collect and hold fish during the exempted activity must be decontaminated prior to and after undertaking the exempted activities. </w:t>
      </w:r>
    </w:p>
    <w:p w14:paraId="36933110"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At least 1 hour before conducting activities under this exemption, the exemption holder must contact PIRSA Fishwatch on </w:t>
      </w:r>
      <w:r w:rsidRPr="00480FA5">
        <w:rPr>
          <w:rFonts w:eastAsia="Times New Roman" w:cs="AFHDL H+ Helvetica Neue"/>
          <w:b/>
          <w:bCs/>
          <w:color w:val="000000"/>
          <w:szCs w:val="17"/>
        </w:rPr>
        <w:t xml:space="preserve">1800 065 522 </w:t>
      </w:r>
      <w:r w:rsidRPr="00480FA5">
        <w:rPr>
          <w:rFonts w:eastAsia="Times New Roman" w:cs="AFHDL H+ Helvetica Neue"/>
          <w:color w:val="000000"/>
          <w:szCs w:val="17"/>
        </w:rPr>
        <w:t>and answer a series of questions about the exempted activity. The exemption holder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14:paraId="47CDF6FF"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The exemption holder must provide a report in writing detailing the activities carried out pursuant to this notice to the Executive Director, Fisheries and Aquaculture (GPO Box 1625, ADELAIDE SA 5001) within 30 days of the expiry of this exemption that includes the following details: </w:t>
      </w:r>
    </w:p>
    <w:p w14:paraId="438979B7"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date and location fish were taken;</w:t>
      </w:r>
    </w:p>
    <w:p w14:paraId="0C0F3C99"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number and description of all species collected;</w:t>
      </w:r>
    </w:p>
    <w:p w14:paraId="3F946843"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gear used;</w:t>
      </w:r>
    </w:p>
    <w:p w14:paraId="3B70B266"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date fish captured were moved interstate;</w:t>
      </w:r>
    </w:p>
    <w:p w14:paraId="6D78C7A5"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number of fish mortalities while in possession of the exemption holder;</w:t>
      </w:r>
    </w:p>
    <w:p w14:paraId="4D9007EA" w14:textId="77777777" w:rsidR="00480FA5" w:rsidRPr="00480FA5" w:rsidRDefault="00480FA5" w:rsidP="00480FA5">
      <w:pPr>
        <w:widowControl w:val="0"/>
        <w:numPr>
          <w:ilvl w:val="0"/>
          <w:numId w:val="70"/>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any interactions with protected species and marine mammals; and</w:t>
      </w:r>
    </w:p>
    <w:p w14:paraId="298C8954" w14:textId="77777777" w:rsidR="00480FA5" w:rsidRPr="00480FA5" w:rsidRDefault="00480FA5" w:rsidP="00480FA5">
      <w:pPr>
        <w:widowControl w:val="0"/>
        <w:numPr>
          <w:ilvl w:val="0"/>
          <w:numId w:val="70"/>
        </w:numPr>
        <w:autoSpaceDE w:val="0"/>
        <w:autoSpaceDN w:val="0"/>
        <w:adjustRightInd w:val="0"/>
        <w:ind w:left="709" w:hanging="284"/>
        <w:rPr>
          <w:rFonts w:eastAsia="Times New Roman" w:cs="AFHDL H+ Helvetica Neue"/>
          <w:color w:val="000000"/>
          <w:szCs w:val="17"/>
        </w:rPr>
      </w:pPr>
      <w:r w:rsidRPr="00480FA5">
        <w:rPr>
          <w:rFonts w:eastAsia="Times New Roman" w:cs="AFHDL H+ Helvetica Neue"/>
          <w:color w:val="000000"/>
          <w:szCs w:val="17"/>
        </w:rPr>
        <w:t xml:space="preserve">other information regarding size, breeding or anything deemed relevant or of interest that is able to be volunteered. </w:t>
      </w:r>
    </w:p>
    <w:p w14:paraId="0F7D35E2"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While engaging in the exempted activity, the exemption holder or listed Ozfish volunteer must be in possession of a copy of this exemption. Such exemption must be produced to a PIRSA Fisheries Officer if requested. </w:t>
      </w:r>
    </w:p>
    <w:p w14:paraId="5188D4D3"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The delegate of the Minister for the purposes of this notice reserves the right to request information from the exemption holder regarding the activities conducted under this exemption during the term of the exemption, at or after the expiry of the exemption.</w:t>
      </w:r>
    </w:p>
    <w:p w14:paraId="09598590" w14:textId="77777777" w:rsidR="00480FA5" w:rsidRPr="00480FA5" w:rsidRDefault="00480FA5" w:rsidP="009B29CF">
      <w:pPr>
        <w:widowControl w:val="0"/>
        <w:numPr>
          <w:ilvl w:val="0"/>
          <w:numId w:val="71"/>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The exemption holder must not contravene or fail to comply with the </w:t>
      </w:r>
      <w:r w:rsidRPr="00480FA5">
        <w:rPr>
          <w:rFonts w:eastAsia="Times New Roman" w:cs="AFHDL H+ Helvetica Neue"/>
          <w:i/>
          <w:iCs/>
          <w:color w:val="000000"/>
          <w:szCs w:val="17"/>
        </w:rPr>
        <w:t>Fisheries Management Act 2007</w:t>
      </w:r>
      <w:r w:rsidRPr="00480FA5">
        <w:rPr>
          <w:rFonts w:eastAsia="Times New Roman" w:cs="AFHDL H+ Helvetica Neue"/>
          <w:color w:val="000000"/>
          <w:szCs w:val="17"/>
        </w:rPr>
        <w:t xml:space="preserve"> or any regulations made under that Act, except where specifically exempted by this notice.</w:t>
      </w:r>
    </w:p>
    <w:p w14:paraId="4A658FCC" w14:textId="77777777" w:rsidR="00480FA5" w:rsidRPr="00480FA5" w:rsidRDefault="00480FA5" w:rsidP="009B29CF">
      <w:pPr>
        <w:numPr>
          <w:ilvl w:val="0"/>
          <w:numId w:val="71"/>
        </w:numPr>
        <w:autoSpaceDE w:val="0"/>
        <w:autoSpaceDN w:val="0"/>
        <w:adjustRightInd w:val="0"/>
        <w:ind w:left="357" w:hanging="357"/>
        <w:rPr>
          <w:rFonts w:eastAsia="Times New Roman"/>
          <w:color w:val="000000"/>
          <w:szCs w:val="17"/>
        </w:rPr>
      </w:pPr>
      <w:r w:rsidRPr="00480FA5">
        <w:rPr>
          <w:rFonts w:eastAsia="Times New Roman" w:cs="AFHDL H+ Helvetica Neue"/>
          <w:color w:val="000000"/>
          <w:szCs w:val="17"/>
        </w:rPr>
        <w:t xml:space="preserve">This notice does not purport to override the provisions or operation of any other Act including, but not limited to, the </w:t>
      </w:r>
      <w:r w:rsidRPr="00480FA5">
        <w:rPr>
          <w:rFonts w:eastAsia="Times New Roman" w:cs="AFHDL H+ Helvetica Neue"/>
          <w:i/>
          <w:iCs/>
          <w:color w:val="000000"/>
          <w:szCs w:val="17"/>
        </w:rPr>
        <w:t>River Murray Act 2003.</w:t>
      </w:r>
      <w:r w:rsidRPr="00480FA5">
        <w:rPr>
          <w:rFonts w:eastAsia="Times New Roman" w:cs="AFHDL H+ Helvetica Neue"/>
          <w:color w:val="000000"/>
          <w:szCs w:val="17"/>
        </w:rPr>
        <w:t xml:space="preserve"> The exemption holder and list Ozfish volunteers must comply with any relevant regulations, permits, requirements and directions from the Department for Environment and Water when undertaking activities within a specially protected area..</w:t>
      </w:r>
    </w:p>
    <w:p w14:paraId="354A5E93" w14:textId="77777777" w:rsidR="00480FA5" w:rsidRPr="00480FA5" w:rsidRDefault="00480FA5" w:rsidP="00480FA5">
      <w:pPr>
        <w:spacing w:after="0"/>
        <w:rPr>
          <w:rFonts w:eastAsia="Times New Roman"/>
          <w:szCs w:val="17"/>
        </w:rPr>
      </w:pPr>
      <w:r w:rsidRPr="00480FA5">
        <w:rPr>
          <w:rFonts w:eastAsia="Times New Roman"/>
          <w:szCs w:val="17"/>
        </w:rPr>
        <w:t>Dated: 17 December 2022</w:t>
      </w:r>
    </w:p>
    <w:p w14:paraId="011B029A" w14:textId="77777777" w:rsidR="00480FA5" w:rsidRPr="00480FA5" w:rsidRDefault="00480FA5" w:rsidP="00480FA5">
      <w:pPr>
        <w:spacing w:after="0"/>
        <w:jc w:val="right"/>
        <w:rPr>
          <w:rFonts w:eastAsia="Times New Roman"/>
          <w:smallCaps/>
          <w:szCs w:val="20"/>
        </w:rPr>
      </w:pPr>
      <w:r w:rsidRPr="00480FA5">
        <w:rPr>
          <w:rFonts w:eastAsia="Times New Roman"/>
          <w:smallCaps/>
          <w:szCs w:val="20"/>
        </w:rPr>
        <w:t>Professor Gavin Begg</w:t>
      </w:r>
    </w:p>
    <w:p w14:paraId="043F6F38" w14:textId="77777777" w:rsidR="00480FA5" w:rsidRPr="00480FA5" w:rsidRDefault="00480FA5" w:rsidP="00480FA5">
      <w:pPr>
        <w:spacing w:after="0"/>
        <w:jc w:val="right"/>
        <w:rPr>
          <w:rFonts w:eastAsia="Times New Roman"/>
          <w:szCs w:val="17"/>
        </w:rPr>
      </w:pPr>
      <w:r w:rsidRPr="00480FA5">
        <w:rPr>
          <w:rFonts w:eastAsia="Times New Roman"/>
          <w:szCs w:val="17"/>
        </w:rPr>
        <w:t>Executive Director, Fisheries and Aquaculture</w:t>
      </w:r>
    </w:p>
    <w:p w14:paraId="109A5D56" w14:textId="77777777" w:rsidR="00480FA5" w:rsidRPr="00480FA5" w:rsidRDefault="00480FA5" w:rsidP="00480FA5">
      <w:pPr>
        <w:spacing w:after="0"/>
        <w:jc w:val="right"/>
        <w:rPr>
          <w:rFonts w:eastAsia="Times New Roman"/>
          <w:szCs w:val="17"/>
        </w:rPr>
      </w:pPr>
      <w:r w:rsidRPr="00480FA5">
        <w:rPr>
          <w:rFonts w:eastAsia="Times New Roman"/>
          <w:szCs w:val="17"/>
        </w:rPr>
        <w:t>Delegate of the Minister for Primary Industries and Regional Development</w:t>
      </w:r>
    </w:p>
    <w:p w14:paraId="0CFB6EBD" w14:textId="77777777" w:rsidR="00480FA5" w:rsidRPr="00480FA5" w:rsidRDefault="00480FA5" w:rsidP="00480FA5">
      <w:pPr>
        <w:pBdr>
          <w:top w:val="single" w:sz="4" w:space="1" w:color="auto"/>
        </w:pBdr>
        <w:spacing w:before="100" w:after="0" w:line="14" w:lineRule="exact"/>
        <w:jc w:val="center"/>
        <w:rPr>
          <w:rFonts w:eastAsia="Times New Roman"/>
          <w:szCs w:val="17"/>
        </w:rPr>
      </w:pPr>
    </w:p>
    <w:p w14:paraId="0041187A" w14:textId="78B8D78A" w:rsidR="00480FA5" w:rsidRDefault="00480FA5" w:rsidP="00965F17">
      <w:pPr>
        <w:pStyle w:val="GG-body"/>
        <w:spacing w:after="0"/>
        <w:rPr>
          <w:lang w:val="en-US"/>
        </w:rPr>
      </w:pPr>
    </w:p>
    <w:p w14:paraId="0958016D" w14:textId="77777777" w:rsidR="00480FA5" w:rsidRPr="00480FA5" w:rsidRDefault="00480FA5" w:rsidP="00480FA5">
      <w:pPr>
        <w:jc w:val="center"/>
        <w:rPr>
          <w:caps/>
          <w:szCs w:val="17"/>
        </w:rPr>
      </w:pPr>
      <w:r w:rsidRPr="00480FA5">
        <w:rPr>
          <w:caps/>
          <w:szCs w:val="17"/>
        </w:rPr>
        <w:t>Fisheries Management Act 2007</w:t>
      </w:r>
    </w:p>
    <w:p w14:paraId="103B7A4F" w14:textId="77777777" w:rsidR="00480FA5" w:rsidRPr="00480FA5" w:rsidRDefault="00480FA5" w:rsidP="00480FA5">
      <w:pPr>
        <w:jc w:val="center"/>
        <w:rPr>
          <w:smallCaps/>
          <w:szCs w:val="17"/>
        </w:rPr>
      </w:pPr>
      <w:r w:rsidRPr="00480FA5">
        <w:rPr>
          <w:smallCaps/>
          <w:szCs w:val="17"/>
        </w:rPr>
        <w:t>Section 115</w:t>
      </w:r>
    </w:p>
    <w:p w14:paraId="54CFD5A8" w14:textId="77777777" w:rsidR="00480FA5" w:rsidRPr="00480FA5" w:rsidRDefault="00480FA5" w:rsidP="00480FA5">
      <w:pPr>
        <w:jc w:val="center"/>
        <w:rPr>
          <w:i/>
          <w:szCs w:val="17"/>
        </w:rPr>
      </w:pPr>
      <w:r w:rsidRPr="00480FA5">
        <w:rPr>
          <w:i/>
          <w:szCs w:val="17"/>
        </w:rPr>
        <w:t>Ministerial Exemption ME9903239</w:t>
      </w:r>
    </w:p>
    <w:p w14:paraId="44446745" w14:textId="77777777" w:rsidR="00480FA5" w:rsidRPr="00480FA5" w:rsidRDefault="00480FA5" w:rsidP="00480FA5">
      <w:pPr>
        <w:rPr>
          <w:rFonts w:eastAsia="Times New Roman"/>
          <w:szCs w:val="17"/>
        </w:rPr>
      </w:pPr>
      <w:r w:rsidRPr="00480FA5">
        <w:rPr>
          <w:rFonts w:eastAsia="Times New Roman"/>
          <w:szCs w:val="17"/>
        </w:rPr>
        <w:t xml:space="preserve">TAKE NOTICE that pursuant to section 115 of the </w:t>
      </w:r>
      <w:r w:rsidRPr="00480FA5">
        <w:rPr>
          <w:rFonts w:eastAsia="Times New Roman"/>
          <w:i/>
          <w:szCs w:val="17"/>
        </w:rPr>
        <w:t>Fisheries Management Act 2007</w:t>
      </w:r>
      <w:r w:rsidRPr="00480FA5">
        <w:rPr>
          <w:rFonts w:eastAsia="Times New Roman"/>
          <w:szCs w:val="17"/>
        </w:rPr>
        <w:t xml:space="preserve">, I Professor Gavin Begg, Executive Director Fisheries and Aquaculture, delegate of the Minister for Primary Industries and Regional Development, hereby exempt Garry Warrick of 1979 Kingston Road, New Residence SA 5333, holder of River Fishery licence number R27 (the ‘exemption holder’), and his nominated agents, from sections 52, 70 and 72 of the </w:t>
      </w:r>
      <w:r w:rsidRPr="00480FA5">
        <w:rPr>
          <w:rFonts w:eastAsia="Times New Roman"/>
          <w:i/>
          <w:szCs w:val="17"/>
        </w:rPr>
        <w:t xml:space="preserve">Fisheries Management Act 2007 </w:t>
      </w:r>
      <w:r w:rsidRPr="00480FA5">
        <w:rPr>
          <w:rFonts w:eastAsia="Times New Roman"/>
          <w:iCs/>
          <w:szCs w:val="17"/>
        </w:rPr>
        <w:t xml:space="preserve">and Regulation 5, Regulation 6, Schedule 2, </w:t>
      </w:r>
      <w:r w:rsidRPr="00480FA5">
        <w:rPr>
          <w:rFonts w:eastAsia="Times New Roman"/>
          <w:szCs w:val="17"/>
        </w:rPr>
        <w:t xml:space="preserve">Schedule 5, </w:t>
      </w:r>
      <w:r w:rsidRPr="00480FA5">
        <w:rPr>
          <w:rFonts w:eastAsia="Times New Roman"/>
          <w:iCs/>
          <w:szCs w:val="17"/>
        </w:rPr>
        <w:t>clauses</w:t>
      </w:r>
      <w:r w:rsidRPr="00480FA5">
        <w:rPr>
          <w:rFonts w:eastAsia="Times New Roman"/>
          <w:szCs w:val="17"/>
        </w:rPr>
        <w:t xml:space="preserve"> 63, 64, 65, 74, 75 and 113 of Schedule 6, Schedule 7 of the </w:t>
      </w:r>
      <w:r w:rsidRPr="00480FA5">
        <w:rPr>
          <w:rFonts w:eastAsia="Times New Roman"/>
          <w:i/>
          <w:iCs/>
          <w:szCs w:val="17"/>
        </w:rPr>
        <w:t>Fisheries Management (General) Regulations 2017</w:t>
      </w:r>
      <w:r w:rsidRPr="00480FA5">
        <w:rPr>
          <w:rFonts w:eastAsia="Times New Roman"/>
          <w:szCs w:val="17"/>
        </w:rPr>
        <w:t xml:space="preserve"> but only insofar as he may use the devices described in Schedule 1 to take and sell Carp, and to capture the native species specified in Schedule 2 from the areas specified in Schedule 3 (the ‘exempted activity’) for the purpose of translocation consistent with agreements in place with SA Water, subject to the conditions set out in Schedule 4, from 18 December 2022 until 17 December 2023, unless varied or revoked earlier.</w:t>
      </w:r>
    </w:p>
    <w:p w14:paraId="0F3AA8B9" w14:textId="77777777" w:rsidR="00480FA5" w:rsidRPr="00480FA5" w:rsidRDefault="00480FA5" w:rsidP="00480FA5">
      <w:pPr>
        <w:jc w:val="center"/>
        <w:rPr>
          <w:smallCaps/>
          <w:szCs w:val="17"/>
        </w:rPr>
      </w:pPr>
      <w:r w:rsidRPr="00480FA5">
        <w:rPr>
          <w:smallCaps/>
          <w:szCs w:val="17"/>
        </w:rPr>
        <w:lastRenderedPageBreak/>
        <w:t>Schedule 1</w:t>
      </w:r>
    </w:p>
    <w:p w14:paraId="58676ED6"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480FA5">
        <w:rPr>
          <w:rFonts w:eastAsia="Times New Roman" w:cs="AFHDL H+ Helvetica Neue"/>
          <w:color w:val="000000"/>
          <w:szCs w:val="17"/>
        </w:rPr>
        <w:t>30 x ‘Carp net’ – a gill net with a ply greater than 5, having a maximum length of 50 metres and a minimum mesh size of 10 centimetres and a maximum mesh size not exceeding 18 centimetres.</w:t>
      </w:r>
    </w:p>
    <w:p w14:paraId="1313F956"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rPr>
      </w:pPr>
      <w:r w:rsidRPr="00480FA5">
        <w:rPr>
          <w:rFonts w:eastAsia="Times New Roman" w:cs="AFHDL H+ Helvetica Neue"/>
          <w:color w:val="000000"/>
          <w:szCs w:val="17"/>
        </w:rPr>
        <w:t>1 x Backpack electrofisher (Smith-Root LR24).</w:t>
      </w:r>
    </w:p>
    <w:p w14:paraId="005119CF" w14:textId="77777777" w:rsidR="00480FA5" w:rsidRPr="00480FA5" w:rsidRDefault="00480FA5" w:rsidP="00480FA5">
      <w:pPr>
        <w:numPr>
          <w:ilvl w:val="0"/>
          <w:numId w:val="62"/>
        </w:numPr>
        <w:autoSpaceDE w:val="0"/>
        <w:autoSpaceDN w:val="0"/>
        <w:adjustRightInd w:val="0"/>
        <w:ind w:left="426" w:hanging="283"/>
        <w:rPr>
          <w:rFonts w:eastAsia="Times New Roman"/>
          <w:color w:val="000000"/>
          <w:szCs w:val="17"/>
        </w:rPr>
      </w:pPr>
      <w:r w:rsidRPr="00480FA5">
        <w:rPr>
          <w:rFonts w:eastAsia="Times New Roman" w:cs="AFHDL H+ Helvetica Neue"/>
          <w:color w:val="000000"/>
          <w:szCs w:val="17"/>
        </w:rPr>
        <w:t>1 x Boat electrofisher (Smith-Root 5.0 kW GPP)</w:t>
      </w:r>
      <w:r w:rsidRPr="00480FA5">
        <w:rPr>
          <w:rFonts w:eastAsia="Times New Roman"/>
          <w:color w:val="000000"/>
          <w:szCs w:val="17"/>
        </w:rPr>
        <w:t>.</w:t>
      </w:r>
    </w:p>
    <w:p w14:paraId="4257CB34" w14:textId="77777777" w:rsidR="00480FA5" w:rsidRPr="00480FA5" w:rsidRDefault="00480FA5" w:rsidP="00480FA5">
      <w:pPr>
        <w:jc w:val="center"/>
        <w:rPr>
          <w:smallCaps/>
          <w:szCs w:val="17"/>
        </w:rPr>
      </w:pPr>
      <w:r w:rsidRPr="00480FA5">
        <w:rPr>
          <w:smallCaps/>
          <w:szCs w:val="17"/>
        </w:rPr>
        <w:t>Schedule 2</w:t>
      </w:r>
    </w:p>
    <w:p w14:paraId="3D1B5BCA" w14:textId="77777777" w:rsidR="00480FA5" w:rsidRPr="00480FA5" w:rsidRDefault="00480FA5" w:rsidP="00480FA5">
      <w:pPr>
        <w:numPr>
          <w:ilvl w:val="0"/>
          <w:numId w:val="62"/>
        </w:numPr>
        <w:autoSpaceDE w:val="0"/>
        <w:autoSpaceDN w:val="0"/>
        <w:adjustRightInd w:val="0"/>
        <w:spacing w:after="0"/>
        <w:ind w:left="426" w:hanging="283"/>
        <w:rPr>
          <w:rFonts w:eastAsia="Times New Roman"/>
          <w:color w:val="000000"/>
          <w:szCs w:val="17"/>
        </w:rPr>
      </w:pPr>
      <w:r w:rsidRPr="00480FA5">
        <w:rPr>
          <w:rFonts w:eastAsia="Times New Roman"/>
          <w:color w:val="000000"/>
          <w:szCs w:val="17"/>
        </w:rPr>
        <w:t>Carp</w:t>
      </w:r>
    </w:p>
    <w:p w14:paraId="5D9D2AB3"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lang w:val="en-GB"/>
        </w:rPr>
      </w:pPr>
      <w:r w:rsidRPr="00480FA5">
        <w:rPr>
          <w:rFonts w:eastAsia="Times New Roman" w:cs="AFHDL H+ Helvetica Neue"/>
          <w:color w:val="000000"/>
          <w:szCs w:val="17"/>
          <w:lang w:val="en-GB"/>
        </w:rPr>
        <w:t>Bony Bream</w:t>
      </w:r>
    </w:p>
    <w:p w14:paraId="717BF874"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lang w:val="en-GB"/>
        </w:rPr>
      </w:pPr>
      <w:r w:rsidRPr="00480FA5">
        <w:rPr>
          <w:rFonts w:eastAsia="Times New Roman" w:cs="AFHDL H+ Helvetica Neue"/>
          <w:color w:val="000000"/>
          <w:szCs w:val="17"/>
          <w:lang w:val="en-GB"/>
        </w:rPr>
        <w:t>Golden Perch</w:t>
      </w:r>
    </w:p>
    <w:p w14:paraId="3BF77BC4" w14:textId="77777777" w:rsidR="00480FA5" w:rsidRPr="00480FA5" w:rsidRDefault="00480FA5" w:rsidP="00480FA5">
      <w:pPr>
        <w:widowControl w:val="0"/>
        <w:numPr>
          <w:ilvl w:val="0"/>
          <w:numId w:val="62"/>
        </w:numPr>
        <w:autoSpaceDE w:val="0"/>
        <w:autoSpaceDN w:val="0"/>
        <w:adjustRightInd w:val="0"/>
        <w:spacing w:after="0"/>
        <w:ind w:left="426" w:hanging="283"/>
        <w:rPr>
          <w:rFonts w:eastAsia="Times New Roman" w:cs="AFHDL H+ Helvetica Neue"/>
          <w:color w:val="000000"/>
          <w:szCs w:val="17"/>
          <w:lang w:val="en-GB"/>
        </w:rPr>
      </w:pPr>
      <w:r w:rsidRPr="00480FA5">
        <w:rPr>
          <w:rFonts w:eastAsia="Times New Roman" w:cs="AFHDL H+ Helvetica Neue"/>
          <w:color w:val="000000"/>
          <w:szCs w:val="17"/>
          <w:lang w:val="en-GB"/>
        </w:rPr>
        <w:t>Silver Perch</w:t>
      </w:r>
    </w:p>
    <w:p w14:paraId="2053F156" w14:textId="77777777" w:rsidR="00480FA5" w:rsidRPr="00480FA5" w:rsidRDefault="00480FA5" w:rsidP="00480FA5">
      <w:pPr>
        <w:numPr>
          <w:ilvl w:val="0"/>
          <w:numId w:val="62"/>
        </w:numPr>
        <w:autoSpaceDE w:val="0"/>
        <w:autoSpaceDN w:val="0"/>
        <w:adjustRightInd w:val="0"/>
        <w:ind w:left="426" w:hanging="283"/>
        <w:rPr>
          <w:rFonts w:eastAsia="Times New Roman"/>
          <w:color w:val="000000"/>
          <w:szCs w:val="17"/>
        </w:rPr>
      </w:pPr>
      <w:r w:rsidRPr="00480FA5">
        <w:rPr>
          <w:rFonts w:eastAsia="Times New Roman"/>
          <w:color w:val="000000"/>
          <w:szCs w:val="17"/>
          <w:lang w:val="en-GB"/>
        </w:rPr>
        <w:t>Murray Cod</w:t>
      </w:r>
    </w:p>
    <w:p w14:paraId="4F5E2FA2" w14:textId="77777777" w:rsidR="00480FA5" w:rsidRPr="00480FA5" w:rsidRDefault="00480FA5" w:rsidP="00480FA5">
      <w:pPr>
        <w:jc w:val="center"/>
        <w:rPr>
          <w:smallCaps/>
          <w:szCs w:val="17"/>
        </w:rPr>
      </w:pPr>
      <w:r w:rsidRPr="00480FA5">
        <w:rPr>
          <w:smallCaps/>
          <w:szCs w:val="17"/>
        </w:rPr>
        <w:t>Schedule 3</w:t>
      </w:r>
    </w:p>
    <w:p w14:paraId="6B5626F3" w14:textId="77777777" w:rsidR="00480FA5" w:rsidRPr="00480FA5" w:rsidRDefault="00480FA5" w:rsidP="00480FA5">
      <w:pPr>
        <w:rPr>
          <w:rFonts w:eastAsia="Times New Roman"/>
          <w:szCs w:val="17"/>
        </w:rPr>
      </w:pPr>
      <w:r w:rsidRPr="00480FA5">
        <w:rPr>
          <w:rFonts w:eastAsia="Times New Roman"/>
          <w:szCs w:val="17"/>
        </w:rPr>
        <w:t>The exemption holder may conduct exempted activities using gear specified in Schedule 1 pursuant to this Ministerial exemption in Warren Reservoir consistent with approvals from SA Water and Ministerial permits MP0189, MP0194.</w:t>
      </w:r>
    </w:p>
    <w:p w14:paraId="632134F5" w14:textId="77777777" w:rsidR="00480FA5" w:rsidRPr="00480FA5" w:rsidRDefault="00480FA5" w:rsidP="00480FA5">
      <w:pPr>
        <w:jc w:val="center"/>
        <w:rPr>
          <w:smallCaps/>
          <w:szCs w:val="17"/>
        </w:rPr>
      </w:pPr>
      <w:r w:rsidRPr="00480FA5">
        <w:rPr>
          <w:smallCaps/>
          <w:szCs w:val="17"/>
        </w:rPr>
        <w:t>Schedule 4</w:t>
      </w:r>
    </w:p>
    <w:p w14:paraId="0BF97E70" w14:textId="77777777" w:rsidR="00480FA5" w:rsidRPr="00480FA5" w:rsidRDefault="00480FA5" w:rsidP="009B29CF">
      <w:pPr>
        <w:widowControl w:val="0"/>
        <w:numPr>
          <w:ilvl w:val="0"/>
          <w:numId w:val="72"/>
        </w:numPr>
        <w:autoSpaceDE w:val="0"/>
        <w:autoSpaceDN w:val="0"/>
        <w:adjustRightInd w:val="0"/>
        <w:ind w:left="364"/>
        <w:rPr>
          <w:rFonts w:eastAsia="Times New Roman" w:cs="AFHDL H+ Helvetica Neue"/>
          <w:color w:val="000000"/>
          <w:szCs w:val="17"/>
        </w:rPr>
      </w:pPr>
      <w:r w:rsidRPr="00480FA5">
        <w:rPr>
          <w:rFonts w:eastAsia="Times New Roman" w:cs="AFHDL H+ Helvetica Neue"/>
          <w:color w:val="000000"/>
          <w:szCs w:val="17"/>
        </w:rPr>
        <w:t>The exemption holder must not use more than the permitted number of devices under Schedule 1 at any one time.</w:t>
      </w:r>
    </w:p>
    <w:p w14:paraId="7D744395"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In conducting the exempted activity, the exemption holder may only use boats registered to River Fishery licence R27. </w:t>
      </w:r>
    </w:p>
    <w:p w14:paraId="7051B478"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The exempted activity may only be conducted by the exemption holder or his nominated agents, Mr Jayden Warrick, and Mr Keith Bell.</w:t>
      </w:r>
    </w:p>
    <w:p w14:paraId="09855DDA"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bookmarkStart w:id="42" w:name="_Hlk121404907"/>
      <w:r w:rsidRPr="00480FA5">
        <w:rPr>
          <w:rFonts w:eastAsia="Times New Roman" w:cs="AFHDL H+ Helvetica Neue"/>
          <w:color w:val="000000"/>
          <w:szCs w:val="17"/>
        </w:rPr>
        <w:t xml:space="preserve">Use of the electrofisher gear must comply with guidelines set out by the Australian Code of Electrofishing Practice. All persons using the devices must be trained in accordance with these guidelines. </w:t>
      </w:r>
    </w:p>
    <w:bookmarkEnd w:id="42"/>
    <w:p w14:paraId="5C6E2A38"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Murray Cod, Golden Perch and Silver Perch may be retained for translocation to South Parra Reservoir pursuant to MP0190. </w:t>
      </w:r>
    </w:p>
    <w:p w14:paraId="09567EC3"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Carp retained may be sold consistent with carp sales under River Fishery Licence R27. Noxious fish species, including but not limited to Carp, must not be returned to the water.</w:t>
      </w:r>
    </w:p>
    <w:p w14:paraId="5649BF34"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Immediately prior to commencing the exempted activity, the exemption holder must contact the Department of Primary Industries and Regions (PIRSA) Fishwatch on 1800 065 522 and provide the following details:</w:t>
      </w:r>
    </w:p>
    <w:p w14:paraId="663908DA" w14:textId="77777777" w:rsidR="00480FA5" w:rsidRPr="00480FA5" w:rsidRDefault="00480FA5" w:rsidP="00480FA5">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licence number and person(s) conducting the activity;</w:t>
      </w:r>
    </w:p>
    <w:p w14:paraId="351580AB" w14:textId="77777777" w:rsidR="00480FA5" w:rsidRPr="00480FA5" w:rsidRDefault="00480FA5" w:rsidP="00480FA5">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exact location(s) of the fishing activities;</w:t>
      </w:r>
    </w:p>
    <w:p w14:paraId="14F5E210" w14:textId="77777777" w:rsidR="00480FA5" w:rsidRPr="00480FA5" w:rsidRDefault="00480FA5" w:rsidP="00480FA5">
      <w:pPr>
        <w:widowControl w:val="0"/>
        <w:numPr>
          <w:ilvl w:val="0"/>
          <w:numId w:val="65"/>
        </w:numPr>
        <w:autoSpaceDE w:val="0"/>
        <w:autoSpaceDN w:val="0"/>
        <w:adjustRightInd w:val="0"/>
        <w:spacing w:after="0"/>
        <w:ind w:left="709" w:hanging="284"/>
        <w:rPr>
          <w:rFonts w:eastAsia="Times New Roman" w:cs="AFHDL H+ Helvetica Neue"/>
          <w:color w:val="000000"/>
          <w:szCs w:val="17"/>
        </w:rPr>
      </w:pPr>
      <w:r w:rsidRPr="00480FA5">
        <w:rPr>
          <w:rFonts w:eastAsia="Times New Roman" w:cs="AFHDL H+ Helvetica Neue"/>
          <w:color w:val="000000"/>
          <w:szCs w:val="17"/>
        </w:rPr>
        <w:t>The gear type and quantity being used;</w:t>
      </w:r>
    </w:p>
    <w:p w14:paraId="37EE2D4B" w14:textId="77777777" w:rsidR="00480FA5" w:rsidRPr="00480FA5" w:rsidRDefault="00480FA5" w:rsidP="00480FA5">
      <w:pPr>
        <w:widowControl w:val="0"/>
        <w:numPr>
          <w:ilvl w:val="0"/>
          <w:numId w:val="65"/>
        </w:numPr>
        <w:autoSpaceDE w:val="0"/>
        <w:autoSpaceDN w:val="0"/>
        <w:adjustRightInd w:val="0"/>
        <w:ind w:left="709" w:hanging="284"/>
        <w:rPr>
          <w:rFonts w:eastAsia="Times New Roman" w:cs="AFHDL H+ Helvetica Neue"/>
          <w:color w:val="000000"/>
          <w:szCs w:val="17"/>
        </w:rPr>
      </w:pPr>
      <w:r w:rsidRPr="00480FA5">
        <w:rPr>
          <w:rFonts w:eastAsia="Times New Roman" w:cs="AFHDL H+ Helvetica Neue"/>
          <w:b/>
          <w:bCs/>
          <w:color w:val="000000"/>
          <w:szCs w:val="17"/>
        </w:rPr>
        <w:t xml:space="preserve">Exemption number </w:t>
      </w:r>
      <w:r w:rsidRPr="00480FA5">
        <w:rPr>
          <w:rFonts w:eastAsia="Times New Roman" w:cs="AFHDL H+ Helvetica Neue"/>
          <w:b/>
          <w:color w:val="000000"/>
          <w:szCs w:val="17"/>
        </w:rPr>
        <w:t>ME9903239</w:t>
      </w:r>
      <w:r w:rsidRPr="00480FA5">
        <w:rPr>
          <w:rFonts w:eastAsia="Times New Roman" w:cs="AFHDL H+ Helvetica Neue"/>
          <w:bCs/>
          <w:color w:val="000000"/>
          <w:szCs w:val="17"/>
        </w:rPr>
        <w:t>.</w:t>
      </w:r>
    </w:p>
    <w:p w14:paraId="474C79E7"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 xml:space="preserve">The exemption holder must ensure that the Carp nets are checked and all fish removed at least once during any 24 hour period in the water. </w:t>
      </w:r>
    </w:p>
    <w:p w14:paraId="5BED5CB9"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Carp nets must be removed from the water when fishing pursuant to this exemption notice ceases.</w:t>
      </w:r>
    </w:p>
    <w:p w14:paraId="3C0AFBD3" w14:textId="77777777" w:rsidR="00480FA5" w:rsidRPr="00480FA5" w:rsidRDefault="00480FA5" w:rsidP="009B29CF">
      <w:pPr>
        <w:widowControl w:val="0"/>
        <w:numPr>
          <w:ilvl w:val="0"/>
          <w:numId w:val="72"/>
        </w:numPr>
        <w:autoSpaceDE w:val="0"/>
        <w:autoSpaceDN w:val="0"/>
        <w:adjustRightInd w:val="0"/>
        <w:ind w:left="357" w:hanging="357"/>
        <w:rPr>
          <w:rFonts w:eastAsia="Times New Roman" w:cs="AFHDL H+ Helvetica Neue"/>
          <w:color w:val="000000"/>
          <w:szCs w:val="17"/>
        </w:rPr>
      </w:pPr>
      <w:r w:rsidRPr="00480FA5">
        <w:rPr>
          <w:rFonts w:eastAsia="Times New Roman" w:cs="AFHDL H+ Helvetica Neue"/>
          <w:color w:val="000000"/>
          <w:szCs w:val="17"/>
        </w:rPr>
        <w:t>While engaging in the exempted activity, the exemption holder must be in possession of a copy of this notice.  Such notice must be produced to a Fisheries Officer as requested.</w:t>
      </w:r>
    </w:p>
    <w:p w14:paraId="0C6BA698" w14:textId="77777777" w:rsidR="00480FA5" w:rsidRPr="00480FA5" w:rsidRDefault="00480FA5" w:rsidP="009B29CF">
      <w:pPr>
        <w:numPr>
          <w:ilvl w:val="0"/>
          <w:numId w:val="72"/>
        </w:numPr>
        <w:autoSpaceDE w:val="0"/>
        <w:autoSpaceDN w:val="0"/>
        <w:adjustRightInd w:val="0"/>
        <w:ind w:left="357" w:hanging="357"/>
        <w:rPr>
          <w:rFonts w:eastAsia="Times New Roman"/>
          <w:color w:val="000000"/>
          <w:szCs w:val="17"/>
        </w:rPr>
      </w:pPr>
      <w:r w:rsidRPr="00480FA5">
        <w:rPr>
          <w:rFonts w:eastAsia="Times New Roman" w:cs="AFHDL H+ Helvetica Neue"/>
          <w:color w:val="000000"/>
          <w:szCs w:val="17"/>
        </w:rPr>
        <w:t xml:space="preserve">The exemption holder must not contravene or fail to comply with the </w:t>
      </w:r>
      <w:r w:rsidRPr="00480FA5">
        <w:rPr>
          <w:rFonts w:eastAsia="Times New Roman" w:cs="AFHDL H+ Helvetica Neue"/>
          <w:i/>
          <w:color w:val="000000"/>
          <w:szCs w:val="17"/>
        </w:rPr>
        <w:t xml:space="preserve">Fisheries Management Act 2007 </w:t>
      </w:r>
      <w:r w:rsidRPr="00480FA5">
        <w:rPr>
          <w:rFonts w:eastAsia="Times New Roman" w:cs="AFHDL H+ Helvetica Neue"/>
          <w:color w:val="000000"/>
          <w:szCs w:val="17"/>
        </w:rPr>
        <w:t>or any regulations made under that Act, except where specifically exempted by this notice.</w:t>
      </w:r>
    </w:p>
    <w:p w14:paraId="18E2E000" w14:textId="77777777" w:rsidR="00480FA5" w:rsidRPr="00480FA5" w:rsidRDefault="00480FA5" w:rsidP="00480FA5">
      <w:pPr>
        <w:spacing w:after="0"/>
        <w:rPr>
          <w:rFonts w:eastAsia="Times New Roman"/>
          <w:szCs w:val="17"/>
        </w:rPr>
      </w:pPr>
      <w:r w:rsidRPr="00480FA5">
        <w:rPr>
          <w:rFonts w:eastAsia="Times New Roman"/>
          <w:szCs w:val="17"/>
        </w:rPr>
        <w:t>Dated: 17 December 2022</w:t>
      </w:r>
    </w:p>
    <w:p w14:paraId="52B81E1D" w14:textId="77777777" w:rsidR="00480FA5" w:rsidRPr="00480FA5" w:rsidRDefault="00480FA5" w:rsidP="00480FA5">
      <w:pPr>
        <w:spacing w:after="0"/>
        <w:jc w:val="right"/>
        <w:rPr>
          <w:rFonts w:eastAsia="Times New Roman"/>
          <w:smallCaps/>
          <w:szCs w:val="20"/>
        </w:rPr>
      </w:pPr>
      <w:r w:rsidRPr="00480FA5">
        <w:rPr>
          <w:rFonts w:eastAsia="Times New Roman"/>
          <w:smallCaps/>
          <w:szCs w:val="20"/>
        </w:rPr>
        <w:t>Professor Gavin Begg</w:t>
      </w:r>
    </w:p>
    <w:p w14:paraId="7C682EA0" w14:textId="77777777" w:rsidR="00480FA5" w:rsidRPr="00480FA5" w:rsidRDefault="00480FA5" w:rsidP="00480FA5">
      <w:pPr>
        <w:spacing w:after="0"/>
        <w:jc w:val="right"/>
        <w:rPr>
          <w:rFonts w:eastAsia="Times New Roman"/>
          <w:szCs w:val="17"/>
        </w:rPr>
      </w:pPr>
      <w:r w:rsidRPr="00480FA5">
        <w:rPr>
          <w:rFonts w:eastAsia="Times New Roman"/>
          <w:szCs w:val="17"/>
        </w:rPr>
        <w:t>Executive Director, Fisheries and Aquaculture</w:t>
      </w:r>
    </w:p>
    <w:p w14:paraId="01ECA192" w14:textId="06B2610A" w:rsidR="00480FA5" w:rsidRDefault="00480FA5" w:rsidP="00480FA5">
      <w:pPr>
        <w:spacing w:after="0"/>
        <w:jc w:val="right"/>
        <w:rPr>
          <w:rFonts w:eastAsia="Times New Roman"/>
          <w:szCs w:val="17"/>
        </w:rPr>
      </w:pPr>
      <w:r w:rsidRPr="00480FA5">
        <w:rPr>
          <w:rFonts w:eastAsia="Times New Roman"/>
          <w:szCs w:val="17"/>
        </w:rPr>
        <w:t>Delegate of the Minister for Primary Industries and Regional Development</w:t>
      </w:r>
    </w:p>
    <w:p w14:paraId="04416C12" w14:textId="5CDB91D2" w:rsidR="00480FA5" w:rsidRDefault="00480FA5" w:rsidP="00480FA5">
      <w:pPr>
        <w:pBdr>
          <w:bottom w:val="single" w:sz="4" w:space="1" w:color="auto"/>
        </w:pBdr>
        <w:spacing w:after="0" w:line="52" w:lineRule="exact"/>
        <w:jc w:val="center"/>
        <w:rPr>
          <w:rFonts w:eastAsia="Times New Roman"/>
          <w:szCs w:val="17"/>
        </w:rPr>
      </w:pPr>
    </w:p>
    <w:p w14:paraId="6E760513" w14:textId="40AD9068" w:rsidR="00480FA5" w:rsidRDefault="00480FA5" w:rsidP="00480FA5">
      <w:pPr>
        <w:pBdr>
          <w:top w:val="single" w:sz="4" w:space="1" w:color="auto"/>
        </w:pBdr>
        <w:spacing w:before="34" w:after="0" w:line="14" w:lineRule="exact"/>
        <w:jc w:val="center"/>
        <w:rPr>
          <w:rFonts w:eastAsia="Times New Roman"/>
          <w:szCs w:val="17"/>
        </w:rPr>
      </w:pPr>
    </w:p>
    <w:p w14:paraId="6631C224" w14:textId="05922A94" w:rsidR="00480FA5" w:rsidRDefault="00480FA5" w:rsidP="00965F17">
      <w:pPr>
        <w:pStyle w:val="GG-body"/>
        <w:spacing w:after="0"/>
        <w:rPr>
          <w:lang w:val="en-US"/>
        </w:rPr>
      </w:pPr>
    </w:p>
    <w:p w14:paraId="63BEC383" w14:textId="77777777" w:rsidR="00EB4F41" w:rsidRDefault="00EB4F41" w:rsidP="00392842">
      <w:pPr>
        <w:pStyle w:val="Heading2"/>
      </w:pPr>
      <w:bookmarkStart w:id="43" w:name="_Toc122600836"/>
      <w:r w:rsidRPr="008C353F">
        <w:t>Harbors and Navigation Act 1993</w:t>
      </w:r>
      <w:bookmarkEnd w:id="43"/>
    </w:p>
    <w:p w14:paraId="285F5A86" w14:textId="77777777" w:rsidR="00EB4F41" w:rsidRDefault="00EB4F41" w:rsidP="00EB4F41">
      <w:pPr>
        <w:pStyle w:val="GG-Title2"/>
      </w:pPr>
      <w:r w:rsidRPr="008C353F">
        <w:t>Section 67</w:t>
      </w:r>
    </w:p>
    <w:p w14:paraId="6D2089AA" w14:textId="77777777" w:rsidR="00EB4F41" w:rsidRPr="009A4B54" w:rsidRDefault="00EB4F41" w:rsidP="00EB4F41">
      <w:pPr>
        <w:pStyle w:val="GG-Title2"/>
      </w:pPr>
      <w:r w:rsidRPr="009A4B54">
        <w:t xml:space="preserve">Notice of Direction—No. </w:t>
      </w:r>
      <w:r>
        <w:t>4</w:t>
      </w:r>
      <w:r w:rsidRPr="009A4B54">
        <w:t xml:space="preserve"> of 2022</w:t>
      </w:r>
    </w:p>
    <w:p w14:paraId="144E2770" w14:textId="77777777" w:rsidR="00EB4F41" w:rsidRPr="00DF32D0" w:rsidRDefault="00EB4F41" w:rsidP="00EB4F41">
      <w:pPr>
        <w:pStyle w:val="GG-Title3"/>
        <w:rPr>
          <w:bCs/>
        </w:rPr>
      </w:pPr>
      <w:r w:rsidRPr="00DF32D0">
        <w:rPr>
          <w:bCs/>
        </w:rPr>
        <w:t>Mooring Levee Bank—River Murray</w:t>
      </w:r>
    </w:p>
    <w:p w14:paraId="154B9DBA" w14:textId="77777777" w:rsidR="00EB4F41" w:rsidRPr="00DF32D0" w:rsidRDefault="00EB4F41" w:rsidP="00EB4F41">
      <w:pPr>
        <w:pStyle w:val="GG-body"/>
      </w:pPr>
      <w:r w:rsidRPr="00DF32D0">
        <w:t xml:space="preserve">I, </w:t>
      </w:r>
      <w:r w:rsidRPr="00DF32D0">
        <w:rPr>
          <w:b/>
        </w:rPr>
        <w:t>EMMA MEGAN KOKAR</w:t>
      </w:r>
      <w:r w:rsidRPr="00DF32D0">
        <w:t xml:space="preserve">, Executive Director, Road and Marine Services Division of the Department for Infrastructure and Transport, delegate of the Minister for Infrastructure and Transport in the State of South Australia in accordance with section 11 of the </w:t>
      </w:r>
      <w:r w:rsidRPr="00DF32D0">
        <w:rPr>
          <w:i/>
        </w:rPr>
        <w:t xml:space="preserve">Harbors and Navigation Act 1993 </w:t>
      </w:r>
      <w:r w:rsidRPr="00DF32D0">
        <w:t>(the Act)</w:t>
      </w:r>
      <w:r w:rsidRPr="00DF32D0">
        <w:rPr>
          <w:i/>
        </w:rPr>
        <w:t xml:space="preserve">, </w:t>
      </w:r>
      <w:r w:rsidRPr="00DF32D0">
        <w:t>and pursuant to section 67 of the Act,</w:t>
      </w:r>
      <w:r w:rsidRPr="00DF32D0">
        <w:rPr>
          <w:b/>
        </w:rPr>
        <w:t xml:space="preserve"> do hereby direct </w:t>
      </w:r>
      <w:r w:rsidRPr="00DF32D0">
        <w:t xml:space="preserve">the following in the waters of the River Murray: </w:t>
      </w:r>
    </w:p>
    <w:p w14:paraId="10EE983A" w14:textId="77777777" w:rsidR="00EB4F41" w:rsidRPr="00DF32D0" w:rsidRDefault="00EB4F41" w:rsidP="009B29CF">
      <w:pPr>
        <w:pStyle w:val="GG-body"/>
        <w:numPr>
          <w:ilvl w:val="0"/>
          <w:numId w:val="73"/>
        </w:numPr>
        <w:ind w:left="426" w:hanging="284"/>
      </w:pPr>
      <w:r w:rsidRPr="00DF32D0">
        <w:t>That no vessels or any other water traffic (including canoes, kayaks, surf skis, rowboats or other human-powered vessels or aquatic toys) be moored, anchored, attached or secured in any way to any levee bank along the River Murray, including a floodplain.</w:t>
      </w:r>
    </w:p>
    <w:p w14:paraId="2C52B0A1" w14:textId="77777777" w:rsidR="00EB4F41" w:rsidRPr="00DF32D0" w:rsidRDefault="00EB4F41" w:rsidP="00EB4F41">
      <w:pPr>
        <w:pStyle w:val="GG-body"/>
        <w:rPr>
          <w:u w:val="single"/>
        </w:rPr>
      </w:pPr>
      <w:r w:rsidRPr="00DF32D0">
        <w:rPr>
          <w:u w:val="single"/>
        </w:rPr>
        <w:t xml:space="preserve">Definitions: </w:t>
      </w:r>
    </w:p>
    <w:p w14:paraId="7B4ED5DE" w14:textId="77777777" w:rsidR="00EB4F41" w:rsidRPr="00DF32D0" w:rsidRDefault="00EB4F41" w:rsidP="00EB4F41">
      <w:pPr>
        <w:pStyle w:val="GG-body"/>
        <w:rPr>
          <w:i/>
          <w:iCs/>
        </w:rPr>
      </w:pPr>
      <w:r w:rsidRPr="00DF32D0">
        <w:rPr>
          <w:i/>
          <w:iCs/>
        </w:rPr>
        <w:t xml:space="preserve">For the purposes of this Notice of Direction the following terms are defined as follows: </w:t>
      </w:r>
    </w:p>
    <w:p w14:paraId="1A6FAD7F" w14:textId="77777777" w:rsidR="00EB4F41" w:rsidRPr="00DF32D0" w:rsidRDefault="00EB4F41" w:rsidP="00EB4F41">
      <w:pPr>
        <w:pStyle w:val="GG-body"/>
        <w:ind w:left="142"/>
      </w:pPr>
      <w:r w:rsidRPr="00DF32D0">
        <w:rPr>
          <w:b/>
          <w:bCs/>
          <w:i/>
          <w:iCs/>
        </w:rPr>
        <w:t xml:space="preserve">Aquatic Toy </w:t>
      </w:r>
      <w:r w:rsidRPr="00DF32D0">
        <w:t>means:</w:t>
      </w:r>
      <w:r w:rsidRPr="00DF32D0">
        <w:rPr>
          <w:b/>
          <w:bCs/>
          <w:i/>
          <w:iCs/>
        </w:rPr>
        <w:t xml:space="preserve"> </w:t>
      </w:r>
      <w:r w:rsidRPr="00DF32D0">
        <w:t>a surfboard, sailboard, kite board or any other aid to swimming or fishing that is not primarily designed for navigation.</w:t>
      </w:r>
    </w:p>
    <w:p w14:paraId="495FA0C0" w14:textId="77777777" w:rsidR="00EB4F41" w:rsidRPr="00DF32D0" w:rsidRDefault="00EB4F41" w:rsidP="00EB4F41">
      <w:pPr>
        <w:pStyle w:val="GG-body"/>
        <w:ind w:left="142"/>
      </w:pPr>
      <w:r w:rsidRPr="00DF32D0">
        <w:rPr>
          <w:b/>
          <w:bCs/>
          <w:i/>
          <w:iCs/>
        </w:rPr>
        <w:t>Floodplain</w:t>
      </w:r>
      <w:r w:rsidRPr="00DF32D0">
        <w:t xml:space="preserve"> means: an area of flat or nearly flat land adjacent to the River Murray which stretches outwards from the banks of it’s channel, and which experiences flooding during periods of declared High Flow or Flood by the South Australian State Emergency Services.</w:t>
      </w:r>
    </w:p>
    <w:p w14:paraId="74A6C7C1" w14:textId="77777777" w:rsidR="00EB4F41" w:rsidRPr="00DF32D0" w:rsidRDefault="00EB4F41" w:rsidP="00EB4F41">
      <w:pPr>
        <w:pStyle w:val="GG-body"/>
        <w:ind w:left="142"/>
      </w:pPr>
      <w:r w:rsidRPr="00DF32D0">
        <w:rPr>
          <w:b/>
          <w:bCs/>
          <w:i/>
          <w:iCs/>
        </w:rPr>
        <w:t xml:space="preserve">Human-powered vessel </w:t>
      </w:r>
      <w:r w:rsidRPr="00DF32D0">
        <w:t>means: any vessel or craft that is not fitted with an engine or motor and is propelled by human force.</w:t>
      </w:r>
    </w:p>
    <w:p w14:paraId="3D4A276E" w14:textId="77777777" w:rsidR="00EB4F41" w:rsidRPr="00DF32D0" w:rsidRDefault="00EB4F41" w:rsidP="00EB4F41">
      <w:pPr>
        <w:pStyle w:val="GG-body"/>
        <w:ind w:left="142"/>
      </w:pPr>
      <w:r w:rsidRPr="00DF32D0">
        <w:rPr>
          <w:b/>
          <w:bCs/>
          <w:i/>
          <w:iCs/>
        </w:rPr>
        <w:t>Levee bank</w:t>
      </w:r>
      <w:r w:rsidRPr="00DF32D0">
        <w:t xml:space="preserve"> means: a human made structure built to contain, control or divert the flow of water in order to provide protection to towns, and/or agricultural land from flooding.</w:t>
      </w:r>
    </w:p>
    <w:p w14:paraId="60D78B97" w14:textId="77777777" w:rsidR="00EB4F41" w:rsidRPr="00DF32D0" w:rsidRDefault="00EB4F41" w:rsidP="00EB4F41">
      <w:pPr>
        <w:pStyle w:val="GG-body"/>
        <w:ind w:left="142"/>
      </w:pPr>
      <w:r w:rsidRPr="00DF32D0">
        <w:rPr>
          <w:b/>
          <w:bCs/>
          <w:i/>
          <w:iCs/>
        </w:rPr>
        <w:t>River Murray</w:t>
      </w:r>
      <w:r w:rsidRPr="00DF32D0">
        <w:t xml:space="preserve"> means: All creeks, tributaries, lakes, lagoons and other bodies of water connected to the River Murray between the border of South Australia and extending to the Murray Mouth, except a body of water that has been exempted.</w:t>
      </w:r>
    </w:p>
    <w:p w14:paraId="4812F785" w14:textId="77777777" w:rsidR="00EB4F41" w:rsidRPr="00DF32D0" w:rsidRDefault="00EB4F41" w:rsidP="00EB4F41">
      <w:pPr>
        <w:pStyle w:val="GG-body"/>
      </w:pPr>
      <w:r w:rsidRPr="00DF32D0">
        <w:t xml:space="preserve">This Notice of Direction is in operation during times of declared High Flow or Flood in the waters of the River Murray by the South Australian State Emergency Services or until varied or revoked by a subsequent Notice of Direction. </w:t>
      </w:r>
    </w:p>
    <w:p w14:paraId="1AAE9717" w14:textId="77777777" w:rsidR="00EB4F41" w:rsidRPr="00DF32D0" w:rsidRDefault="00EB4F41" w:rsidP="00EB4F41">
      <w:pPr>
        <w:pStyle w:val="GG-body"/>
      </w:pPr>
      <w:r w:rsidRPr="00DF32D0">
        <w:t xml:space="preserve">This Notice of Direction does not apply to any vessels operated by the South Australian Emergency Services or any other South Australian Government Department or Local Government (Councils) that are assisting with the emergency response effort during times of declared </w:t>
      </w:r>
      <w:r w:rsidRPr="00DF32D0">
        <w:lastRenderedPageBreak/>
        <w:t>High Flow or Flood in the waters of the River Murray by the South Australian State Emergency Services. This also includes any vessels operated by a volunteer organisation or association that may be providing assistance to any South Australian Emergency Services.</w:t>
      </w:r>
    </w:p>
    <w:p w14:paraId="36E704CE" w14:textId="77777777" w:rsidR="00EB4F41" w:rsidRPr="00DF32D0" w:rsidRDefault="00EB4F41" w:rsidP="00EB4F41">
      <w:pPr>
        <w:pStyle w:val="GG-body"/>
      </w:pPr>
      <w:r w:rsidRPr="00DF32D0">
        <w:t xml:space="preserve">All other provisions of the </w:t>
      </w:r>
      <w:r w:rsidRPr="00DF32D0">
        <w:rPr>
          <w:i/>
          <w:iCs/>
        </w:rPr>
        <w:t>Harbors and Navigation Act 1993</w:t>
      </w:r>
      <w:r w:rsidRPr="00DF32D0">
        <w:t xml:space="preserve"> and Regulations will continue to apply.</w:t>
      </w:r>
    </w:p>
    <w:p w14:paraId="57B01632" w14:textId="77777777" w:rsidR="00EB4F41" w:rsidRDefault="00EB4F41" w:rsidP="00EB4F41">
      <w:pPr>
        <w:pStyle w:val="GG-SDated"/>
      </w:pPr>
      <w:r w:rsidRPr="008C353F">
        <w:t>Dated</w:t>
      </w:r>
      <w:r>
        <w:t xml:space="preserve">: 7 December </w:t>
      </w:r>
      <w:r w:rsidRPr="008C353F">
        <w:t>2022</w:t>
      </w:r>
    </w:p>
    <w:p w14:paraId="19506152" w14:textId="77777777" w:rsidR="00EB4F41" w:rsidRPr="008C353F" w:rsidRDefault="00EB4F41" w:rsidP="00EB4F41">
      <w:pPr>
        <w:pStyle w:val="GG-SName"/>
      </w:pPr>
      <w:r w:rsidRPr="008C353F">
        <w:t>Emma Megan Kokar</w:t>
      </w:r>
    </w:p>
    <w:p w14:paraId="3BB24282" w14:textId="77777777" w:rsidR="00EB4F41" w:rsidRDefault="00EB4F41" w:rsidP="00EB4F41">
      <w:pPr>
        <w:pStyle w:val="GG-Signature"/>
      </w:pPr>
      <w:r w:rsidRPr="008C353F">
        <w:t>Delegate of the Minister for Infrastructure and Transport</w:t>
      </w:r>
    </w:p>
    <w:p w14:paraId="40AE4626" w14:textId="77777777" w:rsidR="00EB4F41" w:rsidRDefault="00EB4F41" w:rsidP="00EB4F41">
      <w:pPr>
        <w:pBdr>
          <w:top w:val="single" w:sz="4" w:space="1" w:color="auto"/>
        </w:pBdr>
        <w:spacing w:before="100" w:after="0" w:line="14" w:lineRule="exact"/>
        <w:jc w:val="center"/>
        <w:rPr>
          <w:rFonts w:eastAsia="Times New Roman"/>
          <w:szCs w:val="17"/>
        </w:rPr>
      </w:pPr>
    </w:p>
    <w:p w14:paraId="53783094" w14:textId="6BAFE9E9" w:rsidR="00480FA5" w:rsidRDefault="00480FA5" w:rsidP="00965F17">
      <w:pPr>
        <w:pStyle w:val="GG-body"/>
        <w:spacing w:after="0"/>
        <w:rPr>
          <w:lang w:val="en-US"/>
        </w:rPr>
      </w:pPr>
    </w:p>
    <w:p w14:paraId="1C3BBFD9" w14:textId="77777777" w:rsidR="00EB4F41" w:rsidRDefault="00EB4F41" w:rsidP="00EB4F41">
      <w:pPr>
        <w:pStyle w:val="GG-Title1"/>
      </w:pPr>
      <w:r w:rsidRPr="008C353F">
        <w:t>Harbors and Navigation Act 1993</w:t>
      </w:r>
    </w:p>
    <w:p w14:paraId="3B3BA44D" w14:textId="77777777" w:rsidR="00EB4F41" w:rsidRDefault="00EB4F41" w:rsidP="00EB4F41">
      <w:pPr>
        <w:pStyle w:val="GG-Title2"/>
      </w:pPr>
      <w:r w:rsidRPr="008C353F">
        <w:t>Section 67</w:t>
      </w:r>
    </w:p>
    <w:p w14:paraId="7A1AE7D9" w14:textId="77777777" w:rsidR="00EB4F41" w:rsidRPr="009A4B54" w:rsidRDefault="00EB4F41" w:rsidP="00EB4F41">
      <w:pPr>
        <w:pStyle w:val="GG-Title2"/>
      </w:pPr>
      <w:r w:rsidRPr="009A4B54">
        <w:t xml:space="preserve">Notice of Direction—No. </w:t>
      </w:r>
      <w:r>
        <w:t>5</w:t>
      </w:r>
      <w:r w:rsidRPr="009A4B54">
        <w:t xml:space="preserve"> of 2022</w:t>
      </w:r>
    </w:p>
    <w:p w14:paraId="753D73C7" w14:textId="77777777" w:rsidR="00EB4F41" w:rsidRPr="00DF32D0" w:rsidRDefault="00EB4F41" w:rsidP="00EB4F41">
      <w:pPr>
        <w:pStyle w:val="GG-Title3"/>
        <w:rPr>
          <w:bCs/>
        </w:rPr>
      </w:pPr>
      <w:r w:rsidRPr="00144465">
        <w:rPr>
          <w:bCs/>
        </w:rPr>
        <w:t>Ban on Vessel Activity—River Murray</w:t>
      </w:r>
    </w:p>
    <w:p w14:paraId="518F948D" w14:textId="77777777" w:rsidR="00EB4F41" w:rsidRPr="00DF32D0" w:rsidRDefault="00EB4F41" w:rsidP="00EB4F41">
      <w:pPr>
        <w:pStyle w:val="GG-body"/>
      </w:pPr>
      <w:r w:rsidRPr="00144465">
        <w:t xml:space="preserve">I, </w:t>
      </w:r>
      <w:r w:rsidRPr="00144465">
        <w:rPr>
          <w:b/>
        </w:rPr>
        <w:t>EMMA MEGAN KOKAR</w:t>
      </w:r>
      <w:r w:rsidRPr="00144465">
        <w:t xml:space="preserve">, Executive Director, Road and Marine Services Division of the Department for Infrastructure and Transport, delegate of the Minister for Infrastructure and Transport in the State of South Australia in accordance with section 11 of the </w:t>
      </w:r>
      <w:r w:rsidRPr="00144465">
        <w:rPr>
          <w:i/>
        </w:rPr>
        <w:t xml:space="preserve">Harbors and Navigation Act 1993 </w:t>
      </w:r>
      <w:r w:rsidRPr="00144465">
        <w:t>(the Act)</w:t>
      </w:r>
      <w:r w:rsidRPr="00144465">
        <w:rPr>
          <w:i/>
        </w:rPr>
        <w:t xml:space="preserve">, </w:t>
      </w:r>
      <w:r w:rsidRPr="00144465">
        <w:t>and pursuant to section 67 of the Act,</w:t>
      </w:r>
      <w:r w:rsidRPr="00144465">
        <w:rPr>
          <w:b/>
        </w:rPr>
        <w:t xml:space="preserve"> do hereby direct </w:t>
      </w:r>
      <w:r w:rsidRPr="00144465">
        <w:t>the following in the waters of the River Murray</w:t>
      </w:r>
      <w:r w:rsidRPr="00DF32D0">
        <w:t xml:space="preserve">: </w:t>
      </w:r>
    </w:p>
    <w:p w14:paraId="0C42B76C" w14:textId="77777777" w:rsidR="00EB4F41" w:rsidRPr="00144465" w:rsidRDefault="00EB4F41" w:rsidP="009B29CF">
      <w:pPr>
        <w:pStyle w:val="GG-body"/>
        <w:numPr>
          <w:ilvl w:val="0"/>
          <w:numId w:val="75"/>
        </w:numPr>
        <w:ind w:left="426" w:hanging="284"/>
      </w:pPr>
      <w:r w:rsidRPr="00144465">
        <w:t xml:space="preserve">That no motorised vessels be operated the River Murray. </w:t>
      </w:r>
    </w:p>
    <w:p w14:paraId="768367AC" w14:textId="77777777" w:rsidR="00EB4F41" w:rsidRPr="00144465" w:rsidRDefault="00EB4F41" w:rsidP="009B29CF">
      <w:pPr>
        <w:pStyle w:val="GG-body"/>
        <w:numPr>
          <w:ilvl w:val="0"/>
          <w:numId w:val="75"/>
        </w:numPr>
        <w:ind w:left="426" w:hanging="284"/>
      </w:pPr>
      <w:r w:rsidRPr="00144465">
        <w:t>That no human-powered vessels or any other water traffic (including canoes, kayaks, surf skis, rowboats or aquatic toys) be operated on the River Murray.</w:t>
      </w:r>
    </w:p>
    <w:p w14:paraId="2A2D2F97" w14:textId="77777777" w:rsidR="00EB4F41" w:rsidRPr="00144465" w:rsidRDefault="00EB4F41" w:rsidP="009B29CF">
      <w:pPr>
        <w:pStyle w:val="GG-body"/>
        <w:numPr>
          <w:ilvl w:val="0"/>
          <w:numId w:val="75"/>
        </w:numPr>
        <w:ind w:left="426" w:hanging="284"/>
      </w:pPr>
      <w:r w:rsidRPr="00144465">
        <w:t>That no persons shall swim, bathe or dive in the River Murray.</w:t>
      </w:r>
    </w:p>
    <w:p w14:paraId="2287824F" w14:textId="77777777" w:rsidR="00EB4F41" w:rsidRPr="00DF32D0" w:rsidRDefault="00EB4F41" w:rsidP="009B29CF">
      <w:pPr>
        <w:pStyle w:val="GG-body"/>
        <w:numPr>
          <w:ilvl w:val="0"/>
          <w:numId w:val="75"/>
        </w:numPr>
        <w:ind w:left="426" w:hanging="284"/>
      </w:pPr>
      <w:r w:rsidRPr="00144465">
        <w:t>That no persons shall undertake any fishing activity or place or leave any fishing apparatus (including any net, drum net, hoop net, mesh net, set line, shrimp trap and yabbie pot) in the River Murray</w:t>
      </w:r>
      <w:r w:rsidRPr="00DF32D0">
        <w:t>.</w:t>
      </w:r>
    </w:p>
    <w:p w14:paraId="439ECAFE" w14:textId="77777777" w:rsidR="00EB4F41" w:rsidRPr="00144465" w:rsidRDefault="00EB4F41" w:rsidP="00EB4F41">
      <w:pPr>
        <w:pStyle w:val="GG-body"/>
        <w:rPr>
          <w:i/>
          <w:iCs/>
        </w:rPr>
      </w:pPr>
      <w:r w:rsidRPr="00144465">
        <w:rPr>
          <w:i/>
          <w:iCs/>
        </w:rPr>
        <w:t xml:space="preserve">Definitions: </w:t>
      </w:r>
    </w:p>
    <w:p w14:paraId="3DDE5840" w14:textId="77777777" w:rsidR="00EB4F41" w:rsidRPr="00DF32D0" w:rsidRDefault="00EB4F41" w:rsidP="00EB4F41">
      <w:pPr>
        <w:pStyle w:val="GG-body"/>
        <w:ind w:left="142"/>
        <w:rPr>
          <w:i/>
          <w:iCs/>
        </w:rPr>
      </w:pPr>
      <w:r w:rsidRPr="00DF32D0">
        <w:rPr>
          <w:i/>
          <w:iCs/>
        </w:rPr>
        <w:t xml:space="preserve">For the purposes of this Notice of Direction the following terms are defined as follows: </w:t>
      </w:r>
    </w:p>
    <w:p w14:paraId="15EC7142" w14:textId="77777777" w:rsidR="00EB4F41" w:rsidRPr="00144465" w:rsidRDefault="00EB4F41" w:rsidP="00EB4F41">
      <w:pPr>
        <w:autoSpaceDE w:val="0"/>
        <w:autoSpaceDN w:val="0"/>
        <w:adjustRightInd w:val="0"/>
        <w:ind w:left="284"/>
        <w:rPr>
          <w:rFonts w:eastAsia="Times New Roman"/>
          <w:szCs w:val="17"/>
        </w:rPr>
      </w:pPr>
      <w:bookmarkStart w:id="44" w:name="_Hlk122533328"/>
      <w:r w:rsidRPr="00144465">
        <w:rPr>
          <w:rFonts w:eastAsia="Times New Roman"/>
          <w:b/>
          <w:bCs/>
          <w:i/>
          <w:iCs/>
          <w:szCs w:val="17"/>
        </w:rPr>
        <w:t xml:space="preserve">Aquatic Toy </w:t>
      </w:r>
      <w:r w:rsidRPr="00144465">
        <w:rPr>
          <w:rFonts w:eastAsia="Times New Roman"/>
          <w:szCs w:val="17"/>
        </w:rPr>
        <w:t>means:</w:t>
      </w:r>
      <w:r w:rsidRPr="00144465">
        <w:rPr>
          <w:rFonts w:eastAsia="Times New Roman"/>
          <w:b/>
          <w:bCs/>
          <w:i/>
          <w:iCs/>
          <w:szCs w:val="17"/>
        </w:rPr>
        <w:t xml:space="preserve"> </w:t>
      </w:r>
      <w:r w:rsidRPr="00144465">
        <w:rPr>
          <w:rFonts w:eastAsia="Times New Roman"/>
          <w:szCs w:val="17"/>
        </w:rPr>
        <w:t>a surfboard, sailboard, kite board or any other aid to swimming or fishing that is not primarily designed for navigation.</w:t>
      </w:r>
    </w:p>
    <w:p w14:paraId="2AC1BAEF" w14:textId="77777777" w:rsidR="00EB4F41" w:rsidRPr="00144465" w:rsidRDefault="00EB4F41" w:rsidP="00EB4F41">
      <w:pPr>
        <w:autoSpaceDE w:val="0"/>
        <w:autoSpaceDN w:val="0"/>
        <w:adjustRightInd w:val="0"/>
        <w:ind w:left="284"/>
        <w:rPr>
          <w:rFonts w:eastAsia="Times New Roman"/>
          <w:szCs w:val="17"/>
        </w:rPr>
      </w:pPr>
      <w:r w:rsidRPr="00144465">
        <w:rPr>
          <w:rFonts w:eastAsia="Times New Roman"/>
          <w:b/>
          <w:bCs/>
          <w:i/>
          <w:iCs/>
          <w:szCs w:val="17"/>
        </w:rPr>
        <w:t>Drop net</w:t>
      </w:r>
      <w:r w:rsidRPr="00144465">
        <w:rPr>
          <w:rFonts w:eastAsia="Times New Roman"/>
          <w:szCs w:val="17"/>
        </w:rPr>
        <w:t xml:space="preserve">, </w:t>
      </w:r>
      <w:r w:rsidRPr="00144465">
        <w:rPr>
          <w:rFonts w:eastAsia="Times New Roman"/>
          <w:b/>
          <w:bCs/>
          <w:i/>
          <w:iCs/>
          <w:szCs w:val="17"/>
        </w:rPr>
        <w:t>drum net</w:t>
      </w:r>
      <w:r w:rsidRPr="00144465">
        <w:rPr>
          <w:rFonts w:eastAsia="Times New Roman"/>
          <w:szCs w:val="17"/>
        </w:rPr>
        <w:t xml:space="preserve">, </w:t>
      </w:r>
      <w:r w:rsidRPr="00144465">
        <w:rPr>
          <w:rFonts w:eastAsia="Times New Roman"/>
          <w:b/>
          <w:bCs/>
          <w:i/>
          <w:iCs/>
          <w:szCs w:val="17"/>
        </w:rPr>
        <w:t>hoop net</w:t>
      </w:r>
      <w:r w:rsidRPr="00144465">
        <w:rPr>
          <w:rFonts w:eastAsia="Times New Roman"/>
          <w:szCs w:val="17"/>
        </w:rPr>
        <w:t xml:space="preserve">, </w:t>
      </w:r>
      <w:r w:rsidRPr="00144465">
        <w:rPr>
          <w:rFonts w:eastAsia="Times New Roman"/>
          <w:b/>
          <w:bCs/>
          <w:i/>
          <w:iCs/>
          <w:szCs w:val="17"/>
        </w:rPr>
        <w:t>mesh net</w:t>
      </w:r>
      <w:r w:rsidRPr="00144465">
        <w:rPr>
          <w:rFonts w:eastAsia="Times New Roman"/>
          <w:szCs w:val="17"/>
        </w:rPr>
        <w:t xml:space="preserve">, </w:t>
      </w:r>
      <w:r w:rsidRPr="00144465">
        <w:rPr>
          <w:rFonts w:eastAsia="Times New Roman"/>
          <w:b/>
          <w:bCs/>
          <w:i/>
          <w:iCs/>
          <w:szCs w:val="17"/>
        </w:rPr>
        <w:t>set line</w:t>
      </w:r>
      <w:r w:rsidRPr="00144465">
        <w:rPr>
          <w:rFonts w:eastAsia="Times New Roman"/>
          <w:szCs w:val="17"/>
        </w:rPr>
        <w:t xml:space="preserve">, </w:t>
      </w:r>
      <w:r w:rsidRPr="00144465">
        <w:rPr>
          <w:rFonts w:eastAsia="Times New Roman"/>
          <w:b/>
          <w:bCs/>
          <w:i/>
          <w:iCs/>
          <w:szCs w:val="17"/>
        </w:rPr>
        <w:t>shrimp trap</w:t>
      </w:r>
      <w:r w:rsidRPr="00144465">
        <w:rPr>
          <w:rFonts w:eastAsia="Times New Roman"/>
          <w:szCs w:val="17"/>
        </w:rPr>
        <w:t xml:space="preserve"> and </w:t>
      </w:r>
      <w:r w:rsidRPr="00144465">
        <w:rPr>
          <w:rFonts w:eastAsia="Times New Roman"/>
          <w:b/>
          <w:bCs/>
          <w:i/>
          <w:iCs/>
          <w:szCs w:val="17"/>
        </w:rPr>
        <w:t>yabbie pot</w:t>
      </w:r>
      <w:r w:rsidRPr="00144465">
        <w:rPr>
          <w:rFonts w:eastAsia="Times New Roman"/>
          <w:szCs w:val="17"/>
        </w:rPr>
        <w:t xml:space="preserve"> have the same meanings as in the </w:t>
      </w:r>
      <w:r w:rsidRPr="00144465">
        <w:rPr>
          <w:rFonts w:eastAsia="Times New Roman"/>
          <w:i/>
          <w:iCs/>
          <w:szCs w:val="17"/>
        </w:rPr>
        <w:t>Fisheries Management Act 2007.</w:t>
      </w:r>
    </w:p>
    <w:p w14:paraId="652D2103" w14:textId="77777777" w:rsidR="00EB4F41" w:rsidRPr="00144465" w:rsidRDefault="00EB4F41" w:rsidP="00EB4F41">
      <w:pPr>
        <w:ind w:left="284"/>
        <w:jc w:val="left"/>
        <w:rPr>
          <w:rFonts w:eastAsia="Times New Roman"/>
          <w:szCs w:val="17"/>
        </w:rPr>
      </w:pPr>
      <w:r w:rsidRPr="00144465">
        <w:rPr>
          <w:rFonts w:eastAsia="Times New Roman"/>
          <w:b/>
          <w:bCs/>
          <w:i/>
          <w:iCs/>
          <w:szCs w:val="17"/>
        </w:rPr>
        <w:t>Fishing apparatus</w:t>
      </w:r>
      <w:r w:rsidRPr="00144465">
        <w:rPr>
          <w:rFonts w:eastAsia="Times New Roman"/>
          <w:szCs w:val="17"/>
        </w:rPr>
        <w:t xml:space="preserve"> means an implement, apparatus, device or substance for taking or facilitating the taking of an aquatic resource (within the meaning of the </w:t>
      </w:r>
      <w:r w:rsidRPr="00144465">
        <w:rPr>
          <w:rFonts w:eastAsia="Times New Roman"/>
          <w:i/>
          <w:iCs/>
          <w:szCs w:val="17"/>
        </w:rPr>
        <w:t>Fisheries Management Act 2007</w:t>
      </w:r>
      <w:r w:rsidRPr="00144465">
        <w:rPr>
          <w:rFonts w:eastAsia="Times New Roman"/>
          <w:szCs w:val="17"/>
        </w:rPr>
        <w:t>).</w:t>
      </w:r>
    </w:p>
    <w:p w14:paraId="0F586727" w14:textId="77777777" w:rsidR="00EB4F41" w:rsidRPr="00144465" w:rsidRDefault="00EB4F41" w:rsidP="00EB4F41">
      <w:pPr>
        <w:ind w:left="284"/>
        <w:jc w:val="left"/>
        <w:rPr>
          <w:rFonts w:eastAsia="Times New Roman"/>
          <w:szCs w:val="17"/>
        </w:rPr>
      </w:pPr>
      <w:r w:rsidRPr="00144465">
        <w:rPr>
          <w:rFonts w:eastAsia="Times New Roman"/>
          <w:b/>
          <w:bCs/>
          <w:i/>
          <w:iCs/>
          <w:szCs w:val="17"/>
        </w:rPr>
        <w:t xml:space="preserve">Human-powered vessel </w:t>
      </w:r>
      <w:r w:rsidRPr="00144465">
        <w:rPr>
          <w:rFonts w:eastAsia="Times New Roman"/>
          <w:szCs w:val="17"/>
        </w:rPr>
        <w:t>means: any vessel or craft that is not fitted with an engine or motor and is propelled by human force.</w:t>
      </w:r>
    </w:p>
    <w:p w14:paraId="4D7A0EB2" w14:textId="77777777" w:rsidR="00EB4F41" w:rsidRPr="00144465" w:rsidRDefault="00EB4F41" w:rsidP="00EB4F41">
      <w:pPr>
        <w:ind w:left="284"/>
        <w:jc w:val="left"/>
        <w:rPr>
          <w:rFonts w:eastAsia="Times New Roman"/>
          <w:szCs w:val="17"/>
        </w:rPr>
      </w:pPr>
      <w:r w:rsidRPr="00144465">
        <w:rPr>
          <w:rFonts w:eastAsia="Times New Roman"/>
          <w:b/>
          <w:bCs/>
          <w:i/>
          <w:iCs/>
          <w:szCs w:val="17"/>
        </w:rPr>
        <w:t>Motorised vessel</w:t>
      </w:r>
      <w:r w:rsidRPr="00144465">
        <w:rPr>
          <w:rFonts w:eastAsia="Times New Roman"/>
          <w:szCs w:val="17"/>
        </w:rPr>
        <w:t xml:space="preserve"> means: a vessel fitted with, and powered or propelled by, an engine or a motor.</w:t>
      </w:r>
    </w:p>
    <w:p w14:paraId="5E92A019" w14:textId="77777777" w:rsidR="00EB4F41" w:rsidRDefault="00EB4F41" w:rsidP="00EB4F41">
      <w:pPr>
        <w:pStyle w:val="GG-body"/>
        <w:ind w:left="284"/>
      </w:pPr>
      <w:r w:rsidRPr="00144465">
        <w:rPr>
          <w:b/>
          <w:bCs/>
          <w:i/>
          <w:iCs/>
        </w:rPr>
        <w:t>River Murray</w:t>
      </w:r>
      <w:r w:rsidRPr="00144465">
        <w:t xml:space="preserve"> means: All creeks, tributaries, lakes, lagoons and other bodies of water connected to the River Murray between the border of South Australia and a line joining the upstream sides of the landings used by the ferry at Wellington, except all the waters of Lake Bonney and any other body of water that has been exempted.</w:t>
      </w:r>
      <w:bookmarkEnd w:id="44"/>
    </w:p>
    <w:p w14:paraId="3A14CC54" w14:textId="77777777" w:rsidR="00EB4F41" w:rsidRPr="00DF32D0" w:rsidRDefault="00EB4F41" w:rsidP="00EB4F41">
      <w:pPr>
        <w:pStyle w:val="GG-body"/>
        <w:ind w:left="284"/>
      </w:pPr>
      <w:r w:rsidRPr="00144465">
        <w:rPr>
          <w:b/>
          <w:bCs/>
          <w:i/>
          <w:iCs/>
        </w:rPr>
        <w:t>Work-Related</w:t>
      </w:r>
      <w:r w:rsidRPr="00144465">
        <w:t xml:space="preserve"> means: any work required to be undertaken in the course of a person’s employment or from which the person derives a source of income</w:t>
      </w:r>
      <w:r>
        <w:t>.</w:t>
      </w:r>
    </w:p>
    <w:p w14:paraId="4AEF85E9" w14:textId="77777777" w:rsidR="00EB4F41" w:rsidRPr="00772641" w:rsidRDefault="00EB4F41" w:rsidP="00EB4F41">
      <w:pPr>
        <w:pStyle w:val="GG-body"/>
      </w:pPr>
      <w:r w:rsidRPr="00772641">
        <w:t xml:space="preserve">This Notice of Direction is in operation during times of declared High Flow or Flood in the waters of the River Murray by the South Australian State Emergency Services or until varied or revoked by a subsequent Notice of Direction. </w:t>
      </w:r>
    </w:p>
    <w:p w14:paraId="61F11BDA" w14:textId="77777777" w:rsidR="00EB4F41" w:rsidRPr="00772641" w:rsidRDefault="00EB4F41" w:rsidP="00EB4F41">
      <w:pPr>
        <w:pStyle w:val="GG-body"/>
      </w:pPr>
      <w:r w:rsidRPr="00772641">
        <w:t xml:space="preserve">This Notice of Direction does not apply to any vessel activity on the River Murray that is reasonably required and used in conjunction with any: </w:t>
      </w:r>
    </w:p>
    <w:p w14:paraId="79C65CB9" w14:textId="77777777" w:rsidR="00EB4F41" w:rsidRPr="00772641" w:rsidRDefault="00EB4F41" w:rsidP="009B29CF">
      <w:pPr>
        <w:pStyle w:val="GG-body"/>
        <w:numPr>
          <w:ilvl w:val="0"/>
          <w:numId w:val="74"/>
        </w:numPr>
        <w:spacing w:after="0"/>
      </w:pPr>
      <w:r w:rsidRPr="00772641">
        <w:t xml:space="preserve">Work-related purpose; </w:t>
      </w:r>
    </w:p>
    <w:p w14:paraId="49E01FF0" w14:textId="77777777" w:rsidR="00EB4F41" w:rsidRPr="00772641" w:rsidRDefault="00EB4F41" w:rsidP="009B29CF">
      <w:pPr>
        <w:pStyle w:val="GG-body"/>
        <w:numPr>
          <w:ilvl w:val="0"/>
          <w:numId w:val="74"/>
        </w:numPr>
        <w:spacing w:after="0"/>
      </w:pPr>
      <w:r w:rsidRPr="00772641">
        <w:t xml:space="preserve">access to any food, drinking water, medical assistance, aids or supplies; </w:t>
      </w:r>
    </w:p>
    <w:p w14:paraId="36362868" w14:textId="77777777" w:rsidR="00EB4F41" w:rsidRPr="00772641" w:rsidRDefault="00EB4F41" w:rsidP="009B29CF">
      <w:pPr>
        <w:pStyle w:val="GG-body"/>
        <w:numPr>
          <w:ilvl w:val="0"/>
          <w:numId w:val="74"/>
        </w:numPr>
        <w:spacing w:after="0"/>
      </w:pPr>
      <w:r w:rsidRPr="00772641">
        <w:t>access to any emergency aids or supplies (including sandbag);</w:t>
      </w:r>
    </w:p>
    <w:p w14:paraId="56B8FF0A" w14:textId="77777777" w:rsidR="00EB4F41" w:rsidRPr="00772641" w:rsidRDefault="00EB4F41" w:rsidP="009B29CF">
      <w:pPr>
        <w:pStyle w:val="GG-body"/>
        <w:numPr>
          <w:ilvl w:val="0"/>
          <w:numId w:val="74"/>
        </w:numPr>
        <w:spacing w:after="0"/>
      </w:pPr>
      <w:r w:rsidRPr="00772641">
        <w:t xml:space="preserve">access to fuel (petrol, diesel, liquid petroleum gas or any other fuel etc); </w:t>
      </w:r>
    </w:p>
    <w:p w14:paraId="121CF3A2" w14:textId="77777777" w:rsidR="00EB4F41" w:rsidRPr="00772641" w:rsidRDefault="00EB4F41" w:rsidP="009B29CF">
      <w:pPr>
        <w:pStyle w:val="GG-body"/>
        <w:numPr>
          <w:ilvl w:val="0"/>
          <w:numId w:val="74"/>
        </w:numPr>
        <w:spacing w:after="0"/>
      </w:pPr>
      <w:r w:rsidRPr="00772641">
        <w:t>access to property;</w:t>
      </w:r>
    </w:p>
    <w:p w14:paraId="7BBB4EE3" w14:textId="77777777" w:rsidR="00EB4F41" w:rsidRPr="00772641" w:rsidRDefault="00EB4F41" w:rsidP="009B29CF">
      <w:pPr>
        <w:pStyle w:val="GG-body"/>
        <w:numPr>
          <w:ilvl w:val="0"/>
          <w:numId w:val="74"/>
        </w:numPr>
      </w:pPr>
      <w:r w:rsidRPr="00772641">
        <w:t>need to render emergency assistance or reduce risk to life and injury to persons, animals or property.</w:t>
      </w:r>
    </w:p>
    <w:p w14:paraId="5BCE4DC7" w14:textId="77777777" w:rsidR="00EB4F41" w:rsidRDefault="00EB4F41" w:rsidP="00EB4F41">
      <w:pPr>
        <w:pStyle w:val="GG-body"/>
      </w:pPr>
      <w:r w:rsidRPr="00772641">
        <w:t>This Notice of Direction does not apply to any vessels operated by the South Australian Emergency Services or any other South Australian Government Department or Local Government (Councils) that are assisting with the emergency response effort during times of declared High Flow or Flood in the waters of the River Murray by the South Australian State Emergency Services. This also includes any vessels operated by a volunteer organisation or association that may be providing assistance to any South Australian Emergency Services</w:t>
      </w:r>
      <w:r w:rsidRPr="00DF32D0">
        <w:t>.</w:t>
      </w:r>
    </w:p>
    <w:p w14:paraId="148ABA1D" w14:textId="77777777" w:rsidR="00EB4F41" w:rsidRPr="00DF32D0" w:rsidRDefault="00EB4F41" w:rsidP="00EB4F41">
      <w:pPr>
        <w:pStyle w:val="GG-body"/>
      </w:pPr>
      <w:r>
        <w:t xml:space="preserve">All other provisions of the </w:t>
      </w:r>
      <w:r>
        <w:rPr>
          <w:i/>
          <w:iCs/>
        </w:rPr>
        <w:t>Harbors and Navigation Act 1993</w:t>
      </w:r>
      <w:r>
        <w:t xml:space="preserve"> and Regulations will continue to apply.</w:t>
      </w:r>
    </w:p>
    <w:p w14:paraId="2912B6D0" w14:textId="77777777" w:rsidR="00EB4F41" w:rsidRDefault="00EB4F41" w:rsidP="00EB4F41">
      <w:pPr>
        <w:pStyle w:val="GG-SDated"/>
      </w:pPr>
      <w:r w:rsidRPr="008C353F">
        <w:t>Dated</w:t>
      </w:r>
      <w:r>
        <w:t xml:space="preserve">: 20 December </w:t>
      </w:r>
      <w:r w:rsidRPr="008C353F">
        <w:t>2022</w:t>
      </w:r>
    </w:p>
    <w:p w14:paraId="4DFC1FF4" w14:textId="77777777" w:rsidR="00EB4F41" w:rsidRPr="008C353F" w:rsidRDefault="00EB4F41" w:rsidP="00EB4F41">
      <w:pPr>
        <w:pStyle w:val="GG-SName"/>
      </w:pPr>
      <w:r w:rsidRPr="008C353F">
        <w:t>Emma Megan Kokar</w:t>
      </w:r>
    </w:p>
    <w:p w14:paraId="41F0FB49" w14:textId="7FA31F35" w:rsidR="00EB4F41" w:rsidRDefault="00EB4F41" w:rsidP="00EB4F41">
      <w:pPr>
        <w:pStyle w:val="GG-Signature"/>
      </w:pPr>
      <w:r w:rsidRPr="008C353F">
        <w:t>Delegate of the Minister for Infrastructure and Transport</w:t>
      </w:r>
    </w:p>
    <w:p w14:paraId="2FF1210D" w14:textId="508DBFAC" w:rsidR="00EB4F41" w:rsidRDefault="00EB4F41" w:rsidP="00EB4F41">
      <w:pPr>
        <w:pStyle w:val="GG-Signature"/>
        <w:pBdr>
          <w:bottom w:val="single" w:sz="4" w:space="1" w:color="auto"/>
        </w:pBdr>
        <w:spacing w:line="52" w:lineRule="exact"/>
        <w:jc w:val="center"/>
      </w:pPr>
    </w:p>
    <w:p w14:paraId="68FEFC0E" w14:textId="1918855F" w:rsidR="00EB4F41" w:rsidRDefault="00EB4F41" w:rsidP="00EB4F41">
      <w:pPr>
        <w:pStyle w:val="GG-Signature"/>
        <w:pBdr>
          <w:top w:val="single" w:sz="4" w:space="1" w:color="auto"/>
        </w:pBdr>
        <w:spacing w:before="34" w:line="14" w:lineRule="exact"/>
        <w:jc w:val="center"/>
      </w:pPr>
    </w:p>
    <w:p w14:paraId="56AD7DCA" w14:textId="7F3FC08D" w:rsidR="00EB4F41" w:rsidRDefault="00EB4F41" w:rsidP="00965F17">
      <w:pPr>
        <w:pStyle w:val="GG-body"/>
        <w:spacing w:after="0"/>
        <w:rPr>
          <w:lang w:val="en-US"/>
        </w:rPr>
      </w:pPr>
    </w:p>
    <w:p w14:paraId="1310827D" w14:textId="77777777" w:rsidR="00EB4F41" w:rsidRPr="00EB4F41" w:rsidRDefault="00EB4F41" w:rsidP="00392842">
      <w:pPr>
        <w:pStyle w:val="Heading2"/>
        <w:rPr>
          <w:rFonts w:eastAsia="Times New Roman"/>
        </w:rPr>
      </w:pPr>
      <w:bookmarkStart w:id="45" w:name="_Toc122600837"/>
      <w:bookmarkStart w:id="46" w:name="_Hlk115267185"/>
      <w:r w:rsidRPr="00EB4F41">
        <w:t>Housing Improvement Act 2016</w:t>
      </w:r>
      <w:bookmarkEnd w:id="45"/>
    </w:p>
    <w:p w14:paraId="7B6AB446" w14:textId="77777777" w:rsidR="00EB4F41" w:rsidRPr="00EB4F41" w:rsidRDefault="00EB4F41" w:rsidP="00EB4F41">
      <w:pPr>
        <w:jc w:val="center"/>
        <w:rPr>
          <w:i/>
          <w:szCs w:val="17"/>
          <w:lang w:val="en-US"/>
        </w:rPr>
      </w:pPr>
      <w:r w:rsidRPr="00EB4F41">
        <w:rPr>
          <w:i/>
          <w:szCs w:val="17"/>
          <w:lang w:val="en-US"/>
        </w:rPr>
        <w:t>Rent Control Revocations</w:t>
      </w:r>
    </w:p>
    <w:p w14:paraId="4792CA7B" w14:textId="09424113" w:rsidR="00EB4F41" w:rsidRDefault="00EB4F41" w:rsidP="00EB4F41">
      <w:pPr>
        <w:rPr>
          <w:rFonts w:eastAsia="Times New Roman"/>
          <w:szCs w:val="17"/>
          <w:lang w:val="en-US"/>
        </w:rPr>
      </w:pPr>
      <w:r w:rsidRPr="00EB4F41">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EB4F41">
        <w:rPr>
          <w:rFonts w:eastAsia="Times New Roman"/>
          <w:i/>
          <w:szCs w:val="17"/>
          <w:lang w:val="en-US"/>
        </w:rPr>
        <w:t>Housing Improvement Act 2016</w:t>
      </w:r>
      <w:r w:rsidRPr="00EB4F41">
        <w:rPr>
          <w:rFonts w:eastAsia="Times New Roman"/>
          <w:szCs w:val="17"/>
          <w:lang w:val="en-US"/>
        </w:rPr>
        <w:t>, notice is hereby given that, in exercise of the powers conferred by the said Act, the Minister for Human Services Delegate does hereby revoke the said Rent Control in respect of each property.</w:t>
      </w:r>
    </w:p>
    <w:p w14:paraId="4DC71DFD" w14:textId="77777777" w:rsidR="00EB4F41" w:rsidRDefault="00EB4F41">
      <w:pPr>
        <w:spacing w:after="0" w:line="240" w:lineRule="auto"/>
        <w:jc w:val="left"/>
        <w:rPr>
          <w:rFonts w:eastAsia="Times New Roman"/>
          <w:szCs w:val="17"/>
          <w:lang w:val="en-US"/>
        </w:rPr>
      </w:pPr>
      <w:r>
        <w:rPr>
          <w:rFonts w:eastAsia="Times New Roman"/>
          <w:szCs w:val="17"/>
          <w:lang w:val="en-US"/>
        </w:rPr>
        <w:br w:type="page"/>
      </w:r>
    </w:p>
    <w:tbl>
      <w:tblPr>
        <w:tblW w:w="4976" w:type="pct"/>
        <w:tblInd w:w="75" w:type="dxa"/>
        <w:tblLayout w:type="fixed"/>
        <w:tblCellMar>
          <w:left w:w="0" w:type="dxa"/>
          <w:right w:w="0" w:type="dxa"/>
        </w:tblCellMar>
        <w:tblLook w:val="04A0" w:firstRow="1" w:lastRow="0" w:firstColumn="1" w:lastColumn="0" w:noHBand="0" w:noVBand="1"/>
      </w:tblPr>
      <w:tblGrid>
        <w:gridCol w:w="3325"/>
        <w:gridCol w:w="4392"/>
        <w:gridCol w:w="1592"/>
      </w:tblGrid>
      <w:tr w:rsidR="00EB4F41" w:rsidRPr="00EB4F41" w14:paraId="63BB5D57" w14:textId="77777777" w:rsidTr="00EB4F41">
        <w:trPr>
          <w:trHeight w:val="20"/>
        </w:trPr>
        <w:tc>
          <w:tcPr>
            <w:tcW w:w="3325" w:type="dxa"/>
            <w:tcBorders>
              <w:top w:val="single" w:sz="4" w:space="0" w:color="auto"/>
              <w:bottom w:val="single" w:sz="4" w:space="0" w:color="auto"/>
            </w:tcBorders>
            <w:tcMar>
              <w:top w:w="28" w:type="dxa"/>
              <w:left w:w="28" w:type="dxa"/>
              <w:bottom w:w="28" w:type="dxa"/>
              <w:right w:w="28" w:type="dxa"/>
            </w:tcMar>
            <w:vAlign w:val="center"/>
          </w:tcPr>
          <w:p w14:paraId="656E9DA2" w14:textId="77777777" w:rsidR="00EB4F41" w:rsidRPr="00EB4F41" w:rsidRDefault="00EB4F41" w:rsidP="00EB4F41">
            <w:pPr>
              <w:spacing w:before="100" w:beforeAutospacing="1" w:after="0"/>
              <w:jc w:val="center"/>
              <w:rPr>
                <w:rFonts w:eastAsia="Times New Roman"/>
                <w:b/>
                <w:szCs w:val="17"/>
                <w:lang w:val="en-US"/>
              </w:rPr>
            </w:pPr>
            <w:r w:rsidRPr="00EB4F41">
              <w:rPr>
                <w:rFonts w:eastAsia="Times New Roman"/>
                <w:b/>
                <w:szCs w:val="17"/>
                <w:lang w:val="en-US"/>
              </w:rPr>
              <w:lastRenderedPageBreak/>
              <w:t>Address of Premises</w:t>
            </w:r>
          </w:p>
        </w:tc>
        <w:tc>
          <w:tcPr>
            <w:tcW w:w="4392" w:type="dxa"/>
            <w:tcBorders>
              <w:top w:val="single" w:sz="4" w:space="0" w:color="auto"/>
              <w:bottom w:val="single" w:sz="4" w:space="0" w:color="auto"/>
            </w:tcBorders>
            <w:tcMar>
              <w:top w:w="28" w:type="dxa"/>
              <w:left w:w="28" w:type="dxa"/>
              <w:bottom w:w="28" w:type="dxa"/>
              <w:right w:w="28" w:type="dxa"/>
            </w:tcMar>
            <w:vAlign w:val="center"/>
          </w:tcPr>
          <w:p w14:paraId="5FA23E98" w14:textId="77777777" w:rsidR="00EB4F41" w:rsidRPr="00EB4F41" w:rsidRDefault="00EB4F41" w:rsidP="00EB4F41">
            <w:pPr>
              <w:spacing w:before="100" w:beforeAutospacing="1" w:after="0"/>
              <w:jc w:val="center"/>
              <w:rPr>
                <w:rFonts w:eastAsia="Times New Roman"/>
                <w:b/>
                <w:szCs w:val="17"/>
                <w:lang w:val="en-US"/>
              </w:rPr>
            </w:pPr>
            <w:r w:rsidRPr="00EB4F41">
              <w:rPr>
                <w:rFonts w:eastAsia="Times New Roman"/>
                <w:b/>
                <w:szCs w:val="17"/>
                <w:lang w:val="en-US"/>
              </w:rPr>
              <w:t xml:space="preserve">Allotment </w:t>
            </w:r>
            <w:r w:rsidRPr="00EB4F41">
              <w:rPr>
                <w:rFonts w:eastAsia="Times New Roman"/>
                <w:b/>
                <w:szCs w:val="17"/>
                <w:lang w:val="en-US"/>
              </w:rPr>
              <w:br/>
              <w:t>Section</w:t>
            </w:r>
          </w:p>
        </w:tc>
        <w:tc>
          <w:tcPr>
            <w:tcW w:w="1592" w:type="dxa"/>
            <w:tcBorders>
              <w:top w:val="single" w:sz="4" w:space="0" w:color="auto"/>
              <w:bottom w:val="single" w:sz="4" w:space="0" w:color="auto"/>
            </w:tcBorders>
            <w:tcMar>
              <w:top w:w="28" w:type="dxa"/>
              <w:left w:w="28" w:type="dxa"/>
              <w:bottom w:w="28" w:type="dxa"/>
              <w:right w:w="28" w:type="dxa"/>
            </w:tcMar>
            <w:vAlign w:val="center"/>
          </w:tcPr>
          <w:p w14:paraId="6E4838E3" w14:textId="77777777" w:rsidR="00EB4F41" w:rsidRPr="00EB4F41" w:rsidRDefault="00EB4F41" w:rsidP="00EB4F41">
            <w:pPr>
              <w:spacing w:before="100" w:beforeAutospacing="1" w:after="0"/>
              <w:jc w:val="center"/>
              <w:rPr>
                <w:rFonts w:eastAsia="Times New Roman"/>
                <w:b/>
                <w:szCs w:val="17"/>
                <w:u w:val="single"/>
                <w:lang w:val="en-US"/>
              </w:rPr>
            </w:pPr>
            <w:r w:rsidRPr="00EB4F41">
              <w:rPr>
                <w:rFonts w:eastAsia="Times New Roman"/>
                <w:b/>
                <w:szCs w:val="17"/>
                <w:u w:val="single"/>
                <w:lang w:val="en-US"/>
              </w:rPr>
              <w:t>Certificate of Title</w:t>
            </w:r>
            <w:r w:rsidRPr="00EB4F41">
              <w:rPr>
                <w:rFonts w:eastAsia="Times New Roman"/>
                <w:b/>
                <w:szCs w:val="17"/>
                <w:u w:val="single"/>
                <w:lang w:val="en-US"/>
              </w:rPr>
              <w:br/>
            </w:r>
            <w:r w:rsidRPr="00EB4F41">
              <w:rPr>
                <w:rFonts w:eastAsia="Times New Roman"/>
                <w:b/>
                <w:szCs w:val="17"/>
                <w:lang w:val="en-US"/>
              </w:rPr>
              <w:t>Volume Folio</w:t>
            </w:r>
          </w:p>
        </w:tc>
      </w:tr>
      <w:tr w:rsidR="00EB4F41" w:rsidRPr="00EB4F41" w14:paraId="1D1B55A0" w14:textId="77777777" w:rsidTr="00EB4F41">
        <w:trPr>
          <w:trHeight w:val="20"/>
        </w:trPr>
        <w:tc>
          <w:tcPr>
            <w:tcW w:w="3325" w:type="dxa"/>
            <w:tcBorders>
              <w:top w:val="single" w:sz="4" w:space="0" w:color="auto"/>
            </w:tcBorders>
            <w:tcMar>
              <w:top w:w="28" w:type="dxa"/>
              <w:left w:w="28" w:type="dxa"/>
              <w:bottom w:w="28" w:type="dxa"/>
              <w:right w:w="28" w:type="dxa"/>
            </w:tcMar>
          </w:tcPr>
          <w:p w14:paraId="25F8BCA2" w14:textId="77777777" w:rsidR="00EB4F41" w:rsidRPr="00EB4F41" w:rsidRDefault="00EB4F41" w:rsidP="00EB4F41">
            <w:pPr>
              <w:spacing w:before="40" w:after="40"/>
              <w:ind w:left="143" w:hanging="175"/>
              <w:jc w:val="left"/>
              <w:rPr>
                <w:szCs w:val="17"/>
              </w:rPr>
            </w:pPr>
            <w:r w:rsidRPr="00EB4F41">
              <w:rPr>
                <w:szCs w:val="17"/>
              </w:rPr>
              <w:t xml:space="preserve">27 Fourth ST, Quorn SA 5433 </w:t>
            </w:r>
          </w:p>
        </w:tc>
        <w:tc>
          <w:tcPr>
            <w:tcW w:w="4392" w:type="dxa"/>
            <w:tcBorders>
              <w:top w:val="single" w:sz="4" w:space="0" w:color="auto"/>
            </w:tcBorders>
            <w:tcMar>
              <w:top w:w="28" w:type="dxa"/>
              <w:left w:w="28" w:type="dxa"/>
              <w:bottom w:w="28" w:type="dxa"/>
              <w:right w:w="28" w:type="dxa"/>
            </w:tcMar>
          </w:tcPr>
          <w:p w14:paraId="52694727" w14:textId="77777777" w:rsidR="00EB4F41" w:rsidRPr="00EB4F41" w:rsidRDefault="00EB4F41" w:rsidP="00EB4F41">
            <w:pPr>
              <w:spacing w:before="40" w:after="0"/>
              <w:jc w:val="left"/>
              <w:rPr>
                <w:szCs w:val="17"/>
                <w:lang w:val="en-US"/>
              </w:rPr>
            </w:pPr>
            <w:r w:rsidRPr="00EB4F41">
              <w:rPr>
                <w:szCs w:val="17"/>
              </w:rPr>
              <w:t>Allotment 265 Town Plan 380701 Hundred of Quorn</w:t>
            </w:r>
          </w:p>
        </w:tc>
        <w:tc>
          <w:tcPr>
            <w:tcW w:w="1592" w:type="dxa"/>
            <w:tcBorders>
              <w:top w:val="single" w:sz="4" w:space="0" w:color="auto"/>
            </w:tcBorders>
            <w:tcMar>
              <w:top w:w="28" w:type="dxa"/>
              <w:left w:w="28" w:type="dxa"/>
              <w:bottom w:w="28" w:type="dxa"/>
              <w:right w:w="28" w:type="dxa"/>
            </w:tcMar>
          </w:tcPr>
          <w:p w14:paraId="2BDB74C4" w14:textId="77777777" w:rsidR="00EB4F41" w:rsidRPr="00EB4F41" w:rsidRDefault="00EB4F41" w:rsidP="00EB4F41">
            <w:pPr>
              <w:spacing w:before="40" w:after="0"/>
              <w:jc w:val="left"/>
              <w:rPr>
                <w:szCs w:val="17"/>
              </w:rPr>
            </w:pPr>
            <w:r w:rsidRPr="00EB4F41">
              <w:rPr>
                <w:szCs w:val="17"/>
              </w:rPr>
              <w:t>CT5207/571</w:t>
            </w:r>
          </w:p>
        </w:tc>
      </w:tr>
      <w:tr w:rsidR="00EB4F41" w:rsidRPr="00EB4F41" w14:paraId="04C76827" w14:textId="77777777" w:rsidTr="00EB4F41">
        <w:trPr>
          <w:trHeight w:val="20"/>
        </w:trPr>
        <w:tc>
          <w:tcPr>
            <w:tcW w:w="3325" w:type="dxa"/>
            <w:tcBorders>
              <w:bottom w:val="single" w:sz="4" w:space="0" w:color="auto"/>
            </w:tcBorders>
            <w:tcMar>
              <w:top w:w="28" w:type="dxa"/>
              <w:left w:w="28" w:type="dxa"/>
              <w:bottom w:w="28" w:type="dxa"/>
              <w:right w:w="28" w:type="dxa"/>
            </w:tcMar>
          </w:tcPr>
          <w:p w14:paraId="3CB0AD79" w14:textId="77777777" w:rsidR="00EB4F41" w:rsidRPr="00EB4F41" w:rsidRDefault="00EB4F41" w:rsidP="00EB4F41">
            <w:pPr>
              <w:spacing w:before="40" w:after="40"/>
              <w:ind w:left="143" w:hanging="175"/>
              <w:jc w:val="left"/>
              <w:rPr>
                <w:szCs w:val="17"/>
                <w:lang w:val="en-US"/>
              </w:rPr>
            </w:pPr>
            <w:r w:rsidRPr="00EB4F41">
              <w:rPr>
                <w:szCs w:val="17"/>
              </w:rPr>
              <w:t xml:space="preserve">107 Lewis Road, Glynde SA 5070 </w:t>
            </w:r>
          </w:p>
        </w:tc>
        <w:tc>
          <w:tcPr>
            <w:tcW w:w="4392" w:type="dxa"/>
            <w:tcBorders>
              <w:bottom w:val="single" w:sz="4" w:space="0" w:color="auto"/>
            </w:tcBorders>
            <w:tcMar>
              <w:top w:w="28" w:type="dxa"/>
              <w:left w:w="28" w:type="dxa"/>
              <w:bottom w:w="28" w:type="dxa"/>
              <w:right w:w="28" w:type="dxa"/>
            </w:tcMar>
          </w:tcPr>
          <w:p w14:paraId="60FBC655" w14:textId="77777777" w:rsidR="00EB4F41" w:rsidRPr="00EB4F41" w:rsidRDefault="00EB4F41" w:rsidP="00EB4F41">
            <w:pPr>
              <w:spacing w:before="40" w:after="0"/>
              <w:jc w:val="left"/>
              <w:rPr>
                <w:szCs w:val="17"/>
                <w:lang w:val="en-US"/>
              </w:rPr>
            </w:pPr>
            <w:r w:rsidRPr="00EB4F41">
              <w:rPr>
                <w:szCs w:val="17"/>
              </w:rPr>
              <w:t>Allotment 61 Filed Plan 135612 Hundred of Adelaide</w:t>
            </w:r>
          </w:p>
        </w:tc>
        <w:tc>
          <w:tcPr>
            <w:tcW w:w="1592" w:type="dxa"/>
            <w:tcBorders>
              <w:bottom w:val="single" w:sz="4" w:space="0" w:color="auto"/>
            </w:tcBorders>
            <w:tcMar>
              <w:top w:w="28" w:type="dxa"/>
              <w:left w:w="28" w:type="dxa"/>
              <w:bottom w:w="28" w:type="dxa"/>
              <w:right w:w="28" w:type="dxa"/>
            </w:tcMar>
          </w:tcPr>
          <w:p w14:paraId="35F4A0BE" w14:textId="77777777" w:rsidR="00EB4F41" w:rsidRPr="00EB4F41" w:rsidRDefault="00EB4F41" w:rsidP="00EB4F41">
            <w:pPr>
              <w:spacing w:before="40" w:after="0"/>
              <w:jc w:val="left"/>
              <w:rPr>
                <w:szCs w:val="17"/>
                <w:lang w:val="en-US"/>
              </w:rPr>
            </w:pPr>
            <w:r w:rsidRPr="00EB4F41">
              <w:rPr>
                <w:szCs w:val="17"/>
              </w:rPr>
              <w:t>CT5657/160</w:t>
            </w:r>
          </w:p>
        </w:tc>
      </w:tr>
    </w:tbl>
    <w:p w14:paraId="70F34C73" w14:textId="77777777" w:rsidR="00EB4F41" w:rsidRPr="00EB4F41" w:rsidRDefault="00EB4F41" w:rsidP="00EB4F41">
      <w:pPr>
        <w:spacing w:before="80" w:after="0"/>
        <w:rPr>
          <w:rFonts w:eastAsia="Times New Roman"/>
          <w:szCs w:val="17"/>
        </w:rPr>
      </w:pPr>
      <w:r w:rsidRPr="00EB4F41">
        <w:rPr>
          <w:rFonts w:eastAsia="Times New Roman"/>
          <w:szCs w:val="17"/>
        </w:rPr>
        <w:t>Dated: 22 December 2022</w:t>
      </w:r>
    </w:p>
    <w:p w14:paraId="40C8BF07" w14:textId="77777777" w:rsidR="00EB4F41" w:rsidRPr="00EB4F41" w:rsidRDefault="00EB4F41" w:rsidP="00EB4F41">
      <w:pPr>
        <w:spacing w:after="0"/>
        <w:jc w:val="right"/>
        <w:rPr>
          <w:rFonts w:eastAsia="Times New Roman"/>
          <w:smallCaps/>
          <w:szCs w:val="17"/>
          <w:lang w:val="en-US"/>
        </w:rPr>
      </w:pPr>
      <w:r w:rsidRPr="00EB4F41">
        <w:rPr>
          <w:rFonts w:eastAsia="Times New Roman"/>
          <w:smallCaps/>
          <w:szCs w:val="20"/>
          <w:lang w:val="en-US"/>
        </w:rPr>
        <w:t>Craig Thompson</w:t>
      </w:r>
    </w:p>
    <w:p w14:paraId="70555511" w14:textId="77777777" w:rsidR="00EB4F41" w:rsidRPr="00EB4F41" w:rsidRDefault="00EB4F41" w:rsidP="00EB4F41">
      <w:pPr>
        <w:spacing w:after="0"/>
        <w:jc w:val="right"/>
        <w:rPr>
          <w:rFonts w:eastAsia="Times New Roman"/>
          <w:szCs w:val="17"/>
          <w:lang w:val="en-US"/>
        </w:rPr>
      </w:pPr>
      <w:r w:rsidRPr="00EB4F41">
        <w:rPr>
          <w:rFonts w:eastAsia="Times New Roman"/>
          <w:szCs w:val="17"/>
          <w:lang w:val="en-US"/>
        </w:rPr>
        <w:t>Housing Regulator and Registrar</w:t>
      </w:r>
    </w:p>
    <w:p w14:paraId="14AD721A" w14:textId="77777777" w:rsidR="00EB4F41" w:rsidRPr="00EB4F41" w:rsidRDefault="00EB4F41" w:rsidP="00EB4F41">
      <w:pPr>
        <w:spacing w:after="0"/>
        <w:jc w:val="right"/>
        <w:rPr>
          <w:rFonts w:eastAsia="Times New Roman"/>
          <w:szCs w:val="17"/>
          <w:lang w:val="en-US"/>
        </w:rPr>
      </w:pPr>
      <w:r w:rsidRPr="00EB4F41">
        <w:rPr>
          <w:rFonts w:eastAsia="Times New Roman"/>
          <w:szCs w:val="17"/>
          <w:lang w:val="en-US"/>
        </w:rPr>
        <w:t>Housing Safety Authority, SAHA</w:t>
      </w:r>
    </w:p>
    <w:p w14:paraId="4BCACFAB" w14:textId="3B50C7A7" w:rsidR="00EB4F41" w:rsidRDefault="00EB4F41" w:rsidP="00EB4F41">
      <w:pPr>
        <w:spacing w:after="0"/>
        <w:jc w:val="right"/>
        <w:rPr>
          <w:rFonts w:eastAsia="Times New Roman"/>
          <w:szCs w:val="17"/>
          <w:lang w:val="en-US"/>
        </w:rPr>
      </w:pPr>
      <w:r w:rsidRPr="00EB4F41">
        <w:rPr>
          <w:rFonts w:eastAsia="Times New Roman"/>
          <w:szCs w:val="17"/>
          <w:lang w:val="en-US"/>
        </w:rPr>
        <w:t>Delegate of Minister for Human Services</w:t>
      </w:r>
      <w:bookmarkEnd w:id="46"/>
    </w:p>
    <w:p w14:paraId="250833C0" w14:textId="46B61DAC" w:rsidR="00EB4F41" w:rsidRDefault="00EB4F41" w:rsidP="00EB4F41">
      <w:pPr>
        <w:pBdr>
          <w:bottom w:val="single" w:sz="4" w:space="1" w:color="auto"/>
        </w:pBdr>
        <w:spacing w:after="0" w:line="52" w:lineRule="exact"/>
        <w:jc w:val="center"/>
        <w:rPr>
          <w:lang w:val="en-US"/>
        </w:rPr>
      </w:pPr>
    </w:p>
    <w:p w14:paraId="539D2FEB" w14:textId="50441B71" w:rsidR="00EB4F41" w:rsidRDefault="00EB4F41" w:rsidP="00EB4F41">
      <w:pPr>
        <w:pBdr>
          <w:top w:val="single" w:sz="4" w:space="1" w:color="auto"/>
        </w:pBdr>
        <w:spacing w:before="34" w:after="0" w:line="14" w:lineRule="exact"/>
        <w:jc w:val="center"/>
        <w:rPr>
          <w:lang w:val="en-US"/>
        </w:rPr>
      </w:pPr>
    </w:p>
    <w:p w14:paraId="23CA2FA7" w14:textId="562C7410" w:rsidR="00965F17" w:rsidRDefault="00965F17" w:rsidP="00965F17">
      <w:pPr>
        <w:pStyle w:val="GG-body"/>
        <w:spacing w:after="0"/>
        <w:rPr>
          <w:lang w:val="en-US"/>
        </w:rPr>
      </w:pPr>
    </w:p>
    <w:p w14:paraId="0FD39C5D" w14:textId="77777777" w:rsidR="00EB4F41" w:rsidRPr="00EB4F41" w:rsidRDefault="00EB4F41" w:rsidP="00392842">
      <w:pPr>
        <w:pStyle w:val="Heading2"/>
      </w:pPr>
      <w:bookmarkStart w:id="47" w:name="_Toc122600838"/>
      <w:r w:rsidRPr="00EB4F41">
        <w:t>LANDSCAPE SOUTH AUSTRALIA ACT 2019</w:t>
      </w:r>
      <w:bookmarkEnd w:id="47"/>
    </w:p>
    <w:p w14:paraId="442254A8"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i/>
          <w:szCs w:val="17"/>
        </w:rPr>
      </w:pPr>
      <w:r w:rsidRPr="00EB4F41">
        <w:rPr>
          <w:i/>
          <w:szCs w:val="17"/>
        </w:rPr>
        <w:t>Declaration of Penalty in Relation to the Unauthorised or Unlawful Taking of Water</w:t>
      </w:r>
    </w:p>
    <w:p w14:paraId="741685B3"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EB4F41">
        <w:rPr>
          <w:szCs w:val="17"/>
        </w:rPr>
        <w:t xml:space="preserve">PURSUANT to Section 88 of the </w:t>
      </w:r>
      <w:r w:rsidRPr="00EB4F41">
        <w:rPr>
          <w:i/>
          <w:szCs w:val="17"/>
        </w:rPr>
        <w:t>Landscape South Australia Act 2019</w:t>
      </w:r>
      <w:r w:rsidRPr="00EB4F41">
        <w:rPr>
          <w:szCs w:val="17"/>
        </w:rPr>
        <w:t xml:space="preserve"> (the Act), I, Ben Bruce, delegate of the Minister for Climate, Environment and Water to whom the Act is committed, hereby declare that the following penalties are payable in relation to the unauthorised or unlawful taking of water during the consumption period that corresponds to the accounting period 1 July 2022 to 30 June 2023 inclusive:</w:t>
      </w:r>
    </w:p>
    <w:p w14:paraId="1F14079C" w14:textId="77777777" w:rsidR="00EB4F41" w:rsidRPr="00EB4F41" w:rsidRDefault="00EB4F41" w:rsidP="009B29CF">
      <w:pPr>
        <w:numPr>
          <w:ilvl w:val="0"/>
          <w:numId w:val="76"/>
        </w:numPr>
        <w:spacing w:after="0"/>
        <w:rPr>
          <w:szCs w:val="17"/>
        </w:rPr>
      </w:pPr>
      <w:r w:rsidRPr="00EB4F41">
        <w:rPr>
          <w:szCs w:val="17"/>
        </w:rPr>
        <w:t>Where a person who is the holder of a water allocation (other than a water allocation pursuant to an authorisation under Section 105 of the Act) takes water from a prescribed water resource listed in column one of the table in Schedule 1 to this notice, which is in excess of the amount available under the allocation, the penalty declared pursuant to Section 88(1)(a) is the corresponding rate in column two of the table in Schedule 1 per kilolitre of water taken in excess of the amount available under the allocation, as determined or assessed to have been taken in accordance with Section 79 of the Act.</w:t>
      </w:r>
    </w:p>
    <w:p w14:paraId="5E74AE95" w14:textId="77777777" w:rsidR="00EB4F41" w:rsidRPr="00EB4F41" w:rsidRDefault="00EB4F41" w:rsidP="009B29CF">
      <w:pPr>
        <w:numPr>
          <w:ilvl w:val="0"/>
          <w:numId w:val="76"/>
        </w:numPr>
        <w:spacing w:after="0"/>
        <w:rPr>
          <w:szCs w:val="17"/>
        </w:rPr>
      </w:pPr>
      <w:r w:rsidRPr="00EB4F41">
        <w:rPr>
          <w:szCs w:val="17"/>
        </w:rPr>
        <w:t>Where a person who is the holder of a water allocation pursuant to an authorisation under Section 105 of the Act takes water from a prescribed water resource listed in column one of the table in Schedule 2 to this notice, which is in excess of the amount available under the allocation, the penalty declared pursuant to Section 88(1)(a) is the corresponding rate in column two of the table in Schedule 2 per kilolitre of water taken in excess of the amount available under the allocation, as determined or assessed to have been taken in accordance with Section 79 of the Act.</w:t>
      </w:r>
    </w:p>
    <w:p w14:paraId="3D5A6BD6" w14:textId="77777777" w:rsidR="00EB4F41" w:rsidRPr="00EB4F41" w:rsidRDefault="00EB4F41" w:rsidP="009B29CF">
      <w:pPr>
        <w:numPr>
          <w:ilvl w:val="0"/>
          <w:numId w:val="76"/>
        </w:numPr>
        <w:spacing w:after="0"/>
        <w:rPr>
          <w:szCs w:val="17"/>
        </w:rPr>
      </w:pPr>
      <w:r w:rsidRPr="00EB4F41">
        <w:rPr>
          <w:szCs w:val="17"/>
        </w:rPr>
        <w:t>Where a person takes water from a prescribed water resource in column one of the table in Schedule 1 to this notice and is not authorised under section 105 or as part of a water allocation to take that water, and so acts in contravention of the Act, the penalty declared under Section 88(1)(e) is the corresponding rate in column three of the table in Schedule 1 per kilolitre of water, as determined or assessed to have been taken in accordance with Section 79 of the Act.</w:t>
      </w:r>
    </w:p>
    <w:p w14:paraId="50E7C530" w14:textId="77777777" w:rsidR="00EB4F41" w:rsidRPr="00EB4F41" w:rsidRDefault="00EB4F41" w:rsidP="009B29CF">
      <w:pPr>
        <w:numPr>
          <w:ilvl w:val="0"/>
          <w:numId w:val="76"/>
        </w:numPr>
        <w:spacing w:after="0"/>
        <w:rPr>
          <w:szCs w:val="17"/>
        </w:rPr>
      </w:pPr>
      <w:r w:rsidRPr="00EB4F41">
        <w:rPr>
          <w:szCs w:val="17"/>
        </w:rPr>
        <w:t>Where a person who is authorised to take water by or under a notice under Section 109 of the Act takes water from a prescribed water resource described in column one of the table in Schedule 1 to this notice which is in excess of the amount authorised for take by or under the notice under Section 109 of the Act, and so acts in contravention of the notice, the penalty declared pursuant to Section 88(1)(f) is the corresponding rate in column two of the table in Schedule 1 per kilolitre of water taken in excess of the amount authorised for take by or under the notice, as determined or assessed to have been taken in accordance with Section 79 of the Act.</w:t>
      </w:r>
    </w:p>
    <w:p w14:paraId="6684911C" w14:textId="77777777" w:rsidR="00EB4F41" w:rsidRPr="00EB4F41" w:rsidRDefault="00EB4F41" w:rsidP="009B29CF">
      <w:pPr>
        <w:numPr>
          <w:ilvl w:val="0"/>
          <w:numId w:val="76"/>
        </w:numPr>
        <w:spacing w:after="0"/>
        <w:rPr>
          <w:szCs w:val="17"/>
        </w:rPr>
      </w:pPr>
      <w:r w:rsidRPr="00EB4F41">
        <w:rPr>
          <w:szCs w:val="17"/>
        </w:rPr>
        <w:t>Where a person who is not authorised to take water by or under a notice under Section 109 of the Act takes water from a prescribed water resource described in column one of the table in Schedule 1 to this notice in contravention of the notice under Section 109 of the Act, the penalty declared under Section 88(1)(f) is the corresponding rate in column three of the table in Schedule 1, per kilolitre of water, as determined or assessed to have been taken in accordance with Section 79 of the Act.</w:t>
      </w:r>
    </w:p>
    <w:p w14:paraId="06BFD4BD" w14:textId="77777777" w:rsidR="00EB4F41" w:rsidRPr="00EB4F41" w:rsidRDefault="00EB4F41" w:rsidP="009B29CF">
      <w:pPr>
        <w:numPr>
          <w:ilvl w:val="0"/>
          <w:numId w:val="76"/>
        </w:numPr>
        <w:rPr>
          <w:szCs w:val="17"/>
        </w:rPr>
      </w:pPr>
      <w:r w:rsidRPr="00EB4F41">
        <w:rPr>
          <w:szCs w:val="17"/>
        </w:rPr>
        <w:t>Where a person may be subject to more than one penalty under Section 88 in respect of the same conduct, the penalty that is the greater shall be imposed.</w:t>
      </w:r>
    </w:p>
    <w:p w14:paraId="085109EA"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rPr>
          <w:szCs w:val="17"/>
        </w:rPr>
      </w:pPr>
      <w:r w:rsidRPr="00EB4F41">
        <w:rPr>
          <w:szCs w:val="17"/>
        </w:rPr>
        <w:t>In this notice:</w:t>
      </w:r>
    </w:p>
    <w:p w14:paraId="27F612C7" w14:textId="77777777" w:rsidR="00EB4F41" w:rsidRPr="00EB4F41" w:rsidRDefault="00EB4F41" w:rsidP="00EB4F41">
      <w:p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Northern Adelaide Plains Prescribed Wells Area’ means the area declared to be the Northern Adelaide Plains Proclaimed Region by proclamation under Section 41 of the </w:t>
      </w:r>
      <w:r w:rsidRPr="00EB4F41">
        <w:rPr>
          <w:i/>
          <w:szCs w:val="17"/>
        </w:rPr>
        <w:t>Water Resources Act 1976</w:t>
      </w:r>
      <w:r w:rsidRPr="00EB4F41">
        <w:rPr>
          <w:szCs w:val="17"/>
        </w:rPr>
        <w:t xml:space="preserve"> (see </w:t>
      </w:r>
      <w:r w:rsidRPr="00EB4F41">
        <w:rPr>
          <w:i/>
          <w:szCs w:val="17"/>
        </w:rPr>
        <w:t>Government</w:t>
      </w:r>
      <w:r w:rsidRPr="00EB4F41">
        <w:rPr>
          <w:szCs w:val="17"/>
        </w:rPr>
        <w:t xml:space="preserve"> </w:t>
      </w:r>
      <w:r w:rsidRPr="00EB4F41">
        <w:rPr>
          <w:i/>
          <w:szCs w:val="17"/>
        </w:rPr>
        <w:t>Gazette</w:t>
      </w:r>
      <w:r w:rsidRPr="00EB4F41">
        <w:rPr>
          <w:szCs w:val="17"/>
        </w:rPr>
        <w:t xml:space="preserve"> 13 May 1976 page 2459), and as further declared by regulation under Section 125 of the </w:t>
      </w:r>
      <w:r w:rsidRPr="00EB4F41">
        <w:rPr>
          <w:i/>
          <w:szCs w:val="17"/>
        </w:rPr>
        <w:t>Natural Resources Management Act 2004</w:t>
      </w:r>
      <w:r w:rsidRPr="00EB4F41">
        <w:rPr>
          <w:szCs w:val="17"/>
        </w:rPr>
        <w:t xml:space="preserve"> (see </w:t>
      </w:r>
      <w:r w:rsidRPr="00EB4F41">
        <w:rPr>
          <w:i/>
          <w:szCs w:val="17"/>
        </w:rPr>
        <w:t>Government Gazette</w:t>
      </w:r>
      <w:r w:rsidRPr="00EB4F41">
        <w:rPr>
          <w:szCs w:val="17"/>
        </w:rPr>
        <w:t xml:space="preserve"> 22 July 2004, p. 2600);</w:t>
      </w:r>
    </w:p>
    <w:p w14:paraId="263B1BAF" w14:textId="77777777" w:rsidR="00EB4F41" w:rsidRPr="00EB4F41" w:rsidRDefault="00EB4F41" w:rsidP="00EB4F41">
      <w:p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sidDel="00D0692F">
        <w:rPr>
          <w:szCs w:val="17"/>
        </w:rPr>
        <w:t xml:space="preserve"> </w:t>
      </w:r>
      <w:r w:rsidRPr="00EB4F41">
        <w:rPr>
          <w:szCs w:val="17"/>
        </w:rPr>
        <w:t xml:space="preserve">‘the Central Adelaide Prescribed Wells Area’ means the area which includes the wells declared by regulation under section 125 of the </w:t>
      </w:r>
      <w:r w:rsidRPr="00EB4F41">
        <w:rPr>
          <w:i/>
          <w:szCs w:val="17"/>
        </w:rPr>
        <w:t>Natural Resources Management Act 2004</w:t>
      </w:r>
      <w:r w:rsidRPr="00EB4F41">
        <w:rPr>
          <w:szCs w:val="17"/>
        </w:rPr>
        <w:t xml:space="preserve"> (</w:t>
      </w:r>
      <w:r w:rsidRPr="00EB4F41">
        <w:rPr>
          <w:i/>
          <w:szCs w:val="17"/>
        </w:rPr>
        <w:t>Natural Resources Management (Central Adelaide – Prescribed Wells Area) Regulations 2007</w:t>
      </w:r>
      <w:r w:rsidRPr="00EB4F41">
        <w:rPr>
          <w:szCs w:val="17"/>
        </w:rPr>
        <w:t xml:space="preserve">) (see </w:t>
      </w:r>
      <w:r w:rsidRPr="00EB4F41">
        <w:rPr>
          <w:i/>
          <w:szCs w:val="17"/>
        </w:rPr>
        <w:t>Government Gazette</w:t>
      </w:r>
      <w:r w:rsidRPr="00EB4F41">
        <w:rPr>
          <w:szCs w:val="17"/>
        </w:rPr>
        <w:t xml:space="preserve"> 7 June 2007, pp.2573-2574);</w:t>
      </w:r>
    </w:p>
    <w:p w14:paraId="44A1D5AD"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Dry Creek Prescribed Wells Area’ means the area declared to be the Dry Creek Proclaimed Wells Area by proclamation under Section 33(2) of the </w:t>
      </w:r>
      <w:r w:rsidRPr="00EB4F41">
        <w:rPr>
          <w:i/>
          <w:szCs w:val="17"/>
        </w:rPr>
        <w:t>Water Resources Act 1990</w:t>
      </w:r>
      <w:r w:rsidRPr="00EB4F41">
        <w:rPr>
          <w:szCs w:val="17"/>
        </w:rPr>
        <w:t xml:space="preserve"> (see </w:t>
      </w:r>
      <w:r w:rsidRPr="00EB4F41">
        <w:rPr>
          <w:i/>
          <w:szCs w:val="17"/>
        </w:rPr>
        <w:t>Government Gazette</w:t>
      </w:r>
      <w:r w:rsidRPr="00EB4F41">
        <w:rPr>
          <w:szCs w:val="17"/>
        </w:rPr>
        <w:t xml:space="preserve"> 11 July 1996 p. 76, and as further varied by </w:t>
      </w:r>
      <w:r w:rsidRPr="00EB4F41">
        <w:rPr>
          <w:i/>
          <w:szCs w:val="17"/>
        </w:rPr>
        <w:t>Government Gazette</w:t>
      </w:r>
      <w:r w:rsidRPr="00EB4F41">
        <w:rPr>
          <w:szCs w:val="17"/>
        </w:rPr>
        <w:t xml:space="preserve"> 28 November 1996, p. 1747)’;</w:t>
      </w:r>
    </w:p>
    <w:p w14:paraId="0F8F242B" w14:textId="77777777" w:rsidR="00EB4F41" w:rsidRPr="00EB4F41" w:rsidRDefault="00EB4F41" w:rsidP="00EB4F41">
      <w:pPr>
        <w:tabs>
          <w:tab w:val="left" w:pos="426"/>
          <w:tab w:val="left" w:pos="480"/>
          <w:tab w:val="left" w:pos="567"/>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 ‘the Angas-Bremer Prescribed Wells Area’ means the area declared to be the Angas-Bremer Proclaimed Region by proclamation under Section 41 of the </w:t>
      </w:r>
      <w:r w:rsidRPr="00EB4F41">
        <w:rPr>
          <w:i/>
          <w:szCs w:val="17"/>
        </w:rPr>
        <w:t>Water Resources Act 1976</w:t>
      </w:r>
      <w:r w:rsidRPr="00EB4F41">
        <w:rPr>
          <w:szCs w:val="17"/>
        </w:rPr>
        <w:t xml:space="preserve"> (see </w:t>
      </w:r>
      <w:r w:rsidRPr="00EB4F41">
        <w:rPr>
          <w:i/>
          <w:szCs w:val="17"/>
        </w:rPr>
        <w:t>Government Gazette</w:t>
      </w:r>
      <w:r w:rsidRPr="00EB4F41">
        <w:rPr>
          <w:szCs w:val="17"/>
        </w:rPr>
        <w:t xml:space="preserve"> 23 October 1980 p. 1192);</w:t>
      </w:r>
    </w:p>
    <w:p w14:paraId="016B42B1" w14:textId="77777777" w:rsidR="00EB4F41" w:rsidRPr="00EB4F41" w:rsidRDefault="00EB4F41" w:rsidP="00EB4F41">
      <w:pPr>
        <w:tabs>
          <w:tab w:val="left" w:pos="16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Peake, Roby and Sherlock Prescribed Wells Area’ means the area declared by regulation under Section 125 of the </w:t>
      </w:r>
      <w:r w:rsidRPr="00EB4F41">
        <w:rPr>
          <w:i/>
          <w:szCs w:val="17"/>
        </w:rPr>
        <w:t>Natural Resources Management Act 2004 (Natural Resources Management (Peake, Roby and Sherlock Prescribed Wells Area) Regulations 2005)</w:t>
      </w:r>
      <w:r w:rsidRPr="00EB4F41">
        <w:rPr>
          <w:szCs w:val="17"/>
        </w:rPr>
        <w:t xml:space="preserve"> (see</w:t>
      </w:r>
      <w:r w:rsidRPr="00EB4F41">
        <w:rPr>
          <w:i/>
          <w:szCs w:val="17"/>
        </w:rPr>
        <w:t xml:space="preserve"> Government Gazette</w:t>
      </w:r>
      <w:r w:rsidRPr="00EB4F41">
        <w:rPr>
          <w:szCs w:val="17"/>
        </w:rPr>
        <w:t xml:space="preserve"> 27 October 2005 p. 3836);</w:t>
      </w:r>
    </w:p>
    <w:p w14:paraId="0AEA3534" w14:textId="77777777" w:rsidR="00EB4F41" w:rsidRPr="00EB4F41" w:rsidRDefault="00EB4F41" w:rsidP="00EB4F41">
      <w:pPr>
        <w:tabs>
          <w:tab w:val="left" w:pos="16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Marne Saunders Prescribed Water Resources Area’ means the area declared by regulation under Section 125 of the </w:t>
      </w:r>
      <w:r w:rsidRPr="00EB4F41">
        <w:rPr>
          <w:i/>
          <w:szCs w:val="17"/>
        </w:rPr>
        <w:t>Natural Resources Management Act 2004</w:t>
      </w:r>
      <w:r w:rsidRPr="00EB4F41">
        <w:rPr>
          <w:szCs w:val="17"/>
        </w:rPr>
        <w:t xml:space="preserve"> (see</w:t>
      </w:r>
      <w:r w:rsidRPr="00EB4F41">
        <w:rPr>
          <w:i/>
          <w:szCs w:val="17"/>
        </w:rPr>
        <w:t xml:space="preserve"> Government Gazette</w:t>
      </w:r>
      <w:r w:rsidRPr="00EB4F41">
        <w:rPr>
          <w:szCs w:val="17"/>
        </w:rPr>
        <w:t xml:space="preserve"> 20 March 2003, p. 1111);</w:t>
      </w:r>
    </w:p>
    <w:p w14:paraId="5607C882"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Clare Valley Prescribed Water Resources Area’ means the area declared by regulation to be the Clare Valley Prescribed Wells Area and Watercourses under section 8 of the </w:t>
      </w:r>
      <w:r w:rsidRPr="00EB4F41">
        <w:rPr>
          <w:i/>
          <w:szCs w:val="17"/>
        </w:rPr>
        <w:t>Water Resources Act 1997</w:t>
      </w:r>
      <w:r w:rsidRPr="00EB4F41">
        <w:rPr>
          <w:szCs w:val="17"/>
        </w:rPr>
        <w:t xml:space="preserve"> (see</w:t>
      </w:r>
      <w:r w:rsidRPr="00EB4F41">
        <w:rPr>
          <w:i/>
          <w:szCs w:val="17"/>
        </w:rPr>
        <w:t xml:space="preserve"> Government Gazette</w:t>
      </w:r>
      <w:r w:rsidRPr="00EB4F41">
        <w:rPr>
          <w:szCs w:val="17"/>
        </w:rPr>
        <w:t xml:space="preserve"> 25 July 1996 p.171) and the area declared by regulation to be the Clare Valley Prescribed Surface Water Area under Section 8 of the </w:t>
      </w:r>
      <w:r w:rsidRPr="00EB4F41">
        <w:rPr>
          <w:i/>
          <w:szCs w:val="17"/>
        </w:rPr>
        <w:t>Water Resources Act 1997</w:t>
      </w:r>
      <w:r w:rsidRPr="00EB4F41">
        <w:rPr>
          <w:szCs w:val="17"/>
        </w:rPr>
        <w:t xml:space="preserve"> (see</w:t>
      </w:r>
      <w:r w:rsidRPr="00EB4F41">
        <w:rPr>
          <w:i/>
          <w:szCs w:val="17"/>
        </w:rPr>
        <w:t xml:space="preserve"> Government Gazette</w:t>
      </w:r>
      <w:r w:rsidRPr="00EB4F41">
        <w:rPr>
          <w:szCs w:val="17"/>
        </w:rPr>
        <w:t xml:space="preserve"> 28 October 1999 p.2127);</w:t>
      </w:r>
    </w:p>
    <w:p w14:paraId="03A4068C"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Mallee Prescribed Wells Area’ means the area declared to be the Mallee Prescribed Wells Area by proclamation under Section 41 of the </w:t>
      </w:r>
      <w:r w:rsidRPr="00EB4F41">
        <w:rPr>
          <w:i/>
          <w:szCs w:val="17"/>
        </w:rPr>
        <w:t>Water Resources Act 1976</w:t>
      </w:r>
      <w:r w:rsidRPr="00EB4F41">
        <w:rPr>
          <w:szCs w:val="17"/>
        </w:rPr>
        <w:t xml:space="preserve"> (See</w:t>
      </w:r>
      <w:r w:rsidRPr="00EB4F41">
        <w:rPr>
          <w:i/>
          <w:szCs w:val="17"/>
        </w:rPr>
        <w:t xml:space="preserve"> Government Gazette</w:t>
      </w:r>
      <w:r w:rsidRPr="00EB4F41">
        <w:rPr>
          <w:szCs w:val="17"/>
        </w:rPr>
        <w:t xml:space="preserve"> 28 July 1983, page 205 and varied on 9 January 1986, page 19) and as further declared by regulation under Section 125 of the </w:t>
      </w:r>
      <w:r w:rsidRPr="00EB4F41">
        <w:rPr>
          <w:i/>
          <w:szCs w:val="17"/>
        </w:rPr>
        <w:t>Natural Resources Management Act 2004</w:t>
      </w:r>
      <w:r w:rsidRPr="00EB4F41">
        <w:rPr>
          <w:szCs w:val="17"/>
        </w:rPr>
        <w:t xml:space="preserve"> (see</w:t>
      </w:r>
      <w:r w:rsidRPr="00EB4F41">
        <w:rPr>
          <w:i/>
          <w:szCs w:val="17"/>
        </w:rPr>
        <w:t xml:space="preserve"> Government Gazette</w:t>
      </w:r>
      <w:r w:rsidRPr="00EB4F41">
        <w:rPr>
          <w:szCs w:val="17"/>
        </w:rPr>
        <w:t xml:space="preserve"> 27 October 2005, p. 3833);</w:t>
      </w:r>
    </w:p>
    <w:p w14:paraId="469BE673"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Southern Basins Prescribed Wells Area’ means the area declared to be the Southern Basins Proclaimed Region by proclamation under Section 41 of the </w:t>
      </w:r>
      <w:r w:rsidRPr="00EB4F41">
        <w:rPr>
          <w:i/>
          <w:szCs w:val="17"/>
        </w:rPr>
        <w:t>Water Resources Act 1976</w:t>
      </w:r>
      <w:r w:rsidRPr="00EB4F41">
        <w:rPr>
          <w:szCs w:val="17"/>
        </w:rPr>
        <w:t xml:space="preserve"> (see</w:t>
      </w:r>
      <w:r w:rsidRPr="00EB4F41">
        <w:rPr>
          <w:i/>
          <w:szCs w:val="17"/>
        </w:rPr>
        <w:t xml:space="preserve"> Government Gazette</w:t>
      </w:r>
      <w:r w:rsidRPr="00EB4F41">
        <w:rPr>
          <w:szCs w:val="17"/>
        </w:rPr>
        <w:t xml:space="preserve"> 12 March 1987 p. 596);</w:t>
      </w:r>
    </w:p>
    <w:p w14:paraId="65E4AF74"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Musgrave Prescribed Wells Area’ means the area declared to be the Musgrave Proclaimed Region by proclamation under Section 41 of the </w:t>
      </w:r>
      <w:r w:rsidRPr="00EB4F41">
        <w:rPr>
          <w:i/>
          <w:szCs w:val="17"/>
        </w:rPr>
        <w:t>Water Resources Act 1976</w:t>
      </w:r>
      <w:r w:rsidRPr="00EB4F41">
        <w:rPr>
          <w:szCs w:val="17"/>
        </w:rPr>
        <w:t xml:space="preserve"> (see</w:t>
      </w:r>
      <w:r w:rsidRPr="00EB4F41">
        <w:rPr>
          <w:i/>
          <w:szCs w:val="17"/>
        </w:rPr>
        <w:t xml:space="preserve"> Government Gazette</w:t>
      </w:r>
      <w:r w:rsidRPr="00EB4F41">
        <w:rPr>
          <w:szCs w:val="17"/>
        </w:rPr>
        <w:t xml:space="preserve"> 12 March 1987 p. 596);</w:t>
      </w:r>
    </w:p>
    <w:p w14:paraId="112BE1A4"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Far North Prescribed Wells Area’ means the area declared to be the Far North Prescribed Wells Area by regulation under Section 8 of the </w:t>
      </w:r>
      <w:r w:rsidRPr="00EB4F41">
        <w:rPr>
          <w:i/>
          <w:szCs w:val="17"/>
        </w:rPr>
        <w:t>Water Resources Act 1997</w:t>
      </w:r>
      <w:r w:rsidRPr="00EB4F41">
        <w:rPr>
          <w:szCs w:val="17"/>
        </w:rPr>
        <w:t xml:space="preserve"> (see</w:t>
      </w:r>
      <w:r w:rsidRPr="00EB4F41">
        <w:rPr>
          <w:i/>
          <w:szCs w:val="17"/>
        </w:rPr>
        <w:t xml:space="preserve"> Government Gazette</w:t>
      </w:r>
      <w:r w:rsidRPr="00EB4F41">
        <w:rPr>
          <w:szCs w:val="17"/>
        </w:rPr>
        <w:t xml:space="preserve"> 27 March 2003 p. 1250);</w:t>
      </w:r>
    </w:p>
    <w:p w14:paraId="5B7C04A7"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lastRenderedPageBreak/>
        <w:t xml:space="preserve">‘the Barossa Prescribed Water Resources Area’ means the area declared by regulation under Section 8 of the </w:t>
      </w:r>
      <w:r w:rsidRPr="00EB4F41">
        <w:rPr>
          <w:i/>
          <w:szCs w:val="17"/>
        </w:rPr>
        <w:t>Water Resources Act 1997</w:t>
      </w:r>
      <w:r w:rsidRPr="00EB4F41">
        <w:rPr>
          <w:szCs w:val="17"/>
        </w:rPr>
        <w:t xml:space="preserve"> (see</w:t>
      </w:r>
      <w:r w:rsidRPr="00EB4F41">
        <w:rPr>
          <w:i/>
          <w:szCs w:val="17"/>
        </w:rPr>
        <w:t xml:space="preserve"> Government Gazette</w:t>
      </w:r>
      <w:r w:rsidRPr="00EB4F41">
        <w:rPr>
          <w:szCs w:val="17"/>
        </w:rPr>
        <w:t xml:space="preserve"> 19 May 2005, p. 1295);</w:t>
      </w:r>
    </w:p>
    <w:p w14:paraId="3FCB5DB9" w14:textId="77777777" w:rsidR="00EB4F41" w:rsidRPr="00EB4F41" w:rsidRDefault="00EB4F41" w:rsidP="00EB4F41">
      <w:pPr>
        <w:tabs>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McLaren Vale Prescribed Wells Area’ means the area gazetted on 7 January 1999 page 13, under the provisions of the </w:t>
      </w:r>
      <w:r w:rsidRPr="00EB4F41">
        <w:rPr>
          <w:i/>
          <w:szCs w:val="17"/>
        </w:rPr>
        <w:t>Water Resources Act 1997</w:t>
      </w:r>
      <w:r w:rsidRPr="00EB4F41">
        <w:rPr>
          <w:szCs w:val="17"/>
        </w:rPr>
        <w:t>;</w:t>
      </w:r>
    </w:p>
    <w:p w14:paraId="77D760FD"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‘the Western Mount Lofty Ranges Prescribed Water Resources Area’ means that area which includes:</w:t>
      </w:r>
    </w:p>
    <w:p w14:paraId="1CB0C180"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720"/>
        <w:rPr>
          <w:szCs w:val="17"/>
        </w:rPr>
      </w:pPr>
      <w:r w:rsidRPr="00EB4F41">
        <w:rPr>
          <w:szCs w:val="17"/>
        </w:rPr>
        <w:t xml:space="preserve">the watercourses declared by regulation under section 125 of the </w:t>
      </w:r>
      <w:r w:rsidRPr="00EB4F41">
        <w:rPr>
          <w:i/>
          <w:szCs w:val="17"/>
        </w:rPr>
        <w:t>Natural Resources Management Act 2004</w:t>
      </w:r>
      <w:r w:rsidRPr="00EB4F41">
        <w:rPr>
          <w:szCs w:val="17"/>
        </w:rPr>
        <w:t xml:space="preserve"> (</w:t>
      </w:r>
      <w:r w:rsidRPr="00EB4F41">
        <w:rPr>
          <w:i/>
          <w:szCs w:val="17"/>
        </w:rPr>
        <w:t>Natural Resources Management (Western Mount Lofty Ranges -- Prescribed Watercourses) Regulations 2005</w:t>
      </w:r>
      <w:r w:rsidRPr="00EB4F41">
        <w:rPr>
          <w:szCs w:val="17"/>
        </w:rPr>
        <w:t xml:space="preserve">) (see </w:t>
      </w:r>
      <w:r w:rsidRPr="00EB4F41">
        <w:rPr>
          <w:i/>
          <w:szCs w:val="17"/>
        </w:rPr>
        <w:t>Government Gazette</w:t>
      </w:r>
      <w:r w:rsidRPr="00EB4F41">
        <w:rPr>
          <w:szCs w:val="17"/>
        </w:rPr>
        <w:t xml:space="preserve"> 20 October 2005, pp. 3791-3792); and</w:t>
      </w:r>
    </w:p>
    <w:p w14:paraId="43FBFB14"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720"/>
        <w:rPr>
          <w:szCs w:val="17"/>
        </w:rPr>
      </w:pPr>
      <w:r w:rsidRPr="00EB4F41">
        <w:rPr>
          <w:szCs w:val="17"/>
        </w:rPr>
        <w:t xml:space="preserve">the wells declared by regulation under section 125 of the </w:t>
      </w:r>
      <w:r w:rsidRPr="00EB4F41">
        <w:rPr>
          <w:i/>
          <w:szCs w:val="17"/>
        </w:rPr>
        <w:t xml:space="preserve">Natural Resources Management Act 2004 </w:t>
      </w:r>
      <w:r w:rsidRPr="00EB4F41">
        <w:rPr>
          <w:szCs w:val="17"/>
        </w:rPr>
        <w:t>(</w:t>
      </w:r>
      <w:r w:rsidRPr="00EB4F41">
        <w:rPr>
          <w:i/>
          <w:szCs w:val="17"/>
        </w:rPr>
        <w:t>Natural Resources Management (Western Mont Lofty Ranges – Prescribed Wells Area) Regulations 2005</w:t>
      </w:r>
      <w:r w:rsidRPr="00EB4F41">
        <w:rPr>
          <w:szCs w:val="17"/>
        </w:rPr>
        <w:t xml:space="preserve">) (see </w:t>
      </w:r>
      <w:r w:rsidRPr="00EB4F41">
        <w:rPr>
          <w:i/>
          <w:szCs w:val="17"/>
        </w:rPr>
        <w:t>Government Gazette</w:t>
      </w:r>
      <w:r w:rsidRPr="00EB4F41">
        <w:rPr>
          <w:szCs w:val="17"/>
        </w:rPr>
        <w:t xml:space="preserve"> 20 October 2005, pp.3793-3794); and</w:t>
      </w:r>
    </w:p>
    <w:p w14:paraId="34DC1538"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720"/>
        <w:rPr>
          <w:szCs w:val="17"/>
        </w:rPr>
      </w:pPr>
      <w:r w:rsidRPr="00EB4F41">
        <w:rPr>
          <w:szCs w:val="17"/>
        </w:rPr>
        <w:t xml:space="preserve">the surface water area declared by regulation under section 125 of the </w:t>
      </w:r>
      <w:r w:rsidRPr="00EB4F41">
        <w:rPr>
          <w:i/>
          <w:szCs w:val="17"/>
        </w:rPr>
        <w:t>Natural Resources Management Act 2004</w:t>
      </w:r>
      <w:r w:rsidRPr="00EB4F41">
        <w:rPr>
          <w:szCs w:val="17"/>
        </w:rPr>
        <w:t xml:space="preserve"> (</w:t>
      </w:r>
      <w:r w:rsidRPr="00EB4F41">
        <w:rPr>
          <w:i/>
          <w:szCs w:val="17"/>
        </w:rPr>
        <w:t>Natural Resources Management (Western Mount Lofty Ranges -  Surface Water Prescribed Area) Regulation 2005</w:t>
      </w:r>
      <w:r w:rsidRPr="00EB4F41">
        <w:rPr>
          <w:szCs w:val="17"/>
        </w:rPr>
        <w:t xml:space="preserve">) (see </w:t>
      </w:r>
      <w:r w:rsidRPr="00EB4F41">
        <w:rPr>
          <w:i/>
          <w:szCs w:val="17"/>
        </w:rPr>
        <w:t>Government Gazette</w:t>
      </w:r>
      <w:r w:rsidRPr="00EB4F41">
        <w:rPr>
          <w:szCs w:val="17"/>
        </w:rPr>
        <w:t xml:space="preserve"> 20 October 2005, pp. 3795-3796);</w:t>
      </w:r>
    </w:p>
    <w:p w14:paraId="7A26CED8"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‘the Eastern Mount Lofty Ranges Prescribed Resources Area’ means that area which includes:</w:t>
      </w:r>
    </w:p>
    <w:p w14:paraId="3DDA3BF1"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640"/>
        <w:rPr>
          <w:szCs w:val="17"/>
        </w:rPr>
      </w:pPr>
      <w:r w:rsidRPr="00EB4F41">
        <w:rPr>
          <w:szCs w:val="17"/>
        </w:rPr>
        <w:t xml:space="preserve">the watercourses and surface water area declared by regulation under section 125 of the </w:t>
      </w:r>
      <w:r w:rsidRPr="00EB4F41">
        <w:rPr>
          <w:i/>
          <w:szCs w:val="17"/>
        </w:rPr>
        <w:t>Natural Resources Management Act 2004</w:t>
      </w:r>
      <w:r w:rsidRPr="00EB4F41">
        <w:rPr>
          <w:szCs w:val="17"/>
        </w:rPr>
        <w:t xml:space="preserve"> (</w:t>
      </w:r>
      <w:r w:rsidRPr="00EB4F41">
        <w:rPr>
          <w:i/>
          <w:szCs w:val="17"/>
        </w:rPr>
        <w:t>Natural Resources Management (Eastern Mount Lofty Ranges - Prescribed Watercourses and Surface Water Prescribed Area) Regulations 2005</w:t>
      </w:r>
      <w:r w:rsidRPr="00EB4F41">
        <w:rPr>
          <w:szCs w:val="17"/>
        </w:rPr>
        <w:t xml:space="preserve">) (see </w:t>
      </w:r>
      <w:r w:rsidRPr="00EB4F41">
        <w:rPr>
          <w:i/>
          <w:szCs w:val="17"/>
        </w:rPr>
        <w:t>Government Gazette</w:t>
      </w:r>
      <w:r w:rsidRPr="00EB4F41">
        <w:rPr>
          <w:szCs w:val="17"/>
        </w:rPr>
        <w:t xml:space="preserve"> 8 September 2005, pp.3292-3293); and </w:t>
      </w:r>
    </w:p>
    <w:p w14:paraId="783A4F9C"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640"/>
        <w:rPr>
          <w:szCs w:val="17"/>
        </w:rPr>
      </w:pPr>
      <w:r w:rsidRPr="00EB4F41">
        <w:rPr>
          <w:szCs w:val="17"/>
        </w:rPr>
        <w:t xml:space="preserve">the wells declared by regulation under section 125 of the </w:t>
      </w:r>
      <w:r w:rsidRPr="00EB4F41">
        <w:rPr>
          <w:i/>
          <w:szCs w:val="17"/>
        </w:rPr>
        <w:t>Natural Resources Management Act 2004</w:t>
      </w:r>
      <w:r w:rsidRPr="00EB4F41">
        <w:rPr>
          <w:szCs w:val="17"/>
        </w:rPr>
        <w:t xml:space="preserve"> (</w:t>
      </w:r>
      <w:r w:rsidRPr="00EB4F41">
        <w:rPr>
          <w:i/>
          <w:szCs w:val="17"/>
        </w:rPr>
        <w:t>Natural Resources Management (Eastern Mount Lofty Ranges – Prescribed Wells Area) Regulations 2005</w:t>
      </w:r>
      <w:r w:rsidRPr="00EB4F41">
        <w:rPr>
          <w:szCs w:val="17"/>
        </w:rPr>
        <w:t xml:space="preserve">) (see </w:t>
      </w:r>
      <w:r w:rsidRPr="00EB4F41">
        <w:rPr>
          <w:i/>
          <w:szCs w:val="17"/>
        </w:rPr>
        <w:t>Government Gazette</w:t>
      </w:r>
      <w:r w:rsidRPr="00EB4F41">
        <w:rPr>
          <w:szCs w:val="17"/>
        </w:rPr>
        <w:t xml:space="preserve"> 8 September 2005, pp.3294-3295).</w:t>
      </w:r>
    </w:p>
    <w:p w14:paraId="700D0350"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80"/>
        <w:rPr>
          <w:szCs w:val="17"/>
        </w:rPr>
      </w:pPr>
      <w:r w:rsidRPr="00EB4F41">
        <w:rPr>
          <w:szCs w:val="17"/>
        </w:rPr>
        <w:t>‘the Morambro Creek Prescribed Watercourse and Prescribed Surface Water Area’ means that area which includes:</w:t>
      </w:r>
    </w:p>
    <w:p w14:paraId="3E4506C7"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720"/>
        <w:rPr>
          <w:szCs w:val="17"/>
        </w:rPr>
      </w:pPr>
      <w:r w:rsidRPr="00EB4F41">
        <w:rPr>
          <w:szCs w:val="17"/>
        </w:rPr>
        <w:t xml:space="preserve">the watercourse declared by regulation under section 8 of the </w:t>
      </w:r>
      <w:r w:rsidRPr="00EB4F41">
        <w:rPr>
          <w:i/>
          <w:szCs w:val="17"/>
        </w:rPr>
        <w:t>Water Resources Act 1997</w:t>
      </w:r>
      <w:r w:rsidRPr="00EB4F41">
        <w:rPr>
          <w:szCs w:val="17"/>
        </w:rPr>
        <w:t xml:space="preserve"> (</w:t>
      </w:r>
      <w:r w:rsidRPr="00EB4F41">
        <w:rPr>
          <w:i/>
          <w:szCs w:val="17"/>
        </w:rPr>
        <w:t>Water Resources (Morambro Creek) Regulations 2001</w:t>
      </w:r>
      <w:r w:rsidRPr="00EB4F41">
        <w:rPr>
          <w:szCs w:val="17"/>
        </w:rPr>
        <w:t xml:space="preserve">) (see </w:t>
      </w:r>
      <w:r w:rsidRPr="00EB4F41">
        <w:rPr>
          <w:i/>
          <w:szCs w:val="17"/>
        </w:rPr>
        <w:t>Government Gazette</w:t>
      </w:r>
      <w:r w:rsidRPr="00EB4F41">
        <w:rPr>
          <w:szCs w:val="17"/>
        </w:rPr>
        <w:t xml:space="preserve"> 12 April 2001, p.1605); and</w:t>
      </w:r>
    </w:p>
    <w:p w14:paraId="7921DDBA"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720"/>
        <w:rPr>
          <w:szCs w:val="17"/>
        </w:rPr>
      </w:pPr>
      <w:r w:rsidRPr="00EB4F41">
        <w:rPr>
          <w:szCs w:val="17"/>
        </w:rPr>
        <w:t xml:space="preserve">the surface water prescribed area declared by regulation under section 8 of the </w:t>
      </w:r>
      <w:r w:rsidRPr="00EB4F41">
        <w:rPr>
          <w:i/>
          <w:szCs w:val="17"/>
        </w:rPr>
        <w:t>Water Resources Act 1997</w:t>
      </w:r>
      <w:r w:rsidRPr="00EB4F41">
        <w:rPr>
          <w:szCs w:val="17"/>
        </w:rPr>
        <w:t xml:space="preserve"> (</w:t>
      </w:r>
      <w:r w:rsidRPr="00EB4F41">
        <w:rPr>
          <w:i/>
          <w:szCs w:val="17"/>
        </w:rPr>
        <w:t>Water Resources (Surface Water Prescribed Area – Morambro Catchment) Regulations 2001</w:t>
      </w:r>
      <w:r w:rsidRPr="00EB4F41">
        <w:rPr>
          <w:szCs w:val="17"/>
        </w:rPr>
        <w:t>).</w:t>
      </w:r>
    </w:p>
    <w:p w14:paraId="234415D1"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Lower Limestone Coast Prescribed Wells Area’ means the area declared by regulation under section 8 of </w:t>
      </w:r>
      <w:r w:rsidRPr="00EB4F41">
        <w:rPr>
          <w:i/>
          <w:szCs w:val="17"/>
        </w:rPr>
        <w:t>Water Resource Act 1997</w:t>
      </w:r>
      <w:r w:rsidRPr="00EB4F41">
        <w:rPr>
          <w:szCs w:val="17"/>
        </w:rPr>
        <w:t xml:space="preserve"> (see </w:t>
      </w:r>
      <w:r w:rsidRPr="00EB4F41">
        <w:rPr>
          <w:i/>
          <w:szCs w:val="17"/>
        </w:rPr>
        <w:t>Government Gazette</w:t>
      </w:r>
      <w:r w:rsidRPr="00EB4F41">
        <w:rPr>
          <w:szCs w:val="17"/>
        </w:rPr>
        <w:t xml:space="preserve"> 02 December 2004, p. 4462-4464);</w:t>
      </w:r>
    </w:p>
    <w:p w14:paraId="0605C67A"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Padthaway Prescribed Wells Area’ means the area declared by proclamation under section 25 of the </w:t>
      </w:r>
      <w:r w:rsidRPr="00EB4F41">
        <w:rPr>
          <w:i/>
          <w:szCs w:val="17"/>
        </w:rPr>
        <w:t>Water Resources Act 1976</w:t>
      </w:r>
      <w:r w:rsidRPr="00EB4F41">
        <w:rPr>
          <w:szCs w:val="17"/>
        </w:rPr>
        <w:t xml:space="preserve"> (see </w:t>
      </w:r>
      <w:r w:rsidRPr="00EB4F41">
        <w:rPr>
          <w:i/>
          <w:szCs w:val="17"/>
        </w:rPr>
        <w:t>Government Gazette</w:t>
      </w:r>
      <w:r w:rsidRPr="00EB4F41">
        <w:rPr>
          <w:szCs w:val="17"/>
        </w:rPr>
        <w:t xml:space="preserve"> 13 May 1976, p. 2459);</w:t>
      </w:r>
    </w:p>
    <w:p w14:paraId="269BD7BD" w14:textId="77777777" w:rsidR="00EB4F41" w:rsidRPr="00EB4F41" w:rsidRDefault="00EB4F41" w:rsidP="00EB4F41">
      <w:pPr>
        <w:tabs>
          <w:tab w:val="left" w:pos="320"/>
          <w:tab w:val="left" w:pos="426"/>
          <w:tab w:val="left" w:pos="480"/>
          <w:tab w:val="left" w:pos="640"/>
          <w:tab w:val="left" w:pos="800"/>
          <w:tab w:val="left" w:pos="960"/>
          <w:tab w:val="left" w:pos="1120"/>
          <w:tab w:val="left" w:pos="1280"/>
          <w:tab w:val="left" w:pos="1440"/>
          <w:tab w:val="left" w:pos="1600"/>
          <w:tab w:val="left" w:pos="1760"/>
          <w:tab w:val="left" w:pos="1920"/>
        </w:tabs>
        <w:spacing w:after="60"/>
        <w:ind w:left="426"/>
        <w:rPr>
          <w:szCs w:val="17"/>
        </w:rPr>
      </w:pPr>
      <w:r w:rsidRPr="00EB4F41">
        <w:rPr>
          <w:szCs w:val="17"/>
        </w:rPr>
        <w:t xml:space="preserve">‘the Tatiara Prescribed Wells Area’ means the area declared to be the Tatiara Prescribed Area by proclamation under Section 41 of the </w:t>
      </w:r>
      <w:r w:rsidRPr="00EB4F41">
        <w:rPr>
          <w:i/>
          <w:szCs w:val="17"/>
        </w:rPr>
        <w:t>Water Resources Act 1976</w:t>
      </w:r>
      <w:r w:rsidRPr="00EB4F41">
        <w:rPr>
          <w:szCs w:val="17"/>
        </w:rPr>
        <w:t xml:space="preserve"> (See </w:t>
      </w:r>
      <w:r w:rsidRPr="00EB4F41">
        <w:rPr>
          <w:i/>
          <w:szCs w:val="17"/>
        </w:rPr>
        <w:t>Government Gazette</w:t>
      </w:r>
      <w:r w:rsidRPr="00EB4F41">
        <w:rPr>
          <w:szCs w:val="17"/>
        </w:rPr>
        <w:t xml:space="preserve"> 12 July 1984, p. 134) and further revoked and varied (see </w:t>
      </w:r>
      <w:r w:rsidRPr="00EB4F41">
        <w:rPr>
          <w:i/>
          <w:szCs w:val="17"/>
        </w:rPr>
        <w:t>Government Gazette</w:t>
      </w:r>
      <w:r w:rsidRPr="00EB4F41">
        <w:rPr>
          <w:szCs w:val="17"/>
        </w:rPr>
        <w:t xml:space="preserve"> 30 January 1986, p. 206);</w:t>
      </w:r>
    </w:p>
    <w:p w14:paraId="43B047F3" w14:textId="77777777" w:rsidR="00EB4F41" w:rsidRPr="00EB4F41" w:rsidRDefault="00EB4F41" w:rsidP="00EB4F41">
      <w:pPr>
        <w:rPr>
          <w:szCs w:val="17"/>
        </w:rPr>
      </w:pPr>
      <w:r w:rsidRPr="00EB4F41">
        <w:rPr>
          <w:szCs w:val="17"/>
        </w:rPr>
        <w:t xml:space="preserve">‘the Tintinara-Coonalpyn Prescribed Wells Area’ means the area prescribed under Section 8 of the </w:t>
      </w:r>
      <w:r w:rsidRPr="00EB4F41">
        <w:rPr>
          <w:i/>
          <w:szCs w:val="17"/>
        </w:rPr>
        <w:t>Water Resource Act 1997</w:t>
      </w:r>
      <w:r w:rsidRPr="00EB4F41">
        <w:rPr>
          <w:szCs w:val="17"/>
        </w:rPr>
        <w:t xml:space="preserve"> (</w:t>
      </w:r>
      <w:r w:rsidRPr="00EB4F41">
        <w:rPr>
          <w:i/>
          <w:szCs w:val="17"/>
        </w:rPr>
        <w:t>Water Resources (Tintinara Coonalpyn Prescribed Wells Area) Regulations 2000</w:t>
      </w:r>
      <w:r w:rsidRPr="00EB4F41">
        <w:rPr>
          <w:szCs w:val="17"/>
        </w:rPr>
        <w:t xml:space="preserve">) (see </w:t>
      </w:r>
      <w:r w:rsidRPr="00EB4F41">
        <w:rPr>
          <w:i/>
          <w:szCs w:val="17"/>
        </w:rPr>
        <w:t>Government Gazette</w:t>
      </w:r>
      <w:r w:rsidRPr="00EB4F41">
        <w:rPr>
          <w:szCs w:val="17"/>
        </w:rPr>
        <w:t xml:space="preserve"> 02 November 2000, p.2933).</w:t>
      </w:r>
    </w:p>
    <w:p w14:paraId="0E2CABB9"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jc w:val="center"/>
        <w:rPr>
          <w:bCs/>
          <w:smallCaps/>
          <w:szCs w:val="17"/>
        </w:rPr>
      </w:pPr>
      <w:r w:rsidRPr="00EB4F41">
        <w:rPr>
          <w:bCs/>
          <w:smallCaps/>
          <w:szCs w:val="17"/>
        </w:rPr>
        <w:t>Schedule 1</w:t>
      </w:r>
    </w:p>
    <w:p w14:paraId="62C48251"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rPr>
          <w:szCs w:val="17"/>
        </w:rPr>
      </w:pPr>
      <w:r w:rsidRPr="00EB4F41">
        <w:rPr>
          <w:szCs w:val="17"/>
        </w:rPr>
        <w:t>Penalties for unauthorised or unlawful take from a prescribed water resource 2022 - 2023:</w:t>
      </w:r>
    </w:p>
    <w:tbl>
      <w:tblPr>
        <w:tblW w:w="5000" w:type="pct"/>
        <w:tblLook w:val="04A0" w:firstRow="1" w:lastRow="0" w:firstColumn="1" w:lastColumn="0" w:noHBand="0" w:noVBand="1"/>
      </w:tblPr>
      <w:tblGrid>
        <w:gridCol w:w="4802"/>
        <w:gridCol w:w="2333"/>
        <w:gridCol w:w="2219"/>
      </w:tblGrid>
      <w:tr w:rsidR="00EB4F41" w:rsidRPr="00EB4F41" w14:paraId="4FD49872" w14:textId="77777777" w:rsidTr="0012134E">
        <w:trPr>
          <w:trHeight w:val="327"/>
        </w:trPr>
        <w:tc>
          <w:tcPr>
            <w:tcW w:w="2567" w:type="pct"/>
            <w:tcBorders>
              <w:top w:val="single" w:sz="4" w:space="0" w:color="auto"/>
              <w:bottom w:val="single" w:sz="4" w:space="0" w:color="auto"/>
            </w:tcBorders>
            <w:shd w:val="clear" w:color="auto" w:fill="auto"/>
            <w:noWrap/>
            <w:vAlign w:val="center"/>
            <w:hideMark/>
          </w:tcPr>
          <w:p w14:paraId="27C83A6A"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Column 1</w:t>
            </w:r>
          </w:p>
        </w:tc>
        <w:tc>
          <w:tcPr>
            <w:tcW w:w="1247" w:type="pct"/>
            <w:tcBorders>
              <w:top w:val="single" w:sz="4" w:space="0" w:color="auto"/>
              <w:bottom w:val="single" w:sz="4" w:space="0" w:color="auto"/>
            </w:tcBorders>
            <w:shd w:val="clear" w:color="auto" w:fill="auto"/>
            <w:vAlign w:val="center"/>
            <w:hideMark/>
          </w:tcPr>
          <w:p w14:paraId="4775B7F1"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Column 2</w:t>
            </w:r>
          </w:p>
        </w:tc>
        <w:tc>
          <w:tcPr>
            <w:tcW w:w="1186" w:type="pct"/>
            <w:tcBorders>
              <w:top w:val="single" w:sz="4" w:space="0" w:color="auto"/>
              <w:bottom w:val="single" w:sz="4" w:space="0" w:color="auto"/>
            </w:tcBorders>
            <w:vAlign w:val="center"/>
          </w:tcPr>
          <w:p w14:paraId="0A1E84AD"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Column 3</w:t>
            </w:r>
          </w:p>
        </w:tc>
      </w:tr>
      <w:tr w:rsidR="00EB4F41" w:rsidRPr="00EB4F41" w14:paraId="3CFD10D4" w14:textId="77777777" w:rsidTr="0012134E">
        <w:trPr>
          <w:trHeight w:val="327"/>
        </w:trPr>
        <w:tc>
          <w:tcPr>
            <w:tcW w:w="2567" w:type="pct"/>
            <w:tcBorders>
              <w:top w:val="single" w:sz="4" w:space="0" w:color="auto"/>
              <w:bottom w:val="single" w:sz="4" w:space="0" w:color="auto"/>
            </w:tcBorders>
            <w:shd w:val="clear" w:color="auto" w:fill="auto"/>
            <w:noWrap/>
            <w:vAlign w:val="center"/>
            <w:hideMark/>
          </w:tcPr>
          <w:p w14:paraId="29E91EB7"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Prescribed Water Resource</w:t>
            </w:r>
          </w:p>
        </w:tc>
        <w:tc>
          <w:tcPr>
            <w:tcW w:w="1247" w:type="pct"/>
            <w:tcBorders>
              <w:top w:val="single" w:sz="4" w:space="0" w:color="auto"/>
              <w:bottom w:val="single" w:sz="4" w:space="0" w:color="auto"/>
            </w:tcBorders>
            <w:shd w:val="clear" w:color="auto" w:fill="auto"/>
            <w:vAlign w:val="center"/>
            <w:hideMark/>
          </w:tcPr>
          <w:p w14:paraId="6F4C0907" w14:textId="77777777" w:rsidR="00EB4F41" w:rsidRPr="00EB4F41" w:rsidRDefault="00EB4F41" w:rsidP="00EB4F41">
            <w:pPr>
              <w:spacing w:before="40" w:after="40" w:line="240" w:lineRule="auto"/>
              <w:jc w:val="left"/>
              <w:rPr>
                <w:b/>
                <w:bCs/>
                <w:szCs w:val="17"/>
              </w:rPr>
            </w:pPr>
            <w:r w:rsidRPr="00EB4F41">
              <w:rPr>
                <w:b/>
                <w:bCs/>
                <w:szCs w:val="17"/>
              </w:rPr>
              <w:t xml:space="preserve">Penalty for unauthorised take of water </w:t>
            </w:r>
          </w:p>
        </w:tc>
        <w:tc>
          <w:tcPr>
            <w:tcW w:w="1186" w:type="pct"/>
            <w:tcBorders>
              <w:top w:val="single" w:sz="4" w:space="0" w:color="auto"/>
              <w:bottom w:val="single" w:sz="4" w:space="0" w:color="auto"/>
            </w:tcBorders>
            <w:vAlign w:val="center"/>
          </w:tcPr>
          <w:p w14:paraId="5303345F" w14:textId="77777777" w:rsidR="00EB4F41" w:rsidRPr="00EB4F41" w:rsidRDefault="00EB4F41" w:rsidP="00EB4F41">
            <w:pPr>
              <w:spacing w:before="40" w:after="40" w:line="240" w:lineRule="auto"/>
              <w:jc w:val="left"/>
              <w:rPr>
                <w:b/>
                <w:bCs/>
                <w:szCs w:val="17"/>
              </w:rPr>
            </w:pPr>
            <w:r w:rsidRPr="00EB4F41">
              <w:rPr>
                <w:b/>
                <w:bCs/>
                <w:szCs w:val="17"/>
              </w:rPr>
              <w:t xml:space="preserve">Penalty for unlawful take of water </w:t>
            </w:r>
          </w:p>
        </w:tc>
      </w:tr>
      <w:tr w:rsidR="00EB4F41" w:rsidRPr="00EB4F41" w14:paraId="60534ADF" w14:textId="77777777" w:rsidTr="0012134E">
        <w:tc>
          <w:tcPr>
            <w:tcW w:w="2567" w:type="pct"/>
            <w:tcBorders>
              <w:top w:val="single" w:sz="4" w:space="0" w:color="auto"/>
            </w:tcBorders>
            <w:shd w:val="clear" w:color="auto" w:fill="auto"/>
            <w:vAlign w:val="center"/>
            <w:hideMark/>
          </w:tcPr>
          <w:p w14:paraId="537B7992" w14:textId="77777777" w:rsidR="00EB4F41" w:rsidRPr="00EB4F41" w:rsidRDefault="00EB4F41" w:rsidP="00EB4F41">
            <w:pPr>
              <w:spacing w:before="20" w:after="20" w:line="240" w:lineRule="auto"/>
              <w:jc w:val="left"/>
              <w:rPr>
                <w:color w:val="000000"/>
                <w:szCs w:val="17"/>
              </w:rPr>
            </w:pPr>
            <w:r w:rsidRPr="00EB4F41">
              <w:rPr>
                <w:color w:val="000000"/>
                <w:szCs w:val="17"/>
              </w:rPr>
              <w:t>Angas Bremer Prescribed Wells Area</w:t>
            </w:r>
          </w:p>
        </w:tc>
        <w:tc>
          <w:tcPr>
            <w:tcW w:w="1247" w:type="pct"/>
            <w:tcBorders>
              <w:top w:val="single" w:sz="4" w:space="0" w:color="auto"/>
            </w:tcBorders>
            <w:shd w:val="clear" w:color="auto" w:fill="auto"/>
            <w:noWrap/>
            <w:vAlign w:val="center"/>
            <w:hideMark/>
          </w:tcPr>
          <w:p w14:paraId="42F3A6BD"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tcBorders>
              <w:top w:val="single" w:sz="4" w:space="0" w:color="auto"/>
            </w:tcBorders>
            <w:vAlign w:val="center"/>
          </w:tcPr>
          <w:p w14:paraId="18506C31"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388A523F" w14:textId="77777777" w:rsidTr="0012134E">
        <w:tc>
          <w:tcPr>
            <w:tcW w:w="2567" w:type="pct"/>
            <w:shd w:val="clear" w:color="auto" w:fill="auto"/>
            <w:vAlign w:val="center"/>
            <w:hideMark/>
          </w:tcPr>
          <w:p w14:paraId="766C3A41" w14:textId="77777777" w:rsidR="00EB4F41" w:rsidRPr="00EB4F41" w:rsidRDefault="00EB4F41" w:rsidP="00EB4F41">
            <w:pPr>
              <w:spacing w:before="20" w:after="20" w:line="240" w:lineRule="auto"/>
              <w:jc w:val="left"/>
              <w:rPr>
                <w:color w:val="000000"/>
                <w:szCs w:val="17"/>
              </w:rPr>
            </w:pPr>
            <w:r w:rsidRPr="00EB4F41">
              <w:rPr>
                <w:color w:val="000000"/>
                <w:szCs w:val="17"/>
              </w:rPr>
              <w:t>Barossa Prescribed Water Resources Area</w:t>
            </w:r>
          </w:p>
        </w:tc>
        <w:tc>
          <w:tcPr>
            <w:tcW w:w="1247" w:type="pct"/>
            <w:shd w:val="clear" w:color="auto" w:fill="auto"/>
            <w:noWrap/>
            <w:vAlign w:val="center"/>
            <w:hideMark/>
          </w:tcPr>
          <w:p w14:paraId="3103C95F" w14:textId="77777777" w:rsidR="00EB4F41" w:rsidRPr="00EB4F41" w:rsidRDefault="00EB4F41" w:rsidP="00EB4F41">
            <w:pPr>
              <w:spacing w:before="20" w:after="20" w:line="240" w:lineRule="auto"/>
              <w:jc w:val="left"/>
              <w:rPr>
                <w:szCs w:val="17"/>
              </w:rPr>
            </w:pPr>
            <w:r w:rsidRPr="00EB4F41">
              <w:rPr>
                <w:szCs w:val="17"/>
              </w:rPr>
              <w:t>$2.25/kL</w:t>
            </w:r>
          </w:p>
        </w:tc>
        <w:tc>
          <w:tcPr>
            <w:tcW w:w="1186" w:type="pct"/>
            <w:vAlign w:val="center"/>
          </w:tcPr>
          <w:p w14:paraId="795121CB" w14:textId="77777777" w:rsidR="00EB4F41" w:rsidRPr="00EB4F41" w:rsidRDefault="00EB4F41" w:rsidP="00EB4F41">
            <w:pPr>
              <w:spacing w:before="20" w:after="20" w:line="240" w:lineRule="auto"/>
              <w:jc w:val="left"/>
              <w:rPr>
                <w:szCs w:val="17"/>
              </w:rPr>
            </w:pPr>
            <w:r w:rsidRPr="00EB4F41">
              <w:rPr>
                <w:szCs w:val="17"/>
              </w:rPr>
              <w:t>$3.00/kL</w:t>
            </w:r>
          </w:p>
        </w:tc>
      </w:tr>
      <w:tr w:rsidR="00EB4F41" w:rsidRPr="00EB4F41" w14:paraId="010ED95C" w14:textId="77777777" w:rsidTr="0012134E">
        <w:tc>
          <w:tcPr>
            <w:tcW w:w="2567" w:type="pct"/>
            <w:shd w:val="clear" w:color="auto" w:fill="auto"/>
            <w:vAlign w:val="center"/>
            <w:hideMark/>
          </w:tcPr>
          <w:p w14:paraId="2D820B23" w14:textId="77777777" w:rsidR="00EB4F41" w:rsidRPr="00EB4F41" w:rsidRDefault="00EB4F41" w:rsidP="00EB4F41">
            <w:pPr>
              <w:spacing w:before="20" w:after="20" w:line="240" w:lineRule="auto"/>
              <w:jc w:val="left"/>
              <w:rPr>
                <w:color w:val="000000"/>
                <w:szCs w:val="17"/>
              </w:rPr>
            </w:pPr>
            <w:r w:rsidRPr="00EB4F41">
              <w:rPr>
                <w:color w:val="000000"/>
                <w:szCs w:val="17"/>
              </w:rPr>
              <w:t>Clare Valley Prescribed Water Resources Area</w:t>
            </w:r>
          </w:p>
        </w:tc>
        <w:tc>
          <w:tcPr>
            <w:tcW w:w="1247" w:type="pct"/>
            <w:shd w:val="clear" w:color="auto" w:fill="auto"/>
            <w:noWrap/>
            <w:vAlign w:val="center"/>
            <w:hideMark/>
          </w:tcPr>
          <w:p w14:paraId="70F205CB"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0FD532E9"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6184E406" w14:textId="77777777" w:rsidTr="0012134E">
        <w:tc>
          <w:tcPr>
            <w:tcW w:w="2567" w:type="pct"/>
            <w:shd w:val="clear" w:color="auto" w:fill="auto"/>
            <w:vAlign w:val="center"/>
            <w:hideMark/>
          </w:tcPr>
          <w:p w14:paraId="31B54131" w14:textId="77777777" w:rsidR="00EB4F41" w:rsidRPr="00EB4F41" w:rsidRDefault="00EB4F41" w:rsidP="00EB4F41">
            <w:pPr>
              <w:spacing w:before="20" w:after="20" w:line="240" w:lineRule="auto"/>
              <w:jc w:val="left"/>
              <w:rPr>
                <w:color w:val="000000"/>
                <w:szCs w:val="17"/>
              </w:rPr>
            </w:pPr>
            <w:r w:rsidRPr="00EB4F41">
              <w:rPr>
                <w:color w:val="000000"/>
                <w:szCs w:val="17"/>
              </w:rPr>
              <w:t>Dry Creek Prescribed Wells Area</w:t>
            </w:r>
          </w:p>
        </w:tc>
        <w:tc>
          <w:tcPr>
            <w:tcW w:w="1247" w:type="pct"/>
            <w:shd w:val="clear" w:color="auto" w:fill="auto"/>
            <w:noWrap/>
            <w:vAlign w:val="center"/>
            <w:hideMark/>
          </w:tcPr>
          <w:p w14:paraId="1192B312"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43EC7658"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736583A8" w14:textId="77777777" w:rsidTr="0012134E">
        <w:tc>
          <w:tcPr>
            <w:tcW w:w="2567" w:type="pct"/>
            <w:shd w:val="clear" w:color="auto" w:fill="auto"/>
            <w:vAlign w:val="center"/>
            <w:hideMark/>
          </w:tcPr>
          <w:p w14:paraId="422C9871" w14:textId="77777777" w:rsidR="00EB4F41" w:rsidRPr="00EB4F41" w:rsidRDefault="00EB4F41" w:rsidP="00EB4F41">
            <w:pPr>
              <w:spacing w:before="20" w:after="20" w:line="240" w:lineRule="auto"/>
              <w:jc w:val="left"/>
              <w:rPr>
                <w:color w:val="000000"/>
                <w:szCs w:val="17"/>
              </w:rPr>
            </w:pPr>
            <w:r w:rsidRPr="00EB4F41">
              <w:rPr>
                <w:color w:val="000000"/>
                <w:szCs w:val="17"/>
              </w:rPr>
              <w:t>Eastern Mt Lofty Ranges Prescribed Water Resources Area</w:t>
            </w:r>
          </w:p>
        </w:tc>
        <w:tc>
          <w:tcPr>
            <w:tcW w:w="1247" w:type="pct"/>
            <w:shd w:val="clear" w:color="auto" w:fill="auto"/>
            <w:noWrap/>
            <w:vAlign w:val="center"/>
            <w:hideMark/>
          </w:tcPr>
          <w:p w14:paraId="43E0EDDC" w14:textId="77777777" w:rsidR="00EB4F41" w:rsidRPr="00EB4F41" w:rsidRDefault="00EB4F41" w:rsidP="00EB4F41">
            <w:pPr>
              <w:spacing w:before="20" w:after="20" w:line="240" w:lineRule="auto"/>
              <w:jc w:val="left"/>
              <w:rPr>
                <w:szCs w:val="17"/>
              </w:rPr>
            </w:pPr>
            <w:r w:rsidRPr="00EB4F41">
              <w:rPr>
                <w:szCs w:val="17"/>
              </w:rPr>
              <w:t>$1.20/kL</w:t>
            </w:r>
          </w:p>
        </w:tc>
        <w:tc>
          <w:tcPr>
            <w:tcW w:w="1186" w:type="pct"/>
            <w:vAlign w:val="center"/>
          </w:tcPr>
          <w:p w14:paraId="2711DD5A" w14:textId="77777777" w:rsidR="00EB4F41" w:rsidRPr="00EB4F41" w:rsidRDefault="00EB4F41" w:rsidP="00EB4F41">
            <w:pPr>
              <w:spacing w:before="20" w:after="20" w:line="240" w:lineRule="auto"/>
              <w:jc w:val="left"/>
              <w:rPr>
                <w:szCs w:val="17"/>
              </w:rPr>
            </w:pPr>
            <w:r w:rsidRPr="00EB4F41">
              <w:rPr>
                <w:szCs w:val="17"/>
              </w:rPr>
              <w:t>$1.60/kL</w:t>
            </w:r>
          </w:p>
        </w:tc>
      </w:tr>
      <w:tr w:rsidR="00EB4F41" w:rsidRPr="00EB4F41" w14:paraId="01EF8B37" w14:textId="77777777" w:rsidTr="0012134E">
        <w:tc>
          <w:tcPr>
            <w:tcW w:w="2567" w:type="pct"/>
            <w:shd w:val="clear" w:color="auto" w:fill="auto"/>
            <w:vAlign w:val="center"/>
            <w:hideMark/>
          </w:tcPr>
          <w:p w14:paraId="1878CC8E" w14:textId="77777777" w:rsidR="00EB4F41" w:rsidRPr="00EB4F41" w:rsidRDefault="00EB4F41" w:rsidP="00EB4F41">
            <w:pPr>
              <w:spacing w:before="20" w:after="20" w:line="240" w:lineRule="auto"/>
              <w:jc w:val="left"/>
              <w:rPr>
                <w:color w:val="000000"/>
                <w:szCs w:val="17"/>
              </w:rPr>
            </w:pPr>
            <w:r w:rsidRPr="00EB4F41">
              <w:rPr>
                <w:color w:val="000000"/>
                <w:szCs w:val="17"/>
              </w:rPr>
              <w:t>Far North Prescribed Wells Area</w:t>
            </w:r>
          </w:p>
        </w:tc>
        <w:tc>
          <w:tcPr>
            <w:tcW w:w="1247" w:type="pct"/>
            <w:shd w:val="clear" w:color="auto" w:fill="auto"/>
            <w:noWrap/>
            <w:vAlign w:val="center"/>
            <w:hideMark/>
          </w:tcPr>
          <w:p w14:paraId="6D4C1543"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1AD89597"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6D106C22" w14:textId="77777777" w:rsidTr="0012134E">
        <w:tc>
          <w:tcPr>
            <w:tcW w:w="2567" w:type="pct"/>
            <w:shd w:val="clear" w:color="auto" w:fill="auto"/>
            <w:vAlign w:val="center"/>
            <w:hideMark/>
          </w:tcPr>
          <w:p w14:paraId="5DBC69C9" w14:textId="77777777" w:rsidR="00EB4F41" w:rsidRPr="00EB4F41" w:rsidRDefault="00EB4F41" w:rsidP="00EB4F41">
            <w:pPr>
              <w:spacing w:before="20" w:after="20" w:line="240" w:lineRule="auto"/>
              <w:jc w:val="left"/>
              <w:rPr>
                <w:color w:val="000000"/>
                <w:szCs w:val="17"/>
              </w:rPr>
            </w:pPr>
            <w:r w:rsidRPr="00EB4F41">
              <w:rPr>
                <w:color w:val="000000"/>
                <w:szCs w:val="17"/>
              </w:rPr>
              <w:t>Lower Limestone Coast Prescribed Wells Area</w:t>
            </w:r>
          </w:p>
        </w:tc>
        <w:tc>
          <w:tcPr>
            <w:tcW w:w="1247" w:type="pct"/>
            <w:shd w:val="clear" w:color="auto" w:fill="auto"/>
            <w:noWrap/>
            <w:vAlign w:val="center"/>
            <w:hideMark/>
          </w:tcPr>
          <w:p w14:paraId="203335B1" w14:textId="77777777" w:rsidR="00EB4F41" w:rsidRPr="00EB4F41" w:rsidRDefault="00EB4F41" w:rsidP="00EB4F41">
            <w:pPr>
              <w:spacing w:before="20" w:after="20" w:line="240" w:lineRule="auto"/>
              <w:jc w:val="left"/>
              <w:rPr>
                <w:szCs w:val="17"/>
              </w:rPr>
            </w:pPr>
            <w:r w:rsidRPr="00EB4F41">
              <w:rPr>
                <w:szCs w:val="17"/>
              </w:rPr>
              <w:t>$1.14/kL</w:t>
            </w:r>
          </w:p>
        </w:tc>
        <w:tc>
          <w:tcPr>
            <w:tcW w:w="1186" w:type="pct"/>
            <w:vAlign w:val="center"/>
          </w:tcPr>
          <w:p w14:paraId="679F8078" w14:textId="77777777" w:rsidR="00EB4F41" w:rsidRPr="00EB4F41" w:rsidRDefault="00EB4F41" w:rsidP="00EB4F41">
            <w:pPr>
              <w:spacing w:before="20" w:after="20" w:line="240" w:lineRule="auto"/>
              <w:jc w:val="left"/>
              <w:rPr>
                <w:szCs w:val="17"/>
              </w:rPr>
            </w:pPr>
            <w:r w:rsidRPr="00EB4F41">
              <w:rPr>
                <w:szCs w:val="17"/>
              </w:rPr>
              <w:t>$1.52/kL</w:t>
            </w:r>
          </w:p>
        </w:tc>
      </w:tr>
      <w:tr w:rsidR="00EB4F41" w:rsidRPr="00EB4F41" w14:paraId="510F0A04" w14:textId="77777777" w:rsidTr="0012134E">
        <w:tc>
          <w:tcPr>
            <w:tcW w:w="2567" w:type="pct"/>
            <w:shd w:val="clear" w:color="auto" w:fill="auto"/>
            <w:vAlign w:val="center"/>
            <w:hideMark/>
          </w:tcPr>
          <w:p w14:paraId="2A114DD0" w14:textId="77777777" w:rsidR="00EB4F41" w:rsidRPr="00EB4F41" w:rsidRDefault="00EB4F41" w:rsidP="00EB4F41">
            <w:pPr>
              <w:spacing w:before="20" w:after="20" w:line="240" w:lineRule="auto"/>
              <w:jc w:val="left"/>
              <w:rPr>
                <w:color w:val="000000"/>
                <w:szCs w:val="17"/>
              </w:rPr>
            </w:pPr>
            <w:r w:rsidRPr="00EB4F41">
              <w:rPr>
                <w:color w:val="000000"/>
                <w:szCs w:val="17"/>
              </w:rPr>
              <w:t>Mallee Prescribed Wells Area</w:t>
            </w:r>
          </w:p>
        </w:tc>
        <w:tc>
          <w:tcPr>
            <w:tcW w:w="1247" w:type="pct"/>
            <w:shd w:val="clear" w:color="auto" w:fill="auto"/>
            <w:noWrap/>
            <w:vAlign w:val="center"/>
            <w:hideMark/>
          </w:tcPr>
          <w:p w14:paraId="74E2E8F8" w14:textId="77777777" w:rsidR="00EB4F41" w:rsidRPr="00EB4F41" w:rsidRDefault="00EB4F41" w:rsidP="00EB4F41">
            <w:pPr>
              <w:spacing w:before="20" w:after="20" w:line="240" w:lineRule="auto"/>
              <w:jc w:val="left"/>
              <w:rPr>
                <w:szCs w:val="17"/>
              </w:rPr>
            </w:pPr>
            <w:r w:rsidRPr="00EB4F41">
              <w:rPr>
                <w:szCs w:val="17"/>
              </w:rPr>
              <w:t>$1.49/kL</w:t>
            </w:r>
          </w:p>
        </w:tc>
        <w:tc>
          <w:tcPr>
            <w:tcW w:w="1186" w:type="pct"/>
            <w:vAlign w:val="center"/>
          </w:tcPr>
          <w:p w14:paraId="40106C14" w14:textId="77777777" w:rsidR="00EB4F41" w:rsidRPr="00EB4F41" w:rsidRDefault="00EB4F41" w:rsidP="00EB4F41">
            <w:pPr>
              <w:spacing w:before="20" w:after="20" w:line="240" w:lineRule="auto"/>
              <w:jc w:val="left"/>
              <w:rPr>
                <w:szCs w:val="17"/>
              </w:rPr>
            </w:pPr>
            <w:r w:rsidRPr="00EB4F41">
              <w:rPr>
                <w:szCs w:val="17"/>
              </w:rPr>
              <w:t>$1.98/kL</w:t>
            </w:r>
          </w:p>
        </w:tc>
      </w:tr>
      <w:tr w:rsidR="00EB4F41" w:rsidRPr="00EB4F41" w14:paraId="4305E421" w14:textId="77777777" w:rsidTr="0012134E">
        <w:tc>
          <w:tcPr>
            <w:tcW w:w="2567" w:type="pct"/>
            <w:shd w:val="clear" w:color="auto" w:fill="auto"/>
            <w:vAlign w:val="center"/>
            <w:hideMark/>
          </w:tcPr>
          <w:p w14:paraId="4900119F" w14:textId="77777777" w:rsidR="00EB4F41" w:rsidRPr="00EB4F41" w:rsidRDefault="00EB4F41" w:rsidP="00EB4F41">
            <w:pPr>
              <w:spacing w:before="20" w:after="20" w:line="240" w:lineRule="auto"/>
              <w:jc w:val="left"/>
              <w:rPr>
                <w:color w:val="000000"/>
                <w:szCs w:val="17"/>
              </w:rPr>
            </w:pPr>
            <w:r w:rsidRPr="00EB4F41">
              <w:rPr>
                <w:color w:val="000000"/>
                <w:szCs w:val="17"/>
              </w:rPr>
              <w:t>Marne Saunders Prescribed Water Resources Area</w:t>
            </w:r>
          </w:p>
        </w:tc>
        <w:tc>
          <w:tcPr>
            <w:tcW w:w="1247" w:type="pct"/>
            <w:shd w:val="clear" w:color="auto" w:fill="auto"/>
            <w:noWrap/>
            <w:vAlign w:val="center"/>
            <w:hideMark/>
          </w:tcPr>
          <w:p w14:paraId="22B0D642"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75185F1D"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2B504888" w14:textId="77777777" w:rsidTr="0012134E">
        <w:tc>
          <w:tcPr>
            <w:tcW w:w="2567" w:type="pct"/>
            <w:shd w:val="clear" w:color="auto" w:fill="auto"/>
            <w:vAlign w:val="center"/>
            <w:hideMark/>
          </w:tcPr>
          <w:p w14:paraId="540DA4EC" w14:textId="77777777" w:rsidR="00EB4F41" w:rsidRPr="00EB4F41" w:rsidRDefault="00EB4F41" w:rsidP="00EB4F41">
            <w:pPr>
              <w:spacing w:before="20" w:after="20" w:line="240" w:lineRule="auto"/>
              <w:jc w:val="left"/>
              <w:rPr>
                <w:color w:val="000000"/>
                <w:szCs w:val="17"/>
              </w:rPr>
            </w:pPr>
            <w:r w:rsidRPr="00EB4F41">
              <w:rPr>
                <w:color w:val="000000"/>
                <w:szCs w:val="17"/>
              </w:rPr>
              <w:t>McLaren Vale Prescribed Wells Area</w:t>
            </w:r>
          </w:p>
        </w:tc>
        <w:tc>
          <w:tcPr>
            <w:tcW w:w="1247" w:type="pct"/>
            <w:shd w:val="clear" w:color="auto" w:fill="auto"/>
            <w:noWrap/>
            <w:vAlign w:val="center"/>
            <w:hideMark/>
          </w:tcPr>
          <w:p w14:paraId="2A7CD0E5" w14:textId="77777777" w:rsidR="00EB4F41" w:rsidRPr="00EB4F41" w:rsidRDefault="00EB4F41" w:rsidP="00EB4F41">
            <w:pPr>
              <w:spacing w:before="20" w:after="20" w:line="240" w:lineRule="auto"/>
              <w:jc w:val="left"/>
              <w:rPr>
                <w:szCs w:val="17"/>
              </w:rPr>
            </w:pPr>
            <w:r w:rsidRPr="00EB4F41">
              <w:rPr>
                <w:szCs w:val="17"/>
              </w:rPr>
              <w:t>$3.90/kL</w:t>
            </w:r>
          </w:p>
        </w:tc>
        <w:tc>
          <w:tcPr>
            <w:tcW w:w="1186" w:type="pct"/>
            <w:vAlign w:val="center"/>
          </w:tcPr>
          <w:p w14:paraId="1166AEE5" w14:textId="77777777" w:rsidR="00EB4F41" w:rsidRPr="00EB4F41" w:rsidRDefault="00EB4F41" w:rsidP="00EB4F41">
            <w:pPr>
              <w:spacing w:before="20" w:after="20" w:line="240" w:lineRule="auto"/>
              <w:jc w:val="left"/>
              <w:rPr>
                <w:szCs w:val="17"/>
              </w:rPr>
            </w:pPr>
            <w:r w:rsidRPr="00EB4F41">
              <w:rPr>
                <w:szCs w:val="17"/>
              </w:rPr>
              <w:t>$5.20/kL</w:t>
            </w:r>
          </w:p>
        </w:tc>
      </w:tr>
      <w:tr w:rsidR="00EB4F41" w:rsidRPr="00EB4F41" w14:paraId="418AA491" w14:textId="77777777" w:rsidTr="0012134E">
        <w:tc>
          <w:tcPr>
            <w:tcW w:w="2567" w:type="pct"/>
            <w:shd w:val="clear" w:color="auto" w:fill="auto"/>
            <w:vAlign w:val="center"/>
            <w:hideMark/>
          </w:tcPr>
          <w:p w14:paraId="41FB4BDE" w14:textId="77777777" w:rsidR="00EB4F41" w:rsidRPr="00EB4F41" w:rsidRDefault="00EB4F41" w:rsidP="00EB4F41">
            <w:pPr>
              <w:spacing w:before="20" w:after="20" w:line="240" w:lineRule="auto"/>
              <w:jc w:val="left"/>
              <w:rPr>
                <w:color w:val="000000"/>
                <w:szCs w:val="17"/>
              </w:rPr>
            </w:pPr>
            <w:r w:rsidRPr="00EB4F41">
              <w:rPr>
                <w:color w:val="000000"/>
                <w:szCs w:val="17"/>
              </w:rPr>
              <w:t>Morambro Creek Prescribed Watercourse and Prescribed Surface Water Area</w:t>
            </w:r>
          </w:p>
        </w:tc>
        <w:tc>
          <w:tcPr>
            <w:tcW w:w="1247" w:type="pct"/>
            <w:shd w:val="clear" w:color="auto" w:fill="auto"/>
            <w:noWrap/>
            <w:vAlign w:val="center"/>
            <w:hideMark/>
          </w:tcPr>
          <w:p w14:paraId="609A61E8"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1DAAEE74"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129AC24F" w14:textId="77777777" w:rsidTr="0012134E">
        <w:tc>
          <w:tcPr>
            <w:tcW w:w="2567" w:type="pct"/>
            <w:shd w:val="clear" w:color="auto" w:fill="auto"/>
            <w:vAlign w:val="center"/>
            <w:hideMark/>
          </w:tcPr>
          <w:p w14:paraId="7ED83300" w14:textId="77777777" w:rsidR="00EB4F41" w:rsidRPr="00EB4F41" w:rsidRDefault="00EB4F41" w:rsidP="00EB4F41">
            <w:pPr>
              <w:spacing w:before="20" w:after="20" w:line="240" w:lineRule="auto"/>
              <w:jc w:val="left"/>
              <w:rPr>
                <w:color w:val="000000"/>
                <w:szCs w:val="17"/>
              </w:rPr>
            </w:pPr>
            <w:r w:rsidRPr="00EB4F41">
              <w:rPr>
                <w:color w:val="000000"/>
                <w:szCs w:val="17"/>
              </w:rPr>
              <w:t>Musgrave Prescribed Wells Area</w:t>
            </w:r>
          </w:p>
        </w:tc>
        <w:tc>
          <w:tcPr>
            <w:tcW w:w="1247" w:type="pct"/>
            <w:shd w:val="clear" w:color="auto" w:fill="auto"/>
            <w:noWrap/>
            <w:vAlign w:val="center"/>
            <w:hideMark/>
          </w:tcPr>
          <w:p w14:paraId="47298F85"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2073B95C"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798B5347" w14:textId="77777777" w:rsidTr="0012134E">
        <w:tc>
          <w:tcPr>
            <w:tcW w:w="2567" w:type="pct"/>
            <w:shd w:val="clear" w:color="auto" w:fill="auto"/>
            <w:vAlign w:val="center"/>
            <w:hideMark/>
          </w:tcPr>
          <w:p w14:paraId="561D19E7" w14:textId="77777777" w:rsidR="00EB4F41" w:rsidRPr="00EB4F41" w:rsidRDefault="00EB4F41" w:rsidP="00EB4F41">
            <w:pPr>
              <w:spacing w:before="20" w:after="20" w:line="240" w:lineRule="auto"/>
              <w:jc w:val="left"/>
              <w:rPr>
                <w:color w:val="000000"/>
                <w:szCs w:val="17"/>
              </w:rPr>
            </w:pPr>
            <w:r w:rsidRPr="00EB4F41">
              <w:rPr>
                <w:color w:val="000000"/>
                <w:szCs w:val="17"/>
              </w:rPr>
              <w:t>Northern Adelaide Plains Prescribed Wells Area</w:t>
            </w:r>
          </w:p>
        </w:tc>
        <w:tc>
          <w:tcPr>
            <w:tcW w:w="1247" w:type="pct"/>
            <w:shd w:val="clear" w:color="auto" w:fill="auto"/>
            <w:noWrap/>
            <w:vAlign w:val="center"/>
            <w:hideMark/>
          </w:tcPr>
          <w:p w14:paraId="35779E84" w14:textId="77777777" w:rsidR="00EB4F41" w:rsidRPr="00EB4F41" w:rsidRDefault="00EB4F41" w:rsidP="00EB4F41">
            <w:pPr>
              <w:spacing w:before="20" w:after="20" w:line="240" w:lineRule="auto"/>
              <w:jc w:val="left"/>
              <w:rPr>
                <w:szCs w:val="17"/>
              </w:rPr>
            </w:pPr>
            <w:r w:rsidRPr="00EB4F41">
              <w:rPr>
                <w:szCs w:val="17"/>
              </w:rPr>
              <w:t>$1.88/kL</w:t>
            </w:r>
          </w:p>
        </w:tc>
        <w:tc>
          <w:tcPr>
            <w:tcW w:w="1186" w:type="pct"/>
            <w:vAlign w:val="center"/>
          </w:tcPr>
          <w:p w14:paraId="4909017F" w14:textId="77777777" w:rsidR="00EB4F41" w:rsidRPr="00EB4F41" w:rsidRDefault="00EB4F41" w:rsidP="00EB4F41">
            <w:pPr>
              <w:spacing w:before="20" w:after="20" w:line="240" w:lineRule="auto"/>
              <w:jc w:val="left"/>
              <w:rPr>
                <w:szCs w:val="17"/>
              </w:rPr>
            </w:pPr>
            <w:r w:rsidRPr="00EB4F41">
              <w:rPr>
                <w:szCs w:val="17"/>
              </w:rPr>
              <w:t>$2.50/kL</w:t>
            </w:r>
          </w:p>
        </w:tc>
      </w:tr>
      <w:tr w:rsidR="00EB4F41" w:rsidRPr="00EB4F41" w14:paraId="20269590" w14:textId="77777777" w:rsidTr="0012134E">
        <w:tc>
          <w:tcPr>
            <w:tcW w:w="2567" w:type="pct"/>
            <w:shd w:val="clear" w:color="auto" w:fill="auto"/>
            <w:vAlign w:val="center"/>
            <w:hideMark/>
          </w:tcPr>
          <w:p w14:paraId="7106CB71" w14:textId="77777777" w:rsidR="00EB4F41" w:rsidRPr="00EB4F41" w:rsidRDefault="00EB4F41" w:rsidP="00EB4F41">
            <w:pPr>
              <w:spacing w:before="20" w:after="20" w:line="240" w:lineRule="auto"/>
              <w:jc w:val="left"/>
              <w:rPr>
                <w:color w:val="000000"/>
                <w:szCs w:val="17"/>
              </w:rPr>
            </w:pPr>
            <w:r w:rsidRPr="00EB4F41">
              <w:rPr>
                <w:color w:val="000000"/>
                <w:szCs w:val="17"/>
              </w:rPr>
              <w:t>Padthaway Prescribed Wells Area</w:t>
            </w:r>
          </w:p>
        </w:tc>
        <w:tc>
          <w:tcPr>
            <w:tcW w:w="1247" w:type="pct"/>
            <w:shd w:val="clear" w:color="auto" w:fill="auto"/>
            <w:noWrap/>
            <w:vAlign w:val="center"/>
            <w:hideMark/>
          </w:tcPr>
          <w:p w14:paraId="2CB7A99C"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1CF28D61"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147CACEE" w14:textId="77777777" w:rsidTr="0012134E">
        <w:tc>
          <w:tcPr>
            <w:tcW w:w="2567" w:type="pct"/>
            <w:shd w:val="clear" w:color="auto" w:fill="auto"/>
            <w:vAlign w:val="center"/>
            <w:hideMark/>
          </w:tcPr>
          <w:p w14:paraId="03446831" w14:textId="77777777" w:rsidR="00EB4F41" w:rsidRPr="00EB4F41" w:rsidRDefault="00EB4F41" w:rsidP="00EB4F41">
            <w:pPr>
              <w:spacing w:before="20" w:after="20" w:line="240" w:lineRule="auto"/>
              <w:jc w:val="left"/>
              <w:rPr>
                <w:color w:val="000000"/>
                <w:szCs w:val="17"/>
              </w:rPr>
            </w:pPr>
            <w:r w:rsidRPr="00EB4F41">
              <w:rPr>
                <w:color w:val="000000"/>
                <w:szCs w:val="17"/>
              </w:rPr>
              <w:t>Peake, Roby and Sherlock Prescribed Wells Area</w:t>
            </w:r>
          </w:p>
        </w:tc>
        <w:tc>
          <w:tcPr>
            <w:tcW w:w="1247" w:type="pct"/>
            <w:shd w:val="clear" w:color="auto" w:fill="auto"/>
            <w:noWrap/>
            <w:vAlign w:val="center"/>
            <w:hideMark/>
          </w:tcPr>
          <w:p w14:paraId="725DE016"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166AA65B"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1447FAE0" w14:textId="77777777" w:rsidTr="0012134E">
        <w:tc>
          <w:tcPr>
            <w:tcW w:w="2567" w:type="pct"/>
            <w:shd w:val="clear" w:color="auto" w:fill="auto"/>
            <w:vAlign w:val="center"/>
            <w:hideMark/>
          </w:tcPr>
          <w:p w14:paraId="0E02DEF6" w14:textId="77777777" w:rsidR="00EB4F41" w:rsidRPr="00EB4F41" w:rsidRDefault="00EB4F41" w:rsidP="00EB4F41">
            <w:pPr>
              <w:spacing w:before="20" w:after="20" w:line="240" w:lineRule="auto"/>
              <w:jc w:val="left"/>
              <w:rPr>
                <w:color w:val="000000"/>
                <w:szCs w:val="17"/>
              </w:rPr>
            </w:pPr>
            <w:r w:rsidRPr="00EB4F41">
              <w:rPr>
                <w:color w:val="000000"/>
                <w:szCs w:val="17"/>
              </w:rPr>
              <w:t>Southern Basins Prescribed Wells Area</w:t>
            </w:r>
          </w:p>
        </w:tc>
        <w:tc>
          <w:tcPr>
            <w:tcW w:w="1247" w:type="pct"/>
            <w:shd w:val="clear" w:color="auto" w:fill="auto"/>
            <w:noWrap/>
            <w:vAlign w:val="center"/>
            <w:hideMark/>
          </w:tcPr>
          <w:p w14:paraId="1F303532"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177590FD"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6E875FF0" w14:textId="77777777" w:rsidTr="0012134E">
        <w:tc>
          <w:tcPr>
            <w:tcW w:w="2567" w:type="pct"/>
            <w:shd w:val="clear" w:color="auto" w:fill="auto"/>
            <w:vAlign w:val="center"/>
            <w:hideMark/>
          </w:tcPr>
          <w:p w14:paraId="2870295C" w14:textId="77777777" w:rsidR="00EB4F41" w:rsidRPr="00EB4F41" w:rsidRDefault="00EB4F41" w:rsidP="00EB4F41">
            <w:pPr>
              <w:spacing w:before="20" w:after="20" w:line="240" w:lineRule="auto"/>
              <w:jc w:val="left"/>
              <w:rPr>
                <w:color w:val="000000"/>
                <w:szCs w:val="17"/>
              </w:rPr>
            </w:pPr>
            <w:r w:rsidRPr="00EB4F41">
              <w:rPr>
                <w:color w:val="000000"/>
                <w:szCs w:val="17"/>
              </w:rPr>
              <w:t>Tatiara Prescribed Wells Area</w:t>
            </w:r>
          </w:p>
        </w:tc>
        <w:tc>
          <w:tcPr>
            <w:tcW w:w="1247" w:type="pct"/>
            <w:shd w:val="clear" w:color="auto" w:fill="auto"/>
            <w:noWrap/>
            <w:vAlign w:val="center"/>
            <w:hideMark/>
          </w:tcPr>
          <w:p w14:paraId="71EF7AEC"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0B4B9B09"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61DBFF13" w14:textId="77777777" w:rsidTr="0012134E">
        <w:tc>
          <w:tcPr>
            <w:tcW w:w="2567" w:type="pct"/>
            <w:shd w:val="clear" w:color="auto" w:fill="auto"/>
            <w:vAlign w:val="center"/>
            <w:hideMark/>
          </w:tcPr>
          <w:p w14:paraId="5A7878D1" w14:textId="77777777" w:rsidR="00EB4F41" w:rsidRPr="00EB4F41" w:rsidRDefault="00EB4F41" w:rsidP="00EB4F41">
            <w:pPr>
              <w:spacing w:before="20" w:after="20" w:line="240" w:lineRule="auto"/>
              <w:jc w:val="left"/>
              <w:rPr>
                <w:color w:val="000000"/>
                <w:szCs w:val="17"/>
              </w:rPr>
            </w:pPr>
            <w:r w:rsidRPr="00EB4F41">
              <w:rPr>
                <w:color w:val="000000"/>
                <w:szCs w:val="17"/>
              </w:rPr>
              <w:t>Tintinara Coonalpyn Prescribed Wells Area</w:t>
            </w:r>
          </w:p>
        </w:tc>
        <w:tc>
          <w:tcPr>
            <w:tcW w:w="1247" w:type="pct"/>
            <w:shd w:val="clear" w:color="auto" w:fill="auto"/>
            <w:noWrap/>
            <w:vAlign w:val="center"/>
            <w:hideMark/>
          </w:tcPr>
          <w:p w14:paraId="5ABFC2DD" w14:textId="77777777" w:rsidR="00EB4F41" w:rsidRPr="00EB4F41" w:rsidRDefault="00EB4F41" w:rsidP="00EB4F41">
            <w:pPr>
              <w:spacing w:before="20" w:after="20" w:line="240" w:lineRule="auto"/>
              <w:jc w:val="left"/>
              <w:rPr>
                <w:szCs w:val="17"/>
              </w:rPr>
            </w:pPr>
            <w:r w:rsidRPr="00EB4F41">
              <w:rPr>
                <w:szCs w:val="17"/>
              </w:rPr>
              <w:t>$0.69/kL</w:t>
            </w:r>
          </w:p>
        </w:tc>
        <w:tc>
          <w:tcPr>
            <w:tcW w:w="1186" w:type="pct"/>
            <w:vAlign w:val="center"/>
          </w:tcPr>
          <w:p w14:paraId="09A3896E" w14:textId="77777777" w:rsidR="00EB4F41" w:rsidRPr="00EB4F41" w:rsidRDefault="00EB4F41" w:rsidP="00EB4F41">
            <w:pPr>
              <w:spacing w:before="20" w:after="20" w:line="240" w:lineRule="auto"/>
              <w:jc w:val="left"/>
              <w:rPr>
                <w:szCs w:val="17"/>
              </w:rPr>
            </w:pPr>
            <w:r w:rsidRPr="00EB4F41">
              <w:rPr>
                <w:szCs w:val="17"/>
              </w:rPr>
              <w:t>$0.92/kL</w:t>
            </w:r>
          </w:p>
        </w:tc>
      </w:tr>
      <w:tr w:rsidR="00EB4F41" w:rsidRPr="00EB4F41" w14:paraId="77776488" w14:textId="77777777" w:rsidTr="0012134E">
        <w:tc>
          <w:tcPr>
            <w:tcW w:w="2567" w:type="pct"/>
            <w:tcBorders>
              <w:bottom w:val="single" w:sz="4" w:space="0" w:color="auto"/>
            </w:tcBorders>
            <w:shd w:val="clear" w:color="auto" w:fill="auto"/>
            <w:vAlign w:val="center"/>
            <w:hideMark/>
          </w:tcPr>
          <w:p w14:paraId="4FD56BFF" w14:textId="77777777" w:rsidR="00EB4F41" w:rsidRPr="00EB4F41" w:rsidRDefault="00EB4F41" w:rsidP="00EB4F41">
            <w:pPr>
              <w:spacing w:before="20" w:after="20" w:line="240" w:lineRule="auto"/>
              <w:jc w:val="left"/>
              <w:rPr>
                <w:color w:val="000000"/>
                <w:szCs w:val="17"/>
              </w:rPr>
            </w:pPr>
            <w:r w:rsidRPr="00EB4F41">
              <w:rPr>
                <w:color w:val="000000"/>
                <w:szCs w:val="17"/>
              </w:rPr>
              <w:t>Western Mt Lofty Ranges Prescribed Water Resources Area</w:t>
            </w:r>
          </w:p>
        </w:tc>
        <w:tc>
          <w:tcPr>
            <w:tcW w:w="1247" w:type="pct"/>
            <w:tcBorders>
              <w:bottom w:val="single" w:sz="4" w:space="0" w:color="auto"/>
            </w:tcBorders>
            <w:shd w:val="clear" w:color="auto" w:fill="auto"/>
            <w:noWrap/>
            <w:vAlign w:val="center"/>
            <w:hideMark/>
          </w:tcPr>
          <w:p w14:paraId="499CE549" w14:textId="77777777" w:rsidR="00EB4F41" w:rsidRPr="00EB4F41" w:rsidRDefault="00EB4F41" w:rsidP="00EB4F41">
            <w:pPr>
              <w:spacing w:before="20" w:after="20" w:line="240" w:lineRule="auto"/>
              <w:jc w:val="left"/>
              <w:rPr>
                <w:szCs w:val="17"/>
              </w:rPr>
            </w:pPr>
            <w:r w:rsidRPr="00EB4F41">
              <w:rPr>
                <w:szCs w:val="17"/>
              </w:rPr>
              <w:t>$1.50/kL</w:t>
            </w:r>
          </w:p>
        </w:tc>
        <w:tc>
          <w:tcPr>
            <w:tcW w:w="1186" w:type="pct"/>
            <w:tcBorders>
              <w:bottom w:val="single" w:sz="4" w:space="0" w:color="auto"/>
            </w:tcBorders>
            <w:vAlign w:val="center"/>
          </w:tcPr>
          <w:p w14:paraId="2314FE95" w14:textId="77777777" w:rsidR="00EB4F41" w:rsidRPr="00EB4F41" w:rsidRDefault="00EB4F41" w:rsidP="00EB4F41">
            <w:pPr>
              <w:spacing w:before="20" w:after="20" w:line="240" w:lineRule="auto"/>
              <w:jc w:val="left"/>
              <w:rPr>
                <w:szCs w:val="17"/>
              </w:rPr>
            </w:pPr>
            <w:r w:rsidRPr="00EB4F41">
              <w:rPr>
                <w:szCs w:val="17"/>
              </w:rPr>
              <w:t>$2.00/kL</w:t>
            </w:r>
          </w:p>
        </w:tc>
      </w:tr>
    </w:tbl>
    <w:p w14:paraId="3A589D68" w14:textId="0BE14533" w:rsidR="00EB4F41" w:rsidRDefault="00EB4F41" w:rsidP="00EB4F41">
      <w:pPr>
        <w:spacing w:before="80" w:line="240" w:lineRule="auto"/>
        <w:rPr>
          <w:szCs w:val="17"/>
        </w:rPr>
      </w:pPr>
      <w:r w:rsidRPr="00EB4F41">
        <w:rPr>
          <w:szCs w:val="17"/>
        </w:rPr>
        <w:t>Unit of measure kL is the abbreviation of kilolitre</w:t>
      </w:r>
    </w:p>
    <w:p w14:paraId="5C286A47" w14:textId="77777777" w:rsidR="00EB4F41" w:rsidRDefault="00EB4F41">
      <w:pPr>
        <w:spacing w:after="0" w:line="240" w:lineRule="auto"/>
        <w:jc w:val="left"/>
        <w:rPr>
          <w:szCs w:val="17"/>
        </w:rPr>
      </w:pPr>
      <w:r>
        <w:rPr>
          <w:szCs w:val="17"/>
        </w:rPr>
        <w:br w:type="page"/>
      </w:r>
    </w:p>
    <w:p w14:paraId="749B7D1D" w14:textId="77777777" w:rsidR="00EB4F41" w:rsidRPr="00EB4F41" w:rsidRDefault="00EB4F41" w:rsidP="00EB4F4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jc w:val="center"/>
        <w:rPr>
          <w:bCs/>
          <w:smallCaps/>
          <w:szCs w:val="17"/>
        </w:rPr>
      </w:pPr>
      <w:r w:rsidRPr="00EB4F41">
        <w:rPr>
          <w:bCs/>
          <w:smallCaps/>
          <w:szCs w:val="17"/>
        </w:rPr>
        <w:lastRenderedPageBreak/>
        <w:t>Schedule 2</w:t>
      </w:r>
    </w:p>
    <w:p w14:paraId="0C1BB5AD" w14:textId="77777777" w:rsidR="00EB4F41" w:rsidRPr="00EB4F41" w:rsidRDefault="00EB4F41" w:rsidP="00EB4F41">
      <w:pPr>
        <w:spacing w:line="240" w:lineRule="auto"/>
        <w:rPr>
          <w:szCs w:val="17"/>
        </w:rPr>
      </w:pPr>
      <w:r w:rsidRPr="00EB4F41">
        <w:rPr>
          <w:szCs w:val="17"/>
        </w:rPr>
        <w:t>Penalties for unauthorised take from a prescribed water resource, taken in association with an authorisation pursuant to section 105 of the Act:</w:t>
      </w:r>
    </w:p>
    <w:tbl>
      <w:tblPr>
        <w:tblW w:w="5000" w:type="pct"/>
        <w:tblLook w:val="04A0" w:firstRow="1" w:lastRow="0" w:firstColumn="1" w:lastColumn="0" w:noHBand="0" w:noVBand="1"/>
      </w:tblPr>
      <w:tblGrid>
        <w:gridCol w:w="5640"/>
        <w:gridCol w:w="3714"/>
      </w:tblGrid>
      <w:tr w:rsidR="00EB4F41" w:rsidRPr="00EB4F41" w14:paraId="16690F6E" w14:textId="77777777" w:rsidTr="0012134E">
        <w:trPr>
          <w:trHeight w:val="249"/>
        </w:trPr>
        <w:tc>
          <w:tcPr>
            <w:tcW w:w="3015" w:type="pct"/>
            <w:tcBorders>
              <w:top w:val="single" w:sz="4" w:space="0" w:color="auto"/>
              <w:bottom w:val="single" w:sz="4" w:space="0" w:color="auto"/>
            </w:tcBorders>
            <w:shd w:val="clear" w:color="auto" w:fill="auto"/>
            <w:noWrap/>
            <w:vAlign w:val="center"/>
            <w:hideMark/>
          </w:tcPr>
          <w:p w14:paraId="1E15764E"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Column 1</w:t>
            </w:r>
          </w:p>
        </w:tc>
        <w:tc>
          <w:tcPr>
            <w:tcW w:w="1985" w:type="pct"/>
            <w:tcBorders>
              <w:top w:val="single" w:sz="4" w:space="0" w:color="auto"/>
              <w:bottom w:val="single" w:sz="4" w:space="0" w:color="auto"/>
            </w:tcBorders>
            <w:shd w:val="clear" w:color="auto" w:fill="auto"/>
            <w:vAlign w:val="center"/>
            <w:hideMark/>
          </w:tcPr>
          <w:p w14:paraId="38685A9D"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Column 2</w:t>
            </w:r>
          </w:p>
        </w:tc>
      </w:tr>
      <w:tr w:rsidR="00EB4F41" w:rsidRPr="00EB4F41" w14:paraId="53E330A6" w14:textId="77777777" w:rsidTr="0012134E">
        <w:trPr>
          <w:trHeight w:val="280"/>
        </w:trPr>
        <w:tc>
          <w:tcPr>
            <w:tcW w:w="3015" w:type="pct"/>
            <w:tcBorders>
              <w:top w:val="single" w:sz="4" w:space="0" w:color="auto"/>
              <w:bottom w:val="single" w:sz="4" w:space="0" w:color="auto"/>
            </w:tcBorders>
            <w:shd w:val="clear" w:color="auto" w:fill="auto"/>
            <w:noWrap/>
            <w:vAlign w:val="center"/>
            <w:hideMark/>
          </w:tcPr>
          <w:p w14:paraId="5781B2FF" w14:textId="77777777" w:rsidR="00EB4F41" w:rsidRPr="00EB4F41" w:rsidRDefault="00EB4F41" w:rsidP="00EB4F41">
            <w:pPr>
              <w:spacing w:before="40" w:after="40" w:line="240" w:lineRule="auto"/>
              <w:jc w:val="left"/>
              <w:rPr>
                <w:b/>
                <w:bCs/>
                <w:color w:val="000000"/>
                <w:szCs w:val="17"/>
              </w:rPr>
            </w:pPr>
            <w:r w:rsidRPr="00EB4F41">
              <w:rPr>
                <w:b/>
                <w:bCs/>
                <w:color w:val="000000"/>
                <w:szCs w:val="17"/>
              </w:rPr>
              <w:t>Prescribed Water Resource</w:t>
            </w:r>
          </w:p>
        </w:tc>
        <w:tc>
          <w:tcPr>
            <w:tcW w:w="1985" w:type="pct"/>
            <w:tcBorders>
              <w:top w:val="single" w:sz="4" w:space="0" w:color="auto"/>
              <w:bottom w:val="single" w:sz="4" w:space="0" w:color="auto"/>
            </w:tcBorders>
            <w:shd w:val="clear" w:color="auto" w:fill="auto"/>
            <w:vAlign w:val="center"/>
            <w:hideMark/>
          </w:tcPr>
          <w:p w14:paraId="25BCB7C8" w14:textId="77777777" w:rsidR="00EB4F41" w:rsidRPr="00EB4F41" w:rsidRDefault="00EB4F41" w:rsidP="00EB4F41">
            <w:pPr>
              <w:spacing w:before="40" w:after="40" w:line="240" w:lineRule="auto"/>
              <w:jc w:val="left"/>
              <w:rPr>
                <w:b/>
                <w:bCs/>
                <w:strike/>
                <w:color w:val="000000"/>
                <w:szCs w:val="17"/>
              </w:rPr>
            </w:pPr>
            <w:r w:rsidRPr="00EB4F41">
              <w:rPr>
                <w:b/>
                <w:bCs/>
                <w:color w:val="000000"/>
                <w:szCs w:val="17"/>
              </w:rPr>
              <w:t xml:space="preserve">Penalty for unauthorised take of water </w:t>
            </w:r>
          </w:p>
        </w:tc>
      </w:tr>
      <w:tr w:rsidR="00EB4F41" w:rsidRPr="00EB4F41" w14:paraId="6C115903" w14:textId="77777777" w:rsidTr="0012134E">
        <w:trPr>
          <w:trHeight w:val="280"/>
        </w:trPr>
        <w:tc>
          <w:tcPr>
            <w:tcW w:w="3015" w:type="pct"/>
            <w:tcBorders>
              <w:top w:val="single" w:sz="4" w:space="0" w:color="auto"/>
            </w:tcBorders>
            <w:shd w:val="clear" w:color="auto" w:fill="auto"/>
            <w:vAlign w:val="center"/>
          </w:tcPr>
          <w:p w14:paraId="4DCE2499" w14:textId="77777777" w:rsidR="00EB4F41" w:rsidRPr="00EB4F41" w:rsidRDefault="00EB4F41" w:rsidP="00EB4F41">
            <w:pPr>
              <w:spacing w:before="20" w:after="20"/>
              <w:jc w:val="left"/>
              <w:rPr>
                <w:color w:val="000000"/>
                <w:szCs w:val="17"/>
              </w:rPr>
            </w:pPr>
            <w:r w:rsidRPr="00EB4F41">
              <w:rPr>
                <w:color w:val="000000"/>
                <w:szCs w:val="17"/>
              </w:rPr>
              <w:t>Central Adelaide Prescribed Wells Area</w:t>
            </w:r>
          </w:p>
        </w:tc>
        <w:tc>
          <w:tcPr>
            <w:tcW w:w="1985" w:type="pct"/>
            <w:tcBorders>
              <w:top w:val="single" w:sz="4" w:space="0" w:color="auto"/>
            </w:tcBorders>
            <w:shd w:val="clear" w:color="auto" w:fill="auto"/>
            <w:noWrap/>
            <w:vAlign w:val="center"/>
          </w:tcPr>
          <w:p w14:paraId="785EE8AE" w14:textId="77777777" w:rsidR="00EB4F41" w:rsidRPr="00EB4F41" w:rsidRDefault="00EB4F41" w:rsidP="00EB4F41">
            <w:pPr>
              <w:spacing w:before="20" w:after="20"/>
              <w:jc w:val="left"/>
              <w:rPr>
                <w:color w:val="000000"/>
                <w:szCs w:val="17"/>
              </w:rPr>
            </w:pPr>
            <w:r w:rsidRPr="00EB4F41">
              <w:rPr>
                <w:color w:val="000000"/>
                <w:szCs w:val="17"/>
              </w:rPr>
              <w:t>$0.69/kL</w:t>
            </w:r>
          </w:p>
        </w:tc>
      </w:tr>
      <w:tr w:rsidR="00EB4F41" w:rsidRPr="00EB4F41" w14:paraId="570C1804" w14:textId="77777777" w:rsidTr="0012134E">
        <w:trPr>
          <w:trHeight w:val="280"/>
        </w:trPr>
        <w:tc>
          <w:tcPr>
            <w:tcW w:w="3015" w:type="pct"/>
            <w:tcBorders>
              <w:bottom w:val="single" w:sz="4" w:space="0" w:color="auto"/>
            </w:tcBorders>
            <w:shd w:val="clear" w:color="auto" w:fill="auto"/>
            <w:vAlign w:val="center"/>
            <w:hideMark/>
          </w:tcPr>
          <w:p w14:paraId="7090C764" w14:textId="77777777" w:rsidR="00EB4F41" w:rsidRPr="00EB4F41" w:rsidRDefault="00EB4F41" w:rsidP="00EB4F41">
            <w:pPr>
              <w:spacing w:before="20" w:after="20"/>
              <w:jc w:val="left"/>
              <w:rPr>
                <w:color w:val="000000"/>
                <w:szCs w:val="17"/>
              </w:rPr>
            </w:pPr>
            <w:r w:rsidRPr="00EB4F41">
              <w:rPr>
                <w:color w:val="000000"/>
                <w:szCs w:val="17"/>
              </w:rPr>
              <w:t>Western Mount Lofty Ranges Prescribed Water Resources Area</w:t>
            </w:r>
          </w:p>
        </w:tc>
        <w:tc>
          <w:tcPr>
            <w:tcW w:w="1985" w:type="pct"/>
            <w:tcBorders>
              <w:bottom w:val="single" w:sz="4" w:space="0" w:color="auto"/>
            </w:tcBorders>
            <w:shd w:val="clear" w:color="auto" w:fill="auto"/>
            <w:noWrap/>
            <w:vAlign w:val="center"/>
            <w:hideMark/>
          </w:tcPr>
          <w:p w14:paraId="7D3E388B" w14:textId="77777777" w:rsidR="00EB4F41" w:rsidRPr="00EB4F41" w:rsidRDefault="00EB4F41" w:rsidP="00EB4F41">
            <w:pPr>
              <w:spacing w:before="20" w:after="20"/>
              <w:jc w:val="left"/>
              <w:rPr>
                <w:color w:val="000000"/>
                <w:szCs w:val="17"/>
              </w:rPr>
            </w:pPr>
            <w:r w:rsidRPr="00EB4F41">
              <w:rPr>
                <w:color w:val="000000"/>
                <w:szCs w:val="17"/>
              </w:rPr>
              <w:t>$1.50/kL</w:t>
            </w:r>
          </w:p>
        </w:tc>
      </w:tr>
    </w:tbl>
    <w:p w14:paraId="06024479" w14:textId="77777777" w:rsidR="00EB4F41" w:rsidRPr="00EB4F41" w:rsidRDefault="00EB4F41" w:rsidP="00EB4F41">
      <w:pPr>
        <w:spacing w:before="80" w:line="240" w:lineRule="auto"/>
        <w:rPr>
          <w:szCs w:val="17"/>
        </w:rPr>
      </w:pPr>
      <w:r w:rsidRPr="00EB4F41">
        <w:rPr>
          <w:szCs w:val="17"/>
        </w:rPr>
        <w:t>Unit of measure kL is the abbreviation of kilolitre</w:t>
      </w:r>
    </w:p>
    <w:p w14:paraId="20098277" w14:textId="77777777" w:rsidR="00EB4F41" w:rsidRPr="00EB4F41" w:rsidRDefault="00EB4F41" w:rsidP="00EB4F41">
      <w:pPr>
        <w:spacing w:after="0"/>
        <w:rPr>
          <w:rFonts w:eastAsia="Times New Roman"/>
          <w:szCs w:val="17"/>
        </w:rPr>
      </w:pPr>
      <w:r w:rsidRPr="00EB4F41">
        <w:rPr>
          <w:rFonts w:eastAsia="Times New Roman"/>
          <w:szCs w:val="17"/>
        </w:rPr>
        <w:t>Dated: 19 December 2022</w:t>
      </w:r>
    </w:p>
    <w:p w14:paraId="27DEE506" w14:textId="77777777" w:rsidR="00EB4F41" w:rsidRPr="00EB4F41" w:rsidRDefault="00EB4F41" w:rsidP="00EB4F41">
      <w:pPr>
        <w:spacing w:after="0"/>
        <w:jc w:val="right"/>
        <w:rPr>
          <w:rFonts w:eastAsia="Times New Roman"/>
          <w:smallCaps/>
          <w:szCs w:val="20"/>
        </w:rPr>
      </w:pPr>
      <w:r w:rsidRPr="00EB4F41">
        <w:rPr>
          <w:rFonts w:eastAsia="Times New Roman"/>
          <w:smallCaps/>
          <w:szCs w:val="20"/>
        </w:rPr>
        <w:t>Ben Bruce</w:t>
      </w:r>
    </w:p>
    <w:p w14:paraId="2D04F032" w14:textId="77777777" w:rsidR="00EB4F41" w:rsidRPr="00EB4F41" w:rsidRDefault="00EB4F41" w:rsidP="00EB4F41">
      <w:pPr>
        <w:spacing w:after="0"/>
        <w:jc w:val="right"/>
        <w:rPr>
          <w:rFonts w:eastAsia="Times New Roman"/>
          <w:szCs w:val="17"/>
        </w:rPr>
      </w:pPr>
      <w:r w:rsidRPr="00EB4F41">
        <w:rPr>
          <w:rFonts w:eastAsia="Times New Roman"/>
          <w:szCs w:val="17"/>
        </w:rPr>
        <w:t>Executive Director, Water and River Murray</w:t>
      </w:r>
    </w:p>
    <w:p w14:paraId="317F7FE9" w14:textId="77777777" w:rsidR="00EB4F41" w:rsidRPr="00EB4F41" w:rsidRDefault="00EB4F41" w:rsidP="00EB4F41">
      <w:pPr>
        <w:spacing w:after="0"/>
        <w:jc w:val="right"/>
        <w:rPr>
          <w:rFonts w:eastAsia="Times New Roman"/>
          <w:szCs w:val="17"/>
        </w:rPr>
      </w:pPr>
      <w:r w:rsidRPr="00EB4F41">
        <w:rPr>
          <w:rFonts w:eastAsia="Times New Roman"/>
          <w:szCs w:val="17"/>
        </w:rPr>
        <w:t>Department for Environment and Water</w:t>
      </w:r>
    </w:p>
    <w:p w14:paraId="035AEE02" w14:textId="77777777" w:rsidR="00EB4F41" w:rsidRPr="00EB4F41" w:rsidRDefault="00EB4F41" w:rsidP="00EB4F41">
      <w:pPr>
        <w:spacing w:after="0"/>
        <w:jc w:val="right"/>
        <w:rPr>
          <w:rFonts w:eastAsia="Times New Roman"/>
          <w:szCs w:val="17"/>
        </w:rPr>
      </w:pPr>
      <w:r w:rsidRPr="00EB4F41">
        <w:rPr>
          <w:rFonts w:eastAsia="Times New Roman"/>
          <w:szCs w:val="17"/>
        </w:rPr>
        <w:t>Delegate of the Minister for Climate, Environment and Water</w:t>
      </w:r>
    </w:p>
    <w:p w14:paraId="3680C3CD" w14:textId="04E46412" w:rsidR="00EB4F41" w:rsidRDefault="00EB4F41" w:rsidP="00EB4F41">
      <w:pPr>
        <w:pBdr>
          <w:bottom w:val="single" w:sz="4" w:space="1" w:color="auto"/>
        </w:pBdr>
        <w:spacing w:after="0" w:line="52" w:lineRule="exact"/>
        <w:jc w:val="center"/>
        <w:rPr>
          <w:rFonts w:eastAsia="Times New Roman"/>
          <w:szCs w:val="17"/>
        </w:rPr>
      </w:pPr>
    </w:p>
    <w:p w14:paraId="48DFBCC9" w14:textId="4A5A5857" w:rsidR="00EB4F41" w:rsidRDefault="00EB4F41" w:rsidP="00EB4F41">
      <w:pPr>
        <w:pBdr>
          <w:top w:val="single" w:sz="4" w:space="1" w:color="auto"/>
        </w:pBdr>
        <w:spacing w:before="34" w:after="0" w:line="14" w:lineRule="exact"/>
        <w:jc w:val="center"/>
        <w:rPr>
          <w:rFonts w:eastAsia="Times New Roman"/>
          <w:szCs w:val="17"/>
        </w:rPr>
      </w:pPr>
    </w:p>
    <w:p w14:paraId="026D78EF" w14:textId="0732952F" w:rsidR="00EB4F41" w:rsidRDefault="00EB4F41" w:rsidP="00965F17">
      <w:pPr>
        <w:pStyle w:val="GG-body"/>
        <w:spacing w:after="0"/>
        <w:rPr>
          <w:lang w:val="en-US"/>
        </w:rPr>
      </w:pPr>
    </w:p>
    <w:p w14:paraId="56288CCB" w14:textId="77777777" w:rsidR="00EB4F41" w:rsidRPr="00EB4F41" w:rsidRDefault="00EB4F41" w:rsidP="00392842">
      <w:pPr>
        <w:pStyle w:val="Heading2"/>
        <w:rPr>
          <w:lang w:eastAsia="en-GB"/>
        </w:rPr>
      </w:pPr>
      <w:bookmarkStart w:id="48" w:name="_Toc122600839"/>
      <w:r w:rsidRPr="00EB4F41">
        <w:rPr>
          <w:lang w:eastAsia="en-GB"/>
        </w:rPr>
        <w:t>Local Government (Elections) Act 1999</w:t>
      </w:r>
      <w:bookmarkEnd w:id="48"/>
      <w:r w:rsidRPr="00EB4F41">
        <w:rPr>
          <w:lang w:eastAsia="en-GB"/>
        </w:rPr>
        <w:t> </w:t>
      </w:r>
    </w:p>
    <w:p w14:paraId="6CAE36CA" w14:textId="77777777" w:rsidR="00EB4F41" w:rsidRPr="00EB4F41" w:rsidRDefault="00EB4F41" w:rsidP="00EB4F41">
      <w:pPr>
        <w:jc w:val="center"/>
        <w:rPr>
          <w:i/>
          <w:szCs w:val="17"/>
          <w:lang w:eastAsia="en-GB"/>
        </w:rPr>
      </w:pPr>
      <w:r w:rsidRPr="00EB4F41">
        <w:rPr>
          <w:i/>
          <w:szCs w:val="17"/>
          <w:lang w:eastAsia="en-GB"/>
        </w:rPr>
        <w:t>2023 Local Government Supplementary Elections—Nominations Open </w:t>
      </w:r>
    </w:p>
    <w:p w14:paraId="7278C490" w14:textId="77777777" w:rsidR="00EB4F41" w:rsidRPr="00EB4F41" w:rsidRDefault="00EB4F41" w:rsidP="00EB4F41">
      <w:pPr>
        <w:rPr>
          <w:rFonts w:eastAsia="Times New Roman"/>
          <w:color w:val="000000"/>
          <w:szCs w:val="17"/>
          <w:lang w:eastAsia="en-GB"/>
        </w:rPr>
      </w:pPr>
      <w:r w:rsidRPr="00EB4F41">
        <w:rPr>
          <w:rFonts w:eastAsia="Times New Roman"/>
          <w:color w:val="000000"/>
          <w:szCs w:val="17"/>
          <w:lang w:eastAsia="en-GB"/>
        </w:rPr>
        <w:t>Nominations open from Friday, 13 January 2023, and close at 12 noon on Friday, 27 January 2023. </w:t>
      </w:r>
    </w:p>
    <w:p w14:paraId="1E19B8C8" w14:textId="77777777" w:rsidR="00EB4F41" w:rsidRPr="00EB4F41" w:rsidRDefault="00EB4F41" w:rsidP="00EB4F41">
      <w:pPr>
        <w:rPr>
          <w:rFonts w:eastAsia="Times New Roman"/>
          <w:color w:val="262626"/>
          <w:szCs w:val="17"/>
          <w:lang w:eastAsia="en-GB"/>
        </w:rPr>
      </w:pPr>
      <w:r w:rsidRPr="00EB4F41">
        <w:rPr>
          <w:rFonts w:eastAsia="Times New Roman"/>
          <w:color w:val="262626"/>
          <w:szCs w:val="17"/>
          <w:lang w:eastAsia="en-GB"/>
        </w:rPr>
        <w:t>Candidates must submit a profile of not more than 1000 characters with their nomination and may also provide a photograph, predominantly head and shoulders, taken within the previous 12 months. </w:t>
      </w:r>
    </w:p>
    <w:p w14:paraId="5BD29CDB" w14:textId="77777777" w:rsidR="00EB4F41" w:rsidRPr="00EB4F41" w:rsidRDefault="00EB4F41" w:rsidP="00EB4F41">
      <w:pPr>
        <w:rPr>
          <w:rFonts w:eastAsia="Times New Roman"/>
          <w:color w:val="262626"/>
          <w:szCs w:val="17"/>
          <w:lang w:eastAsia="en-GB"/>
        </w:rPr>
      </w:pPr>
      <w:r w:rsidRPr="00EB4F41">
        <w:rPr>
          <w:rFonts w:eastAsia="Times New Roman"/>
          <w:color w:val="262626"/>
          <w:szCs w:val="17"/>
          <w:lang w:eastAsia="en-GB"/>
        </w:rPr>
        <w:t>More information about nominating, including the candidate handbook that outlines the criteria and requirements for nominating, can be accessed at </w:t>
      </w:r>
      <w:hyperlink r:id="rId46" w:history="1">
        <w:r w:rsidRPr="00EB4F41">
          <w:rPr>
            <w:rFonts w:eastAsia="Times New Roman"/>
            <w:color w:val="0563C1" w:themeColor="hyperlink"/>
            <w:szCs w:val="17"/>
            <w:u w:val="single"/>
            <w:lang w:eastAsia="en-GB"/>
          </w:rPr>
          <w:t>ecsa.sa.gov.au</w:t>
        </w:r>
      </w:hyperlink>
      <w:r w:rsidRPr="00EB4F41">
        <w:rPr>
          <w:rFonts w:eastAsia="Times New Roman"/>
          <w:color w:val="000068"/>
          <w:szCs w:val="17"/>
          <w:lang w:eastAsia="en-GB"/>
        </w:rPr>
        <w:t xml:space="preserve"> </w:t>
      </w:r>
      <w:r w:rsidRPr="00EB4F41">
        <w:rPr>
          <w:rFonts w:eastAsia="Times New Roman"/>
          <w:color w:val="262626"/>
          <w:szCs w:val="17"/>
          <w:lang w:eastAsia="en-GB"/>
        </w:rPr>
        <w:t>or by phoning 1300 655 232. </w:t>
      </w:r>
    </w:p>
    <w:p w14:paraId="39D87359" w14:textId="77777777" w:rsidR="00EB4F41" w:rsidRPr="00EB4F41" w:rsidRDefault="00EB4F41" w:rsidP="00EB4F41">
      <w:pPr>
        <w:rPr>
          <w:rFonts w:eastAsia="Times New Roman"/>
          <w:color w:val="000000"/>
          <w:sz w:val="27"/>
          <w:szCs w:val="27"/>
          <w:lang w:eastAsia="en-GB"/>
        </w:rPr>
      </w:pPr>
      <w:r w:rsidRPr="00EB4F41">
        <w:rPr>
          <w:rFonts w:eastAsia="Times New Roman"/>
          <w:b/>
          <w:bCs/>
          <w:color w:val="262626"/>
          <w:szCs w:val="17"/>
          <w:lang w:eastAsia="en-GB"/>
        </w:rPr>
        <w:t>Nominate online at: </w:t>
      </w:r>
      <w:hyperlink r:id="rId47" w:history="1">
        <w:r w:rsidRPr="00EB4F41">
          <w:rPr>
            <w:rFonts w:eastAsia="Times New Roman"/>
            <w:color w:val="0563C1" w:themeColor="hyperlink"/>
            <w:szCs w:val="17"/>
            <w:u w:val="single"/>
            <w:lang w:eastAsia="en-GB"/>
          </w:rPr>
          <w:t>ecsa.sa.gov.au/nominate </w:t>
        </w:r>
      </w:hyperlink>
    </w:p>
    <w:p w14:paraId="3FCDE57D" w14:textId="77777777" w:rsidR="00EB4F41" w:rsidRPr="00EB4F41" w:rsidRDefault="00EB4F41" w:rsidP="00EB4F41">
      <w:pPr>
        <w:rPr>
          <w:rFonts w:eastAsia="Times New Roman"/>
          <w:b/>
          <w:bCs/>
          <w:color w:val="262626"/>
          <w:szCs w:val="17"/>
          <w:lang w:eastAsia="en-GB"/>
        </w:rPr>
      </w:pPr>
      <w:r w:rsidRPr="00EB4F41">
        <w:rPr>
          <w:rFonts w:eastAsia="Times New Roman"/>
          <w:b/>
          <w:bCs/>
          <w:color w:val="262626"/>
          <w:szCs w:val="17"/>
          <w:lang w:eastAsia="en-GB"/>
        </w:rPr>
        <w:t>Briefing sessions for intending candidates: </w:t>
      </w:r>
    </w:p>
    <w:p w14:paraId="58E9C32D" w14:textId="77777777" w:rsidR="00EB4F41" w:rsidRPr="00EB4F41" w:rsidRDefault="00EB4F41" w:rsidP="00EB4F41">
      <w:pPr>
        <w:rPr>
          <w:rFonts w:eastAsia="Times New Roman"/>
          <w:color w:val="000068"/>
          <w:szCs w:val="17"/>
          <w:lang w:eastAsia="en-GB"/>
        </w:rPr>
      </w:pPr>
      <w:r w:rsidRPr="00EB4F41">
        <w:rPr>
          <w:rFonts w:eastAsia="Times New Roman"/>
          <w:color w:val="262626"/>
          <w:szCs w:val="17"/>
          <w:lang w:eastAsia="en-GB"/>
        </w:rPr>
        <w:t>Candidate briefing sessions are available as face-to-face sessions, webinars, or a pre-recorded video. Register online at </w:t>
      </w:r>
      <w:hyperlink r:id="rId48" w:history="1">
        <w:r w:rsidRPr="00EB4F41">
          <w:rPr>
            <w:rFonts w:eastAsia="Times New Roman"/>
            <w:color w:val="0563C1" w:themeColor="hyperlink"/>
            <w:szCs w:val="17"/>
            <w:u w:val="single"/>
            <w:lang w:eastAsia="en-GB"/>
          </w:rPr>
          <w:t>ecsa.sa.gov.au/lg-briefings</w:t>
        </w:r>
      </w:hyperlink>
      <w:r w:rsidRPr="00EB4F41">
        <w:rPr>
          <w:rFonts w:eastAsia="Times New Roman"/>
          <w:color w:val="000068"/>
          <w:szCs w:val="17"/>
          <w:lang w:eastAsia="en-GB"/>
        </w:rPr>
        <w:t> </w:t>
      </w:r>
    </w:p>
    <w:p w14:paraId="1AF17C3A" w14:textId="77777777" w:rsidR="00EB4F41" w:rsidRPr="00EB4F41" w:rsidRDefault="00EB4F41" w:rsidP="00EB4F41">
      <w:pPr>
        <w:rPr>
          <w:rFonts w:eastAsia="Times New Roman"/>
          <w:color w:val="262626"/>
          <w:szCs w:val="17"/>
          <w:lang w:eastAsia="en-GB"/>
        </w:rPr>
      </w:pPr>
      <w:r w:rsidRPr="00EB4F41">
        <w:rPr>
          <w:rFonts w:eastAsia="Times New Roman"/>
          <w:color w:val="262626"/>
          <w:szCs w:val="17"/>
          <w:lang w:eastAsia="en-GB"/>
        </w:rPr>
        <w:t>Council vacancies are set out below. </w:t>
      </w:r>
    </w:p>
    <w:p w14:paraId="3D377F9B"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Copper Coast Council </w:t>
      </w:r>
      <w:r w:rsidRPr="00EB4F41">
        <w:rPr>
          <w:rFonts w:eastAsia="Times New Roman"/>
          <w:color w:val="262626"/>
          <w:szCs w:val="17"/>
          <w:lang w:eastAsia="en-GB"/>
        </w:rPr>
        <w:tab/>
        <w:t>1 vacancy for area councillor</w:t>
      </w:r>
    </w:p>
    <w:p w14:paraId="1527428A"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District Council of Kimba </w:t>
      </w:r>
      <w:r w:rsidRPr="00EB4F41">
        <w:rPr>
          <w:rFonts w:eastAsia="Times New Roman"/>
          <w:color w:val="262626"/>
          <w:szCs w:val="17"/>
          <w:lang w:eastAsia="en-GB"/>
        </w:rPr>
        <w:tab/>
        <w:t>1 vacancy for area councillor)</w:t>
      </w:r>
    </w:p>
    <w:p w14:paraId="1E306AD2"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Kingston District Council </w:t>
      </w:r>
      <w:r w:rsidRPr="00EB4F41">
        <w:rPr>
          <w:rFonts w:eastAsia="Times New Roman"/>
          <w:color w:val="262626"/>
          <w:szCs w:val="17"/>
          <w:lang w:eastAsia="en-GB"/>
        </w:rPr>
        <w:tab/>
        <w:t>Mayor</w:t>
      </w:r>
    </w:p>
    <w:p w14:paraId="427EC717"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District Council of Mount Remarkable</w:t>
      </w:r>
      <w:r w:rsidRPr="00EB4F41">
        <w:rPr>
          <w:rFonts w:eastAsia="Times New Roman"/>
          <w:color w:val="262626"/>
          <w:szCs w:val="17"/>
          <w:lang w:eastAsia="en-GB"/>
        </w:rPr>
        <w:tab/>
        <w:t>1 councillor for Willochra ward</w:t>
      </w:r>
    </w:p>
    <w:p w14:paraId="14A89E2A"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Northern Areas Council </w:t>
      </w:r>
      <w:r w:rsidRPr="00EB4F41">
        <w:rPr>
          <w:rFonts w:eastAsia="Times New Roman"/>
          <w:color w:val="262626"/>
          <w:szCs w:val="17"/>
          <w:lang w:eastAsia="en-GB"/>
        </w:rPr>
        <w:tab/>
        <w:t>1 councillor for Broughton ward</w:t>
      </w:r>
    </w:p>
    <w:p w14:paraId="23C87ED0"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District Council of Robe </w:t>
      </w:r>
      <w:r w:rsidRPr="00EB4F41">
        <w:rPr>
          <w:rFonts w:eastAsia="Times New Roman"/>
          <w:color w:val="262626"/>
          <w:szCs w:val="17"/>
          <w:lang w:eastAsia="en-GB"/>
        </w:rPr>
        <w:tab/>
        <w:t>Mayor</w:t>
      </w:r>
    </w:p>
    <w:p w14:paraId="5DB5A4F6"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Southern Mallee District Council </w:t>
      </w:r>
      <w:r w:rsidRPr="00EB4F41">
        <w:rPr>
          <w:rFonts w:eastAsia="Times New Roman"/>
          <w:color w:val="262626"/>
          <w:szCs w:val="17"/>
          <w:lang w:eastAsia="en-GB"/>
        </w:rPr>
        <w:tab/>
        <w:t>5 vacancies for area councillor</w:t>
      </w:r>
    </w:p>
    <w:p w14:paraId="1C866270"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District Council of Streaky Bay </w:t>
      </w:r>
      <w:r w:rsidRPr="00EB4F41">
        <w:rPr>
          <w:rFonts w:eastAsia="Times New Roman"/>
          <w:color w:val="262626"/>
          <w:szCs w:val="17"/>
          <w:lang w:eastAsia="en-GB"/>
        </w:rPr>
        <w:tab/>
        <w:t>1 councillor for Eyre ward</w:t>
      </w:r>
    </w:p>
    <w:p w14:paraId="6A7B19D5" w14:textId="77777777" w:rsidR="00EB4F41" w:rsidRPr="00EB4F41" w:rsidRDefault="00EB4F41" w:rsidP="00EB4F41">
      <w:pPr>
        <w:spacing w:after="0"/>
        <w:ind w:left="2977" w:hanging="2835"/>
        <w:rPr>
          <w:rFonts w:eastAsia="Times New Roman"/>
          <w:color w:val="262626"/>
          <w:szCs w:val="17"/>
          <w:lang w:eastAsia="en-GB"/>
        </w:rPr>
      </w:pPr>
      <w:r w:rsidRPr="00EB4F41">
        <w:rPr>
          <w:rFonts w:eastAsia="Times New Roman"/>
          <w:color w:val="262626"/>
          <w:szCs w:val="17"/>
          <w:lang w:eastAsia="en-GB"/>
        </w:rPr>
        <w:t xml:space="preserve">District Council of Tumby Bay </w:t>
      </w:r>
      <w:r w:rsidRPr="00EB4F41">
        <w:rPr>
          <w:rFonts w:eastAsia="Times New Roman"/>
          <w:color w:val="262626"/>
          <w:szCs w:val="17"/>
          <w:lang w:eastAsia="en-GB"/>
        </w:rPr>
        <w:tab/>
        <w:t>4 vacancies for area councillor</w:t>
      </w:r>
    </w:p>
    <w:p w14:paraId="0F9AF499" w14:textId="77777777" w:rsidR="00EB4F41" w:rsidRPr="00EB4F41" w:rsidRDefault="00EB4F41" w:rsidP="00EB4F41">
      <w:pPr>
        <w:ind w:left="2977" w:hanging="2835"/>
        <w:rPr>
          <w:rFonts w:eastAsia="Times New Roman"/>
          <w:color w:val="262626"/>
          <w:szCs w:val="17"/>
          <w:lang w:eastAsia="en-GB"/>
        </w:rPr>
      </w:pPr>
      <w:r w:rsidRPr="00EB4F41">
        <w:rPr>
          <w:rFonts w:eastAsia="Times New Roman"/>
          <w:color w:val="262626"/>
          <w:szCs w:val="17"/>
          <w:lang w:eastAsia="en-GB"/>
        </w:rPr>
        <w:t xml:space="preserve">Wudinna District Council </w:t>
      </w:r>
      <w:r w:rsidRPr="00EB4F41">
        <w:rPr>
          <w:rFonts w:eastAsia="Times New Roman"/>
          <w:color w:val="262626"/>
          <w:szCs w:val="17"/>
          <w:lang w:eastAsia="en-GB"/>
        </w:rPr>
        <w:tab/>
        <w:t>1 vacancy for area councillor</w:t>
      </w:r>
    </w:p>
    <w:p w14:paraId="46A63A7E" w14:textId="77777777" w:rsidR="00EB4F41" w:rsidRPr="00EB4F41" w:rsidRDefault="00EB4F41" w:rsidP="00EB4F41">
      <w:pPr>
        <w:spacing w:after="0"/>
        <w:rPr>
          <w:rFonts w:eastAsia="Times New Roman"/>
          <w:sz w:val="27"/>
          <w:szCs w:val="27"/>
          <w:lang w:eastAsia="en-GB"/>
        </w:rPr>
      </w:pPr>
      <w:r w:rsidRPr="00EB4F41">
        <w:rPr>
          <w:rFonts w:eastAsia="Times New Roman"/>
          <w:szCs w:val="17"/>
          <w:lang w:eastAsia="en-GB"/>
        </w:rPr>
        <w:t>Dated: 1 January 2023  </w:t>
      </w:r>
    </w:p>
    <w:p w14:paraId="721ED45A" w14:textId="0034535D" w:rsidR="00EB4F41" w:rsidRPr="00EB4F41" w:rsidRDefault="00EB4F41" w:rsidP="00EB4F41">
      <w:pPr>
        <w:spacing w:after="0"/>
        <w:jc w:val="right"/>
        <w:rPr>
          <w:rStyle w:val="GG-SNameChar"/>
          <w:rFonts w:eastAsia="Calibri"/>
          <w:lang w:eastAsia="en-GB"/>
        </w:rPr>
      </w:pPr>
      <w:r w:rsidRPr="00EB4F41">
        <w:rPr>
          <w:rFonts w:eastAsia="Times New Roman"/>
          <w:smallCaps/>
          <w:szCs w:val="20"/>
          <w:lang w:eastAsia="en-GB"/>
        </w:rPr>
        <w:t>M. Sherry</w:t>
      </w:r>
    </w:p>
    <w:p w14:paraId="1EA519EB" w14:textId="214F633F" w:rsidR="00EB4F41" w:rsidRDefault="00EB4F41" w:rsidP="00567B0D">
      <w:pPr>
        <w:jc w:val="right"/>
        <w:rPr>
          <w:rFonts w:eastAsia="Times New Roman"/>
          <w:szCs w:val="17"/>
          <w:lang w:eastAsia="en-GB"/>
        </w:rPr>
      </w:pPr>
      <w:r w:rsidRPr="00EB4F41">
        <w:rPr>
          <w:rFonts w:eastAsia="Times New Roman"/>
          <w:szCs w:val="17"/>
          <w:lang w:eastAsia="en-GB"/>
        </w:rPr>
        <w:t>Returning Officer</w:t>
      </w:r>
    </w:p>
    <w:p w14:paraId="7D9F3403" w14:textId="5F9B45E8" w:rsidR="00567B0D" w:rsidRDefault="00567B0D" w:rsidP="00567B0D">
      <w:pPr>
        <w:pBdr>
          <w:bottom w:val="single" w:sz="4" w:space="1" w:color="auto"/>
        </w:pBdr>
        <w:spacing w:after="0" w:line="52" w:lineRule="exact"/>
        <w:jc w:val="center"/>
        <w:rPr>
          <w:rFonts w:eastAsia="Times New Roman"/>
          <w:sz w:val="22"/>
          <w:lang w:eastAsia="en-GB"/>
        </w:rPr>
      </w:pPr>
    </w:p>
    <w:p w14:paraId="62D5C7FF" w14:textId="3E665EFF" w:rsidR="00567B0D" w:rsidRDefault="00567B0D" w:rsidP="00567B0D">
      <w:pPr>
        <w:pBdr>
          <w:top w:val="single" w:sz="4" w:space="1" w:color="auto"/>
        </w:pBdr>
        <w:spacing w:before="34" w:after="0" w:line="14" w:lineRule="exact"/>
        <w:jc w:val="center"/>
        <w:rPr>
          <w:rFonts w:eastAsia="Times New Roman"/>
          <w:sz w:val="22"/>
          <w:lang w:eastAsia="en-GB"/>
        </w:rPr>
      </w:pPr>
    </w:p>
    <w:p w14:paraId="3A91E89E" w14:textId="477EB9EE" w:rsidR="00EB4F41" w:rsidRDefault="00EB4F41" w:rsidP="00965F17">
      <w:pPr>
        <w:pStyle w:val="GG-body"/>
        <w:spacing w:after="0"/>
        <w:rPr>
          <w:lang w:val="en-US"/>
        </w:rPr>
      </w:pPr>
    </w:p>
    <w:p w14:paraId="21AFCCAA" w14:textId="77777777" w:rsidR="00567B0D" w:rsidRPr="00567B0D" w:rsidRDefault="00567B0D" w:rsidP="00392842">
      <w:pPr>
        <w:pStyle w:val="Heading2"/>
        <w:rPr>
          <w:lang w:eastAsia="en-AU"/>
        </w:rPr>
      </w:pPr>
      <w:bookmarkStart w:id="49" w:name="_Toc122600840"/>
      <w:r w:rsidRPr="00567B0D">
        <w:rPr>
          <w:lang w:eastAsia="en-AU"/>
        </w:rPr>
        <w:t>National Electricity (South Australia) Act 1996</w:t>
      </w:r>
      <w:bookmarkEnd w:id="49"/>
    </w:p>
    <w:p w14:paraId="704B59F1" w14:textId="77777777" w:rsidR="00567B0D" w:rsidRPr="00567B0D" w:rsidRDefault="00567B0D" w:rsidP="00567B0D">
      <w:pPr>
        <w:jc w:val="center"/>
        <w:rPr>
          <w:smallCaps/>
          <w:szCs w:val="17"/>
          <w:lang w:eastAsia="en-AU"/>
        </w:rPr>
      </w:pPr>
      <w:r w:rsidRPr="00567B0D">
        <w:rPr>
          <w:smallCaps/>
          <w:szCs w:val="17"/>
          <w:lang w:eastAsia="en-AU"/>
        </w:rPr>
        <w:t>National Electricity (South Australia) Law—Section 90DA</w:t>
      </w:r>
    </w:p>
    <w:p w14:paraId="15C657A2" w14:textId="77777777" w:rsidR="00567B0D" w:rsidRPr="00567B0D" w:rsidRDefault="00567B0D" w:rsidP="00567B0D">
      <w:pPr>
        <w:jc w:val="center"/>
        <w:rPr>
          <w:i/>
          <w:szCs w:val="17"/>
          <w:lang w:eastAsia="en-AU"/>
        </w:rPr>
      </w:pPr>
      <w:r w:rsidRPr="00567B0D">
        <w:rPr>
          <w:i/>
          <w:szCs w:val="17"/>
          <w:lang w:eastAsia="en-AU"/>
        </w:rPr>
        <w:t>Notice of Making of National Electricity Amendment (Regulatory sandboxing) Rule 2022</w:t>
      </w:r>
    </w:p>
    <w:p w14:paraId="751C96AC" w14:textId="77777777" w:rsidR="00567B0D" w:rsidRPr="00567B0D" w:rsidRDefault="00567B0D" w:rsidP="00567B0D">
      <w:pPr>
        <w:rPr>
          <w:rFonts w:eastAsia="Times New Roman" w:cs="Arial"/>
          <w:szCs w:val="17"/>
        </w:rPr>
      </w:pPr>
      <w:r w:rsidRPr="00567B0D">
        <w:rPr>
          <w:rFonts w:eastAsia="Times New Roman" w:cs="Arial"/>
          <w:szCs w:val="17"/>
        </w:rPr>
        <w:t xml:space="preserve">I, Tom Koutsantonis, Minister for Energy and Mining for the Crown in right of the State of South Australia, as the Minister administering the </w:t>
      </w:r>
      <w:r w:rsidRPr="00567B0D">
        <w:rPr>
          <w:rFonts w:eastAsia="Times New Roman" w:cs="Arial"/>
          <w:i/>
          <w:iCs/>
          <w:szCs w:val="17"/>
        </w:rPr>
        <w:t>National Electricity (South Australia) Act 1996</w:t>
      </w:r>
      <w:r w:rsidRPr="00567B0D">
        <w:rPr>
          <w:rFonts w:eastAsia="Times New Roman" w:cs="Arial"/>
          <w:szCs w:val="17"/>
        </w:rPr>
        <w:t xml:space="preserve"> of South Australia, hereby make the National Electricity Amendment (Regulatory sandboxing) Rule 2022 under section 90DA(1) of the National Electricity (South Australia) Act on the unanimous recommendation of the Ministers of the participating jurisdictions sitting as the Ministerial Council on Energy for the purposes of that section.</w:t>
      </w:r>
    </w:p>
    <w:p w14:paraId="64CD46DC" w14:textId="77777777" w:rsidR="00567B0D" w:rsidRPr="00567B0D" w:rsidRDefault="00567B0D" w:rsidP="00567B0D">
      <w:pPr>
        <w:rPr>
          <w:rFonts w:eastAsia="Times New Roman" w:cs="Arial"/>
          <w:szCs w:val="17"/>
          <w:lang w:eastAsia="en-AU"/>
        </w:rPr>
      </w:pPr>
      <w:r w:rsidRPr="00567B0D">
        <w:rPr>
          <w:rFonts w:eastAsia="Times New Roman" w:cs="Arial"/>
          <w:szCs w:val="17"/>
          <w:lang w:eastAsia="en-AU"/>
        </w:rPr>
        <w:t xml:space="preserve">This Rule has been signed by me for the purposes of identification as the </w:t>
      </w:r>
      <w:bookmarkStart w:id="50" w:name="_Hlk120196701"/>
      <w:r w:rsidRPr="00567B0D">
        <w:rPr>
          <w:rFonts w:eastAsia="Times New Roman" w:cs="Arial"/>
          <w:szCs w:val="17"/>
          <w:lang w:eastAsia="en-AU"/>
        </w:rPr>
        <w:t xml:space="preserve">National Electricity Amendment (Regulatory sandboxing) Rule 2022 </w:t>
      </w:r>
      <w:bookmarkEnd w:id="50"/>
      <w:r w:rsidRPr="00567B0D">
        <w:rPr>
          <w:rFonts w:eastAsia="Times New Roman" w:cs="Arial"/>
          <w:szCs w:val="17"/>
          <w:lang w:eastAsia="en-AU"/>
        </w:rPr>
        <w:t xml:space="preserve">and commences operation on 15 December 2022. It will, from the commencement date, be publicly available on the Australian Energy Market Commission website: </w:t>
      </w:r>
      <w:hyperlink r:id="rId49" w:history="1">
        <w:r w:rsidRPr="00567B0D">
          <w:rPr>
            <w:rFonts w:eastAsia="Times New Roman" w:cs="Arial"/>
            <w:color w:val="0563C1" w:themeColor="hyperlink"/>
            <w:szCs w:val="17"/>
            <w:u w:val="single"/>
            <w:lang w:eastAsia="en-AU"/>
          </w:rPr>
          <w:t>www.aemc.gov.au</w:t>
        </w:r>
      </w:hyperlink>
      <w:r w:rsidRPr="00567B0D">
        <w:rPr>
          <w:rFonts w:eastAsia="Times New Roman" w:cs="Arial"/>
          <w:szCs w:val="17"/>
          <w:lang w:eastAsia="en-AU"/>
        </w:rPr>
        <w:t>.</w:t>
      </w:r>
    </w:p>
    <w:p w14:paraId="322441DC" w14:textId="77777777" w:rsidR="00567B0D" w:rsidRPr="00567B0D" w:rsidRDefault="00567B0D" w:rsidP="00567B0D">
      <w:pPr>
        <w:spacing w:after="0"/>
        <w:rPr>
          <w:rFonts w:eastAsia="Times New Roman"/>
          <w:szCs w:val="17"/>
          <w:lang w:eastAsia="en-AU"/>
        </w:rPr>
      </w:pPr>
      <w:r w:rsidRPr="00567B0D">
        <w:rPr>
          <w:rFonts w:eastAsia="Times New Roman"/>
          <w:szCs w:val="17"/>
          <w:lang w:eastAsia="en-AU"/>
        </w:rPr>
        <w:t>Dated: 14 December 2022</w:t>
      </w:r>
    </w:p>
    <w:p w14:paraId="33FF69E4"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Hon Tom Koutsantonis MP</w:t>
      </w:r>
    </w:p>
    <w:p w14:paraId="63AFCD87" w14:textId="37E5CC25" w:rsidR="00567B0D" w:rsidRDefault="00567B0D" w:rsidP="00567B0D">
      <w:pPr>
        <w:jc w:val="right"/>
        <w:rPr>
          <w:rFonts w:eastAsia="Times New Roman"/>
          <w:bCs/>
          <w:szCs w:val="20"/>
          <w:lang w:eastAsia="en-AU"/>
        </w:rPr>
      </w:pPr>
      <w:r w:rsidRPr="00567B0D">
        <w:rPr>
          <w:rFonts w:eastAsia="Times New Roman"/>
          <w:bCs/>
          <w:szCs w:val="20"/>
          <w:lang w:eastAsia="en-AU"/>
        </w:rPr>
        <w:t>Minister for Energy and Mining</w:t>
      </w:r>
    </w:p>
    <w:p w14:paraId="05D57898" w14:textId="698007D4" w:rsidR="00567B0D" w:rsidRDefault="00567B0D" w:rsidP="00567B0D">
      <w:pPr>
        <w:pBdr>
          <w:bottom w:val="single" w:sz="4" w:space="1" w:color="auto"/>
        </w:pBdr>
        <w:spacing w:after="0" w:line="52" w:lineRule="exact"/>
        <w:jc w:val="center"/>
        <w:rPr>
          <w:lang w:val="en-US"/>
        </w:rPr>
      </w:pPr>
    </w:p>
    <w:p w14:paraId="6FB93B16" w14:textId="301CAA7D" w:rsidR="00567B0D" w:rsidRDefault="00567B0D" w:rsidP="00567B0D">
      <w:pPr>
        <w:pBdr>
          <w:top w:val="single" w:sz="4" w:space="1" w:color="auto"/>
        </w:pBdr>
        <w:spacing w:before="34" w:after="0" w:line="14" w:lineRule="exact"/>
        <w:jc w:val="center"/>
        <w:rPr>
          <w:lang w:val="en-US"/>
        </w:rPr>
      </w:pPr>
    </w:p>
    <w:p w14:paraId="309FC981" w14:textId="678F3383" w:rsidR="00567B0D" w:rsidRDefault="00567B0D" w:rsidP="00965F17">
      <w:pPr>
        <w:pStyle w:val="GG-body"/>
        <w:spacing w:after="0"/>
        <w:rPr>
          <w:lang w:val="en-US"/>
        </w:rPr>
      </w:pPr>
    </w:p>
    <w:p w14:paraId="764B9A09" w14:textId="77777777" w:rsidR="00567B0D" w:rsidRPr="00567B0D" w:rsidRDefault="00567B0D" w:rsidP="00392842">
      <w:pPr>
        <w:pStyle w:val="Heading2"/>
        <w:rPr>
          <w:lang w:eastAsia="en-AU"/>
        </w:rPr>
      </w:pPr>
      <w:bookmarkStart w:id="51" w:name="_Toc122600841"/>
      <w:r w:rsidRPr="00567B0D">
        <w:rPr>
          <w:lang w:eastAsia="en-AU"/>
        </w:rPr>
        <w:t>National Energy Retail Law (South Australia) Act 2011</w:t>
      </w:r>
      <w:bookmarkEnd w:id="51"/>
    </w:p>
    <w:p w14:paraId="4D613B49" w14:textId="77777777" w:rsidR="00567B0D" w:rsidRPr="00567B0D" w:rsidRDefault="00567B0D" w:rsidP="00567B0D">
      <w:pPr>
        <w:jc w:val="center"/>
        <w:rPr>
          <w:smallCaps/>
          <w:szCs w:val="17"/>
          <w:lang w:eastAsia="en-AU"/>
        </w:rPr>
      </w:pPr>
      <w:r w:rsidRPr="00567B0D">
        <w:rPr>
          <w:smallCaps/>
          <w:szCs w:val="17"/>
          <w:lang w:eastAsia="en-AU"/>
        </w:rPr>
        <w:t>National Energy Retail Law (South Australia)—Section 238AA</w:t>
      </w:r>
    </w:p>
    <w:p w14:paraId="262C4EA4" w14:textId="77777777" w:rsidR="00567B0D" w:rsidRPr="00567B0D" w:rsidRDefault="00567B0D" w:rsidP="00567B0D">
      <w:pPr>
        <w:jc w:val="center"/>
        <w:rPr>
          <w:i/>
          <w:szCs w:val="17"/>
          <w:lang w:eastAsia="en-AU"/>
        </w:rPr>
      </w:pPr>
      <w:r w:rsidRPr="00567B0D">
        <w:rPr>
          <w:i/>
          <w:szCs w:val="17"/>
          <w:lang w:eastAsia="en-AU"/>
        </w:rPr>
        <w:t>Notice of Making of National Electricity Amendment (Regulatory sandboxing) Rule 2022</w:t>
      </w:r>
    </w:p>
    <w:p w14:paraId="0CD1AB5E" w14:textId="77777777" w:rsidR="00567B0D" w:rsidRPr="00567B0D" w:rsidRDefault="00567B0D" w:rsidP="00567B0D">
      <w:pPr>
        <w:rPr>
          <w:rFonts w:eastAsia="Times New Roman" w:cs="Arial"/>
          <w:szCs w:val="17"/>
        </w:rPr>
      </w:pPr>
      <w:r w:rsidRPr="00567B0D">
        <w:rPr>
          <w:rFonts w:eastAsia="Times New Roman" w:cs="Arial"/>
          <w:szCs w:val="17"/>
        </w:rPr>
        <w:t xml:space="preserve">I, Tom Koutsantonis, Minister for Energy and Mining for the Crown in right of the State of South Australia, as the Minister administering the </w:t>
      </w:r>
      <w:bookmarkStart w:id="52" w:name="_Hlk120196943"/>
      <w:r w:rsidRPr="00567B0D">
        <w:rPr>
          <w:rFonts w:eastAsia="Times New Roman" w:cs="Arial"/>
          <w:i/>
          <w:iCs/>
          <w:szCs w:val="17"/>
        </w:rPr>
        <w:t xml:space="preserve">National Energy Retail Law (South Australia) Act 2011 </w:t>
      </w:r>
      <w:bookmarkEnd w:id="52"/>
      <w:r w:rsidRPr="00567B0D">
        <w:rPr>
          <w:rFonts w:eastAsia="Times New Roman" w:cs="Arial"/>
          <w:szCs w:val="17"/>
        </w:rPr>
        <w:t>of South Australia,</w:t>
      </w:r>
      <w:r w:rsidRPr="00567B0D">
        <w:rPr>
          <w:rFonts w:eastAsia="Times New Roman" w:cs="Arial"/>
          <w:i/>
          <w:iCs/>
          <w:szCs w:val="17"/>
        </w:rPr>
        <w:t xml:space="preserve"> </w:t>
      </w:r>
      <w:r w:rsidRPr="00567B0D">
        <w:rPr>
          <w:rFonts w:eastAsia="Times New Roman" w:cs="Arial"/>
          <w:szCs w:val="17"/>
        </w:rPr>
        <w:t xml:space="preserve">hereby make the </w:t>
      </w:r>
      <w:bookmarkStart w:id="53" w:name="_Hlk120196954"/>
      <w:r w:rsidRPr="00567B0D">
        <w:rPr>
          <w:rFonts w:eastAsia="Times New Roman" w:cs="Arial"/>
          <w:szCs w:val="17"/>
        </w:rPr>
        <w:t>National Energy Retail Amendment (Regulatory sandboxing) Rule 2022</w:t>
      </w:r>
      <w:bookmarkEnd w:id="53"/>
      <w:r w:rsidRPr="00567B0D">
        <w:rPr>
          <w:rFonts w:eastAsia="Times New Roman" w:cs="Arial"/>
          <w:szCs w:val="17"/>
        </w:rPr>
        <w:t xml:space="preserve"> under </w:t>
      </w:r>
      <w:bookmarkStart w:id="54" w:name="_Hlk120196968"/>
      <w:r w:rsidRPr="00567B0D">
        <w:rPr>
          <w:rFonts w:eastAsia="Times New Roman" w:cs="Arial"/>
          <w:szCs w:val="17"/>
        </w:rPr>
        <w:t xml:space="preserve">section 238AA(1) </w:t>
      </w:r>
      <w:bookmarkEnd w:id="54"/>
      <w:r w:rsidRPr="00567B0D">
        <w:rPr>
          <w:rFonts w:eastAsia="Times New Roman" w:cs="Arial"/>
          <w:szCs w:val="17"/>
        </w:rPr>
        <w:t xml:space="preserve">of the </w:t>
      </w:r>
      <w:bookmarkStart w:id="55" w:name="_Hlk120196980"/>
      <w:r w:rsidRPr="00567B0D">
        <w:rPr>
          <w:rFonts w:eastAsia="Times New Roman" w:cs="Arial"/>
          <w:szCs w:val="17"/>
        </w:rPr>
        <w:t xml:space="preserve">National Energy Retail Law (South Australia) Act </w:t>
      </w:r>
      <w:bookmarkEnd w:id="55"/>
      <w:r w:rsidRPr="00567B0D">
        <w:rPr>
          <w:rFonts w:eastAsia="Times New Roman" w:cs="Arial"/>
          <w:szCs w:val="17"/>
        </w:rPr>
        <w:t>on the unanimous recommendation of the Ministers of the participating jurisdictions sitting as the Ministerial Council on Energy for the purposes of that section.</w:t>
      </w:r>
    </w:p>
    <w:p w14:paraId="62A7FB0E" w14:textId="77777777" w:rsidR="00567B0D" w:rsidRPr="00567B0D" w:rsidRDefault="00567B0D" w:rsidP="00567B0D">
      <w:pPr>
        <w:rPr>
          <w:rFonts w:eastAsia="Times New Roman" w:cs="Arial"/>
          <w:szCs w:val="17"/>
          <w:lang w:eastAsia="en-AU"/>
        </w:rPr>
      </w:pPr>
      <w:r w:rsidRPr="00567B0D">
        <w:rPr>
          <w:rFonts w:eastAsia="Times New Roman" w:cs="Arial"/>
          <w:szCs w:val="17"/>
          <w:lang w:eastAsia="en-AU"/>
        </w:rPr>
        <w:lastRenderedPageBreak/>
        <w:t xml:space="preserve">This Rule has been signed by me for the purposes of identification as the </w:t>
      </w:r>
      <w:bookmarkStart w:id="56" w:name="_Hlk120197003"/>
      <w:r w:rsidRPr="00567B0D">
        <w:rPr>
          <w:rFonts w:eastAsia="Times New Roman" w:cs="Arial"/>
          <w:szCs w:val="17"/>
          <w:lang w:eastAsia="en-AU"/>
        </w:rPr>
        <w:t>National Energy Retail Amendment (Regulatory sandboxing) Rule 2022</w:t>
      </w:r>
      <w:bookmarkEnd w:id="56"/>
      <w:r w:rsidRPr="00567B0D">
        <w:rPr>
          <w:rFonts w:eastAsia="Times New Roman" w:cs="Arial"/>
          <w:szCs w:val="17"/>
          <w:lang w:eastAsia="en-AU"/>
        </w:rPr>
        <w:t xml:space="preserve">, and commences operation on 15 December 2022. It will, from the commencement date, be publicly available on the Australian Energy Market Commission website: </w:t>
      </w:r>
      <w:hyperlink r:id="rId50" w:history="1">
        <w:r w:rsidRPr="00567B0D">
          <w:rPr>
            <w:rFonts w:eastAsia="Times New Roman" w:cs="Arial"/>
            <w:color w:val="0563C1" w:themeColor="hyperlink"/>
            <w:szCs w:val="17"/>
            <w:u w:val="single"/>
            <w:lang w:eastAsia="en-AU"/>
          </w:rPr>
          <w:t>www.aemc.gov.au</w:t>
        </w:r>
      </w:hyperlink>
      <w:r w:rsidRPr="00567B0D">
        <w:rPr>
          <w:rFonts w:eastAsia="Times New Roman" w:cs="Arial"/>
          <w:szCs w:val="17"/>
          <w:lang w:eastAsia="en-AU"/>
        </w:rPr>
        <w:t>.</w:t>
      </w:r>
    </w:p>
    <w:p w14:paraId="615733FB" w14:textId="77777777" w:rsidR="00567B0D" w:rsidRPr="00567B0D" w:rsidRDefault="00567B0D" w:rsidP="00567B0D">
      <w:pPr>
        <w:spacing w:after="0"/>
        <w:rPr>
          <w:rFonts w:eastAsia="Times New Roman"/>
          <w:szCs w:val="17"/>
          <w:lang w:eastAsia="en-AU"/>
        </w:rPr>
      </w:pPr>
      <w:r w:rsidRPr="00567B0D">
        <w:rPr>
          <w:rFonts w:eastAsia="Times New Roman"/>
          <w:szCs w:val="17"/>
          <w:lang w:eastAsia="en-AU"/>
        </w:rPr>
        <w:t>Dated: 14 December 2022</w:t>
      </w:r>
    </w:p>
    <w:p w14:paraId="6972139A"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Hon Tom Koutsantonis MP</w:t>
      </w:r>
    </w:p>
    <w:p w14:paraId="50A81C1D" w14:textId="61F4DD6A" w:rsidR="00567B0D" w:rsidRDefault="00567B0D" w:rsidP="00567B0D">
      <w:pPr>
        <w:jc w:val="right"/>
        <w:rPr>
          <w:rFonts w:eastAsia="Times New Roman"/>
          <w:bCs/>
          <w:szCs w:val="20"/>
          <w:lang w:eastAsia="en-AU"/>
        </w:rPr>
      </w:pPr>
      <w:r w:rsidRPr="00567B0D">
        <w:rPr>
          <w:rFonts w:eastAsia="Times New Roman"/>
          <w:bCs/>
          <w:szCs w:val="20"/>
          <w:lang w:eastAsia="en-AU"/>
        </w:rPr>
        <w:t>Minister for Energy and Mining</w:t>
      </w:r>
    </w:p>
    <w:p w14:paraId="09DF1B01" w14:textId="4F1BB3A1" w:rsidR="00567B0D" w:rsidRDefault="00567B0D" w:rsidP="00567B0D">
      <w:pPr>
        <w:pBdr>
          <w:bottom w:val="single" w:sz="4" w:space="1" w:color="auto"/>
        </w:pBdr>
        <w:spacing w:after="0" w:line="52" w:lineRule="exact"/>
        <w:jc w:val="center"/>
        <w:rPr>
          <w:rFonts w:eastAsia="Times New Roman" w:cs="Arial"/>
          <w:szCs w:val="17"/>
          <w:lang w:eastAsia="en-AU"/>
        </w:rPr>
      </w:pPr>
    </w:p>
    <w:p w14:paraId="74C6FF27" w14:textId="113768F1" w:rsidR="00567B0D" w:rsidRDefault="00567B0D" w:rsidP="00567B0D">
      <w:pPr>
        <w:pBdr>
          <w:top w:val="single" w:sz="4" w:space="1" w:color="auto"/>
        </w:pBdr>
        <w:spacing w:before="34" w:after="0" w:line="14" w:lineRule="exact"/>
        <w:jc w:val="center"/>
        <w:rPr>
          <w:rFonts w:eastAsia="Times New Roman" w:cs="Arial"/>
          <w:szCs w:val="17"/>
          <w:lang w:eastAsia="en-AU"/>
        </w:rPr>
      </w:pPr>
    </w:p>
    <w:p w14:paraId="7BB8165B" w14:textId="3FB3AC3B" w:rsidR="00567B0D" w:rsidRDefault="00567B0D" w:rsidP="00965F17">
      <w:pPr>
        <w:pStyle w:val="GG-body"/>
        <w:spacing w:after="0"/>
        <w:rPr>
          <w:lang w:val="en-US"/>
        </w:rPr>
      </w:pPr>
    </w:p>
    <w:p w14:paraId="7D4AA0A1" w14:textId="77777777" w:rsidR="00567B0D" w:rsidRPr="00567B0D" w:rsidRDefault="00567B0D" w:rsidP="00392842">
      <w:pPr>
        <w:pStyle w:val="Heading2"/>
        <w:rPr>
          <w:lang w:eastAsia="en-AU"/>
        </w:rPr>
      </w:pPr>
      <w:bookmarkStart w:id="57" w:name="_Toc122600842"/>
      <w:r w:rsidRPr="00567B0D">
        <w:rPr>
          <w:lang w:eastAsia="en-AU"/>
        </w:rPr>
        <w:t>National Gas (South Australia) Act 2008</w:t>
      </w:r>
      <w:bookmarkEnd w:id="57"/>
    </w:p>
    <w:p w14:paraId="33012FFC" w14:textId="77777777" w:rsidR="00567B0D" w:rsidRPr="00567B0D" w:rsidRDefault="00567B0D" w:rsidP="00567B0D">
      <w:pPr>
        <w:jc w:val="center"/>
        <w:rPr>
          <w:smallCaps/>
          <w:szCs w:val="17"/>
          <w:lang w:eastAsia="en-AU"/>
        </w:rPr>
      </w:pPr>
      <w:r w:rsidRPr="00567B0D">
        <w:rPr>
          <w:smallCaps/>
          <w:szCs w:val="17"/>
          <w:lang w:eastAsia="en-AU"/>
        </w:rPr>
        <w:t xml:space="preserve">National </w:t>
      </w:r>
      <w:r w:rsidRPr="00567B0D">
        <w:rPr>
          <w:iCs/>
          <w:caps/>
          <w:smallCaps/>
          <w:szCs w:val="17"/>
          <w:lang w:eastAsia="en-AU"/>
        </w:rPr>
        <w:t>Gas (South Australia) Law</w:t>
      </w:r>
      <w:r w:rsidRPr="00567B0D">
        <w:rPr>
          <w:smallCaps/>
          <w:szCs w:val="17"/>
          <w:lang w:eastAsia="en-AU"/>
        </w:rPr>
        <w:t>—Section 294EA</w:t>
      </w:r>
    </w:p>
    <w:p w14:paraId="4F9A94D0" w14:textId="77777777" w:rsidR="00567B0D" w:rsidRPr="00567B0D" w:rsidRDefault="00567B0D" w:rsidP="00567B0D">
      <w:pPr>
        <w:jc w:val="center"/>
        <w:rPr>
          <w:i/>
          <w:szCs w:val="17"/>
          <w:lang w:eastAsia="en-AU"/>
        </w:rPr>
      </w:pPr>
      <w:r w:rsidRPr="00567B0D">
        <w:rPr>
          <w:i/>
          <w:szCs w:val="17"/>
          <w:lang w:eastAsia="en-AU"/>
        </w:rPr>
        <w:t>Notice of Making of National Electricity Amendment (Regulatory sandboxing) Rule 2022</w:t>
      </w:r>
    </w:p>
    <w:p w14:paraId="784BC73A" w14:textId="77777777" w:rsidR="00567B0D" w:rsidRPr="00567B0D" w:rsidRDefault="00567B0D" w:rsidP="00567B0D">
      <w:pPr>
        <w:rPr>
          <w:rFonts w:eastAsia="Times New Roman" w:cs="Arial"/>
          <w:szCs w:val="17"/>
        </w:rPr>
      </w:pPr>
      <w:r w:rsidRPr="00567B0D">
        <w:rPr>
          <w:rFonts w:eastAsia="Times New Roman" w:cs="Arial"/>
          <w:szCs w:val="17"/>
        </w:rPr>
        <w:t xml:space="preserve">I, Tom Koutsantonis, Minister for Energy and Mining for the Crown in right of the State of South Australia, as the Minister administering the </w:t>
      </w:r>
      <w:r w:rsidRPr="00567B0D">
        <w:rPr>
          <w:rFonts w:eastAsia="Times New Roman" w:cs="Arial"/>
          <w:i/>
          <w:iCs/>
          <w:szCs w:val="17"/>
        </w:rPr>
        <w:t xml:space="preserve">National Gas (South Australia) Act 2008 </w:t>
      </w:r>
      <w:r w:rsidRPr="00567B0D">
        <w:rPr>
          <w:rFonts w:eastAsia="Times New Roman" w:cs="Arial"/>
          <w:szCs w:val="17"/>
        </w:rPr>
        <w:t>of South Australia,</w:t>
      </w:r>
      <w:r w:rsidRPr="00567B0D">
        <w:rPr>
          <w:rFonts w:eastAsia="Times New Roman" w:cs="Arial"/>
          <w:i/>
          <w:iCs/>
          <w:szCs w:val="17"/>
        </w:rPr>
        <w:t xml:space="preserve"> </w:t>
      </w:r>
      <w:r w:rsidRPr="00567B0D">
        <w:rPr>
          <w:rFonts w:eastAsia="Times New Roman" w:cs="Arial"/>
          <w:szCs w:val="17"/>
        </w:rPr>
        <w:t xml:space="preserve">hereby make the </w:t>
      </w:r>
      <w:bookmarkStart w:id="58" w:name="_Hlk120196809"/>
      <w:r w:rsidRPr="00567B0D">
        <w:rPr>
          <w:rFonts w:eastAsia="Times New Roman" w:cs="Arial"/>
          <w:szCs w:val="17"/>
        </w:rPr>
        <w:t xml:space="preserve">National Gas Amendment (Regulatory sandboxing) Rule 2022 </w:t>
      </w:r>
      <w:bookmarkEnd w:id="58"/>
      <w:r w:rsidRPr="00567B0D">
        <w:rPr>
          <w:rFonts w:eastAsia="Times New Roman" w:cs="Arial"/>
          <w:szCs w:val="17"/>
        </w:rPr>
        <w:t xml:space="preserve">under section </w:t>
      </w:r>
      <w:bookmarkStart w:id="59" w:name="_Hlk120196825"/>
      <w:r w:rsidRPr="00567B0D">
        <w:rPr>
          <w:rFonts w:eastAsia="Times New Roman" w:cs="Arial"/>
          <w:szCs w:val="17"/>
        </w:rPr>
        <w:t xml:space="preserve">294EA(1) </w:t>
      </w:r>
      <w:bookmarkEnd w:id="59"/>
      <w:r w:rsidRPr="00567B0D">
        <w:rPr>
          <w:rFonts w:eastAsia="Times New Roman" w:cs="Arial"/>
          <w:szCs w:val="17"/>
        </w:rPr>
        <w:t xml:space="preserve">of the National Gas (South Australia) </w:t>
      </w:r>
      <w:bookmarkStart w:id="60" w:name="_Hlk120196836"/>
      <w:r w:rsidRPr="00567B0D">
        <w:rPr>
          <w:rFonts w:eastAsia="Times New Roman" w:cs="Arial"/>
          <w:szCs w:val="17"/>
        </w:rPr>
        <w:t xml:space="preserve">Act </w:t>
      </w:r>
      <w:bookmarkEnd w:id="60"/>
      <w:r w:rsidRPr="00567B0D">
        <w:rPr>
          <w:rFonts w:eastAsia="Times New Roman" w:cs="Arial"/>
          <w:szCs w:val="17"/>
        </w:rPr>
        <w:t>on the unanimous recommendation of the Ministers of the participating jurisdictions sitting as the Ministerial Council on Energy for the purposes of that section.</w:t>
      </w:r>
    </w:p>
    <w:p w14:paraId="0E26E9D8" w14:textId="77777777" w:rsidR="00567B0D" w:rsidRPr="00567B0D" w:rsidRDefault="00567B0D" w:rsidP="00567B0D">
      <w:pPr>
        <w:rPr>
          <w:rFonts w:eastAsia="Times New Roman" w:cs="Arial"/>
          <w:szCs w:val="17"/>
          <w:lang w:eastAsia="en-AU"/>
        </w:rPr>
      </w:pPr>
      <w:r w:rsidRPr="00567B0D">
        <w:rPr>
          <w:rFonts w:eastAsia="Times New Roman" w:cs="Arial"/>
          <w:szCs w:val="17"/>
          <w:lang w:eastAsia="en-AU"/>
        </w:rPr>
        <w:t xml:space="preserve">This Rule has been signed by me for the purposes of identification as the </w:t>
      </w:r>
      <w:bookmarkStart w:id="61" w:name="_Hlk120196855"/>
      <w:r w:rsidRPr="00567B0D">
        <w:rPr>
          <w:rFonts w:eastAsia="Times New Roman" w:cs="Arial"/>
          <w:szCs w:val="17"/>
          <w:lang w:eastAsia="en-AU"/>
        </w:rPr>
        <w:t xml:space="preserve">National Gas Amendment (Regulatory sandboxing) Rule 2022 </w:t>
      </w:r>
      <w:bookmarkEnd w:id="61"/>
      <w:r w:rsidRPr="00567B0D">
        <w:rPr>
          <w:rFonts w:eastAsia="Times New Roman" w:cs="Arial"/>
          <w:szCs w:val="17"/>
          <w:lang w:eastAsia="en-AU"/>
        </w:rPr>
        <w:t xml:space="preserve">and commences operation on 15 December 2022. It will, from the commencement date, be publicly available on the Australian Energy Market Commission website: </w:t>
      </w:r>
      <w:hyperlink r:id="rId51" w:history="1">
        <w:r w:rsidRPr="00567B0D">
          <w:rPr>
            <w:rFonts w:eastAsia="Times New Roman" w:cs="Arial"/>
            <w:color w:val="0563C1" w:themeColor="hyperlink"/>
            <w:szCs w:val="17"/>
            <w:u w:val="single"/>
            <w:lang w:eastAsia="en-AU"/>
          </w:rPr>
          <w:t>www.aemc.gov.au</w:t>
        </w:r>
      </w:hyperlink>
      <w:r w:rsidRPr="00567B0D">
        <w:rPr>
          <w:rFonts w:eastAsia="Times New Roman" w:cs="Arial"/>
          <w:szCs w:val="17"/>
          <w:lang w:eastAsia="en-AU"/>
        </w:rPr>
        <w:t>.</w:t>
      </w:r>
    </w:p>
    <w:p w14:paraId="05E5BAFF" w14:textId="77777777" w:rsidR="00567B0D" w:rsidRPr="00567B0D" w:rsidRDefault="00567B0D" w:rsidP="00567B0D">
      <w:pPr>
        <w:spacing w:after="0"/>
        <w:rPr>
          <w:rFonts w:eastAsia="Times New Roman"/>
          <w:szCs w:val="17"/>
          <w:lang w:eastAsia="en-AU"/>
        </w:rPr>
      </w:pPr>
      <w:r w:rsidRPr="00567B0D">
        <w:rPr>
          <w:rFonts w:eastAsia="Times New Roman"/>
          <w:szCs w:val="17"/>
          <w:lang w:eastAsia="en-AU"/>
        </w:rPr>
        <w:t>Dated: 14 December 2022</w:t>
      </w:r>
    </w:p>
    <w:p w14:paraId="59436C9A"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Hon Tom Koutsantonis MP</w:t>
      </w:r>
    </w:p>
    <w:p w14:paraId="4AA77632" w14:textId="1232EF15" w:rsidR="00567B0D" w:rsidRDefault="00567B0D" w:rsidP="00567B0D">
      <w:pPr>
        <w:jc w:val="right"/>
        <w:rPr>
          <w:rFonts w:eastAsia="Times New Roman"/>
          <w:bCs/>
          <w:szCs w:val="20"/>
          <w:lang w:eastAsia="en-AU"/>
        </w:rPr>
      </w:pPr>
      <w:r w:rsidRPr="00567B0D">
        <w:rPr>
          <w:rFonts w:eastAsia="Times New Roman"/>
          <w:bCs/>
          <w:szCs w:val="20"/>
          <w:lang w:eastAsia="en-AU"/>
        </w:rPr>
        <w:t>Minister for Energy and Mining</w:t>
      </w:r>
    </w:p>
    <w:p w14:paraId="470AC0C9" w14:textId="0292B5CA" w:rsidR="00567B0D" w:rsidRDefault="00567B0D" w:rsidP="00567B0D">
      <w:pPr>
        <w:pBdr>
          <w:bottom w:val="single" w:sz="4" w:space="1" w:color="auto"/>
        </w:pBdr>
        <w:spacing w:after="0" w:line="52" w:lineRule="exact"/>
        <w:jc w:val="center"/>
        <w:rPr>
          <w:rFonts w:eastAsia="Times New Roman" w:cs="Arial"/>
          <w:szCs w:val="17"/>
          <w:lang w:eastAsia="en-AU"/>
        </w:rPr>
      </w:pPr>
    </w:p>
    <w:p w14:paraId="5154C6E5" w14:textId="3C5F2818" w:rsidR="00567B0D" w:rsidRDefault="00567B0D" w:rsidP="00567B0D">
      <w:pPr>
        <w:pBdr>
          <w:top w:val="single" w:sz="4" w:space="1" w:color="auto"/>
        </w:pBdr>
        <w:spacing w:before="34" w:after="0" w:line="14" w:lineRule="exact"/>
        <w:jc w:val="center"/>
        <w:rPr>
          <w:rFonts w:eastAsia="Times New Roman" w:cs="Arial"/>
          <w:szCs w:val="17"/>
          <w:lang w:eastAsia="en-AU"/>
        </w:rPr>
      </w:pPr>
    </w:p>
    <w:p w14:paraId="6AE33477" w14:textId="5FADB879" w:rsidR="00567B0D" w:rsidRDefault="00567B0D" w:rsidP="00965F17">
      <w:pPr>
        <w:pStyle w:val="GG-body"/>
        <w:spacing w:after="0"/>
        <w:rPr>
          <w:lang w:val="en-US"/>
        </w:rPr>
      </w:pPr>
    </w:p>
    <w:p w14:paraId="2FE348A5" w14:textId="77777777" w:rsidR="00567B0D" w:rsidRPr="00567B0D" w:rsidRDefault="00567B0D" w:rsidP="00392842">
      <w:pPr>
        <w:pStyle w:val="Heading2"/>
      </w:pPr>
      <w:bookmarkStart w:id="62" w:name="_Toc122600843"/>
      <w:r w:rsidRPr="00567B0D">
        <w:t>Planning, Development and Infrastructure Act 2016</w:t>
      </w:r>
      <w:bookmarkEnd w:id="62"/>
    </w:p>
    <w:p w14:paraId="3D66BDE1" w14:textId="77777777" w:rsidR="00567B0D" w:rsidRPr="00567B0D" w:rsidRDefault="00567B0D" w:rsidP="00567B0D">
      <w:pPr>
        <w:jc w:val="center"/>
        <w:rPr>
          <w:smallCaps/>
          <w:szCs w:val="17"/>
        </w:rPr>
      </w:pPr>
      <w:r w:rsidRPr="00567B0D">
        <w:rPr>
          <w:smallCaps/>
          <w:szCs w:val="17"/>
        </w:rPr>
        <w:t>Section 76</w:t>
      </w:r>
    </w:p>
    <w:p w14:paraId="298F35B5" w14:textId="77777777" w:rsidR="00567B0D" w:rsidRPr="00567B0D" w:rsidRDefault="00567B0D" w:rsidP="00567B0D">
      <w:pPr>
        <w:jc w:val="center"/>
        <w:rPr>
          <w:i/>
          <w:szCs w:val="17"/>
        </w:rPr>
      </w:pPr>
      <w:r w:rsidRPr="00567B0D">
        <w:rPr>
          <w:i/>
          <w:szCs w:val="17"/>
        </w:rPr>
        <w:t>Amendment to the Planning and Design Code</w:t>
      </w:r>
    </w:p>
    <w:p w14:paraId="760C39D7" w14:textId="77777777" w:rsidR="00567B0D" w:rsidRPr="00567B0D" w:rsidRDefault="00567B0D" w:rsidP="00567B0D">
      <w:pPr>
        <w:rPr>
          <w:rFonts w:eastAsia="Times New Roman"/>
          <w:i/>
          <w:szCs w:val="20"/>
        </w:rPr>
      </w:pPr>
      <w:r w:rsidRPr="00567B0D">
        <w:rPr>
          <w:rFonts w:eastAsia="Times New Roman"/>
          <w:i/>
          <w:szCs w:val="20"/>
        </w:rPr>
        <w:t>Preamble</w:t>
      </w:r>
    </w:p>
    <w:p w14:paraId="4E13EC2F" w14:textId="77777777" w:rsidR="00567B0D" w:rsidRPr="00567B0D" w:rsidRDefault="00567B0D" w:rsidP="00567B0D">
      <w:pPr>
        <w:rPr>
          <w:rFonts w:eastAsia="Times New Roman"/>
          <w:szCs w:val="17"/>
        </w:rPr>
      </w:pPr>
      <w:r w:rsidRPr="00567B0D">
        <w:rPr>
          <w:rFonts w:eastAsia="Times New Roman"/>
          <w:szCs w:val="17"/>
          <w:lang w:val="en-GB"/>
        </w:rPr>
        <w:t>It is necessary to amend the Planning and Design Code (the Code) in operation at 8 December 2022 (Version 2022.23) in order to make changes of form relating to the Code’s spatial layers and their relationship with land parcels. NOTE: There are no changes to the application of zone, subzone or overlay boundaries and their relationship with affected parcels or the intent of policy application as a result of this amendment</w:t>
      </w:r>
      <w:r w:rsidRPr="00567B0D">
        <w:rPr>
          <w:rFonts w:eastAsia="Times New Roman"/>
          <w:szCs w:val="17"/>
        </w:rPr>
        <w:t>:</w:t>
      </w:r>
    </w:p>
    <w:p w14:paraId="6D58A34F" w14:textId="77777777" w:rsidR="00567B0D" w:rsidRPr="00567B0D" w:rsidRDefault="00567B0D" w:rsidP="009B29CF">
      <w:pPr>
        <w:numPr>
          <w:ilvl w:val="0"/>
          <w:numId w:val="81"/>
        </w:numPr>
        <w:ind w:left="284" w:hanging="284"/>
      </w:pPr>
      <w:r w:rsidRPr="00567B0D">
        <w:rPr>
          <w:lang w:val="en-GB"/>
        </w:rPr>
        <w:t xml:space="preserve">PURSUANT to section 76 of the </w:t>
      </w:r>
      <w:r w:rsidRPr="00567B0D">
        <w:rPr>
          <w:i/>
          <w:lang w:val="en-GB"/>
        </w:rPr>
        <w:t xml:space="preserve">Planning, Development and Infrastructure Act 2016 </w:t>
      </w:r>
      <w:r w:rsidRPr="00567B0D">
        <w:rPr>
          <w:lang w:val="en-GB"/>
        </w:rPr>
        <w:t>(the Act), I hereby amend the Code in order to make changes of form (without altering the effect of underlying policy), correct errors and make operational amendments as follows</w:t>
      </w:r>
      <w:r w:rsidRPr="00567B0D">
        <w:t>:</w:t>
      </w:r>
    </w:p>
    <w:p w14:paraId="7C7DFE8A" w14:textId="77777777" w:rsidR="00567B0D" w:rsidRPr="00567B0D" w:rsidRDefault="00567B0D" w:rsidP="009B29CF">
      <w:pPr>
        <w:numPr>
          <w:ilvl w:val="0"/>
          <w:numId w:val="77"/>
        </w:numPr>
        <w:ind w:left="567" w:right="-1" w:hanging="283"/>
        <w:jc w:val="left"/>
        <w:rPr>
          <w:szCs w:val="17"/>
        </w:rPr>
      </w:pPr>
      <w:r w:rsidRPr="00567B0D">
        <w:rPr>
          <w:bCs/>
          <w:szCs w:val="17"/>
        </w:rPr>
        <w:t>Undertake minor</w:t>
      </w:r>
      <w:r w:rsidRPr="00567B0D">
        <w:rPr>
          <w:szCs w:val="17"/>
        </w:rPr>
        <w:t xml:space="preserve"> alterations to the geometry of the spatial layers and data in the Code to maintain the current relationship between the parcel boundaries and Code data as a result of the following:</w:t>
      </w:r>
    </w:p>
    <w:p w14:paraId="089AE341" w14:textId="77777777" w:rsidR="00567B0D" w:rsidRPr="00567B0D" w:rsidRDefault="00567B0D" w:rsidP="009B29CF">
      <w:pPr>
        <w:numPr>
          <w:ilvl w:val="1"/>
          <w:numId w:val="80"/>
        </w:numPr>
        <w:ind w:left="993" w:right="-1" w:hanging="284"/>
        <w:jc w:val="left"/>
        <w:rPr>
          <w:szCs w:val="17"/>
        </w:rPr>
      </w:pPr>
      <w:r w:rsidRPr="00567B0D">
        <w:rPr>
          <w:szCs w:val="17"/>
        </w:rPr>
        <w:t>New plans of division deposited in the Land Titles Office between 30 November 2022 and 13 December 2022 affecting the following spatial and data layers in the Code:</w:t>
      </w:r>
    </w:p>
    <w:p w14:paraId="390CF67A" w14:textId="77777777" w:rsidR="00567B0D" w:rsidRPr="00567B0D" w:rsidRDefault="00567B0D" w:rsidP="009B29CF">
      <w:pPr>
        <w:numPr>
          <w:ilvl w:val="2"/>
          <w:numId w:val="78"/>
        </w:numPr>
        <w:spacing w:after="0"/>
        <w:ind w:left="1560" w:hanging="425"/>
        <w:contextualSpacing/>
        <w:rPr>
          <w:rFonts w:eastAsia="Times New Roman"/>
          <w:szCs w:val="17"/>
        </w:rPr>
      </w:pPr>
      <w:r w:rsidRPr="00567B0D">
        <w:rPr>
          <w:rFonts w:eastAsia="Times New Roman"/>
          <w:szCs w:val="17"/>
        </w:rPr>
        <w:t>Zones and subzones</w:t>
      </w:r>
    </w:p>
    <w:p w14:paraId="41587332" w14:textId="77777777" w:rsidR="00567B0D" w:rsidRPr="00567B0D" w:rsidRDefault="00567B0D" w:rsidP="009B29CF">
      <w:pPr>
        <w:numPr>
          <w:ilvl w:val="2"/>
          <w:numId w:val="78"/>
        </w:numPr>
        <w:spacing w:after="0"/>
        <w:ind w:left="1560" w:hanging="425"/>
        <w:contextualSpacing/>
        <w:rPr>
          <w:rFonts w:eastAsia="Times New Roman"/>
          <w:szCs w:val="17"/>
        </w:rPr>
      </w:pPr>
      <w:r w:rsidRPr="00567B0D">
        <w:rPr>
          <w:rFonts w:eastAsia="Times New Roman"/>
          <w:szCs w:val="17"/>
        </w:rPr>
        <w:t>Technical and Numeric Variations</w:t>
      </w:r>
    </w:p>
    <w:p w14:paraId="79482CF0"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Building Heights (Levels)</w:t>
      </w:r>
    </w:p>
    <w:p w14:paraId="60F0E2FB"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Building Heights (Metres)</w:t>
      </w:r>
    </w:p>
    <w:p w14:paraId="14409153"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Concept Plan</w:t>
      </w:r>
    </w:p>
    <w:p w14:paraId="0C13E456"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Interface Height</w:t>
      </w:r>
    </w:p>
    <w:p w14:paraId="722B8025"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Minimum Primary Street Setback</w:t>
      </w:r>
    </w:p>
    <w:p w14:paraId="09E00188"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Minimum Side Boundary Setback</w:t>
      </w:r>
    </w:p>
    <w:p w14:paraId="71A77C12"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Future Local Road Widening Setback</w:t>
      </w:r>
    </w:p>
    <w:p w14:paraId="414FAB2F" w14:textId="77777777" w:rsidR="00567B0D" w:rsidRPr="00567B0D" w:rsidRDefault="00567B0D" w:rsidP="009B29CF">
      <w:pPr>
        <w:numPr>
          <w:ilvl w:val="3"/>
          <w:numId w:val="79"/>
        </w:numPr>
        <w:ind w:left="1985"/>
        <w:contextualSpacing/>
        <w:rPr>
          <w:rFonts w:eastAsia="Times New Roman"/>
          <w:szCs w:val="17"/>
        </w:rPr>
      </w:pPr>
      <w:r w:rsidRPr="00567B0D">
        <w:rPr>
          <w:rFonts w:eastAsia="Times New Roman"/>
          <w:szCs w:val="17"/>
        </w:rPr>
        <w:t>Minimum Frontage</w:t>
      </w:r>
    </w:p>
    <w:p w14:paraId="2867129A" w14:textId="77777777" w:rsidR="00567B0D" w:rsidRPr="00567B0D" w:rsidRDefault="00567B0D" w:rsidP="009B29CF">
      <w:pPr>
        <w:numPr>
          <w:ilvl w:val="3"/>
          <w:numId w:val="79"/>
        </w:numPr>
        <w:ind w:left="1984" w:hanging="357"/>
        <w:rPr>
          <w:rFonts w:eastAsia="Times New Roman"/>
          <w:szCs w:val="17"/>
        </w:rPr>
      </w:pPr>
      <w:r w:rsidRPr="00567B0D">
        <w:rPr>
          <w:rFonts w:eastAsia="Times New Roman"/>
          <w:szCs w:val="17"/>
        </w:rPr>
        <w:t xml:space="preserve">Minimum Site Area </w:t>
      </w:r>
    </w:p>
    <w:p w14:paraId="15416056" w14:textId="77777777" w:rsidR="00567B0D" w:rsidRPr="00567B0D" w:rsidRDefault="00567B0D" w:rsidP="009B29CF">
      <w:pPr>
        <w:numPr>
          <w:ilvl w:val="2"/>
          <w:numId w:val="78"/>
        </w:numPr>
        <w:spacing w:after="0"/>
        <w:ind w:left="1560" w:hanging="425"/>
        <w:contextualSpacing/>
        <w:rPr>
          <w:rFonts w:eastAsia="Times New Roman"/>
          <w:szCs w:val="17"/>
        </w:rPr>
      </w:pPr>
      <w:r w:rsidRPr="00567B0D">
        <w:rPr>
          <w:rFonts w:eastAsia="Times New Roman"/>
          <w:szCs w:val="17"/>
        </w:rPr>
        <w:t>Overlays</w:t>
      </w:r>
      <w:bookmarkStart w:id="63" w:name="_Hlk104814853"/>
    </w:p>
    <w:bookmarkEnd w:id="63"/>
    <w:p w14:paraId="0819742D"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Affordable Housing</w:t>
      </w:r>
    </w:p>
    <w:p w14:paraId="538A86E9"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Coastal Areas</w:t>
      </w:r>
    </w:p>
    <w:p w14:paraId="04668B10"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Defence Aviation Area</w:t>
      </w:r>
    </w:p>
    <w:p w14:paraId="6CF1A64C"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Environment and Food Production Area</w:t>
      </w:r>
    </w:p>
    <w:p w14:paraId="0D85A860"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Future Local Road Widening</w:t>
      </w:r>
    </w:p>
    <w:p w14:paraId="5B991A9A"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Future Road Widening</w:t>
      </w:r>
    </w:p>
    <w:p w14:paraId="1B9E7AD6"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High Risk)</w:t>
      </w:r>
    </w:p>
    <w:p w14:paraId="29DB2502"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Medium Risk)</w:t>
      </w:r>
    </w:p>
    <w:p w14:paraId="57277938"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General Risk)</w:t>
      </w:r>
    </w:p>
    <w:p w14:paraId="20623BBA"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Urban Interface)</w:t>
      </w:r>
    </w:p>
    <w:p w14:paraId="739A1500"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Regional)</w:t>
      </w:r>
    </w:p>
    <w:p w14:paraId="7924974F"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Hazards (Bushfire - Outback)</w:t>
      </w:r>
    </w:p>
    <w:p w14:paraId="0BCDAAB6"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Heritage Adjacency</w:t>
      </w:r>
    </w:p>
    <w:p w14:paraId="6C1AC914"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Historic Area</w:t>
      </w:r>
    </w:p>
    <w:p w14:paraId="5AA0F09C"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Limited Land Division</w:t>
      </w:r>
    </w:p>
    <w:p w14:paraId="6B3B83AF"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Local Heritage Place</w:t>
      </w:r>
    </w:p>
    <w:p w14:paraId="6537C9CE"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Noise and Air Emissions</w:t>
      </w:r>
    </w:p>
    <w:p w14:paraId="2845E025"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Regulated and Significant Tree</w:t>
      </w:r>
    </w:p>
    <w:p w14:paraId="1BB4AC08"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Scenic Quality</w:t>
      </w:r>
    </w:p>
    <w:p w14:paraId="7D387868" w14:textId="77777777" w:rsidR="00567B0D" w:rsidRPr="00567B0D" w:rsidRDefault="00567B0D" w:rsidP="009B29CF">
      <w:pPr>
        <w:numPr>
          <w:ilvl w:val="1"/>
          <w:numId w:val="82"/>
        </w:numPr>
        <w:ind w:left="1985" w:right="-1"/>
        <w:contextualSpacing/>
        <w:rPr>
          <w:rFonts w:eastAsia="Times New Roman"/>
          <w:szCs w:val="17"/>
        </w:rPr>
      </w:pPr>
      <w:r w:rsidRPr="00567B0D">
        <w:rPr>
          <w:rFonts w:eastAsia="Times New Roman"/>
          <w:szCs w:val="17"/>
        </w:rPr>
        <w:t>State Heritage Place</w:t>
      </w:r>
    </w:p>
    <w:p w14:paraId="7A703540" w14:textId="77777777" w:rsidR="00567B0D" w:rsidRPr="00567B0D" w:rsidRDefault="00567B0D" w:rsidP="009B29CF">
      <w:pPr>
        <w:numPr>
          <w:ilvl w:val="1"/>
          <w:numId w:val="82"/>
        </w:numPr>
        <w:ind w:left="1985" w:right="-1"/>
        <w:contextualSpacing/>
        <w:jc w:val="left"/>
        <w:rPr>
          <w:rFonts w:eastAsia="Times New Roman"/>
          <w:szCs w:val="17"/>
        </w:rPr>
      </w:pPr>
      <w:r w:rsidRPr="00567B0D">
        <w:rPr>
          <w:rFonts w:eastAsia="Times New Roman"/>
          <w:szCs w:val="17"/>
        </w:rPr>
        <w:t>Stormwater Management</w:t>
      </w:r>
    </w:p>
    <w:p w14:paraId="3DB7C1AD" w14:textId="77777777" w:rsidR="00567B0D" w:rsidRPr="00567B0D" w:rsidRDefault="00567B0D" w:rsidP="009B29CF">
      <w:pPr>
        <w:numPr>
          <w:ilvl w:val="1"/>
          <w:numId w:val="82"/>
        </w:numPr>
        <w:ind w:left="1984" w:hanging="357"/>
        <w:jc w:val="left"/>
        <w:rPr>
          <w:rFonts w:eastAsia="Times New Roman"/>
          <w:szCs w:val="17"/>
        </w:rPr>
      </w:pPr>
      <w:r w:rsidRPr="00567B0D">
        <w:rPr>
          <w:rFonts w:eastAsia="Times New Roman"/>
          <w:szCs w:val="17"/>
        </w:rPr>
        <w:t>Urban Tree Canopy</w:t>
      </w:r>
    </w:p>
    <w:p w14:paraId="4D8DD334" w14:textId="77777777" w:rsidR="00567B0D" w:rsidRPr="00567B0D" w:rsidRDefault="00567B0D" w:rsidP="009B29CF">
      <w:pPr>
        <w:numPr>
          <w:ilvl w:val="0"/>
          <w:numId w:val="77"/>
        </w:numPr>
        <w:ind w:left="567" w:right="-1" w:hanging="283"/>
        <w:rPr>
          <w:bCs/>
          <w:szCs w:val="17"/>
        </w:rPr>
      </w:pPr>
      <w:r w:rsidRPr="00567B0D">
        <w:rPr>
          <w:bCs/>
          <w:szCs w:val="17"/>
          <w:lang w:val="en-GB"/>
        </w:rPr>
        <w:lastRenderedPageBreak/>
        <w:t>In Part 13 of the Code – Table of Amendments, update the publication date, Code version number, amendment type and summary of amendments within the ‘Table of Planning and Design Code Amendments’ to reflect the amendments to the Code as described in this Notice</w:t>
      </w:r>
      <w:r w:rsidRPr="00567B0D">
        <w:rPr>
          <w:bCs/>
          <w:szCs w:val="17"/>
        </w:rPr>
        <w:t>.</w:t>
      </w:r>
    </w:p>
    <w:p w14:paraId="54EC450F" w14:textId="77777777" w:rsidR="00567B0D" w:rsidRPr="00567B0D" w:rsidRDefault="00567B0D" w:rsidP="009B29CF">
      <w:pPr>
        <w:numPr>
          <w:ilvl w:val="0"/>
          <w:numId w:val="81"/>
        </w:numPr>
        <w:ind w:left="284" w:hanging="284"/>
      </w:pPr>
      <w:r w:rsidRPr="00567B0D">
        <w:t>PURSUANT to section 76(5)(a) of the Act, I further specify that the amendments to the Code as described in this Notice will take effect upon the date those amendments are published on the SA planning portal.</w:t>
      </w:r>
    </w:p>
    <w:p w14:paraId="0722421F" w14:textId="77777777" w:rsidR="00567B0D" w:rsidRPr="00567B0D" w:rsidRDefault="00567B0D" w:rsidP="00567B0D">
      <w:pPr>
        <w:spacing w:after="0"/>
        <w:rPr>
          <w:rFonts w:eastAsia="Times New Roman"/>
          <w:szCs w:val="17"/>
        </w:rPr>
      </w:pPr>
      <w:r w:rsidRPr="00567B0D">
        <w:rPr>
          <w:rFonts w:eastAsia="Times New Roman"/>
          <w:szCs w:val="17"/>
        </w:rPr>
        <w:t>Dated: 15 December 2022</w:t>
      </w:r>
    </w:p>
    <w:p w14:paraId="484F416E"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Greg Van Gaans</w:t>
      </w:r>
    </w:p>
    <w:p w14:paraId="238DEC35" w14:textId="77777777" w:rsidR="00567B0D" w:rsidRPr="00567B0D" w:rsidRDefault="00567B0D" w:rsidP="00567B0D">
      <w:pPr>
        <w:spacing w:after="0"/>
        <w:jc w:val="right"/>
        <w:rPr>
          <w:rFonts w:eastAsia="Times New Roman"/>
          <w:szCs w:val="17"/>
        </w:rPr>
      </w:pPr>
      <w:r w:rsidRPr="00567B0D">
        <w:rPr>
          <w:rFonts w:eastAsia="Times New Roman"/>
          <w:szCs w:val="17"/>
        </w:rPr>
        <w:t>Director, Land and Built Environment</w:t>
      </w:r>
    </w:p>
    <w:p w14:paraId="16AB7F87" w14:textId="77777777" w:rsidR="00567B0D" w:rsidRPr="00567B0D" w:rsidRDefault="00567B0D" w:rsidP="00567B0D">
      <w:pPr>
        <w:spacing w:after="0"/>
        <w:jc w:val="right"/>
        <w:rPr>
          <w:rFonts w:eastAsia="Times New Roman"/>
          <w:szCs w:val="17"/>
        </w:rPr>
      </w:pPr>
      <w:r w:rsidRPr="00567B0D">
        <w:rPr>
          <w:rFonts w:eastAsia="Times New Roman"/>
          <w:szCs w:val="17"/>
        </w:rPr>
        <w:t>Department for Trade and Investment</w:t>
      </w:r>
    </w:p>
    <w:p w14:paraId="4C482274" w14:textId="77777777" w:rsidR="00567B0D" w:rsidRPr="00567B0D" w:rsidRDefault="00567B0D" w:rsidP="00567B0D">
      <w:pPr>
        <w:spacing w:after="0"/>
        <w:jc w:val="right"/>
        <w:rPr>
          <w:rFonts w:eastAsia="Times New Roman"/>
          <w:szCs w:val="17"/>
        </w:rPr>
      </w:pPr>
      <w:r w:rsidRPr="00567B0D">
        <w:rPr>
          <w:rFonts w:eastAsia="Times New Roman"/>
          <w:szCs w:val="17"/>
        </w:rPr>
        <w:t>Delegate of the Minister for Planning</w:t>
      </w:r>
    </w:p>
    <w:p w14:paraId="065E8FC4" w14:textId="77777777" w:rsidR="00567B0D" w:rsidRPr="00567B0D" w:rsidRDefault="00567B0D" w:rsidP="00567B0D">
      <w:pPr>
        <w:pBdr>
          <w:top w:val="single" w:sz="4" w:space="1" w:color="auto"/>
        </w:pBdr>
        <w:spacing w:before="100" w:after="0" w:line="14" w:lineRule="exact"/>
        <w:jc w:val="center"/>
        <w:rPr>
          <w:rFonts w:eastAsia="Times New Roman"/>
          <w:szCs w:val="17"/>
        </w:rPr>
      </w:pPr>
    </w:p>
    <w:p w14:paraId="74BDFA96" w14:textId="77777777" w:rsidR="00567B0D" w:rsidRPr="00567B0D" w:rsidRDefault="00567B0D" w:rsidP="00567B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51DBF9D2" w14:textId="77777777" w:rsidR="00567B0D" w:rsidRPr="00567B0D" w:rsidRDefault="00567B0D" w:rsidP="00883CE4">
      <w:pPr>
        <w:pStyle w:val="GG-Title1"/>
      </w:pPr>
      <w:bookmarkStart w:id="64" w:name="_Toc122600844"/>
      <w:r w:rsidRPr="00567B0D">
        <w:t>Planning, Development and Infrastructure Act 2016</w:t>
      </w:r>
      <w:bookmarkEnd w:id="64"/>
    </w:p>
    <w:p w14:paraId="7F0BD91B" w14:textId="77777777" w:rsidR="00567B0D" w:rsidRPr="00567B0D" w:rsidRDefault="00567B0D" w:rsidP="00567B0D">
      <w:pPr>
        <w:jc w:val="center"/>
        <w:rPr>
          <w:smallCaps/>
          <w:szCs w:val="17"/>
        </w:rPr>
      </w:pPr>
      <w:r w:rsidRPr="00567B0D">
        <w:rPr>
          <w:smallCaps/>
          <w:szCs w:val="17"/>
        </w:rPr>
        <w:t>Section 76</w:t>
      </w:r>
    </w:p>
    <w:p w14:paraId="0494EFA0" w14:textId="77777777" w:rsidR="00567B0D" w:rsidRPr="00567B0D" w:rsidRDefault="00567B0D" w:rsidP="00567B0D">
      <w:pPr>
        <w:jc w:val="center"/>
        <w:rPr>
          <w:i/>
          <w:szCs w:val="17"/>
        </w:rPr>
      </w:pPr>
      <w:r w:rsidRPr="00567B0D">
        <w:rPr>
          <w:i/>
          <w:szCs w:val="17"/>
        </w:rPr>
        <w:t>Amendment to the Planning and Design Code</w:t>
      </w:r>
    </w:p>
    <w:p w14:paraId="60B988B1" w14:textId="77777777" w:rsidR="00567B0D" w:rsidRPr="00567B0D" w:rsidRDefault="00567B0D" w:rsidP="00567B0D">
      <w:pPr>
        <w:rPr>
          <w:rFonts w:eastAsia="Times New Roman"/>
          <w:i/>
          <w:szCs w:val="20"/>
        </w:rPr>
      </w:pPr>
      <w:r w:rsidRPr="00567B0D">
        <w:rPr>
          <w:rFonts w:eastAsia="Times New Roman"/>
          <w:i/>
          <w:szCs w:val="20"/>
        </w:rPr>
        <w:t>Preamble</w:t>
      </w:r>
    </w:p>
    <w:p w14:paraId="48BDD7A6" w14:textId="77777777" w:rsidR="00567B0D" w:rsidRPr="00567B0D" w:rsidRDefault="00567B0D" w:rsidP="00567B0D">
      <w:pPr>
        <w:rPr>
          <w:rFonts w:eastAsia="Times New Roman"/>
          <w:szCs w:val="17"/>
        </w:rPr>
      </w:pPr>
      <w:r w:rsidRPr="00567B0D">
        <w:rPr>
          <w:rFonts w:eastAsia="Times New Roman"/>
          <w:szCs w:val="17"/>
        </w:rPr>
        <w:t>It is necessary to amend the Planning and Design Code (the Code) in operation at 8 December 2022 (Version 2022.23) in order to correct the following errors:</w:t>
      </w:r>
    </w:p>
    <w:p w14:paraId="3606E3FB" w14:textId="77777777" w:rsidR="00567B0D" w:rsidRPr="00567B0D" w:rsidRDefault="00567B0D" w:rsidP="009B29CF">
      <w:pPr>
        <w:numPr>
          <w:ilvl w:val="0"/>
          <w:numId w:val="83"/>
        </w:numPr>
        <w:ind w:left="426" w:hanging="283"/>
      </w:pPr>
      <w:r w:rsidRPr="00567B0D">
        <w:t xml:space="preserve">incorrect reference to ‘Character Preservation </w:t>
      </w:r>
      <w:r w:rsidRPr="00567B0D">
        <w:rPr>
          <w:u w:val="single"/>
        </w:rPr>
        <w:t>Area</w:t>
      </w:r>
      <w:r w:rsidRPr="00567B0D">
        <w:t xml:space="preserve"> Overlay’ in Table 4 – Restricted Development Classification of the Rural Zone</w:t>
      </w:r>
    </w:p>
    <w:p w14:paraId="4164E482" w14:textId="77777777" w:rsidR="00567B0D" w:rsidRPr="00567B0D" w:rsidRDefault="00567B0D" w:rsidP="009B29CF">
      <w:pPr>
        <w:numPr>
          <w:ilvl w:val="0"/>
          <w:numId w:val="83"/>
        </w:numPr>
        <w:ind w:left="426" w:hanging="283"/>
      </w:pPr>
      <w:r w:rsidRPr="00567B0D">
        <w:t>incorrect policy numbering in the Design Module of Part 4 - General Development Policies</w:t>
      </w:r>
    </w:p>
    <w:p w14:paraId="569F1E46" w14:textId="77777777" w:rsidR="00567B0D" w:rsidRPr="00567B0D" w:rsidRDefault="00567B0D" w:rsidP="009B29CF">
      <w:pPr>
        <w:numPr>
          <w:ilvl w:val="0"/>
          <w:numId w:val="83"/>
        </w:numPr>
        <w:ind w:left="426" w:hanging="283"/>
      </w:pPr>
      <w:r w:rsidRPr="00567B0D">
        <w:t>missing policy linkage for Class of Development ‘Office’ in Table 3 - Applicable Policies for Performance Assessed Development in the Community Facilities Zone.</w:t>
      </w:r>
    </w:p>
    <w:p w14:paraId="31595579" w14:textId="77777777" w:rsidR="00567B0D" w:rsidRPr="00567B0D" w:rsidRDefault="00567B0D" w:rsidP="009B29CF">
      <w:pPr>
        <w:numPr>
          <w:ilvl w:val="0"/>
          <w:numId w:val="84"/>
        </w:numPr>
      </w:pPr>
      <w:r w:rsidRPr="00567B0D">
        <w:t xml:space="preserve">PURSUANT to section 76 of the </w:t>
      </w:r>
      <w:r w:rsidRPr="00567B0D">
        <w:rPr>
          <w:i/>
        </w:rPr>
        <w:t xml:space="preserve">Planning, Development and Infrastructure Act 2016 </w:t>
      </w:r>
      <w:r w:rsidRPr="00567B0D">
        <w:t>(the Act), I hereby amend the Code in order to make the following minor or operational amendments as follows:</w:t>
      </w:r>
    </w:p>
    <w:p w14:paraId="4B30C7F7" w14:textId="77777777" w:rsidR="00567B0D" w:rsidRPr="00567B0D" w:rsidRDefault="00567B0D" w:rsidP="009B29CF">
      <w:pPr>
        <w:numPr>
          <w:ilvl w:val="0"/>
          <w:numId w:val="77"/>
        </w:numPr>
        <w:ind w:left="567" w:right="-1" w:hanging="283"/>
        <w:jc w:val="left"/>
        <w:rPr>
          <w:bCs/>
          <w:szCs w:val="17"/>
        </w:rPr>
      </w:pPr>
      <w:r w:rsidRPr="00567B0D">
        <w:rPr>
          <w:bCs/>
          <w:szCs w:val="17"/>
        </w:rPr>
        <w:t>In Part 2 – Zones and Sub Zones, within Table 4 – Restricted Development Classification of the Rural Zone, replace the words ‘Character Preservation Area Overlay’ with the words ‘Character Preservation District Overlay’</w:t>
      </w:r>
    </w:p>
    <w:p w14:paraId="297433BC" w14:textId="77777777" w:rsidR="00567B0D" w:rsidRPr="00567B0D" w:rsidRDefault="00567B0D" w:rsidP="009B29CF">
      <w:pPr>
        <w:numPr>
          <w:ilvl w:val="0"/>
          <w:numId w:val="77"/>
        </w:numPr>
        <w:ind w:left="567" w:hanging="283"/>
        <w:jc w:val="left"/>
        <w:rPr>
          <w:bCs/>
          <w:szCs w:val="17"/>
        </w:rPr>
      </w:pPr>
      <w:r w:rsidRPr="00567B0D">
        <w:rPr>
          <w:bCs/>
          <w:szCs w:val="17"/>
        </w:rPr>
        <w:t>In Part 4 – General Development Policies, within the Assessment Provisions (AP) of the Design Module, replace the text ‘DTS/DPF 28.3’ under the heading ‘Site Facilities / Waste Storage’ with the text ‘DTS/DPF 30.3’.</w:t>
      </w:r>
    </w:p>
    <w:p w14:paraId="69F18770" w14:textId="77777777" w:rsidR="00567B0D" w:rsidRPr="00567B0D" w:rsidRDefault="00567B0D" w:rsidP="009B29CF">
      <w:pPr>
        <w:numPr>
          <w:ilvl w:val="0"/>
          <w:numId w:val="77"/>
        </w:numPr>
        <w:ind w:left="567" w:hanging="283"/>
        <w:jc w:val="left"/>
        <w:rPr>
          <w:bCs/>
          <w:szCs w:val="17"/>
        </w:rPr>
      </w:pPr>
      <w:r w:rsidRPr="00567B0D">
        <w:rPr>
          <w:bCs/>
          <w:szCs w:val="17"/>
        </w:rPr>
        <w:t>In Part 2 – Zones and Sub Zone, within the Community Facilities Zone, amend Table 3 - Applicable Policies for Performance Assessed Development, by inserting Community Facilities Zone ‘Land Use and Intensity PO 1.3’ as an applicable ‘Zone’ policy for Class of Development ‘Office’.</w:t>
      </w:r>
    </w:p>
    <w:p w14:paraId="71E5D336" w14:textId="77777777" w:rsidR="00567B0D" w:rsidRPr="00567B0D" w:rsidRDefault="00567B0D" w:rsidP="009B29CF">
      <w:pPr>
        <w:numPr>
          <w:ilvl w:val="0"/>
          <w:numId w:val="77"/>
        </w:numPr>
        <w:ind w:left="567" w:right="-1" w:hanging="283"/>
        <w:jc w:val="left"/>
        <w:rPr>
          <w:bCs/>
          <w:szCs w:val="17"/>
        </w:rPr>
      </w:pPr>
      <w:r w:rsidRPr="00567B0D">
        <w:rPr>
          <w:bCs/>
          <w:szCs w:val="17"/>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18E4C4AB" w14:textId="77777777" w:rsidR="00567B0D" w:rsidRPr="00567B0D" w:rsidRDefault="00567B0D" w:rsidP="009B29CF">
      <w:pPr>
        <w:numPr>
          <w:ilvl w:val="0"/>
          <w:numId w:val="84"/>
        </w:numPr>
        <w:rPr>
          <w:bCs/>
          <w:szCs w:val="17"/>
        </w:rPr>
      </w:pPr>
      <w:r w:rsidRPr="00567B0D">
        <w:t>PURSUANT to section 76(5)(a) of the Act, I further specify that the amendments to the Code as described in this Notice will take effect upon the date those amendments are published on the SA planning portal.</w:t>
      </w:r>
    </w:p>
    <w:p w14:paraId="1B5985F3" w14:textId="77777777" w:rsidR="00567B0D" w:rsidRPr="00567B0D" w:rsidRDefault="00567B0D" w:rsidP="00567B0D">
      <w:pPr>
        <w:spacing w:after="0"/>
        <w:rPr>
          <w:rFonts w:eastAsia="Times New Roman"/>
          <w:szCs w:val="17"/>
        </w:rPr>
      </w:pPr>
      <w:r w:rsidRPr="00567B0D">
        <w:rPr>
          <w:rFonts w:eastAsia="Times New Roman"/>
          <w:szCs w:val="17"/>
        </w:rPr>
        <w:t>Dated: 20 December 2022</w:t>
      </w:r>
    </w:p>
    <w:p w14:paraId="54748D19"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Sally Smith</w:t>
      </w:r>
    </w:p>
    <w:p w14:paraId="1655DF69" w14:textId="77777777" w:rsidR="00567B0D" w:rsidRPr="00567B0D" w:rsidRDefault="00567B0D" w:rsidP="00567B0D">
      <w:pPr>
        <w:spacing w:after="0"/>
        <w:jc w:val="right"/>
        <w:rPr>
          <w:rFonts w:eastAsia="Times New Roman"/>
          <w:szCs w:val="17"/>
        </w:rPr>
      </w:pPr>
      <w:r w:rsidRPr="00567B0D">
        <w:rPr>
          <w:rFonts w:eastAsia="Times New Roman"/>
          <w:szCs w:val="17"/>
        </w:rPr>
        <w:t>Executive Director, Planning and Land Use Services</w:t>
      </w:r>
    </w:p>
    <w:p w14:paraId="77688520" w14:textId="77777777" w:rsidR="00567B0D" w:rsidRPr="00567B0D" w:rsidRDefault="00567B0D" w:rsidP="00567B0D">
      <w:pPr>
        <w:spacing w:after="0"/>
        <w:jc w:val="right"/>
        <w:rPr>
          <w:rFonts w:eastAsia="Times New Roman"/>
          <w:szCs w:val="17"/>
        </w:rPr>
      </w:pPr>
      <w:r w:rsidRPr="00567B0D">
        <w:rPr>
          <w:rFonts w:eastAsia="Times New Roman"/>
          <w:szCs w:val="17"/>
        </w:rPr>
        <w:t>Department for Trade and Investment</w:t>
      </w:r>
    </w:p>
    <w:p w14:paraId="6074F2BC" w14:textId="2F9CA038" w:rsidR="00567B0D" w:rsidRDefault="00567B0D" w:rsidP="00567B0D">
      <w:pPr>
        <w:spacing w:after="0"/>
        <w:jc w:val="right"/>
        <w:rPr>
          <w:rFonts w:eastAsia="Times New Roman"/>
          <w:szCs w:val="17"/>
        </w:rPr>
      </w:pPr>
      <w:r w:rsidRPr="00567B0D">
        <w:rPr>
          <w:rFonts w:eastAsia="Times New Roman"/>
          <w:szCs w:val="17"/>
        </w:rPr>
        <w:t>Delegate of the Minister for Planning</w:t>
      </w:r>
    </w:p>
    <w:p w14:paraId="26BB472F" w14:textId="79A68A72" w:rsidR="00567B0D" w:rsidRDefault="00567B0D" w:rsidP="00567B0D">
      <w:pPr>
        <w:pBdr>
          <w:bottom w:val="single" w:sz="4" w:space="1" w:color="auto"/>
        </w:pBdr>
        <w:spacing w:after="0" w:line="52" w:lineRule="exact"/>
        <w:jc w:val="center"/>
      </w:pPr>
    </w:p>
    <w:p w14:paraId="051A3659" w14:textId="59A39C6B" w:rsidR="00567B0D" w:rsidRDefault="00567B0D" w:rsidP="00567B0D">
      <w:pPr>
        <w:pBdr>
          <w:top w:val="single" w:sz="4" w:space="1" w:color="auto"/>
        </w:pBdr>
        <w:spacing w:before="34" w:after="0" w:line="14" w:lineRule="exact"/>
        <w:jc w:val="center"/>
      </w:pPr>
    </w:p>
    <w:p w14:paraId="268AEDF3" w14:textId="4ED94205" w:rsidR="00567B0D" w:rsidRDefault="00567B0D" w:rsidP="00965F17">
      <w:pPr>
        <w:pStyle w:val="GG-body"/>
        <w:spacing w:after="0"/>
        <w:rPr>
          <w:lang w:val="en-US"/>
        </w:rPr>
      </w:pPr>
    </w:p>
    <w:p w14:paraId="62B5732A" w14:textId="77777777" w:rsidR="00567B0D" w:rsidRPr="00567B0D" w:rsidRDefault="00567B0D" w:rsidP="00392842">
      <w:pPr>
        <w:pStyle w:val="Heading2"/>
      </w:pPr>
      <w:bookmarkStart w:id="65" w:name="_Toc122600845"/>
      <w:r w:rsidRPr="00567B0D">
        <w:t>Retail and Commercial Leases Act 1995</w:t>
      </w:r>
      <w:bookmarkEnd w:id="65"/>
    </w:p>
    <w:p w14:paraId="660FFD7A" w14:textId="77777777" w:rsidR="00567B0D" w:rsidRPr="00567B0D" w:rsidRDefault="00567B0D" w:rsidP="00567B0D">
      <w:pPr>
        <w:jc w:val="center"/>
        <w:rPr>
          <w:i/>
          <w:szCs w:val="17"/>
        </w:rPr>
      </w:pPr>
      <w:r w:rsidRPr="00567B0D">
        <w:rPr>
          <w:i/>
          <w:szCs w:val="17"/>
        </w:rPr>
        <w:t>Exemption</w:t>
      </w:r>
    </w:p>
    <w:p w14:paraId="0E7C2EC1" w14:textId="77777777" w:rsidR="00567B0D" w:rsidRPr="00567B0D" w:rsidRDefault="00567B0D" w:rsidP="00567B0D">
      <w:pPr>
        <w:jc w:val="left"/>
        <w:rPr>
          <w:szCs w:val="17"/>
        </w:rPr>
      </w:pPr>
      <w:r w:rsidRPr="00567B0D">
        <w:rPr>
          <w:b/>
          <w:szCs w:val="17"/>
          <w:u w:val="single"/>
        </w:rPr>
        <w:t>PURSUANT</w:t>
      </w:r>
      <w:r w:rsidRPr="00567B0D">
        <w:rPr>
          <w:szCs w:val="17"/>
        </w:rPr>
        <w:t xml:space="preserve">  to section 77(1)(b) of the </w:t>
      </w:r>
      <w:r w:rsidRPr="00567B0D">
        <w:rPr>
          <w:i/>
          <w:szCs w:val="17"/>
        </w:rPr>
        <w:t xml:space="preserve">Retail and Commercial Leases Act 1995 </w:t>
      </w:r>
      <w:r w:rsidRPr="00567B0D">
        <w:rPr>
          <w:szCs w:val="17"/>
        </w:rPr>
        <w:t>(SA) I, Andrea Michaels, the Minister for Small and Family Business for the State of South Australia,</w:t>
      </w:r>
    </w:p>
    <w:p w14:paraId="4D1A5823" w14:textId="77777777" w:rsidR="00567B0D" w:rsidRPr="00567B0D" w:rsidRDefault="00567B0D" w:rsidP="00567B0D">
      <w:pPr>
        <w:jc w:val="left"/>
        <w:rPr>
          <w:szCs w:val="17"/>
        </w:rPr>
      </w:pPr>
      <w:r w:rsidRPr="00567B0D">
        <w:rPr>
          <w:b/>
          <w:szCs w:val="17"/>
          <w:u w:val="single"/>
        </w:rPr>
        <w:t>EXEMPT</w:t>
      </w:r>
      <w:r w:rsidRPr="00567B0D">
        <w:rPr>
          <w:szCs w:val="17"/>
        </w:rPr>
        <w:t xml:space="preserve">  from all provisions of the </w:t>
      </w:r>
      <w:r w:rsidRPr="00567B0D">
        <w:rPr>
          <w:i/>
          <w:szCs w:val="17"/>
        </w:rPr>
        <w:t xml:space="preserve">Retail and Commercial Leases Act 1995 </w:t>
      </w:r>
      <w:r w:rsidRPr="00567B0D">
        <w:rPr>
          <w:szCs w:val="17"/>
        </w:rPr>
        <w:t>(SA) for a period of ten (10) years from the date of this exemption the class of retail shop leases which are entered into:</w:t>
      </w:r>
    </w:p>
    <w:p w14:paraId="06B40F22"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during the period of this exemption;</w:t>
      </w:r>
    </w:p>
    <w:p w14:paraId="44B54BB7"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by or on behalf of the City of Onkaparinga and its successors as lessor;</w:t>
      </w:r>
    </w:p>
    <w:p w14:paraId="7A268671"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for a term of twelve (12) months or less (disregarding the period/s of any previous retail shop lease/s between the parties);</w:t>
      </w:r>
    </w:p>
    <w:p w14:paraId="33008A86"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in respect of premises comprised of one or more areas, rooms or spaces at any of the properties specified in the Schedule to this exemption;</w:t>
      </w:r>
    </w:p>
    <w:p w14:paraId="36CEF8B1"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for a permitted use which is in accordance with any community land management plan that has been adopted by the City of Onkaparinga for the premises from time to time, or where no such community land management plan applies, then for use for the provision of health, welfare, community, cultural, sporting or recreational services;</w:t>
      </w:r>
    </w:p>
    <w:p w14:paraId="3D27791D"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for specified days and times of use during the term; and</w:t>
      </w:r>
    </w:p>
    <w:p w14:paraId="2E5E2D12" w14:textId="77777777" w:rsidR="00567B0D" w:rsidRPr="00567B0D" w:rsidRDefault="00567B0D" w:rsidP="009B29CF">
      <w:pPr>
        <w:numPr>
          <w:ilvl w:val="0"/>
          <w:numId w:val="85"/>
        </w:numPr>
        <w:overflowPunct w:val="0"/>
        <w:autoSpaceDE w:val="0"/>
        <w:autoSpaceDN w:val="0"/>
        <w:adjustRightInd w:val="0"/>
        <w:ind w:left="714" w:hanging="357"/>
        <w:jc w:val="left"/>
        <w:textAlignment w:val="baseline"/>
        <w:rPr>
          <w:szCs w:val="17"/>
        </w:rPr>
      </w:pPr>
      <w:r w:rsidRPr="00567B0D">
        <w:rPr>
          <w:szCs w:val="17"/>
        </w:rPr>
        <w:t xml:space="preserve">for a gross amount of rent which is inclusive of all outgoings and is determined in accordance with section 188 of the </w:t>
      </w:r>
      <w:r w:rsidRPr="00567B0D">
        <w:rPr>
          <w:i/>
          <w:iCs/>
          <w:szCs w:val="17"/>
        </w:rPr>
        <w:t>Local Government Act</w:t>
      </w:r>
      <w:r w:rsidRPr="00567B0D">
        <w:rPr>
          <w:szCs w:val="17"/>
        </w:rPr>
        <w:t xml:space="preserve"> </w:t>
      </w:r>
      <w:r w:rsidRPr="00567B0D">
        <w:rPr>
          <w:i/>
          <w:iCs/>
          <w:szCs w:val="17"/>
        </w:rPr>
        <w:t>1999</w:t>
      </w:r>
      <w:r w:rsidRPr="00567B0D">
        <w:rPr>
          <w:szCs w:val="17"/>
        </w:rPr>
        <w:t xml:space="preserve"> (SA).</w:t>
      </w:r>
    </w:p>
    <w:p w14:paraId="6DF3D5B7" w14:textId="77777777" w:rsidR="00567B0D" w:rsidRPr="00567B0D" w:rsidRDefault="00567B0D" w:rsidP="00567B0D">
      <w:pPr>
        <w:jc w:val="left"/>
        <w:rPr>
          <w:szCs w:val="17"/>
        </w:rPr>
      </w:pPr>
      <w:r w:rsidRPr="00567B0D">
        <w:rPr>
          <w:b/>
          <w:bCs/>
          <w:szCs w:val="17"/>
          <w:u w:val="single"/>
        </w:rPr>
        <w:t>ON CONDITION</w:t>
      </w:r>
      <w:r w:rsidRPr="00567B0D">
        <w:rPr>
          <w:szCs w:val="17"/>
        </w:rPr>
        <w:t xml:space="preserve">  that:</w:t>
      </w:r>
    </w:p>
    <w:p w14:paraId="3E5AC6F1" w14:textId="1551013C" w:rsidR="00567B0D" w:rsidRDefault="00567B0D" w:rsidP="009B29CF">
      <w:pPr>
        <w:numPr>
          <w:ilvl w:val="0"/>
          <w:numId w:val="86"/>
        </w:numPr>
        <w:overflowPunct w:val="0"/>
        <w:autoSpaceDE w:val="0"/>
        <w:autoSpaceDN w:val="0"/>
        <w:adjustRightInd w:val="0"/>
        <w:jc w:val="left"/>
        <w:textAlignment w:val="baseline"/>
        <w:rPr>
          <w:szCs w:val="17"/>
        </w:rPr>
      </w:pPr>
      <w:r w:rsidRPr="00567B0D">
        <w:rPr>
          <w:szCs w:val="17"/>
        </w:rPr>
        <w:t xml:space="preserve">this exemption may be varied or revoked by the Minister responsible for administration of the </w:t>
      </w:r>
      <w:r w:rsidRPr="00567B0D">
        <w:rPr>
          <w:i/>
          <w:szCs w:val="17"/>
        </w:rPr>
        <w:t xml:space="preserve">Retail and Commercial Leases Act 1995 </w:t>
      </w:r>
      <w:r w:rsidRPr="00567B0D">
        <w:rPr>
          <w:szCs w:val="17"/>
        </w:rPr>
        <w:t>(SA) at any time (however, for the avoidance of doubt, no variation or revocation of this exemption affects the continued operation of this exemption in its then current form to retail shop leases already entered into up to the date of the variation or revocation); and</w:t>
      </w:r>
    </w:p>
    <w:p w14:paraId="5FA9146A" w14:textId="77777777" w:rsidR="00567B0D" w:rsidRDefault="00567B0D">
      <w:pPr>
        <w:spacing w:after="0" w:line="240" w:lineRule="auto"/>
        <w:jc w:val="left"/>
        <w:rPr>
          <w:szCs w:val="17"/>
        </w:rPr>
      </w:pPr>
      <w:r>
        <w:rPr>
          <w:szCs w:val="17"/>
        </w:rPr>
        <w:br w:type="page"/>
      </w:r>
    </w:p>
    <w:p w14:paraId="3B8ECFF6" w14:textId="77777777" w:rsidR="00567B0D" w:rsidRPr="00567B0D" w:rsidRDefault="00567B0D" w:rsidP="009B29CF">
      <w:pPr>
        <w:numPr>
          <w:ilvl w:val="0"/>
          <w:numId w:val="86"/>
        </w:numPr>
        <w:overflowPunct w:val="0"/>
        <w:autoSpaceDE w:val="0"/>
        <w:autoSpaceDN w:val="0"/>
        <w:adjustRightInd w:val="0"/>
        <w:jc w:val="left"/>
        <w:textAlignment w:val="baseline"/>
        <w:rPr>
          <w:szCs w:val="17"/>
        </w:rPr>
      </w:pPr>
      <w:r w:rsidRPr="00567B0D">
        <w:rPr>
          <w:szCs w:val="17"/>
        </w:rPr>
        <w:lastRenderedPageBreak/>
        <w:t xml:space="preserve">where the City of Onkaparinga or its agent enters into a retail shop lease in reliance on this exemption, the retail shop lease must contain a statement that the retail shop lease is exempt from the provisions of the </w:t>
      </w:r>
      <w:r w:rsidRPr="00567B0D">
        <w:rPr>
          <w:i/>
          <w:szCs w:val="17"/>
        </w:rPr>
        <w:t xml:space="preserve">Retail and Commercial Leases Act 1995 </w:t>
      </w:r>
      <w:r w:rsidRPr="00567B0D">
        <w:rPr>
          <w:szCs w:val="17"/>
        </w:rPr>
        <w:t>(SA) pursuant to this exemption.</w:t>
      </w:r>
    </w:p>
    <w:p w14:paraId="70CCE3FC" w14:textId="77777777" w:rsidR="00567B0D" w:rsidRPr="00567B0D" w:rsidRDefault="00567B0D" w:rsidP="00567B0D">
      <w:pPr>
        <w:spacing w:after="0"/>
        <w:rPr>
          <w:rFonts w:eastAsia="Times New Roman"/>
          <w:szCs w:val="17"/>
        </w:rPr>
      </w:pPr>
      <w:r w:rsidRPr="00567B0D">
        <w:rPr>
          <w:rFonts w:eastAsia="Times New Roman"/>
          <w:szCs w:val="17"/>
        </w:rPr>
        <w:t>Dated: 22 November 2022</w:t>
      </w:r>
    </w:p>
    <w:p w14:paraId="7F532FA8" w14:textId="77777777" w:rsidR="00567B0D" w:rsidRPr="00567B0D" w:rsidRDefault="00567B0D" w:rsidP="00567B0D">
      <w:pPr>
        <w:spacing w:after="0"/>
        <w:jc w:val="right"/>
        <w:rPr>
          <w:rFonts w:eastAsia="Times New Roman"/>
          <w:smallCaps/>
          <w:szCs w:val="20"/>
        </w:rPr>
      </w:pPr>
      <w:r w:rsidRPr="00567B0D">
        <w:rPr>
          <w:rFonts w:eastAsia="Times New Roman"/>
          <w:smallCaps/>
          <w:szCs w:val="20"/>
        </w:rPr>
        <w:t>Andrea Michaels MP</w:t>
      </w:r>
    </w:p>
    <w:p w14:paraId="35583CA3" w14:textId="77777777" w:rsidR="00567B0D" w:rsidRPr="00567B0D" w:rsidRDefault="00567B0D" w:rsidP="00567B0D">
      <w:pPr>
        <w:jc w:val="right"/>
        <w:rPr>
          <w:rFonts w:eastAsia="Times New Roman"/>
          <w:szCs w:val="17"/>
        </w:rPr>
      </w:pPr>
      <w:r w:rsidRPr="00567B0D">
        <w:rPr>
          <w:rFonts w:eastAsia="Times New Roman"/>
          <w:szCs w:val="17"/>
        </w:rPr>
        <w:t>Minister for Small and Family Business</w:t>
      </w:r>
    </w:p>
    <w:p w14:paraId="151B15C1" w14:textId="77777777" w:rsidR="00567B0D" w:rsidRPr="00567B0D" w:rsidRDefault="00567B0D" w:rsidP="00567B0D">
      <w:pPr>
        <w:pBdr>
          <w:top w:val="single" w:sz="4" w:space="1" w:color="auto"/>
        </w:pBdr>
        <w:spacing w:before="100" w:line="14" w:lineRule="exact"/>
        <w:ind w:left="1080" w:right="1080"/>
        <w:jc w:val="center"/>
        <w:rPr>
          <w:rFonts w:eastAsia="Times New Roman"/>
          <w:szCs w:val="17"/>
        </w:rPr>
      </w:pPr>
    </w:p>
    <w:p w14:paraId="4B1E4D1A" w14:textId="77777777" w:rsidR="00567B0D" w:rsidRPr="00567B0D" w:rsidRDefault="00567B0D" w:rsidP="00567B0D">
      <w:pPr>
        <w:jc w:val="center"/>
        <w:rPr>
          <w:smallCaps/>
          <w:szCs w:val="17"/>
        </w:rPr>
      </w:pPr>
      <w:r w:rsidRPr="00567B0D">
        <w:rPr>
          <w:smallCaps/>
          <w:szCs w:val="17"/>
        </w:rPr>
        <w:t>Schedule</w:t>
      </w:r>
    </w:p>
    <w:p w14:paraId="6480BCEE" w14:textId="77777777" w:rsidR="00567B0D" w:rsidRPr="00567B0D" w:rsidRDefault="00567B0D" w:rsidP="00567B0D">
      <w:pPr>
        <w:jc w:val="center"/>
        <w:rPr>
          <w:b/>
          <w:bCs/>
          <w:szCs w:val="17"/>
        </w:rPr>
      </w:pPr>
      <w:r w:rsidRPr="00567B0D">
        <w:rPr>
          <w:b/>
          <w:bCs/>
          <w:szCs w:val="17"/>
        </w:rPr>
        <w:t>Properties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2778"/>
        <w:gridCol w:w="3218"/>
        <w:gridCol w:w="2632"/>
      </w:tblGrid>
      <w:tr w:rsidR="00567B0D" w:rsidRPr="00567B0D" w14:paraId="433E60DC" w14:textId="77777777" w:rsidTr="0012134E">
        <w:trPr>
          <w:tblHeader/>
        </w:trPr>
        <w:tc>
          <w:tcPr>
            <w:tcW w:w="388" w:type="pct"/>
            <w:tcBorders>
              <w:top w:val="single" w:sz="4" w:space="0" w:color="auto"/>
              <w:bottom w:val="single" w:sz="4" w:space="0" w:color="auto"/>
            </w:tcBorders>
            <w:vAlign w:val="center"/>
          </w:tcPr>
          <w:p w14:paraId="39DCD22D" w14:textId="77777777" w:rsidR="00567B0D" w:rsidRPr="00567B0D" w:rsidRDefault="00567B0D" w:rsidP="00567B0D">
            <w:pPr>
              <w:spacing w:before="40" w:after="40"/>
              <w:jc w:val="left"/>
              <w:rPr>
                <w:b/>
                <w:bCs/>
                <w:szCs w:val="17"/>
              </w:rPr>
            </w:pPr>
            <w:r w:rsidRPr="00567B0D">
              <w:rPr>
                <w:b/>
                <w:bCs/>
                <w:szCs w:val="17"/>
              </w:rPr>
              <w:t>No.</w:t>
            </w:r>
          </w:p>
        </w:tc>
        <w:tc>
          <w:tcPr>
            <w:tcW w:w="1485" w:type="pct"/>
            <w:tcBorders>
              <w:top w:val="single" w:sz="4" w:space="0" w:color="auto"/>
              <w:bottom w:val="single" w:sz="4" w:space="0" w:color="auto"/>
            </w:tcBorders>
            <w:vAlign w:val="center"/>
          </w:tcPr>
          <w:p w14:paraId="6777C869" w14:textId="77777777" w:rsidR="00567B0D" w:rsidRPr="00567B0D" w:rsidRDefault="00567B0D" w:rsidP="00567B0D">
            <w:pPr>
              <w:spacing w:before="40" w:after="40"/>
              <w:jc w:val="left"/>
              <w:rPr>
                <w:b/>
                <w:bCs/>
                <w:szCs w:val="17"/>
              </w:rPr>
            </w:pPr>
            <w:r w:rsidRPr="00567B0D">
              <w:rPr>
                <w:b/>
                <w:bCs/>
                <w:szCs w:val="17"/>
              </w:rPr>
              <w:t>Name (current as at the date of the exemption, as updated from time to time)</w:t>
            </w:r>
          </w:p>
        </w:tc>
        <w:tc>
          <w:tcPr>
            <w:tcW w:w="1720" w:type="pct"/>
            <w:tcBorders>
              <w:top w:val="single" w:sz="4" w:space="0" w:color="auto"/>
              <w:bottom w:val="single" w:sz="4" w:space="0" w:color="auto"/>
            </w:tcBorders>
            <w:vAlign w:val="center"/>
          </w:tcPr>
          <w:p w14:paraId="79504998" w14:textId="77777777" w:rsidR="00567B0D" w:rsidRPr="00567B0D" w:rsidRDefault="00567B0D" w:rsidP="00567B0D">
            <w:pPr>
              <w:spacing w:before="40" w:after="40"/>
              <w:jc w:val="left"/>
              <w:rPr>
                <w:b/>
                <w:bCs/>
                <w:szCs w:val="17"/>
              </w:rPr>
            </w:pPr>
            <w:r w:rsidRPr="00567B0D">
              <w:rPr>
                <w:b/>
                <w:bCs/>
                <w:szCs w:val="17"/>
              </w:rPr>
              <w:t>Address</w:t>
            </w:r>
          </w:p>
        </w:tc>
        <w:tc>
          <w:tcPr>
            <w:tcW w:w="1407" w:type="pct"/>
            <w:tcBorders>
              <w:top w:val="single" w:sz="4" w:space="0" w:color="auto"/>
              <w:bottom w:val="single" w:sz="4" w:space="0" w:color="auto"/>
            </w:tcBorders>
            <w:vAlign w:val="center"/>
          </w:tcPr>
          <w:p w14:paraId="18244A2D" w14:textId="77777777" w:rsidR="00567B0D" w:rsidRPr="00567B0D" w:rsidRDefault="00567B0D" w:rsidP="00567B0D">
            <w:pPr>
              <w:spacing w:before="40" w:after="40"/>
              <w:jc w:val="left"/>
              <w:rPr>
                <w:b/>
                <w:bCs/>
                <w:szCs w:val="17"/>
              </w:rPr>
            </w:pPr>
            <w:r w:rsidRPr="00567B0D">
              <w:rPr>
                <w:b/>
                <w:bCs/>
                <w:szCs w:val="17"/>
              </w:rPr>
              <w:t>Title (current as at the date of the exemption, as updated from time to time)</w:t>
            </w:r>
          </w:p>
        </w:tc>
      </w:tr>
      <w:tr w:rsidR="00567B0D" w:rsidRPr="00567B0D" w14:paraId="39BE42BA" w14:textId="77777777" w:rsidTr="0012134E">
        <w:tc>
          <w:tcPr>
            <w:tcW w:w="388" w:type="pct"/>
            <w:tcBorders>
              <w:top w:val="single" w:sz="4" w:space="0" w:color="auto"/>
            </w:tcBorders>
          </w:tcPr>
          <w:p w14:paraId="4B16C0D2" w14:textId="77777777" w:rsidR="00567B0D" w:rsidRPr="00567B0D" w:rsidRDefault="00567B0D" w:rsidP="00567B0D">
            <w:pPr>
              <w:spacing w:before="20" w:after="20"/>
              <w:jc w:val="left"/>
              <w:rPr>
                <w:szCs w:val="17"/>
              </w:rPr>
            </w:pPr>
            <w:r w:rsidRPr="00567B0D">
              <w:rPr>
                <w:szCs w:val="17"/>
              </w:rPr>
              <w:t>1</w:t>
            </w:r>
          </w:p>
        </w:tc>
        <w:tc>
          <w:tcPr>
            <w:tcW w:w="1485" w:type="pct"/>
            <w:tcBorders>
              <w:top w:val="single" w:sz="4" w:space="0" w:color="auto"/>
            </w:tcBorders>
          </w:tcPr>
          <w:p w14:paraId="42F01D84" w14:textId="77777777" w:rsidR="00567B0D" w:rsidRPr="00567B0D" w:rsidRDefault="00567B0D" w:rsidP="00567B0D">
            <w:pPr>
              <w:spacing w:before="20" w:after="20"/>
              <w:jc w:val="left"/>
              <w:rPr>
                <w:szCs w:val="17"/>
              </w:rPr>
            </w:pPr>
            <w:r w:rsidRPr="00567B0D">
              <w:rPr>
                <w:szCs w:val="17"/>
              </w:rPr>
              <w:t>Elizabeth House Positive Ageing Centre</w:t>
            </w:r>
          </w:p>
        </w:tc>
        <w:tc>
          <w:tcPr>
            <w:tcW w:w="1720" w:type="pct"/>
            <w:tcBorders>
              <w:top w:val="single" w:sz="4" w:space="0" w:color="auto"/>
            </w:tcBorders>
          </w:tcPr>
          <w:p w14:paraId="10A93A01" w14:textId="77777777" w:rsidR="00567B0D" w:rsidRPr="00567B0D" w:rsidRDefault="00567B0D" w:rsidP="00567B0D">
            <w:pPr>
              <w:spacing w:before="20" w:after="20"/>
              <w:jc w:val="left"/>
              <w:rPr>
                <w:szCs w:val="17"/>
              </w:rPr>
            </w:pPr>
            <w:r w:rsidRPr="00567B0D">
              <w:rPr>
                <w:szCs w:val="17"/>
              </w:rPr>
              <w:t>112 Elizabeth Road,</w:t>
            </w:r>
          </w:p>
          <w:p w14:paraId="4723052A" w14:textId="77777777" w:rsidR="00567B0D" w:rsidRPr="00567B0D" w:rsidRDefault="00567B0D" w:rsidP="00567B0D">
            <w:pPr>
              <w:spacing w:before="20" w:after="20"/>
              <w:jc w:val="left"/>
              <w:rPr>
                <w:szCs w:val="17"/>
              </w:rPr>
            </w:pPr>
            <w:r w:rsidRPr="00567B0D">
              <w:rPr>
                <w:szCs w:val="17"/>
              </w:rPr>
              <w:t>Christie Downs</w:t>
            </w:r>
          </w:p>
        </w:tc>
        <w:tc>
          <w:tcPr>
            <w:tcW w:w="1407" w:type="pct"/>
            <w:tcBorders>
              <w:top w:val="single" w:sz="4" w:space="0" w:color="auto"/>
            </w:tcBorders>
          </w:tcPr>
          <w:p w14:paraId="2589FD11" w14:textId="77777777" w:rsidR="00567B0D" w:rsidRPr="00567B0D" w:rsidRDefault="00567B0D" w:rsidP="00567B0D">
            <w:pPr>
              <w:spacing w:before="20" w:after="20"/>
              <w:jc w:val="left"/>
              <w:rPr>
                <w:szCs w:val="17"/>
              </w:rPr>
            </w:pPr>
            <w:r w:rsidRPr="00567B0D">
              <w:rPr>
                <w:szCs w:val="17"/>
              </w:rPr>
              <w:t>CT 5719/597</w:t>
            </w:r>
          </w:p>
        </w:tc>
      </w:tr>
      <w:tr w:rsidR="00567B0D" w:rsidRPr="00567B0D" w14:paraId="5364E64E" w14:textId="77777777" w:rsidTr="0012134E">
        <w:tc>
          <w:tcPr>
            <w:tcW w:w="388" w:type="pct"/>
          </w:tcPr>
          <w:p w14:paraId="5312B355" w14:textId="77777777" w:rsidR="00567B0D" w:rsidRPr="00567B0D" w:rsidRDefault="00567B0D" w:rsidP="00567B0D">
            <w:pPr>
              <w:spacing w:before="20" w:after="20"/>
              <w:jc w:val="left"/>
              <w:rPr>
                <w:szCs w:val="17"/>
              </w:rPr>
            </w:pPr>
            <w:r w:rsidRPr="00567B0D">
              <w:rPr>
                <w:szCs w:val="17"/>
              </w:rPr>
              <w:t>2</w:t>
            </w:r>
          </w:p>
        </w:tc>
        <w:tc>
          <w:tcPr>
            <w:tcW w:w="1485" w:type="pct"/>
          </w:tcPr>
          <w:p w14:paraId="0F76B4F3" w14:textId="77777777" w:rsidR="00567B0D" w:rsidRPr="00567B0D" w:rsidRDefault="00567B0D" w:rsidP="00567B0D">
            <w:pPr>
              <w:spacing w:before="20" w:after="20"/>
              <w:jc w:val="left"/>
              <w:rPr>
                <w:szCs w:val="17"/>
              </w:rPr>
            </w:pPr>
            <w:r w:rsidRPr="00567B0D">
              <w:rPr>
                <w:szCs w:val="17"/>
              </w:rPr>
              <w:t>Wakefield House Positive Ageing Centre</w:t>
            </w:r>
          </w:p>
        </w:tc>
        <w:tc>
          <w:tcPr>
            <w:tcW w:w="1720" w:type="pct"/>
          </w:tcPr>
          <w:p w14:paraId="5808856C" w14:textId="77777777" w:rsidR="00567B0D" w:rsidRPr="00567B0D" w:rsidRDefault="00567B0D" w:rsidP="00567B0D">
            <w:pPr>
              <w:spacing w:before="20" w:after="20"/>
              <w:jc w:val="left"/>
              <w:rPr>
                <w:szCs w:val="17"/>
              </w:rPr>
            </w:pPr>
            <w:r w:rsidRPr="00567B0D">
              <w:rPr>
                <w:szCs w:val="17"/>
              </w:rPr>
              <w:t>65-75 Acre Avenue,</w:t>
            </w:r>
          </w:p>
          <w:p w14:paraId="59F37472" w14:textId="77777777" w:rsidR="00567B0D" w:rsidRPr="00567B0D" w:rsidRDefault="00567B0D" w:rsidP="00567B0D">
            <w:pPr>
              <w:spacing w:before="20" w:after="20"/>
              <w:jc w:val="left"/>
              <w:rPr>
                <w:szCs w:val="17"/>
              </w:rPr>
            </w:pPr>
            <w:r w:rsidRPr="00567B0D">
              <w:rPr>
                <w:szCs w:val="17"/>
              </w:rPr>
              <w:t>Morphett Vale</w:t>
            </w:r>
          </w:p>
        </w:tc>
        <w:tc>
          <w:tcPr>
            <w:tcW w:w="1407" w:type="pct"/>
          </w:tcPr>
          <w:p w14:paraId="6BC72F0D" w14:textId="77777777" w:rsidR="00567B0D" w:rsidRPr="00567B0D" w:rsidRDefault="00567B0D" w:rsidP="00567B0D">
            <w:pPr>
              <w:spacing w:before="20" w:after="20"/>
              <w:jc w:val="left"/>
              <w:rPr>
                <w:szCs w:val="17"/>
              </w:rPr>
            </w:pPr>
            <w:r w:rsidRPr="00567B0D">
              <w:rPr>
                <w:szCs w:val="17"/>
              </w:rPr>
              <w:t>CT 2688/180</w:t>
            </w:r>
          </w:p>
        </w:tc>
      </w:tr>
      <w:tr w:rsidR="00567B0D" w:rsidRPr="00567B0D" w14:paraId="24610A45" w14:textId="77777777" w:rsidTr="0012134E">
        <w:tc>
          <w:tcPr>
            <w:tcW w:w="388" w:type="pct"/>
          </w:tcPr>
          <w:p w14:paraId="60E41D6B" w14:textId="77777777" w:rsidR="00567B0D" w:rsidRPr="00567B0D" w:rsidRDefault="00567B0D" w:rsidP="00567B0D">
            <w:pPr>
              <w:spacing w:before="20" w:after="20"/>
              <w:jc w:val="left"/>
              <w:rPr>
                <w:szCs w:val="17"/>
              </w:rPr>
            </w:pPr>
            <w:r w:rsidRPr="00567B0D">
              <w:rPr>
                <w:szCs w:val="17"/>
              </w:rPr>
              <w:t>3</w:t>
            </w:r>
          </w:p>
        </w:tc>
        <w:tc>
          <w:tcPr>
            <w:tcW w:w="1485" w:type="pct"/>
          </w:tcPr>
          <w:p w14:paraId="2A497EF8" w14:textId="77777777" w:rsidR="00567B0D" w:rsidRPr="00567B0D" w:rsidRDefault="00567B0D" w:rsidP="00567B0D">
            <w:pPr>
              <w:spacing w:before="20" w:after="20"/>
              <w:jc w:val="left"/>
              <w:rPr>
                <w:szCs w:val="17"/>
              </w:rPr>
            </w:pPr>
            <w:r w:rsidRPr="00567B0D">
              <w:rPr>
                <w:szCs w:val="17"/>
              </w:rPr>
              <w:t>Willunga Hub</w:t>
            </w:r>
          </w:p>
        </w:tc>
        <w:tc>
          <w:tcPr>
            <w:tcW w:w="1720" w:type="pct"/>
          </w:tcPr>
          <w:p w14:paraId="6098B58D" w14:textId="77777777" w:rsidR="00567B0D" w:rsidRPr="00567B0D" w:rsidRDefault="00567B0D" w:rsidP="00567B0D">
            <w:pPr>
              <w:spacing w:before="20" w:after="20"/>
              <w:jc w:val="left"/>
              <w:rPr>
                <w:szCs w:val="17"/>
              </w:rPr>
            </w:pPr>
            <w:r w:rsidRPr="00567B0D">
              <w:rPr>
                <w:szCs w:val="17"/>
              </w:rPr>
              <w:t>Allot 560 St Peters Terrace, Willunga</w:t>
            </w:r>
          </w:p>
        </w:tc>
        <w:tc>
          <w:tcPr>
            <w:tcW w:w="1407" w:type="pct"/>
          </w:tcPr>
          <w:p w14:paraId="5D79CAAC" w14:textId="77777777" w:rsidR="00567B0D" w:rsidRPr="00567B0D" w:rsidRDefault="00567B0D" w:rsidP="00567B0D">
            <w:pPr>
              <w:spacing w:before="20" w:after="20"/>
              <w:jc w:val="left"/>
              <w:rPr>
                <w:szCs w:val="17"/>
              </w:rPr>
            </w:pPr>
            <w:r w:rsidRPr="00567B0D">
              <w:rPr>
                <w:szCs w:val="17"/>
              </w:rPr>
              <w:t>CT 5815/549</w:t>
            </w:r>
          </w:p>
        </w:tc>
      </w:tr>
      <w:tr w:rsidR="00567B0D" w:rsidRPr="00567B0D" w14:paraId="6AA1C3ED" w14:textId="77777777" w:rsidTr="0012134E">
        <w:tc>
          <w:tcPr>
            <w:tcW w:w="388" w:type="pct"/>
          </w:tcPr>
          <w:p w14:paraId="39D3AE1E" w14:textId="77777777" w:rsidR="00567B0D" w:rsidRPr="00567B0D" w:rsidRDefault="00567B0D" w:rsidP="00567B0D">
            <w:pPr>
              <w:spacing w:before="20" w:after="20"/>
              <w:jc w:val="left"/>
              <w:rPr>
                <w:szCs w:val="17"/>
              </w:rPr>
            </w:pPr>
            <w:r w:rsidRPr="00567B0D">
              <w:rPr>
                <w:szCs w:val="17"/>
              </w:rPr>
              <w:t>4</w:t>
            </w:r>
          </w:p>
        </w:tc>
        <w:tc>
          <w:tcPr>
            <w:tcW w:w="1485" w:type="pct"/>
          </w:tcPr>
          <w:p w14:paraId="08CB7F75" w14:textId="77777777" w:rsidR="00567B0D" w:rsidRPr="00567B0D" w:rsidRDefault="00567B0D" w:rsidP="00567B0D">
            <w:pPr>
              <w:spacing w:before="20" w:after="20"/>
              <w:jc w:val="left"/>
              <w:rPr>
                <w:szCs w:val="17"/>
              </w:rPr>
            </w:pPr>
            <w:r w:rsidRPr="00567B0D">
              <w:rPr>
                <w:szCs w:val="17"/>
              </w:rPr>
              <w:t>Wardli Youth Centre</w:t>
            </w:r>
          </w:p>
        </w:tc>
        <w:tc>
          <w:tcPr>
            <w:tcW w:w="1720" w:type="pct"/>
          </w:tcPr>
          <w:p w14:paraId="01E554B8" w14:textId="77777777" w:rsidR="00567B0D" w:rsidRPr="00567B0D" w:rsidRDefault="00567B0D" w:rsidP="00567B0D">
            <w:pPr>
              <w:spacing w:before="20" w:after="20"/>
              <w:jc w:val="left"/>
              <w:rPr>
                <w:szCs w:val="17"/>
              </w:rPr>
            </w:pPr>
            <w:r w:rsidRPr="00567B0D">
              <w:rPr>
                <w:szCs w:val="17"/>
              </w:rPr>
              <w:t>13-17</w:t>
            </w:r>
            <w:r w:rsidRPr="00567B0D">
              <w:rPr>
                <w:color w:val="FF0000"/>
                <w:szCs w:val="17"/>
              </w:rPr>
              <w:t xml:space="preserve"> </w:t>
            </w:r>
            <w:r w:rsidRPr="00567B0D">
              <w:rPr>
                <w:szCs w:val="17"/>
              </w:rPr>
              <w:t>McKinna Road, Christie Downs</w:t>
            </w:r>
          </w:p>
        </w:tc>
        <w:tc>
          <w:tcPr>
            <w:tcW w:w="1407" w:type="pct"/>
          </w:tcPr>
          <w:p w14:paraId="55EFC692" w14:textId="77777777" w:rsidR="00567B0D" w:rsidRPr="00567B0D" w:rsidRDefault="00567B0D" w:rsidP="00567B0D">
            <w:pPr>
              <w:spacing w:before="20" w:after="20"/>
              <w:jc w:val="left"/>
              <w:rPr>
                <w:szCs w:val="17"/>
              </w:rPr>
            </w:pPr>
            <w:r w:rsidRPr="00567B0D">
              <w:rPr>
                <w:szCs w:val="17"/>
              </w:rPr>
              <w:t>CT 5097/355</w:t>
            </w:r>
          </w:p>
        </w:tc>
      </w:tr>
      <w:tr w:rsidR="00567B0D" w:rsidRPr="00567B0D" w14:paraId="420F28D0" w14:textId="77777777" w:rsidTr="0012134E">
        <w:tc>
          <w:tcPr>
            <w:tcW w:w="388" w:type="pct"/>
          </w:tcPr>
          <w:p w14:paraId="5AE659BA" w14:textId="77777777" w:rsidR="00567B0D" w:rsidRPr="00567B0D" w:rsidRDefault="00567B0D" w:rsidP="00567B0D">
            <w:pPr>
              <w:spacing w:before="20" w:after="20"/>
              <w:jc w:val="left"/>
              <w:rPr>
                <w:szCs w:val="17"/>
              </w:rPr>
            </w:pPr>
            <w:r w:rsidRPr="00567B0D">
              <w:rPr>
                <w:szCs w:val="17"/>
              </w:rPr>
              <w:t>5</w:t>
            </w:r>
          </w:p>
        </w:tc>
        <w:tc>
          <w:tcPr>
            <w:tcW w:w="1485" w:type="pct"/>
          </w:tcPr>
          <w:p w14:paraId="520D0D5C" w14:textId="77777777" w:rsidR="00567B0D" w:rsidRPr="00567B0D" w:rsidRDefault="00567B0D" w:rsidP="00567B0D">
            <w:pPr>
              <w:spacing w:before="20" w:after="20"/>
              <w:jc w:val="left"/>
              <w:rPr>
                <w:szCs w:val="17"/>
              </w:rPr>
            </w:pPr>
            <w:r w:rsidRPr="00567B0D">
              <w:rPr>
                <w:szCs w:val="17"/>
              </w:rPr>
              <w:t>Base 10 Youth Centre</w:t>
            </w:r>
          </w:p>
        </w:tc>
        <w:tc>
          <w:tcPr>
            <w:tcW w:w="1720" w:type="pct"/>
          </w:tcPr>
          <w:p w14:paraId="59C665A0" w14:textId="77777777" w:rsidR="00567B0D" w:rsidRPr="00567B0D" w:rsidRDefault="00567B0D" w:rsidP="00567B0D">
            <w:pPr>
              <w:spacing w:before="20" w:after="20"/>
              <w:jc w:val="left"/>
              <w:rPr>
                <w:szCs w:val="17"/>
              </w:rPr>
            </w:pPr>
            <w:r w:rsidRPr="00567B0D">
              <w:rPr>
                <w:szCs w:val="17"/>
              </w:rPr>
              <w:t>10-20 Main South Road, Reynella</w:t>
            </w:r>
          </w:p>
        </w:tc>
        <w:tc>
          <w:tcPr>
            <w:tcW w:w="1407" w:type="pct"/>
          </w:tcPr>
          <w:p w14:paraId="2B3597D9" w14:textId="77777777" w:rsidR="00567B0D" w:rsidRPr="00567B0D" w:rsidRDefault="00567B0D" w:rsidP="00567B0D">
            <w:pPr>
              <w:spacing w:before="20" w:after="20"/>
              <w:jc w:val="left"/>
              <w:rPr>
                <w:szCs w:val="17"/>
              </w:rPr>
            </w:pPr>
            <w:r w:rsidRPr="00567B0D">
              <w:rPr>
                <w:szCs w:val="17"/>
              </w:rPr>
              <w:t>CT 6244/275</w:t>
            </w:r>
          </w:p>
        </w:tc>
      </w:tr>
      <w:tr w:rsidR="00567B0D" w:rsidRPr="00567B0D" w14:paraId="70D5DB4A" w14:textId="77777777" w:rsidTr="0012134E">
        <w:tc>
          <w:tcPr>
            <w:tcW w:w="388" w:type="pct"/>
          </w:tcPr>
          <w:p w14:paraId="5A9D8A41" w14:textId="77777777" w:rsidR="00567B0D" w:rsidRPr="00567B0D" w:rsidRDefault="00567B0D" w:rsidP="00567B0D">
            <w:pPr>
              <w:spacing w:before="20" w:after="20"/>
              <w:jc w:val="left"/>
              <w:rPr>
                <w:szCs w:val="17"/>
              </w:rPr>
            </w:pPr>
            <w:r w:rsidRPr="00567B0D">
              <w:rPr>
                <w:szCs w:val="17"/>
              </w:rPr>
              <w:t>6</w:t>
            </w:r>
          </w:p>
        </w:tc>
        <w:tc>
          <w:tcPr>
            <w:tcW w:w="1485" w:type="pct"/>
          </w:tcPr>
          <w:p w14:paraId="68CDBF85" w14:textId="77777777" w:rsidR="00567B0D" w:rsidRPr="00567B0D" w:rsidRDefault="00567B0D" w:rsidP="00567B0D">
            <w:pPr>
              <w:spacing w:before="20" w:after="20"/>
              <w:jc w:val="left"/>
              <w:rPr>
                <w:szCs w:val="17"/>
              </w:rPr>
            </w:pPr>
            <w:r w:rsidRPr="00567B0D">
              <w:rPr>
                <w:szCs w:val="17"/>
              </w:rPr>
              <w:t>Studio 20 Youth Centre</w:t>
            </w:r>
          </w:p>
        </w:tc>
        <w:tc>
          <w:tcPr>
            <w:tcW w:w="1720" w:type="pct"/>
          </w:tcPr>
          <w:p w14:paraId="38393E56" w14:textId="77777777" w:rsidR="00567B0D" w:rsidRPr="00567B0D" w:rsidRDefault="00567B0D" w:rsidP="00567B0D">
            <w:pPr>
              <w:spacing w:before="20" w:after="20"/>
              <w:jc w:val="left"/>
              <w:rPr>
                <w:szCs w:val="17"/>
              </w:rPr>
            </w:pPr>
            <w:r w:rsidRPr="00567B0D">
              <w:rPr>
                <w:szCs w:val="17"/>
              </w:rPr>
              <w:t>Aldinga Central Shopping Centre, Pridham Boulevard, Aldinga Beach</w:t>
            </w:r>
          </w:p>
        </w:tc>
        <w:tc>
          <w:tcPr>
            <w:tcW w:w="1407" w:type="pct"/>
          </w:tcPr>
          <w:p w14:paraId="07194E19" w14:textId="77777777" w:rsidR="00567B0D" w:rsidRPr="00567B0D" w:rsidRDefault="00567B0D" w:rsidP="00567B0D">
            <w:pPr>
              <w:spacing w:before="20" w:after="20"/>
              <w:jc w:val="left"/>
              <w:rPr>
                <w:szCs w:val="17"/>
              </w:rPr>
            </w:pPr>
            <w:r w:rsidRPr="00567B0D">
              <w:rPr>
                <w:szCs w:val="17"/>
              </w:rPr>
              <w:t>CT 6155/170</w:t>
            </w:r>
          </w:p>
        </w:tc>
      </w:tr>
      <w:tr w:rsidR="00567B0D" w:rsidRPr="00567B0D" w14:paraId="3C3674D3" w14:textId="77777777" w:rsidTr="0012134E">
        <w:tc>
          <w:tcPr>
            <w:tcW w:w="388" w:type="pct"/>
          </w:tcPr>
          <w:p w14:paraId="574A874A" w14:textId="77777777" w:rsidR="00567B0D" w:rsidRPr="00567B0D" w:rsidRDefault="00567B0D" w:rsidP="00567B0D">
            <w:pPr>
              <w:spacing w:before="20" w:after="20"/>
              <w:jc w:val="left"/>
              <w:rPr>
                <w:szCs w:val="17"/>
              </w:rPr>
            </w:pPr>
            <w:r w:rsidRPr="00567B0D">
              <w:rPr>
                <w:szCs w:val="17"/>
              </w:rPr>
              <w:t>7</w:t>
            </w:r>
          </w:p>
        </w:tc>
        <w:tc>
          <w:tcPr>
            <w:tcW w:w="1485" w:type="pct"/>
          </w:tcPr>
          <w:p w14:paraId="613500D1" w14:textId="77777777" w:rsidR="00567B0D" w:rsidRPr="00567B0D" w:rsidRDefault="00567B0D" w:rsidP="00567B0D">
            <w:pPr>
              <w:spacing w:before="20" w:after="20"/>
              <w:jc w:val="left"/>
              <w:rPr>
                <w:szCs w:val="17"/>
              </w:rPr>
            </w:pPr>
            <w:r w:rsidRPr="00567B0D">
              <w:rPr>
                <w:szCs w:val="17"/>
              </w:rPr>
              <w:t>Visitor Information Centre</w:t>
            </w:r>
          </w:p>
        </w:tc>
        <w:tc>
          <w:tcPr>
            <w:tcW w:w="1720" w:type="pct"/>
          </w:tcPr>
          <w:p w14:paraId="496D3116" w14:textId="77777777" w:rsidR="00567B0D" w:rsidRPr="00567B0D" w:rsidRDefault="00567B0D" w:rsidP="00567B0D">
            <w:pPr>
              <w:spacing w:before="20" w:after="20"/>
              <w:jc w:val="left"/>
              <w:rPr>
                <w:szCs w:val="17"/>
              </w:rPr>
            </w:pPr>
            <w:r w:rsidRPr="00567B0D">
              <w:rPr>
                <w:szCs w:val="17"/>
              </w:rPr>
              <w:t xml:space="preserve">796 Main Road, </w:t>
            </w:r>
          </w:p>
          <w:p w14:paraId="7D00E6B0" w14:textId="77777777" w:rsidR="00567B0D" w:rsidRPr="00567B0D" w:rsidRDefault="00567B0D" w:rsidP="00567B0D">
            <w:pPr>
              <w:spacing w:before="20" w:after="20"/>
              <w:jc w:val="left"/>
              <w:rPr>
                <w:szCs w:val="17"/>
              </w:rPr>
            </w:pPr>
            <w:r w:rsidRPr="00567B0D">
              <w:rPr>
                <w:szCs w:val="17"/>
              </w:rPr>
              <w:t>McLaren Vale</w:t>
            </w:r>
          </w:p>
        </w:tc>
        <w:tc>
          <w:tcPr>
            <w:tcW w:w="1407" w:type="pct"/>
          </w:tcPr>
          <w:p w14:paraId="269EFC01" w14:textId="77777777" w:rsidR="00567B0D" w:rsidRPr="00567B0D" w:rsidRDefault="00567B0D" w:rsidP="00567B0D">
            <w:pPr>
              <w:spacing w:before="20" w:after="20"/>
              <w:jc w:val="left"/>
              <w:rPr>
                <w:szCs w:val="17"/>
              </w:rPr>
            </w:pPr>
            <w:r w:rsidRPr="00567B0D">
              <w:rPr>
                <w:szCs w:val="17"/>
              </w:rPr>
              <w:t>CT 6088/53</w:t>
            </w:r>
          </w:p>
        </w:tc>
      </w:tr>
      <w:tr w:rsidR="00567B0D" w:rsidRPr="00567B0D" w14:paraId="6D886655" w14:textId="77777777" w:rsidTr="0012134E">
        <w:tc>
          <w:tcPr>
            <w:tcW w:w="388" w:type="pct"/>
          </w:tcPr>
          <w:p w14:paraId="102CA0EA" w14:textId="77777777" w:rsidR="00567B0D" w:rsidRPr="00567B0D" w:rsidRDefault="00567B0D" w:rsidP="00567B0D">
            <w:pPr>
              <w:spacing w:before="20" w:after="20"/>
              <w:jc w:val="left"/>
              <w:rPr>
                <w:szCs w:val="17"/>
              </w:rPr>
            </w:pPr>
            <w:r w:rsidRPr="00567B0D">
              <w:rPr>
                <w:szCs w:val="17"/>
              </w:rPr>
              <w:t>8</w:t>
            </w:r>
          </w:p>
        </w:tc>
        <w:tc>
          <w:tcPr>
            <w:tcW w:w="1485" w:type="pct"/>
          </w:tcPr>
          <w:p w14:paraId="1B25F7D1" w14:textId="77777777" w:rsidR="00567B0D" w:rsidRPr="00567B0D" w:rsidRDefault="00567B0D" w:rsidP="00567B0D">
            <w:pPr>
              <w:spacing w:before="20" w:after="20"/>
              <w:jc w:val="left"/>
              <w:rPr>
                <w:szCs w:val="17"/>
              </w:rPr>
            </w:pPr>
            <w:r w:rsidRPr="00567B0D">
              <w:rPr>
                <w:szCs w:val="17"/>
              </w:rPr>
              <w:t>Art Centre Port Noarlunga</w:t>
            </w:r>
          </w:p>
        </w:tc>
        <w:tc>
          <w:tcPr>
            <w:tcW w:w="1720" w:type="pct"/>
          </w:tcPr>
          <w:p w14:paraId="1AA0D95B" w14:textId="77777777" w:rsidR="00567B0D" w:rsidRPr="00567B0D" w:rsidRDefault="00567B0D" w:rsidP="00567B0D">
            <w:pPr>
              <w:spacing w:before="20" w:after="20"/>
              <w:jc w:val="left"/>
              <w:rPr>
                <w:szCs w:val="17"/>
              </w:rPr>
            </w:pPr>
            <w:r w:rsidRPr="00567B0D">
              <w:rPr>
                <w:szCs w:val="17"/>
              </w:rPr>
              <w:t>22 Gawler Street, Port Noarlunga</w:t>
            </w:r>
          </w:p>
        </w:tc>
        <w:tc>
          <w:tcPr>
            <w:tcW w:w="1407" w:type="pct"/>
          </w:tcPr>
          <w:p w14:paraId="27BF3607" w14:textId="77777777" w:rsidR="00567B0D" w:rsidRPr="00567B0D" w:rsidRDefault="00567B0D" w:rsidP="00567B0D">
            <w:pPr>
              <w:spacing w:before="20" w:after="20"/>
              <w:jc w:val="left"/>
              <w:rPr>
                <w:szCs w:val="17"/>
              </w:rPr>
            </w:pPr>
            <w:r w:rsidRPr="00567B0D">
              <w:rPr>
                <w:szCs w:val="17"/>
              </w:rPr>
              <w:t>CT 5775/672</w:t>
            </w:r>
          </w:p>
        </w:tc>
      </w:tr>
      <w:tr w:rsidR="00567B0D" w:rsidRPr="00567B0D" w14:paraId="63C16F65" w14:textId="77777777" w:rsidTr="0012134E">
        <w:tc>
          <w:tcPr>
            <w:tcW w:w="388" w:type="pct"/>
          </w:tcPr>
          <w:p w14:paraId="24CAC923" w14:textId="77777777" w:rsidR="00567B0D" w:rsidRPr="00567B0D" w:rsidRDefault="00567B0D" w:rsidP="00567B0D">
            <w:pPr>
              <w:spacing w:before="20" w:after="20"/>
              <w:jc w:val="left"/>
              <w:rPr>
                <w:szCs w:val="17"/>
              </w:rPr>
            </w:pPr>
            <w:r w:rsidRPr="00567B0D">
              <w:rPr>
                <w:szCs w:val="17"/>
              </w:rPr>
              <w:t>9</w:t>
            </w:r>
          </w:p>
        </w:tc>
        <w:tc>
          <w:tcPr>
            <w:tcW w:w="1485" w:type="pct"/>
          </w:tcPr>
          <w:p w14:paraId="1292F9BE" w14:textId="77777777" w:rsidR="00567B0D" w:rsidRPr="00567B0D" w:rsidRDefault="00567B0D" w:rsidP="00567B0D">
            <w:pPr>
              <w:spacing w:before="20" w:after="20"/>
              <w:jc w:val="left"/>
              <w:rPr>
                <w:szCs w:val="17"/>
              </w:rPr>
            </w:pPr>
            <w:r w:rsidRPr="00567B0D">
              <w:rPr>
                <w:szCs w:val="17"/>
              </w:rPr>
              <w:t>Sauerbier House Cultural Exchange</w:t>
            </w:r>
          </w:p>
        </w:tc>
        <w:tc>
          <w:tcPr>
            <w:tcW w:w="1720" w:type="pct"/>
          </w:tcPr>
          <w:p w14:paraId="2B83A014" w14:textId="77777777" w:rsidR="00567B0D" w:rsidRPr="00567B0D" w:rsidRDefault="00567B0D" w:rsidP="00567B0D">
            <w:pPr>
              <w:spacing w:before="20" w:after="20"/>
              <w:jc w:val="left"/>
              <w:rPr>
                <w:szCs w:val="17"/>
              </w:rPr>
            </w:pPr>
            <w:r w:rsidRPr="00567B0D">
              <w:rPr>
                <w:szCs w:val="17"/>
              </w:rPr>
              <w:t>21 Wearing Street,</w:t>
            </w:r>
          </w:p>
          <w:p w14:paraId="73A0DFA0" w14:textId="77777777" w:rsidR="00567B0D" w:rsidRPr="00567B0D" w:rsidRDefault="00567B0D" w:rsidP="00567B0D">
            <w:pPr>
              <w:spacing w:before="20" w:after="20"/>
              <w:jc w:val="left"/>
              <w:rPr>
                <w:szCs w:val="17"/>
              </w:rPr>
            </w:pPr>
            <w:r w:rsidRPr="00567B0D">
              <w:rPr>
                <w:szCs w:val="17"/>
              </w:rPr>
              <w:t>Port Noarlunga</w:t>
            </w:r>
          </w:p>
        </w:tc>
        <w:tc>
          <w:tcPr>
            <w:tcW w:w="1407" w:type="pct"/>
          </w:tcPr>
          <w:p w14:paraId="7DAFFE73" w14:textId="77777777" w:rsidR="00567B0D" w:rsidRPr="00567B0D" w:rsidRDefault="00567B0D" w:rsidP="00567B0D">
            <w:pPr>
              <w:spacing w:before="20" w:after="20"/>
              <w:jc w:val="left"/>
              <w:rPr>
                <w:szCs w:val="17"/>
              </w:rPr>
            </w:pPr>
            <w:r w:rsidRPr="00567B0D">
              <w:rPr>
                <w:szCs w:val="17"/>
              </w:rPr>
              <w:t>CT 5321/746</w:t>
            </w:r>
          </w:p>
        </w:tc>
      </w:tr>
      <w:tr w:rsidR="00567B0D" w:rsidRPr="00567B0D" w14:paraId="3B07C65C" w14:textId="77777777" w:rsidTr="0012134E">
        <w:tc>
          <w:tcPr>
            <w:tcW w:w="388" w:type="pct"/>
          </w:tcPr>
          <w:p w14:paraId="0EDB6C02" w14:textId="77777777" w:rsidR="00567B0D" w:rsidRPr="00567B0D" w:rsidRDefault="00567B0D" w:rsidP="00567B0D">
            <w:pPr>
              <w:spacing w:before="20" w:after="20"/>
              <w:jc w:val="left"/>
              <w:rPr>
                <w:szCs w:val="17"/>
              </w:rPr>
            </w:pPr>
            <w:r w:rsidRPr="00567B0D">
              <w:rPr>
                <w:szCs w:val="17"/>
              </w:rPr>
              <w:t>10</w:t>
            </w:r>
          </w:p>
        </w:tc>
        <w:tc>
          <w:tcPr>
            <w:tcW w:w="1485" w:type="pct"/>
          </w:tcPr>
          <w:p w14:paraId="12CB34F0" w14:textId="77777777" w:rsidR="00567B0D" w:rsidRPr="00567B0D" w:rsidRDefault="00567B0D" w:rsidP="00567B0D">
            <w:pPr>
              <w:spacing w:before="20" w:after="20"/>
              <w:jc w:val="left"/>
              <w:rPr>
                <w:szCs w:val="17"/>
              </w:rPr>
            </w:pPr>
            <w:r w:rsidRPr="00567B0D">
              <w:rPr>
                <w:szCs w:val="17"/>
              </w:rPr>
              <w:t>Morphett Vale Community Centre</w:t>
            </w:r>
          </w:p>
        </w:tc>
        <w:tc>
          <w:tcPr>
            <w:tcW w:w="1720" w:type="pct"/>
          </w:tcPr>
          <w:p w14:paraId="18BA951C" w14:textId="77777777" w:rsidR="00567B0D" w:rsidRPr="00567B0D" w:rsidRDefault="00567B0D" w:rsidP="00567B0D">
            <w:pPr>
              <w:spacing w:before="20" w:after="20"/>
              <w:jc w:val="left"/>
              <w:rPr>
                <w:szCs w:val="17"/>
              </w:rPr>
            </w:pPr>
            <w:r w:rsidRPr="00567B0D">
              <w:rPr>
                <w:szCs w:val="17"/>
              </w:rPr>
              <w:t>9 William Street,</w:t>
            </w:r>
          </w:p>
          <w:p w14:paraId="48F7164F" w14:textId="77777777" w:rsidR="00567B0D" w:rsidRPr="00567B0D" w:rsidRDefault="00567B0D" w:rsidP="00567B0D">
            <w:pPr>
              <w:spacing w:before="20" w:after="20"/>
              <w:jc w:val="left"/>
              <w:rPr>
                <w:szCs w:val="17"/>
              </w:rPr>
            </w:pPr>
            <w:r w:rsidRPr="00567B0D">
              <w:rPr>
                <w:szCs w:val="17"/>
              </w:rPr>
              <w:t>Morphett Vale</w:t>
            </w:r>
          </w:p>
        </w:tc>
        <w:tc>
          <w:tcPr>
            <w:tcW w:w="1407" w:type="pct"/>
          </w:tcPr>
          <w:p w14:paraId="4A1FA4F2" w14:textId="77777777" w:rsidR="00567B0D" w:rsidRPr="00567B0D" w:rsidRDefault="00567B0D" w:rsidP="00567B0D">
            <w:pPr>
              <w:spacing w:before="20" w:after="20"/>
              <w:jc w:val="left"/>
              <w:rPr>
                <w:szCs w:val="17"/>
              </w:rPr>
            </w:pPr>
            <w:r w:rsidRPr="00567B0D">
              <w:rPr>
                <w:szCs w:val="17"/>
              </w:rPr>
              <w:t>CT 6099/637</w:t>
            </w:r>
          </w:p>
        </w:tc>
      </w:tr>
      <w:tr w:rsidR="00567B0D" w:rsidRPr="00567B0D" w14:paraId="0C8F9E93" w14:textId="77777777" w:rsidTr="0012134E">
        <w:tc>
          <w:tcPr>
            <w:tcW w:w="388" w:type="pct"/>
          </w:tcPr>
          <w:p w14:paraId="34518739" w14:textId="77777777" w:rsidR="00567B0D" w:rsidRPr="00567B0D" w:rsidRDefault="00567B0D" w:rsidP="00567B0D">
            <w:pPr>
              <w:spacing w:before="20" w:after="20"/>
              <w:jc w:val="left"/>
              <w:rPr>
                <w:szCs w:val="17"/>
              </w:rPr>
            </w:pPr>
            <w:r w:rsidRPr="00567B0D">
              <w:rPr>
                <w:szCs w:val="17"/>
              </w:rPr>
              <w:t>11</w:t>
            </w:r>
          </w:p>
        </w:tc>
        <w:tc>
          <w:tcPr>
            <w:tcW w:w="1485" w:type="pct"/>
          </w:tcPr>
          <w:p w14:paraId="36BD5A58" w14:textId="77777777" w:rsidR="00567B0D" w:rsidRPr="00567B0D" w:rsidRDefault="00567B0D" w:rsidP="00567B0D">
            <w:pPr>
              <w:spacing w:before="20" w:after="20"/>
              <w:jc w:val="left"/>
              <w:rPr>
                <w:szCs w:val="17"/>
              </w:rPr>
            </w:pPr>
            <w:r w:rsidRPr="00567B0D">
              <w:rPr>
                <w:szCs w:val="17"/>
              </w:rPr>
              <w:t>Byards Community Centre</w:t>
            </w:r>
          </w:p>
        </w:tc>
        <w:tc>
          <w:tcPr>
            <w:tcW w:w="1720" w:type="pct"/>
          </w:tcPr>
          <w:p w14:paraId="193FA422" w14:textId="77777777" w:rsidR="00567B0D" w:rsidRPr="00567B0D" w:rsidRDefault="00567B0D" w:rsidP="00567B0D">
            <w:pPr>
              <w:spacing w:before="20" w:after="20"/>
              <w:jc w:val="left"/>
              <w:rPr>
                <w:szCs w:val="17"/>
              </w:rPr>
            </w:pPr>
            <w:r w:rsidRPr="00567B0D">
              <w:rPr>
                <w:szCs w:val="17"/>
              </w:rPr>
              <w:t>Lot 170 Byards Road,</w:t>
            </w:r>
          </w:p>
          <w:p w14:paraId="39886EBD" w14:textId="77777777" w:rsidR="00567B0D" w:rsidRPr="00567B0D" w:rsidRDefault="00567B0D" w:rsidP="00567B0D">
            <w:pPr>
              <w:spacing w:before="20" w:after="20"/>
              <w:jc w:val="left"/>
              <w:rPr>
                <w:szCs w:val="17"/>
              </w:rPr>
            </w:pPr>
            <w:r w:rsidRPr="00567B0D">
              <w:rPr>
                <w:szCs w:val="17"/>
              </w:rPr>
              <w:t>Happy Valley</w:t>
            </w:r>
          </w:p>
        </w:tc>
        <w:tc>
          <w:tcPr>
            <w:tcW w:w="1407" w:type="pct"/>
          </w:tcPr>
          <w:p w14:paraId="420D1FF4" w14:textId="77777777" w:rsidR="00567B0D" w:rsidRPr="00567B0D" w:rsidRDefault="00567B0D" w:rsidP="00567B0D">
            <w:pPr>
              <w:spacing w:before="20" w:after="20"/>
              <w:jc w:val="left"/>
              <w:rPr>
                <w:szCs w:val="17"/>
              </w:rPr>
            </w:pPr>
            <w:r w:rsidRPr="00567B0D">
              <w:rPr>
                <w:szCs w:val="17"/>
              </w:rPr>
              <w:t>CT 5608/724</w:t>
            </w:r>
          </w:p>
        </w:tc>
      </w:tr>
      <w:tr w:rsidR="00567B0D" w:rsidRPr="00567B0D" w14:paraId="3B6EB547" w14:textId="77777777" w:rsidTr="0012134E">
        <w:tc>
          <w:tcPr>
            <w:tcW w:w="388" w:type="pct"/>
          </w:tcPr>
          <w:p w14:paraId="7CC31317" w14:textId="77777777" w:rsidR="00567B0D" w:rsidRPr="00567B0D" w:rsidRDefault="00567B0D" w:rsidP="00567B0D">
            <w:pPr>
              <w:spacing w:before="20" w:after="20"/>
              <w:jc w:val="left"/>
              <w:rPr>
                <w:szCs w:val="17"/>
              </w:rPr>
            </w:pPr>
            <w:r w:rsidRPr="00567B0D">
              <w:rPr>
                <w:szCs w:val="17"/>
              </w:rPr>
              <w:t>12</w:t>
            </w:r>
          </w:p>
        </w:tc>
        <w:tc>
          <w:tcPr>
            <w:tcW w:w="1485" w:type="pct"/>
          </w:tcPr>
          <w:p w14:paraId="62C04134" w14:textId="77777777" w:rsidR="00567B0D" w:rsidRPr="00567B0D" w:rsidRDefault="00567B0D" w:rsidP="00567B0D">
            <w:pPr>
              <w:spacing w:before="20" w:after="20"/>
              <w:jc w:val="left"/>
              <w:rPr>
                <w:szCs w:val="17"/>
              </w:rPr>
            </w:pPr>
            <w:r w:rsidRPr="00567B0D">
              <w:rPr>
                <w:szCs w:val="17"/>
              </w:rPr>
              <w:t>Sellicks Beach Community Hall</w:t>
            </w:r>
          </w:p>
        </w:tc>
        <w:tc>
          <w:tcPr>
            <w:tcW w:w="1720" w:type="pct"/>
          </w:tcPr>
          <w:p w14:paraId="04925ECE" w14:textId="77777777" w:rsidR="00567B0D" w:rsidRPr="00567B0D" w:rsidRDefault="00567B0D" w:rsidP="00567B0D">
            <w:pPr>
              <w:spacing w:before="20" w:after="20"/>
              <w:jc w:val="left"/>
              <w:rPr>
                <w:szCs w:val="17"/>
              </w:rPr>
            </w:pPr>
            <w:r w:rsidRPr="00567B0D">
              <w:rPr>
                <w:szCs w:val="17"/>
              </w:rPr>
              <w:t>Lot 148 Riviera Road, Sellicks Beach</w:t>
            </w:r>
          </w:p>
        </w:tc>
        <w:tc>
          <w:tcPr>
            <w:tcW w:w="1407" w:type="pct"/>
          </w:tcPr>
          <w:p w14:paraId="7E4BC26C" w14:textId="77777777" w:rsidR="00567B0D" w:rsidRPr="00567B0D" w:rsidRDefault="00567B0D" w:rsidP="00567B0D">
            <w:pPr>
              <w:spacing w:before="20" w:after="20"/>
              <w:jc w:val="left"/>
              <w:rPr>
                <w:szCs w:val="17"/>
              </w:rPr>
            </w:pPr>
            <w:r w:rsidRPr="00567B0D">
              <w:rPr>
                <w:szCs w:val="17"/>
              </w:rPr>
              <w:t>CT 2810/81</w:t>
            </w:r>
          </w:p>
        </w:tc>
      </w:tr>
      <w:tr w:rsidR="00567B0D" w:rsidRPr="00567B0D" w14:paraId="69B16F7E" w14:textId="77777777" w:rsidTr="0012134E">
        <w:tc>
          <w:tcPr>
            <w:tcW w:w="388" w:type="pct"/>
          </w:tcPr>
          <w:p w14:paraId="212D2B01" w14:textId="77777777" w:rsidR="00567B0D" w:rsidRPr="00567B0D" w:rsidRDefault="00567B0D" w:rsidP="00567B0D">
            <w:pPr>
              <w:spacing w:before="20" w:after="20"/>
              <w:jc w:val="left"/>
              <w:rPr>
                <w:szCs w:val="17"/>
              </w:rPr>
            </w:pPr>
            <w:r w:rsidRPr="00567B0D">
              <w:rPr>
                <w:szCs w:val="17"/>
              </w:rPr>
              <w:t>13</w:t>
            </w:r>
          </w:p>
        </w:tc>
        <w:tc>
          <w:tcPr>
            <w:tcW w:w="1485" w:type="pct"/>
          </w:tcPr>
          <w:p w14:paraId="5CD78068" w14:textId="77777777" w:rsidR="00567B0D" w:rsidRPr="00567B0D" w:rsidRDefault="00567B0D" w:rsidP="00567B0D">
            <w:pPr>
              <w:spacing w:before="20" w:after="20"/>
              <w:jc w:val="left"/>
              <w:rPr>
                <w:szCs w:val="17"/>
              </w:rPr>
            </w:pPr>
            <w:r w:rsidRPr="00567B0D">
              <w:rPr>
                <w:szCs w:val="17"/>
              </w:rPr>
              <w:t>Karawatha Community Centre</w:t>
            </w:r>
          </w:p>
        </w:tc>
        <w:tc>
          <w:tcPr>
            <w:tcW w:w="1720" w:type="pct"/>
          </w:tcPr>
          <w:p w14:paraId="5265F4B7" w14:textId="77777777" w:rsidR="00567B0D" w:rsidRPr="00567B0D" w:rsidRDefault="00567B0D" w:rsidP="00567B0D">
            <w:pPr>
              <w:spacing w:before="20" w:after="20"/>
              <w:jc w:val="left"/>
              <w:rPr>
                <w:szCs w:val="17"/>
              </w:rPr>
            </w:pPr>
            <w:r w:rsidRPr="00567B0D">
              <w:rPr>
                <w:szCs w:val="17"/>
              </w:rPr>
              <w:t>12 Baden Terrace,</w:t>
            </w:r>
          </w:p>
          <w:p w14:paraId="2C69EFA4" w14:textId="77777777" w:rsidR="00567B0D" w:rsidRPr="00567B0D" w:rsidRDefault="00567B0D" w:rsidP="00567B0D">
            <w:pPr>
              <w:spacing w:before="20" w:after="20"/>
              <w:jc w:val="left"/>
              <w:rPr>
                <w:szCs w:val="17"/>
              </w:rPr>
            </w:pPr>
            <w:r w:rsidRPr="00567B0D">
              <w:rPr>
                <w:szCs w:val="17"/>
              </w:rPr>
              <w:t>O’Sullivan Beach</w:t>
            </w:r>
          </w:p>
        </w:tc>
        <w:tc>
          <w:tcPr>
            <w:tcW w:w="1407" w:type="pct"/>
          </w:tcPr>
          <w:p w14:paraId="771B3447" w14:textId="77777777" w:rsidR="00567B0D" w:rsidRPr="00567B0D" w:rsidRDefault="00567B0D" w:rsidP="00567B0D">
            <w:pPr>
              <w:spacing w:before="20" w:after="20"/>
              <w:jc w:val="left"/>
              <w:rPr>
                <w:szCs w:val="17"/>
              </w:rPr>
            </w:pPr>
            <w:r w:rsidRPr="00567B0D">
              <w:rPr>
                <w:szCs w:val="17"/>
              </w:rPr>
              <w:t>CT 5584/59</w:t>
            </w:r>
          </w:p>
        </w:tc>
      </w:tr>
      <w:tr w:rsidR="00567B0D" w:rsidRPr="00567B0D" w14:paraId="4EEB5767" w14:textId="77777777" w:rsidTr="0012134E">
        <w:tc>
          <w:tcPr>
            <w:tcW w:w="388" w:type="pct"/>
          </w:tcPr>
          <w:p w14:paraId="570F1D99" w14:textId="77777777" w:rsidR="00567B0D" w:rsidRPr="00567B0D" w:rsidRDefault="00567B0D" w:rsidP="00567B0D">
            <w:pPr>
              <w:spacing w:before="20" w:after="20"/>
              <w:jc w:val="left"/>
              <w:rPr>
                <w:szCs w:val="17"/>
              </w:rPr>
            </w:pPr>
            <w:r w:rsidRPr="00567B0D">
              <w:rPr>
                <w:szCs w:val="17"/>
              </w:rPr>
              <w:t>14</w:t>
            </w:r>
          </w:p>
        </w:tc>
        <w:tc>
          <w:tcPr>
            <w:tcW w:w="1485" w:type="pct"/>
          </w:tcPr>
          <w:p w14:paraId="79EF54D7" w14:textId="77777777" w:rsidR="00567B0D" w:rsidRPr="00567B0D" w:rsidRDefault="00567B0D" w:rsidP="00567B0D">
            <w:pPr>
              <w:spacing w:before="20" w:after="20"/>
              <w:jc w:val="left"/>
              <w:rPr>
                <w:szCs w:val="17"/>
              </w:rPr>
            </w:pPr>
            <w:r w:rsidRPr="00567B0D">
              <w:rPr>
                <w:szCs w:val="17"/>
              </w:rPr>
              <w:t>Aldinga Community Centre</w:t>
            </w:r>
          </w:p>
        </w:tc>
        <w:tc>
          <w:tcPr>
            <w:tcW w:w="1720" w:type="pct"/>
          </w:tcPr>
          <w:p w14:paraId="6D96A946" w14:textId="77777777" w:rsidR="00567B0D" w:rsidRPr="00567B0D" w:rsidRDefault="00567B0D" w:rsidP="00567B0D">
            <w:pPr>
              <w:spacing w:before="20" w:after="20"/>
              <w:jc w:val="left"/>
              <w:rPr>
                <w:szCs w:val="17"/>
              </w:rPr>
            </w:pPr>
            <w:r w:rsidRPr="00567B0D">
              <w:rPr>
                <w:szCs w:val="17"/>
              </w:rPr>
              <w:t>7 Stewart Avenue,</w:t>
            </w:r>
          </w:p>
          <w:p w14:paraId="47E8D54B" w14:textId="77777777" w:rsidR="00567B0D" w:rsidRPr="00567B0D" w:rsidRDefault="00567B0D" w:rsidP="00567B0D">
            <w:pPr>
              <w:spacing w:before="20" w:after="20"/>
              <w:jc w:val="left"/>
              <w:rPr>
                <w:szCs w:val="17"/>
              </w:rPr>
            </w:pPr>
            <w:r w:rsidRPr="00567B0D">
              <w:rPr>
                <w:szCs w:val="17"/>
              </w:rPr>
              <w:t>Aldinga Beach</w:t>
            </w:r>
          </w:p>
        </w:tc>
        <w:tc>
          <w:tcPr>
            <w:tcW w:w="1407" w:type="pct"/>
          </w:tcPr>
          <w:p w14:paraId="4A4B899E" w14:textId="77777777" w:rsidR="00567B0D" w:rsidRPr="00567B0D" w:rsidRDefault="00567B0D" w:rsidP="00567B0D">
            <w:pPr>
              <w:spacing w:before="20" w:after="20"/>
              <w:jc w:val="left"/>
              <w:rPr>
                <w:szCs w:val="17"/>
              </w:rPr>
            </w:pPr>
            <w:r w:rsidRPr="00567B0D">
              <w:rPr>
                <w:szCs w:val="17"/>
              </w:rPr>
              <w:t>CT 5714/688</w:t>
            </w:r>
          </w:p>
        </w:tc>
      </w:tr>
      <w:tr w:rsidR="00567B0D" w:rsidRPr="00567B0D" w14:paraId="6983E14A" w14:textId="77777777" w:rsidTr="0012134E">
        <w:tc>
          <w:tcPr>
            <w:tcW w:w="388" w:type="pct"/>
          </w:tcPr>
          <w:p w14:paraId="3584DE90" w14:textId="77777777" w:rsidR="00567B0D" w:rsidRPr="00567B0D" w:rsidRDefault="00567B0D" w:rsidP="00567B0D">
            <w:pPr>
              <w:spacing w:before="20" w:after="20"/>
              <w:jc w:val="left"/>
              <w:rPr>
                <w:szCs w:val="17"/>
              </w:rPr>
            </w:pPr>
            <w:r w:rsidRPr="00567B0D">
              <w:rPr>
                <w:szCs w:val="17"/>
              </w:rPr>
              <w:t>15</w:t>
            </w:r>
          </w:p>
        </w:tc>
        <w:tc>
          <w:tcPr>
            <w:tcW w:w="1485" w:type="pct"/>
          </w:tcPr>
          <w:p w14:paraId="455B137A" w14:textId="77777777" w:rsidR="00567B0D" w:rsidRPr="00567B0D" w:rsidRDefault="00567B0D" w:rsidP="00567B0D">
            <w:pPr>
              <w:spacing w:before="20" w:after="20"/>
              <w:jc w:val="left"/>
              <w:rPr>
                <w:szCs w:val="17"/>
              </w:rPr>
            </w:pPr>
            <w:r w:rsidRPr="00567B0D">
              <w:rPr>
                <w:szCs w:val="17"/>
              </w:rPr>
              <w:t>Hasting Street Centre</w:t>
            </w:r>
          </w:p>
        </w:tc>
        <w:tc>
          <w:tcPr>
            <w:tcW w:w="1720" w:type="pct"/>
          </w:tcPr>
          <w:p w14:paraId="52070F01" w14:textId="77777777" w:rsidR="00567B0D" w:rsidRPr="00567B0D" w:rsidRDefault="00567B0D" w:rsidP="00567B0D">
            <w:pPr>
              <w:spacing w:before="20" w:after="20"/>
              <w:jc w:val="left"/>
              <w:rPr>
                <w:szCs w:val="17"/>
              </w:rPr>
            </w:pPr>
            <w:r w:rsidRPr="00567B0D">
              <w:rPr>
                <w:szCs w:val="17"/>
              </w:rPr>
              <w:t>2 Tongalla Street,</w:t>
            </w:r>
          </w:p>
          <w:p w14:paraId="73D7717A" w14:textId="77777777" w:rsidR="00567B0D" w:rsidRPr="00567B0D" w:rsidRDefault="00567B0D" w:rsidP="00567B0D">
            <w:pPr>
              <w:spacing w:before="20" w:after="20"/>
              <w:jc w:val="left"/>
              <w:rPr>
                <w:szCs w:val="17"/>
              </w:rPr>
            </w:pPr>
            <w:r w:rsidRPr="00567B0D">
              <w:rPr>
                <w:szCs w:val="17"/>
              </w:rPr>
              <w:t>Seaford</w:t>
            </w:r>
          </w:p>
        </w:tc>
        <w:tc>
          <w:tcPr>
            <w:tcW w:w="1407" w:type="pct"/>
          </w:tcPr>
          <w:p w14:paraId="2B29468A" w14:textId="77777777" w:rsidR="00567B0D" w:rsidRPr="00567B0D" w:rsidRDefault="00567B0D" w:rsidP="00567B0D">
            <w:pPr>
              <w:spacing w:before="20" w:after="20"/>
              <w:jc w:val="left"/>
              <w:rPr>
                <w:szCs w:val="17"/>
              </w:rPr>
            </w:pPr>
            <w:r w:rsidRPr="00567B0D">
              <w:rPr>
                <w:szCs w:val="17"/>
              </w:rPr>
              <w:t>CT 3507/177</w:t>
            </w:r>
          </w:p>
        </w:tc>
      </w:tr>
      <w:tr w:rsidR="00567B0D" w:rsidRPr="00567B0D" w14:paraId="4F276659" w14:textId="77777777" w:rsidTr="0012134E">
        <w:tc>
          <w:tcPr>
            <w:tcW w:w="388" w:type="pct"/>
          </w:tcPr>
          <w:p w14:paraId="0366C6D4" w14:textId="77777777" w:rsidR="00567B0D" w:rsidRPr="00567B0D" w:rsidRDefault="00567B0D" w:rsidP="00567B0D">
            <w:pPr>
              <w:spacing w:before="20" w:after="20"/>
              <w:jc w:val="left"/>
              <w:rPr>
                <w:szCs w:val="17"/>
              </w:rPr>
            </w:pPr>
            <w:r w:rsidRPr="00567B0D">
              <w:rPr>
                <w:szCs w:val="17"/>
              </w:rPr>
              <w:t>16</w:t>
            </w:r>
          </w:p>
        </w:tc>
        <w:tc>
          <w:tcPr>
            <w:tcW w:w="1485" w:type="pct"/>
          </w:tcPr>
          <w:p w14:paraId="18E6588F" w14:textId="77777777" w:rsidR="00567B0D" w:rsidRPr="00567B0D" w:rsidRDefault="00567B0D" w:rsidP="00567B0D">
            <w:pPr>
              <w:spacing w:before="20" w:after="20"/>
              <w:jc w:val="left"/>
              <w:rPr>
                <w:szCs w:val="17"/>
              </w:rPr>
            </w:pPr>
            <w:r w:rsidRPr="00567B0D">
              <w:rPr>
                <w:szCs w:val="17"/>
              </w:rPr>
              <w:t>Seaford Community Centre</w:t>
            </w:r>
          </w:p>
        </w:tc>
        <w:tc>
          <w:tcPr>
            <w:tcW w:w="1720" w:type="pct"/>
          </w:tcPr>
          <w:p w14:paraId="57E01980" w14:textId="77777777" w:rsidR="00567B0D" w:rsidRPr="00567B0D" w:rsidRDefault="00567B0D" w:rsidP="00567B0D">
            <w:pPr>
              <w:spacing w:before="20" w:after="20"/>
              <w:jc w:val="left"/>
              <w:rPr>
                <w:szCs w:val="17"/>
              </w:rPr>
            </w:pPr>
            <w:r w:rsidRPr="00567B0D">
              <w:rPr>
                <w:szCs w:val="17"/>
              </w:rPr>
              <w:t>52 Beechwood Grove, Seaford</w:t>
            </w:r>
          </w:p>
        </w:tc>
        <w:tc>
          <w:tcPr>
            <w:tcW w:w="1407" w:type="pct"/>
          </w:tcPr>
          <w:p w14:paraId="4B3F1C24" w14:textId="77777777" w:rsidR="00567B0D" w:rsidRPr="00567B0D" w:rsidRDefault="00567B0D" w:rsidP="00567B0D">
            <w:pPr>
              <w:spacing w:before="20" w:after="20"/>
              <w:jc w:val="left"/>
              <w:rPr>
                <w:szCs w:val="17"/>
              </w:rPr>
            </w:pPr>
            <w:r w:rsidRPr="00567B0D">
              <w:rPr>
                <w:szCs w:val="17"/>
              </w:rPr>
              <w:t>CT 6156/984</w:t>
            </w:r>
          </w:p>
        </w:tc>
      </w:tr>
      <w:tr w:rsidR="00567B0D" w:rsidRPr="00567B0D" w14:paraId="69B09FC5" w14:textId="77777777" w:rsidTr="0012134E">
        <w:tc>
          <w:tcPr>
            <w:tcW w:w="388" w:type="pct"/>
          </w:tcPr>
          <w:p w14:paraId="358E32EF" w14:textId="77777777" w:rsidR="00567B0D" w:rsidRPr="00567B0D" w:rsidRDefault="00567B0D" w:rsidP="00567B0D">
            <w:pPr>
              <w:spacing w:before="20" w:after="20"/>
              <w:jc w:val="left"/>
              <w:rPr>
                <w:szCs w:val="17"/>
              </w:rPr>
            </w:pPr>
            <w:r w:rsidRPr="00567B0D">
              <w:rPr>
                <w:szCs w:val="17"/>
              </w:rPr>
              <w:t>17</w:t>
            </w:r>
          </w:p>
        </w:tc>
        <w:tc>
          <w:tcPr>
            <w:tcW w:w="1485" w:type="pct"/>
          </w:tcPr>
          <w:p w14:paraId="2B44C30F" w14:textId="77777777" w:rsidR="00567B0D" w:rsidRPr="00567B0D" w:rsidRDefault="00567B0D" w:rsidP="00567B0D">
            <w:pPr>
              <w:spacing w:before="20" w:after="20"/>
              <w:jc w:val="left"/>
              <w:rPr>
                <w:szCs w:val="17"/>
              </w:rPr>
            </w:pPr>
            <w:r w:rsidRPr="00567B0D">
              <w:rPr>
                <w:szCs w:val="17"/>
              </w:rPr>
              <w:t>Aberfoyle Community Centre</w:t>
            </w:r>
          </w:p>
        </w:tc>
        <w:tc>
          <w:tcPr>
            <w:tcW w:w="1720" w:type="pct"/>
          </w:tcPr>
          <w:p w14:paraId="07FBCDD3" w14:textId="77777777" w:rsidR="00567B0D" w:rsidRPr="00567B0D" w:rsidRDefault="00567B0D" w:rsidP="00567B0D">
            <w:pPr>
              <w:spacing w:before="20" w:after="20"/>
              <w:jc w:val="left"/>
              <w:rPr>
                <w:szCs w:val="17"/>
              </w:rPr>
            </w:pPr>
            <w:r w:rsidRPr="00567B0D">
              <w:rPr>
                <w:szCs w:val="17"/>
              </w:rPr>
              <w:t>1Jessica Street,</w:t>
            </w:r>
          </w:p>
          <w:p w14:paraId="6213D40B" w14:textId="77777777" w:rsidR="00567B0D" w:rsidRPr="00567B0D" w:rsidRDefault="00567B0D" w:rsidP="00567B0D">
            <w:pPr>
              <w:spacing w:before="20" w:after="20"/>
              <w:jc w:val="left"/>
              <w:rPr>
                <w:szCs w:val="17"/>
              </w:rPr>
            </w:pPr>
            <w:r w:rsidRPr="00567B0D">
              <w:rPr>
                <w:szCs w:val="17"/>
              </w:rPr>
              <w:t>Aberfoyle Park</w:t>
            </w:r>
          </w:p>
        </w:tc>
        <w:tc>
          <w:tcPr>
            <w:tcW w:w="1407" w:type="pct"/>
          </w:tcPr>
          <w:p w14:paraId="2DBA9346" w14:textId="77777777" w:rsidR="00567B0D" w:rsidRPr="00567B0D" w:rsidRDefault="00567B0D" w:rsidP="00567B0D">
            <w:pPr>
              <w:spacing w:before="20" w:after="20"/>
              <w:jc w:val="left"/>
              <w:rPr>
                <w:szCs w:val="17"/>
              </w:rPr>
            </w:pPr>
            <w:r w:rsidRPr="00567B0D">
              <w:rPr>
                <w:szCs w:val="17"/>
              </w:rPr>
              <w:t>CT 5607/572</w:t>
            </w:r>
          </w:p>
        </w:tc>
      </w:tr>
      <w:tr w:rsidR="00567B0D" w:rsidRPr="00567B0D" w14:paraId="40892E1F" w14:textId="77777777" w:rsidTr="0012134E">
        <w:tc>
          <w:tcPr>
            <w:tcW w:w="388" w:type="pct"/>
          </w:tcPr>
          <w:p w14:paraId="37EE4360" w14:textId="77777777" w:rsidR="00567B0D" w:rsidRPr="00567B0D" w:rsidRDefault="00567B0D" w:rsidP="00567B0D">
            <w:pPr>
              <w:spacing w:before="20" w:after="20"/>
              <w:jc w:val="left"/>
              <w:rPr>
                <w:szCs w:val="17"/>
              </w:rPr>
            </w:pPr>
            <w:r w:rsidRPr="00567B0D">
              <w:rPr>
                <w:szCs w:val="17"/>
              </w:rPr>
              <w:t>18</w:t>
            </w:r>
          </w:p>
        </w:tc>
        <w:tc>
          <w:tcPr>
            <w:tcW w:w="1485" w:type="pct"/>
          </w:tcPr>
          <w:p w14:paraId="4A9B888D" w14:textId="77777777" w:rsidR="00567B0D" w:rsidRPr="00567B0D" w:rsidRDefault="00567B0D" w:rsidP="00567B0D">
            <w:pPr>
              <w:spacing w:before="20" w:after="20"/>
              <w:jc w:val="left"/>
              <w:rPr>
                <w:szCs w:val="17"/>
              </w:rPr>
            </w:pPr>
            <w:r w:rsidRPr="00567B0D">
              <w:rPr>
                <w:szCs w:val="17"/>
              </w:rPr>
              <w:t>Neporendi Aboriginal Community Centre</w:t>
            </w:r>
          </w:p>
        </w:tc>
        <w:tc>
          <w:tcPr>
            <w:tcW w:w="1720" w:type="pct"/>
          </w:tcPr>
          <w:p w14:paraId="4BD2586C" w14:textId="77777777" w:rsidR="00567B0D" w:rsidRPr="00567B0D" w:rsidRDefault="00567B0D" w:rsidP="00567B0D">
            <w:pPr>
              <w:spacing w:before="20" w:after="20"/>
              <w:jc w:val="left"/>
              <w:rPr>
                <w:szCs w:val="17"/>
              </w:rPr>
            </w:pPr>
            <w:r w:rsidRPr="00567B0D">
              <w:rPr>
                <w:szCs w:val="17"/>
              </w:rPr>
              <w:t>172-174 Old South Road,</w:t>
            </w:r>
          </w:p>
          <w:p w14:paraId="5F9700D9" w14:textId="77777777" w:rsidR="00567B0D" w:rsidRPr="00567B0D" w:rsidRDefault="00567B0D" w:rsidP="00567B0D">
            <w:pPr>
              <w:spacing w:before="20" w:after="20"/>
              <w:jc w:val="left"/>
              <w:rPr>
                <w:szCs w:val="17"/>
              </w:rPr>
            </w:pPr>
            <w:r w:rsidRPr="00567B0D">
              <w:rPr>
                <w:szCs w:val="17"/>
              </w:rPr>
              <w:t>Old Reynella</w:t>
            </w:r>
          </w:p>
        </w:tc>
        <w:tc>
          <w:tcPr>
            <w:tcW w:w="1407" w:type="pct"/>
          </w:tcPr>
          <w:p w14:paraId="3F0867F6" w14:textId="77777777" w:rsidR="00567B0D" w:rsidRPr="00567B0D" w:rsidRDefault="00567B0D" w:rsidP="00567B0D">
            <w:pPr>
              <w:spacing w:before="20" w:after="20"/>
              <w:jc w:val="left"/>
              <w:rPr>
                <w:szCs w:val="17"/>
              </w:rPr>
            </w:pPr>
            <w:r w:rsidRPr="00567B0D">
              <w:rPr>
                <w:szCs w:val="17"/>
              </w:rPr>
              <w:t>CT 5488/230</w:t>
            </w:r>
          </w:p>
        </w:tc>
      </w:tr>
      <w:tr w:rsidR="00567B0D" w:rsidRPr="00567B0D" w14:paraId="587487CC" w14:textId="77777777" w:rsidTr="0012134E">
        <w:tc>
          <w:tcPr>
            <w:tcW w:w="388" w:type="pct"/>
          </w:tcPr>
          <w:p w14:paraId="69BB285C" w14:textId="77777777" w:rsidR="00567B0D" w:rsidRPr="00567B0D" w:rsidRDefault="00567B0D" w:rsidP="00567B0D">
            <w:pPr>
              <w:spacing w:before="20" w:after="20"/>
              <w:jc w:val="left"/>
              <w:rPr>
                <w:szCs w:val="17"/>
              </w:rPr>
            </w:pPr>
            <w:r w:rsidRPr="00567B0D">
              <w:rPr>
                <w:szCs w:val="17"/>
              </w:rPr>
              <w:t>19</w:t>
            </w:r>
          </w:p>
        </w:tc>
        <w:tc>
          <w:tcPr>
            <w:tcW w:w="1485" w:type="pct"/>
          </w:tcPr>
          <w:p w14:paraId="4C084E1A" w14:textId="77777777" w:rsidR="00567B0D" w:rsidRPr="00567B0D" w:rsidRDefault="00567B0D" w:rsidP="00567B0D">
            <w:pPr>
              <w:spacing w:before="20" w:after="20"/>
              <w:jc w:val="left"/>
              <w:rPr>
                <w:szCs w:val="17"/>
              </w:rPr>
            </w:pPr>
            <w:r w:rsidRPr="00567B0D">
              <w:rPr>
                <w:szCs w:val="17"/>
              </w:rPr>
              <w:t>River Road Netball and Tennis Courts</w:t>
            </w:r>
          </w:p>
        </w:tc>
        <w:tc>
          <w:tcPr>
            <w:tcW w:w="1720" w:type="pct"/>
          </w:tcPr>
          <w:p w14:paraId="75A91EDF" w14:textId="77777777" w:rsidR="00567B0D" w:rsidRPr="00567B0D" w:rsidRDefault="00567B0D" w:rsidP="00567B0D">
            <w:pPr>
              <w:spacing w:before="20" w:after="20"/>
              <w:jc w:val="left"/>
              <w:rPr>
                <w:szCs w:val="17"/>
              </w:rPr>
            </w:pPr>
            <w:r w:rsidRPr="00567B0D">
              <w:rPr>
                <w:szCs w:val="17"/>
              </w:rPr>
              <w:t>Lot 16 River Road,</w:t>
            </w:r>
          </w:p>
          <w:p w14:paraId="741252A3" w14:textId="77777777" w:rsidR="00567B0D" w:rsidRPr="00567B0D" w:rsidRDefault="00567B0D" w:rsidP="00567B0D">
            <w:pPr>
              <w:spacing w:before="20" w:after="20"/>
              <w:jc w:val="left"/>
              <w:rPr>
                <w:szCs w:val="17"/>
              </w:rPr>
            </w:pPr>
            <w:r w:rsidRPr="00567B0D">
              <w:rPr>
                <w:szCs w:val="17"/>
              </w:rPr>
              <w:t>Port Noarlunga</w:t>
            </w:r>
          </w:p>
        </w:tc>
        <w:tc>
          <w:tcPr>
            <w:tcW w:w="1407" w:type="pct"/>
          </w:tcPr>
          <w:p w14:paraId="7DF91A57" w14:textId="77777777" w:rsidR="00567B0D" w:rsidRPr="00567B0D" w:rsidRDefault="00567B0D" w:rsidP="00567B0D">
            <w:pPr>
              <w:spacing w:before="20" w:after="20"/>
              <w:jc w:val="left"/>
              <w:rPr>
                <w:szCs w:val="17"/>
              </w:rPr>
            </w:pPr>
            <w:r w:rsidRPr="00567B0D">
              <w:rPr>
                <w:szCs w:val="17"/>
              </w:rPr>
              <w:t>CT 5765/106</w:t>
            </w:r>
          </w:p>
        </w:tc>
      </w:tr>
      <w:tr w:rsidR="00567B0D" w:rsidRPr="00567B0D" w14:paraId="485B400A" w14:textId="77777777" w:rsidTr="0012134E">
        <w:tc>
          <w:tcPr>
            <w:tcW w:w="388" w:type="pct"/>
          </w:tcPr>
          <w:p w14:paraId="098A7142" w14:textId="77777777" w:rsidR="00567B0D" w:rsidRPr="00567B0D" w:rsidRDefault="00567B0D" w:rsidP="00567B0D">
            <w:pPr>
              <w:spacing w:before="20" w:after="20"/>
              <w:jc w:val="left"/>
              <w:rPr>
                <w:szCs w:val="17"/>
              </w:rPr>
            </w:pPr>
            <w:r w:rsidRPr="00567B0D">
              <w:rPr>
                <w:szCs w:val="17"/>
              </w:rPr>
              <w:t>20</w:t>
            </w:r>
          </w:p>
        </w:tc>
        <w:tc>
          <w:tcPr>
            <w:tcW w:w="1485" w:type="pct"/>
          </w:tcPr>
          <w:p w14:paraId="1F27A3C8" w14:textId="77777777" w:rsidR="00567B0D" w:rsidRPr="00567B0D" w:rsidRDefault="00567B0D" w:rsidP="00567B0D">
            <w:pPr>
              <w:spacing w:before="20" w:after="20"/>
              <w:jc w:val="left"/>
              <w:rPr>
                <w:szCs w:val="17"/>
              </w:rPr>
            </w:pPr>
            <w:r w:rsidRPr="00567B0D">
              <w:rPr>
                <w:szCs w:val="17"/>
              </w:rPr>
              <w:t>Coromandel Community Centre</w:t>
            </w:r>
          </w:p>
        </w:tc>
        <w:tc>
          <w:tcPr>
            <w:tcW w:w="1720" w:type="pct"/>
          </w:tcPr>
          <w:p w14:paraId="4EC2E8FA" w14:textId="77777777" w:rsidR="00567B0D" w:rsidRPr="00567B0D" w:rsidRDefault="00567B0D" w:rsidP="00567B0D">
            <w:pPr>
              <w:spacing w:before="20" w:after="20"/>
              <w:jc w:val="left"/>
              <w:rPr>
                <w:szCs w:val="17"/>
              </w:rPr>
            </w:pPr>
            <w:r w:rsidRPr="00567B0D">
              <w:rPr>
                <w:szCs w:val="17"/>
              </w:rPr>
              <w:t>442b Main Road, Coromandel Valley</w:t>
            </w:r>
          </w:p>
        </w:tc>
        <w:tc>
          <w:tcPr>
            <w:tcW w:w="1407" w:type="pct"/>
          </w:tcPr>
          <w:p w14:paraId="267096F0" w14:textId="77777777" w:rsidR="00567B0D" w:rsidRPr="00567B0D" w:rsidRDefault="00567B0D" w:rsidP="00567B0D">
            <w:pPr>
              <w:spacing w:before="20" w:after="20"/>
              <w:jc w:val="left"/>
              <w:rPr>
                <w:szCs w:val="17"/>
              </w:rPr>
            </w:pPr>
            <w:r w:rsidRPr="00567B0D">
              <w:rPr>
                <w:szCs w:val="17"/>
              </w:rPr>
              <w:t>CT 5681/79</w:t>
            </w:r>
          </w:p>
        </w:tc>
      </w:tr>
      <w:tr w:rsidR="00567B0D" w:rsidRPr="00567B0D" w14:paraId="6C674D52" w14:textId="77777777" w:rsidTr="0012134E">
        <w:tc>
          <w:tcPr>
            <w:tcW w:w="388" w:type="pct"/>
          </w:tcPr>
          <w:p w14:paraId="6FB4AB14" w14:textId="77777777" w:rsidR="00567B0D" w:rsidRPr="00567B0D" w:rsidRDefault="00567B0D" w:rsidP="00567B0D">
            <w:pPr>
              <w:spacing w:before="20" w:after="20"/>
              <w:jc w:val="left"/>
              <w:rPr>
                <w:szCs w:val="17"/>
              </w:rPr>
            </w:pPr>
            <w:r w:rsidRPr="00567B0D">
              <w:rPr>
                <w:szCs w:val="17"/>
              </w:rPr>
              <w:t>21</w:t>
            </w:r>
          </w:p>
        </w:tc>
        <w:tc>
          <w:tcPr>
            <w:tcW w:w="1485" w:type="pct"/>
          </w:tcPr>
          <w:p w14:paraId="01140A3E" w14:textId="77777777" w:rsidR="00567B0D" w:rsidRPr="00567B0D" w:rsidRDefault="00567B0D" w:rsidP="00567B0D">
            <w:pPr>
              <w:spacing w:before="20" w:after="20"/>
              <w:jc w:val="left"/>
              <w:rPr>
                <w:szCs w:val="17"/>
              </w:rPr>
            </w:pPr>
            <w:r w:rsidRPr="00567B0D">
              <w:rPr>
                <w:szCs w:val="17"/>
              </w:rPr>
              <w:t>Christie Downs Community House</w:t>
            </w:r>
          </w:p>
        </w:tc>
        <w:tc>
          <w:tcPr>
            <w:tcW w:w="1720" w:type="pct"/>
          </w:tcPr>
          <w:p w14:paraId="78D99641" w14:textId="77777777" w:rsidR="00567B0D" w:rsidRPr="00567B0D" w:rsidRDefault="00567B0D" w:rsidP="00567B0D">
            <w:pPr>
              <w:spacing w:before="20" w:after="20"/>
              <w:jc w:val="left"/>
              <w:rPr>
                <w:szCs w:val="17"/>
              </w:rPr>
            </w:pPr>
            <w:r w:rsidRPr="00567B0D">
              <w:rPr>
                <w:szCs w:val="17"/>
              </w:rPr>
              <w:t>65-95 Morton Road,</w:t>
            </w:r>
          </w:p>
          <w:p w14:paraId="4E66427C" w14:textId="77777777" w:rsidR="00567B0D" w:rsidRPr="00567B0D" w:rsidRDefault="00567B0D" w:rsidP="00567B0D">
            <w:pPr>
              <w:spacing w:before="20" w:after="20"/>
              <w:jc w:val="left"/>
              <w:rPr>
                <w:szCs w:val="17"/>
              </w:rPr>
            </w:pPr>
            <w:r w:rsidRPr="00567B0D">
              <w:rPr>
                <w:szCs w:val="17"/>
              </w:rPr>
              <w:t>Christie Downs</w:t>
            </w:r>
          </w:p>
        </w:tc>
        <w:tc>
          <w:tcPr>
            <w:tcW w:w="1407" w:type="pct"/>
          </w:tcPr>
          <w:p w14:paraId="441172A0" w14:textId="77777777" w:rsidR="00567B0D" w:rsidRPr="00567B0D" w:rsidRDefault="00567B0D" w:rsidP="00567B0D">
            <w:pPr>
              <w:spacing w:before="20" w:after="20"/>
              <w:jc w:val="left"/>
              <w:rPr>
                <w:szCs w:val="17"/>
              </w:rPr>
            </w:pPr>
            <w:r w:rsidRPr="00567B0D">
              <w:rPr>
                <w:szCs w:val="17"/>
              </w:rPr>
              <w:t>CT 4189/918</w:t>
            </w:r>
          </w:p>
        </w:tc>
      </w:tr>
      <w:tr w:rsidR="00567B0D" w:rsidRPr="00567B0D" w14:paraId="5C839AB2" w14:textId="77777777" w:rsidTr="0012134E">
        <w:tc>
          <w:tcPr>
            <w:tcW w:w="388" w:type="pct"/>
          </w:tcPr>
          <w:p w14:paraId="520E43E4" w14:textId="77777777" w:rsidR="00567B0D" w:rsidRPr="00567B0D" w:rsidRDefault="00567B0D" w:rsidP="00567B0D">
            <w:pPr>
              <w:spacing w:before="20" w:after="20"/>
              <w:jc w:val="left"/>
              <w:rPr>
                <w:szCs w:val="17"/>
              </w:rPr>
            </w:pPr>
            <w:r w:rsidRPr="00567B0D">
              <w:rPr>
                <w:szCs w:val="17"/>
              </w:rPr>
              <w:t>22</w:t>
            </w:r>
          </w:p>
        </w:tc>
        <w:tc>
          <w:tcPr>
            <w:tcW w:w="1485" w:type="pct"/>
          </w:tcPr>
          <w:p w14:paraId="084F5A79" w14:textId="77777777" w:rsidR="00567B0D" w:rsidRPr="00567B0D" w:rsidRDefault="00567B0D" w:rsidP="00567B0D">
            <w:pPr>
              <w:spacing w:before="20" w:after="20"/>
              <w:jc w:val="left"/>
              <w:rPr>
                <w:szCs w:val="17"/>
              </w:rPr>
            </w:pPr>
            <w:r w:rsidRPr="00567B0D">
              <w:rPr>
                <w:szCs w:val="17"/>
              </w:rPr>
              <w:t>Woodcroft Morphett Vale Neighbourhood Centre</w:t>
            </w:r>
          </w:p>
        </w:tc>
        <w:tc>
          <w:tcPr>
            <w:tcW w:w="1720" w:type="pct"/>
          </w:tcPr>
          <w:p w14:paraId="674E82DC" w14:textId="77777777" w:rsidR="00567B0D" w:rsidRPr="00567B0D" w:rsidRDefault="00567B0D" w:rsidP="00567B0D">
            <w:pPr>
              <w:spacing w:before="20" w:after="20"/>
              <w:jc w:val="left"/>
              <w:rPr>
                <w:szCs w:val="17"/>
              </w:rPr>
            </w:pPr>
            <w:r w:rsidRPr="00567B0D">
              <w:rPr>
                <w:szCs w:val="17"/>
              </w:rPr>
              <w:t>1/175-183 Bains Road, Morphett Vale</w:t>
            </w:r>
          </w:p>
        </w:tc>
        <w:tc>
          <w:tcPr>
            <w:tcW w:w="1407" w:type="pct"/>
          </w:tcPr>
          <w:p w14:paraId="49FF26E2" w14:textId="77777777" w:rsidR="00567B0D" w:rsidRPr="00567B0D" w:rsidRDefault="00567B0D" w:rsidP="00567B0D">
            <w:pPr>
              <w:spacing w:before="20" w:after="20"/>
              <w:jc w:val="left"/>
              <w:rPr>
                <w:szCs w:val="17"/>
              </w:rPr>
            </w:pPr>
            <w:r w:rsidRPr="00567B0D">
              <w:rPr>
                <w:szCs w:val="17"/>
              </w:rPr>
              <w:t>CT 5212/833</w:t>
            </w:r>
          </w:p>
        </w:tc>
      </w:tr>
      <w:tr w:rsidR="00567B0D" w:rsidRPr="00567B0D" w14:paraId="6127D790" w14:textId="77777777" w:rsidTr="0012134E">
        <w:tc>
          <w:tcPr>
            <w:tcW w:w="388" w:type="pct"/>
          </w:tcPr>
          <w:p w14:paraId="3FD27C66" w14:textId="77777777" w:rsidR="00567B0D" w:rsidRPr="00567B0D" w:rsidRDefault="00567B0D" w:rsidP="00567B0D">
            <w:pPr>
              <w:spacing w:before="20" w:after="20"/>
              <w:jc w:val="left"/>
              <w:rPr>
                <w:szCs w:val="17"/>
              </w:rPr>
            </w:pPr>
            <w:r w:rsidRPr="00567B0D">
              <w:rPr>
                <w:szCs w:val="17"/>
              </w:rPr>
              <w:t>23</w:t>
            </w:r>
          </w:p>
        </w:tc>
        <w:tc>
          <w:tcPr>
            <w:tcW w:w="1485" w:type="pct"/>
          </w:tcPr>
          <w:p w14:paraId="08FB37D0" w14:textId="77777777" w:rsidR="00567B0D" w:rsidRPr="00567B0D" w:rsidRDefault="00567B0D" w:rsidP="00567B0D">
            <w:pPr>
              <w:spacing w:before="20" w:after="20"/>
              <w:jc w:val="left"/>
              <w:rPr>
                <w:szCs w:val="17"/>
              </w:rPr>
            </w:pPr>
            <w:r w:rsidRPr="00567B0D">
              <w:rPr>
                <w:szCs w:val="17"/>
              </w:rPr>
              <w:t>Hackham West Community Centre</w:t>
            </w:r>
          </w:p>
        </w:tc>
        <w:tc>
          <w:tcPr>
            <w:tcW w:w="1720" w:type="pct"/>
          </w:tcPr>
          <w:p w14:paraId="2898E97A" w14:textId="77777777" w:rsidR="00567B0D" w:rsidRPr="00567B0D" w:rsidRDefault="00567B0D" w:rsidP="00567B0D">
            <w:pPr>
              <w:spacing w:before="20" w:after="20"/>
              <w:jc w:val="left"/>
              <w:rPr>
                <w:szCs w:val="17"/>
              </w:rPr>
            </w:pPr>
            <w:r w:rsidRPr="00567B0D">
              <w:rPr>
                <w:szCs w:val="17"/>
              </w:rPr>
              <w:t>44 Glynville Drive,</w:t>
            </w:r>
          </w:p>
          <w:p w14:paraId="0D41A8AB" w14:textId="77777777" w:rsidR="00567B0D" w:rsidRPr="00567B0D" w:rsidRDefault="00567B0D" w:rsidP="00567B0D">
            <w:pPr>
              <w:spacing w:before="20" w:after="20"/>
              <w:jc w:val="left"/>
              <w:rPr>
                <w:szCs w:val="17"/>
              </w:rPr>
            </w:pPr>
            <w:r w:rsidRPr="00567B0D">
              <w:rPr>
                <w:szCs w:val="17"/>
              </w:rPr>
              <w:t>Hackham West</w:t>
            </w:r>
          </w:p>
        </w:tc>
        <w:tc>
          <w:tcPr>
            <w:tcW w:w="1407" w:type="pct"/>
          </w:tcPr>
          <w:p w14:paraId="2AF05634" w14:textId="77777777" w:rsidR="00567B0D" w:rsidRPr="00567B0D" w:rsidRDefault="00567B0D" w:rsidP="00567B0D">
            <w:pPr>
              <w:spacing w:before="20" w:after="20"/>
              <w:jc w:val="left"/>
              <w:rPr>
                <w:szCs w:val="17"/>
              </w:rPr>
            </w:pPr>
            <w:r w:rsidRPr="00567B0D">
              <w:rPr>
                <w:szCs w:val="17"/>
              </w:rPr>
              <w:t>CT 5741/115</w:t>
            </w:r>
          </w:p>
        </w:tc>
      </w:tr>
      <w:tr w:rsidR="00567B0D" w:rsidRPr="00567B0D" w14:paraId="3D03457E" w14:textId="77777777" w:rsidTr="0012134E">
        <w:tc>
          <w:tcPr>
            <w:tcW w:w="388" w:type="pct"/>
          </w:tcPr>
          <w:p w14:paraId="5085A4E0" w14:textId="77777777" w:rsidR="00567B0D" w:rsidRPr="00567B0D" w:rsidRDefault="00567B0D" w:rsidP="00567B0D">
            <w:pPr>
              <w:spacing w:before="20" w:after="20"/>
              <w:jc w:val="left"/>
              <w:rPr>
                <w:szCs w:val="17"/>
              </w:rPr>
            </w:pPr>
            <w:r w:rsidRPr="00567B0D">
              <w:rPr>
                <w:szCs w:val="17"/>
              </w:rPr>
              <w:t>24</w:t>
            </w:r>
          </w:p>
        </w:tc>
        <w:tc>
          <w:tcPr>
            <w:tcW w:w="1485" w:type="pct"/>
          </w:tcPr>
          <w:p w14:paraId="3212FEFE" w14:textId="77777777" w:rsidR="00567B0D" w:rsidRPr="00567B0D" w:rsidRDefault="00567B0D" w:rsidP="00567B0D">
            <w:pPr>
              <w:spacing w:before="20" w:after="20"/>
              <w:jc w:val="left"/>
              <w:rPr>
                <w:szCs w:val="17"/>
              </w:rPr>
            </w:pPr>
            <w:r w:rsidRPr="00567B0D">
              <w:rPr>
                <w:szCs w:val="17"/>
              </w:rPr>
              <w:t>Reynella Neighbourhood Centre</w:t>
            </w:r>
          </w:p>
        </w:tc>
        <w:tc>
          <w:tcPr>
            <w:tcW w:w="1720" w:type="pct"/>
          </w:tcPr>
          <w:p w14:paraId="1DCD130B" w14:textId="77777777" w:rsidR="00567B0D" w:rsidRPr="00567B0D" w:rsidRDefault="00567B0D" w:rsidP="00567B0D">
            <w:pPr>
              <w:spacing w:before="20" w:after="20"/>
              <w:jc w:val="left"/>
              <w:rPr>
                <w:szCs w:val="17"/>
              </w:rPr>
            </w:pPr>
            <w:r w:rsidRPr="00567B0D">
              <w:rPr>
                <w:szCs w:val="17"/>
              </w:rPr>
              <w:t>164-170 Old South Road,</w:t>
            </w:r>
          </w:p>
          <w:p w14:paraId="5F604C62" w14:textId="77777777" w:rsidR="00567B0D" w:rsidRPr="00567B0D" w:rsidRDefault="00567B0D" w:rsidP="00567B0D">
            <w:pPr>
              <w:spacing w:before="20" w:after="20"/>
              <w:jc w:val="left"/>
              <w:rPr>
                <w:szCs w:val="17"/>
              </w:rPr>
            </w:pPr>
            <w:r w:rsidRPr="00567B0D">
              <w:rPr>
                <w:szCs w:val="17"/>
              </w:rPr>
              <w:t>Old Reynella</w:t>
            </w:r>
          </w:p>
        </w:tc>
        <w:tc>
          <w:tcPr>
            <w:tcW w:w="1407" w:type="pct"/>
          </w:tcPr>
          <w:p w14:paraId="0C5F3F12" w14:textId="77777777" w:rsidR="00567B0D" w:rsidRPr="00567B0D" w:rsidRDefault="00567B0D" w:rsidP="00567B0D">
            <w:pPr>
              <w:spacing w:before="20" w:after="20"/>
              <w:jc w:val="left"/>
              <w:rPr>
                <w:szCs w:val="17"/>
              </w:rPr>
            </w:pPr>
            <w:r w:rsidRPr="00567B0D">
              <w:rPr>
                <w:szCs w:val="17"/>
              </w:rPr>
              <w:t>CT 5824/104</w:t>
            </w:r>
          </w:p>
        </w:tc>
      </w:tr>
      <w:tr w:rsidR="00567B0D" w:rsidRPr="00567B0D" w14:paraId="41038C45" w14:textId="77777777" w:rsidTr="0012134E">
        <w:tc>
          <w:tcPr>
            <w:tcW w:w="388" w:type="pct"/>
          </w:tcPr>
          <w:p w14:paraId="418DD634" w14:textId="77777777" w:rsidR="00567B0D" w:rsidRPr="00567B0D" w:rsidRDefault="00567B0D" w:rsidP="00567B0D">
            <w:pPr>
              <w:spacing w:before="20" w:after="20"/>
              <w:jc w:val="left"/>
              <w:rPr>
                <w:szCs w:val="17"/>
              </w:rPr>
            </w:pPr>
            <w:r w:rsidRPr="00567B0D">
              <w:rPr>
                <w:szCs w:val="17"/>
              </w:rPr>
              <w:t>25</w:t>
            </w:r>
          </w:p>
        </w:tc>
        <w:tc>
          <w:tcPr>
            <w:tcW w:w="1485" w:type="pct"/>
          </w:tcPr>
          <w:p w14:paraId="795F6426" w14:textId="77777777" w:rsidR="00567B0D" w:rsidRPr="00567B0D" w:rsidRDefault="00567B0D" w:rsidP="00567B0D">
            <w:pPr>
              <w:spacing w:before="20" w:after="20"/>
              <w:jc w:val="left"/>
              <w:rPr>
                <w:szCs w:val="17"/>
              </w:rPr>
            </w:pPr>
            <w:r w:rsidRPr="00567B0D">
              <w:rPr>
                <w:szCs w:val="17"/>
              </w:rPr>
              <w:t>Hazel McKenzie Hall</w:t>
            </w:r>
          </w:p>
        </w:tc>
        <w:tc>
          <w:tcPr>
            <w:tcW w:w="1720" w:type="pct"/>
          </w:tcPr>
          <w:p w14:paraId="5B920F26" w14:textId="77777777" w:rsidR="00567B0D" w:rsidRPr="00567B0D" w:rsidRDefault="00567B0D" w:rsidP="00567B0D">
            <w:pPr>
              <w:spacing w:before="20" w:after="20"/>
              <w:jc w:val="left"/>
              <w:rPr>
                <w:szCs w:val="17"/>
              </w:rPr>
            </w:pPr>
            <w:r w:rsidRPr="00567B0D">
              <w:rPr>
                <w:szCs w:val="17"/>
              </w:rPr>
              <w:t>30 Harper Road,</w:t>
            </w:r>
          </w:p>
          <w:p w14:paraId="0D5BFCB3" w14:textId="77777777" w:rsidR="00567B0D" w:rsidRPr="00567B0D" w:rsidRDefault="00567B0D" w:rsidP="00567B0D">
            <w:pPr>
              <w:spacing w:before="20" w:after="20"/>
              <w:jc w:val="left"/>
              <w:rPr>
                <w:szCs w:val="17"/>
              </w:rPr>
            </w:pPr>
            <w:r w:rsidRPr="00567B0D">
              <w:rPr>
                <w:szCs w:val="17"/>
              </w:rPr>
              <w:t>Clarendon</w:t>
            </w:r>
          </w:p>
        </w:tc>
        <w:tc>
          <w:tcPr>
            <w:tcW w:w="1407" w:type="pct"/>
          </w:tcPr>
          <w:p w14:paraId="1CFA14FA" w14:textId="77777777" w:rsidR="00567B0D" w:rsidRPr="00567B0D" w:rsidRDefault="00567B0D" w:rsidP="00567B0D">
            <w:pPr>
              <w:spacing w:before="20" w:after="20"/>
              <w:jc w:val="left"/>
              <w:rPr>
                <w:szCs w:val="17"/>
              </w:rPr>
            </w:pPr>
            <w:r w:rsidRPr="00567B0D">
              <w:rPr>
                <w:szCs w:val="17"/>
              </w:rPr>
              <w:t>CT 5433/675</w:t>
            </w:r>
          </w:p>
        </w:tc>
      </w:tr>
      <w:tr w:rsidR="00567B0D" w:rsidRPr="00567B0D" w14:paraId="75F96BF0" w14:textId="77777777" w:rsidTr="0012134E">
        <w:tc>
          <w:tcPr>
            <w:tcW w:w="388" w:type="pct"/>
          </w:tcPr>
          <w:p w14:paraId="4028F78D" w14:textId="77777777" w:rsidR="00567B0D" w:rsidRPr="00567B0D" w:rsidRDefault="00567B0D" w:rsidP="00567B0D">
            <w:pPr>
              <w:spacing w:before="20" w:after="20"/>
              <w:jc w:val="left"/>
              <w:rPr>
                <w:szCs w:val="17"/>
              </w:rPr>
            </w:pPr>
            <w:r w:rsidRPr="00567B0D">
              <w:rPr>
                <w:szCs w:val="17"/>
              </w:rPr>
              <w:t>26</w:t>
            </w:r>
          </w:p>
        </w:tc>
        <w:tc>
          <w:tcPr>
            <w:tcW w:w="1485" w:type="pct"/>
          </w:tcPr>
          <w:p w14:paraId="7EADB6CF" w14:textId="77777777" w:rsidR="00567B0D" w:rsidRPr="00567B0D" w:rsidRDefault="00567B0D" w:rsidP="00567B0D">
            <w:pPr>
              <w:spacing w:before="20" w:after="20"/>
              <w:jc w:val="left"/>
              <w:rPr>
                <w:szCs w:val="17"/>
              </w:rPr>
            </w:pPr>
            <w:r w:rsidRPr="00567B0D">
              <w:rPr>
                <w:szCs w:val="17"/>
              </w:rPr>
              <w:t>Moana Pioneers Memorial Hall</w:t>
            </w:r>
          </w:p>
        </w:tc>
        <w:tc>
          <w:tcPr>
            <w:tcW w:w="1720" w:type="pct"/>
          </w:tcPr>
          <w:p w14:paraId="694B1430" w14:textId="77777777" w:rsidR="00567B0D" w:rsidRPr="00567B0D" w:rsidRDefault="00567B0D" w:rsidP="00567B0D">
            <w:pPr>
              <w:spacing w:before="20" w:after="20"/>
              <w:jc w:val="left"/>
              <w:rPr>
                <w:szCs w:val="17"/>
              </w:rPr>
            </w:pPr>
            <w:r w:rsidRPr="00567B0D">
              <w:rPr>
                <w:szCs w:val="17"/>
              </w:rPr>
              <w:t>38-44 Nashwauk Crescent, Moana</w:t>
            </w:r>
          </w:p>
        </w:tc>
        <w:tc>
          <w:tcPr>
            <w:tcW w:w="1407" w:type="pct"/>
          </w:tcPr>
          <w:p w14:paraId="00527259" w14:textId="77777777" w:rsidR="00567B0D" w:rsidRPr="00567B0D" w:rsidRDefault="00567B0D" w:rsidP="00567B0D">
            <w:pPr>
              <w:spacing w:before="20" w:after="20"/>
              <w:jc w:val="left"/>
              <w:rPr>
                <w:szCs w:val="17"/>
              </w:rPr>
            </w:pPr>
            <w:r w:rsidRPr="00567B0D">
              <w:rPr>
                <w:szCs w:val="17"/>
              </w:rPr>
              <w:t>CT 6246/21</w:t>
            </w:r>
          </w:p>
        </w:tc>
      </w:tr>
      <w:tr w:rsidR="00567B0D" w:rsidRPr="00567B0D" w14:paraId="04DE65AB" w14:textId="77777777" w:rsidTr="0012134E">
        <w:tc>
          <w:tcPr>
            <w:tcW w:w="388" w:type="pct"/>
          </w:tcPr>
          <w:p w14:paraId="7CAECB73" w14:textId="77777777" w:rsidR="00567B0D" w:rsidRPr="00567B0D" w:rsidRDefault="00567B0D" w:rsidP="00567B0D">
            <w:pPr>
              <w:spacing w:before="20" w:after="20"/>
              <w:jc w:val="left"/>
              <w:rPr>
                <w:szCs w:val="17"/>
              </w:rPr>
            </w:pPr>
            <w:r w:rsidRPr="00567B0D">
              <w:rPr>
                <w:szCs w:val="17"/>
              </w:rPr>
              <w:t>27</w:t>
            </w:r>
          </w:p>
        </w:tc>
        <w:tc>
          <w:tcPr>
            <w:tcW w:w="1485" w:type="pct"/>
          </w:tcPr>
          <w:p w14:paraId="58BFED57" w14:textId="77777777" w:rsidR="00567B0D" w:rsidRPr="00567B0D" w:rsidRDefault="00567B0D" w:rsidP="00567B0D">
            <w:pPr>
              <w:spacing w:before="20" w:after="20"/>
              <w:jc w:val="left"/>
              <w:rPr>
                <w:szCs w:val="17"/>
              </w:rPr>
            </w:pPr>
            <w:r w:rsidRPr="00567B0D">
              <w:rPr>
                <w:szCs w:val="17"/>
              </w:rPr>
              <w:t>Old Noarlunga Institute Hall</w:t>
            </w:r>
          </w:p>
        </w:tc>
        <w:tc>
          <w:tcPr>
            <w:tcW w:w="1720" w:type="pct"/>
          </w:tcPr>
          <w:p w14:paraId="56011877" w14:textId="77777777" w:rsidR="00567B0D" w:rsidRPr="00567B0D" w:rsidRDefault="00567B0D" w:rsidP="00567B0D">
            <w:pPr>
              <w:spacing w:before="20" w:after="20"/>
              <w:jc w:val="left"/>
              <w:rPr>
                <w:szCs w:val="17"/>
              </w:rPr>
            </w:pPr>
            <w:r w:rsidRPr="00567B0D">
              <w:rPr>
                <w:szCs w:val="17"/>
              </w:rPr>
              <w:t>Lot 97 Market Crescent,</w:t>
            </w:r>
          </w:p>
          <w:p w14:paraId="031482B9" w14:textId="77777777" w:rsidR="00567B0D" w:rsidRPr="00567B0D" w:rsidRDefault="00567B0D" w:rsidP="00567B0D">
            <w:pPr>
              <w:spacing w:before="20" w:after="20"/>
              <w:jc w:val="left"/>
              <w:rPr>
                <w:szCs w:val="17"/>
              </w:rPr>
            </w:pPr>
            <w:r w:rsidRPr="00567B0D">
              <w:rPr>
                <w:szCs w:val="17"/>
              </w:rPr>
              <w:t>Old Noarlunga</w:t>
            </w:r>
          </w:p>
        </w:tc>
        <w:tc>
          <w:tcPr>
            <w:tcW w:w="1407" w:type="pct"/>
          </w:tcPr>
          <w:p w14:paraId="44E79F7D" w14:textId="77777777" w:rsidR="00567B0D" w:rsidRPr="00567B0D" w:rsidRDefault="00567B0D" w:rsidP="00567B0D">
            <w:pPr>
              <w:spacing w:before="20" w:after="20"/>
              <w:jc w:val="left"/>
              <w:rPr>
                <w:szCs w:val="17"/>
              </w:rPr>
            </w:pPr>
            <w:r w:rsidRPr="00567B0D">
              <w:rPr>
                <w:szCs w:val="17"/>
              </w:rPr>
              <w:t>CT 5710/138</w:t>
            </w:r>
          </w:p>
        </w:tc>
      </w:tr>
      <w:tr w:rsidR="00567B0D" w:rsidRPr="00567B0D" w14:paraId="75E5B6DC" w14:textId="77777777" w:rsidTr="0012134E">
        <w:tc>
          <w:tcPr>
            <w:tcW w:w="388" w:type="pct"/>
          </w:tcPr>
          <w:p w14:paraId="62EF00C6" w14:textId="77777777" w:rsidR="00567B0D" w:rsidRPr="00567B0D" w:rsidRDefault="00567B0D" w:rsidP="00567B0D">
            <w:pPr>
              <w:spacing w:before="20" w:after="20"/>
              <w:jc w:val="left"/>
              <w:rPr>
                <w:szCs w:val="17"/>
              </w:rPr>
            </w:pPr>
            <w:r w:rsidRPr="00567B0D">
              <w:rPr>
                <w:szCs w:val="17"/>
              </w:rPr>
              <w:t>28</w:t>
            </w:r>
          </w:p>
        </w:tc>
        <w:tc>
          <w:tcPr>
            <w:tcW w:w="1485" w:type="pct"/>
          </w:tcPr>
          <w:p w14:paraId="05FD99DA" w14:textId="77777777" w:rsidR="00567B0D" w:rsidRPr="00567B0D" w:rsidRDefault="00567B0D" w:rsidP="00567B0D">
            <w:pPr>
              <w:spacing w:before="20" w:after="20"/>
              <w:jc w:val="left"/>
              <w:rPr>
                <w:szCs w:val="17"/>
              </w:rPr>
            </w:pPr>
            <w:r w:rsidRPr="00567B0D">
              <w:rPr>
                <w:szCs w:val="17"/>
              </w:rPr>
              <w:t>Kangarilla Progress Community Hall</w:t>
            </w:r>
          </w:p>
        </w:tc>
        <w:tc>
          <w:tcPr>
            <w:tcW w:w="1720" w:type="pct"/>
          </w:tcPr>
          <w:p w14:paraId="6D040594" w14:textId="77777777" w:rsidR="00567B0D" w:rsidRPr="00567B0D" w:rsidRDefault="00567B0D" w:rsidP="00567B0D">
            <w:pPr>
              <w:spacing w:before="20" w:after="20"/>
              <w:jc w:val="left"/>
              <w:rPr>
                <w:szCs w:val="17"/>
              </w:rPr>
            </w:pPr>
            <w:r w:rsidRPr="00567B0D">
              <w:rPr>
                <w:szCs w:val="17"/>
              </w:rPr>
              <w:t>1992 Kangarilla Road, Kangarilla</w:t>
            </w:r>
          </w:p>
        </w:tc>
        <w:tc>
          <w:tcPr>
            <w:tcW w:w="1407" w:type="pct"/>
          </w:tcPr>
          <w:p w14:paraId="4E56E03F" w14:textId="77777777" w:rsidR="00567B0D" w:rsidRPr="00567B0D" w:rsidRDefault="00567B0D" w:rsidP="00567B0D">
            <w:pPr>
              <w:spacing w:before="20" w:after="20"/>
              <w:jc w:val="left"/>
              <w:rPr>
                <w:szCs w:val="17"/>
              </w:rPr>
            </w:pPr>
            <w:r w:rsidRPr="00567B0D">
              <w:rPr>
                <w:szCs w:val="17"/>
              </w:rPr>
              <w:t>CR 5755/675</w:t>
            </w:r>
          </w:p>
        </w:tc>
      </w:tr>
      <w:tr w:rsidR="00567B0D" w:rsidRPr="00567B0D" w14:paraId="417DF20B" w14:textId="77777777" w:rsidTr="0012134E">
        <w:tc>
          <w:tcPr>
            <w:tcW w:w="388" w:type="pct"/>
          </w:tcPr>
          <w:p w14:paraId="08A51E4C" w14:textId="77777777" w:rsidR="00567B0D" w:rsidRPr="00567B0D" w:rsidRDefault="00567B0D" w:rsidP="00567B0D">
            <w:pPr>
              <w:spacing w:before="20" w:after="20"/>
              <w:jc w:val="left"/>
              <w:rPr>
                <w:szCs w:val="17"/>
              </w:rPr>
            </w:pPr>
            <w:r w:rsidRPr="00567B0D">
              <w:rPr>
                <w:szCs w:val="17"/>
              </w:rPr>
              <w:t>29</w:t>
            </w:r>
          </w:p>
        </w:tc>
        <w:tc>
          <w:tcPr>
            <w:tcW w:w="1485" w:type="pct"/>
          </w:tcPr>
          <w:p w14:paraId="4187ED33" w14:textId="77777777" w:rsidR="00567B0D" w:rsidRPr="00567B0D" w:rsidRDefault="00567B0D" w:rsidP="00567B0D">
            <w:pPr>
              <w:spacing w:before="20" w:after="20"/>
              <w:jc w:val="left"/>
              <w:rPr>
                <w:szCs w:val="17"/>
              </w:rPr>
            </w:pPr>
            <w:r w:rsidRPr="00567B0D">
              <w:rPr>
                <w:szCs w:val="17"/>
              </w:rPr>
              <w:t>Kangarilla Temperance Hall</w:t>
            </w:r>
          </w:p>
        </w:tc>
        <w:tc>
          <w:tcPr>
            <w:tcW w:w="1720" w:type="pct"/>
          </w:tcPr>
          <w:p w14:paraId="16A3A215" w14:textId="77777777" w:rsidR="00567B0D" w:rsidRPr="00567B0D" w:rsidRDefault="00567B0D" w:rsidP="00567B0D">
            <w:pPr>
              <w:spacing w:before="20" w:after="20"/>
              <w:jc w:val="left"/>
              <w:rPr>
                <w:szCs w:val="17"/>
              </w:rPr>
            </w:pPr>
            <w:r w:rsidRPr="00567B0D">
              <w:rPr>
                <w:szCs w:val="17"/>
              </w:rPr>
              <w:t>38 McLaren Flat Road, Kangarilla</w:t>
            </w:r>
          </w:p>
        </w:tc>
        <w:tc>
          <w:tcPr>
            <w:tcW w:w="1407" w:type="pct"/>
          </w:tcPr>
          <w:p w14:paraId="1E8DD054" w14:textId="77777777" w:rsidR="00567B0D" w:rsidRPr="00567B0D" w:rsidRDefault="00567B0D" w:rsidP="00567B0D">
            <w:pPr>
              <w:spacing w:before="20" w:after="20"/>
              <w:jc w:val="left"/>
              <w:rPr>
                <w:szCs w:val="17"/>
              </w:rPr>
            </w:pPr>
            <w:r w:rsidRPr="00567B0D">
              <w:rPr>
                <w:szCs w:val="17"/>
              </w:rPr>
              <w:t>CT 5603/956</w:t>
            </w:r>
          </w:p>
        </w:tc>
      </w:tr>
      <w:tr w:rsidR="00567B0D" w:rsidRPr="00567B0D" w14:paraId="5036A3A1" w14:textId="77777777" w:rsidTr="0012134E">
        <w:tc>
          <w:tcPr>
            <w:tcW w:w="388" w:type="pct"/>
          </w:tcPr>
          <w:p w14:paraId="17BB6D6F" w14:textId="77777777" w:rsidR="00567B0D" w:rsidRPr="00567B0D" w:rsidRDefault="00567B0D" w:rsidP="00567B0D">
            <w:pPr>
              <w:spacing w:before="20" w:after="20"/>
              <w:jc w:val="left"/>
              <w:rPr>
                <w:szCs w:val="17"/>
              </w:rPr>
            </w:pPr>
            <w:r w:rsidRPr="00567B0D">
              <w:rPr>
                <w:szCs w:val="17"/>
              </w:rPr>
              <w:t>30</w:t>
            </w:r>
          </w:p>
        </w:tc>
        <w:tc>
          <w:tcPr>
            <w:tcW w:w="1485" w:type="pct"/>
          </w:tcPr>
          <w:p w14:paraId="0C620236" w14:textId="77777777" w:rsidR="00567B0D" w:rsidRPr="00567B0D" w:rsidRDefault="00567B0D" w:rsidP="00567B0D">
            <w:pPr>
              <w:spacing w:before="20" w:after="20"/>
              <w:jc w:val="left"/>
              <w:rPr>
                <w:szCs w:val="17"/>
              </w:rPr>
            </w:pPr>
            <w:r w:rsidRPr="00567B0D">
              <w:rPr>
                <w:szCs w:val="17"/>
              </w:rPr>
              <w:t>Maslin Beach Community Hall</w:t>
            </w:r>
          </w:p>
        </w:tc>
        <w:tc>
          <w:tcPr>
            <w:tcW w:w="1720" w:type="pct"/>
          </w:tcPr>
          <w:p w14:paraId="26FB7EA7" w14:textId="77777777" w:rsidR="00567B0D" w:rsidRPr="00567B0D" w:rsidRDefault="00567B0D" w:rsidP="00567B0D">
            <w:pPr>
              <w:spacing w:before="20" w:after="20"/>
              <w:jc w:val="left"/>
              <w:rPr>
                <w:szCs w:val="17"/>
              </w:rPr>
            </w:pPr>
            <w:r w:rsidRPr="00567B0D">
              <w:rPr>
                <w:szCs w:val="17"/>
              </w:rPr>
              <w:t>Lot 461 Gulf Parade,</w:t>
            </w:r>
          </w:p>
          <w:p w14:paraId="19368684" w14:textId="77777777" w:rsidR="00567B0D" w:rsidRPr="00567B0D" w:rsidRDefault="00567B0D" w:rsidP="00567B0D">
            <w:pPr>
              <w:spacing w:before="20" w:after="20"/>
              <w:jc w:val="left"/>
              <w:rPr>
                <w:szCs w:val="17"/>
              </w:rPr>
            </w:pPr>
            <w:r w:rsidRPr="00567B0D">
              <w:rPr>
                <w:szCs w:val="17"/>
              </w:rPr>
              <w:t>Maslin Beach</w:t>
            </w:r>
          </w:p>
        </w:tc>
        <w:tc>
          <w:tcPr>
            <w:tcW w:w="1407" w:type="pct"/>
          </w:tcPr>
          <w:p w14:paraId="5BD3321F" w14:textId="77777777" w:rsidR="00567B0D" w:rsidRPr="00567B0D" w:rsidRDefault="00567B0D" w:rsidP="00567B0D">
            <w:pPr>
              <w:spacing w:before="20" w:after="20"/>
              <w:jc w:val="left"/>
              <w:rPr>
                <w:szCs w:val="17"/>
              </w:rPr>
            </w:pPr>
            <w:r w:rsidRPr="00567B0D">
              <w:rPr>
                <w:szCs w:val="17"/>
              </w:rPr>
              <w:t>CT 2875/92</w:t>
            </w:r>
          </w:p>
        </w:tc>
      </w:tr>
      <w:tr w:rsidR="00567B0D" w:rsidRPr="00567B0D" w14:paraId="6425E082" w14:textId="77777777" w:rsidTr="0012134E">
        <w:tc>
          <w:tcPr>
            <w:tcW w:w="388" w:type="pct"/>
          </w:tcPr>
          <w:p w14:paraId="5B30458E" w14:textId="77777777" w:rsidR="00567B0D" w:rsidRPr="00567B0D" w:rsidRDefault="00567B0D" w:rsidP="00567B0D">
            <w:pPr>
              <w:spacing w:before="20" w:after="20"/>
              <w:jc w:val="left"/>
              <w:rPr>
                <w:szCs w:val="17"/>
              </w:rPr>
            </w:pPr>
            <w:r w:rsidRPr="00567B0D">
              <w:rPr>
                <w:szCs w:val="17"/>
              </w:rPr>
              <w:t>31</w:t>
            </w:r>
          </w:p>
        </w:tc>
        <w:tc>
          <w:tcPr>
            <w:tcW w:w="1485" w:type="pct"/>
          </w:tcPr>
          <w:p w14:paraId="65E95244" w14:textId="77777777" w:rsidR="00567B0D" w:rsidRPr="00567B0D" w:rsidRDefault="00567B0D" w:rsidP="00567B0D">
            <w:pPr>
              <w:spacing w:before="20" w:after="20"/>
              <w:jc w:val="left"/>
              <w:rPr>
                <w:szCs w:val="17"/>
              </w:rPr>
            </w:pPr>
            <w:r w:rsidRPr="00567B0D">
              <w:rPr>
                <w:szCs w:val="17"/>
              </w:rPr>
              <w:t>Aldinga Institute Hall</w:t>
            </w:r>
          </w:p>
        </w:tc>
        <w:tc>
          <w:tcPr>
            <w:tcW w:w="1720" w:type="pct"/>
          </w:tcPr>
          <w:p w14:paraId="4305FA4E" w14:textId="77777777" w:rsidR="00567B0D" w:rsidRPr="00567B0D" w:rsidRDefault="00567B0D" w:rsidP="00567B0D">
            <w:pPr>
              <w:spacing w:before="20" w:after="20"/>
              <w:jc w:val="left"/>
              <w:rPr>
                <w:szCs w:val="17"/>
              </w:rPr>
            </w:pPr>
            <w:r w:rsidRPr="00567B0D">
              <w:rPr>
                <w:szCs w:val="17"/>
              </w:rPr>
              <w:t>23 Old Coach Road,</w:t>
            </w:r>
          </w:p>
          <w:p w14:paraId="576068FD" w14:textId="77777777" w:rsidR="00567B0D" w:rsidRPr="00567B0D" w:rsidRDefault="00567B0D" w:rsidP="00567B0D">
            <w:pPr>
              <w:spacing w:before="20" w:after="20"/>
              <w:jc w:val="left"/>
              <w:rPr>
                <w:szCs w:val="17"/>
              </w:rPr>
            </w:pPr>
            <w:r w:rsidRPr="00567B0D">
              <w:rPr>
                <w:szCs w:val="17"/>
              </w:rPr>
              <w:t>Aldinga</w:t>
            </w:r>
          </w:p>
        </w:tc>
        <w:tc>
          <w:tcPr>
            <w:tcW w:w="1407" w:type="pct"/>
          </w:tcPr>
          <w:p w14:paraId="28A885E8" w14:textId="77777777" w:rsidR="00567B0D" w:rsidRPr="00567B0D" w:rsidRDefault="00567B0D" w:rsidP="00567B0D">
            <w:pPr>
              <w:spacing w:before="20" w:after="20"/>
              <w:jc w:val="left"/>
              <w:rPr>
                <w:szCs w:val="17"/>
              </w:rPr>
            </w:pPr>
            <w:r w:rsidRPr="00567B0D">
              <w:rPr>
                <w:szCs w:val="17"/>
              </w:rPr>
              <w:t>CT 6181/671</w:t>
            </w:r>
          </w:p>
        </w:tc>
      </w:tr>
      <w:tr w:rsidR="00567B0D" w:rsidRPr="00567B0D" w14:paraId="62667DFD" w14:textId="77777777" w:rsidTr="0012134E">
        <w:tc>
          <w:tcPr>
            <w:tcW w:w="388" w:type="pct"/>
          </w:tcPr>
          <w:p w14:paraId="1C22C328" w14:textId="77777777" w:rsidR="00567B0D" w:rsidRPr="00567B0D" w:rsidRDefault="00567B0D" w:rsidP="00567B0D">
            <w:pPr>
              <w:spacing w:before="20" w:after="20"/>
              <w:jc w:val="left"/>
              <w:rPr>
                <w:szCs w:val="17"/>
              </w:rPr>
            </w:pPr>
            <w:r w:rsidRPr="00567B0D">
              <w:rPr>
                <w:szCs w:val="17"/>
              </w:rPr>
              <w:t>32</w:t>
            </w:r>
          </w:p>
        </w:tc>
        <w:tc>
          <w:tcPr>
            <w:tcW w:w="1485" w:type="pct"/>
          </w:tcPr>
          <w:p w14:paraId="7CA58688" w14:textId="77777777" w:rsidR="00567B0D" w:rsidRPr="00567B0D" w:rsidRDefault="00567B0D" w:rsidP="00567B0D">
            <w:pPr>
              <w:spacing w:before="20" w:after="20"/>
              <w:jc w:val="left"/>
              <w:rPr>
                <w:szCs w:val="17"/>
              </w:rPr>
            </w:pPr>
            <w:r w:rsidRPr="00567B0D">
              <w:rPr>
                <w:szCs w:val="17"/>
              </w:rPr>
              <w:t>McLaren Flat Soldiers Memorial Hall and Community Club</w:t>
            </w:r>
          </w:p>
        </w:tc>
        <w:tc>
          <w:tcPr>
            <w:tcW w:w="1720" w:type="pct"/>
          </w:tcPr>
          <w:p w14:paraId="752707AA" w14:textId="77777777" w:rsidR="00567B0D" w:rsidRPr="00567B0D" w:rsidRDefault="00567B0D" w:rsidP="00567B0D">
            <w:pPr>
              <w:spacing w:before="20" w:after="20"/>
              <w:jc w:val="left"/>
              <w:rPr>
                <w:szCs w:val="17"/>
              </w:rPr>
            </w:pPr>
            <w:r w:rsidRPr="00567B0D">
              <w:rPr>
                <w:szCs w:val="17"/>
              </w:rPr>
              <w:t>41-47 Main Road,</w:t>
            </w:r>
          </w:p>
          <w:p w14:paraId="755DF320" w14:textId="77777777" w:rsidR="00567B0D" w:rsidRPr="00567B0D" w:rsidRDefault="00567B0D" w:rsidP="00567B0D">
            <w:pPr>
              <w:spacing w:before="20" w:after="20"/>
              <w:jc w:val="left"/>
              <w:rPr>
                <w:szCs w:val="17"/>
              </w:rPr>
            </w:pPr>
            <w:r w:rsidRPr="00567B0D">
              <w:rPr>
                <w:szCs w:val="17"/>
              </w:rPr>
              <w:t>McLaren Flat</w:t>
            </w:r>
          </w:p>
        </w:tc>
        <w:tc>
          <w:tcPr>
            <w:tcW w:w="1407" w:type="pct"/>
          </w:tcPr>
          <w:p w14:paraId="304501E5" w14:textId="77777777" w:rsidR="00567B0D" w:rsidRPr="00567B0D" w:rsidRDefault="00567B0D" w:rsidP="00567B0D">
            <w:pPr>
              <w:spacing w:before="20" w:after="20"/>
              <w:jc w:val="left"/>
              <w:rPr>
                <w:szCs w:val="17"/>
              </w:rPr>
            </w:pPr>
            <w:r w:rsidRPr="00567B0D">
              <w:rPr>
                <w:szCs w:val="17"/>
              </w:rPr>
              <w:t>CT 5853/24</w:t>
            </w:r>
          </w:p>
        </w:tc>
      </w:tr>
      <w:tr w:rsidR="00567B0D" w:rsidRPr="00567B0D" w14:paraId="5A16BEF2" w14:textId="77777777" w:rsidTr="0012134E">
        <w:tc>
          <w:tcPr>
            <w:tcW w:w="388" w:type="pct"/>
          </w:tcPr>
          <w:p w14:paraId="10FC3DE9" w14:textId="77777777" w:rsidR="00567B0D" w:rsidRPr="00567B0D" w:rsidRDefault="00567B0D" w:rsidP="00567B0D">
            <w:pPr>
              <w:spacing w:before="20" w:after="20"/>
              <w:jc w:val="left"/>
              <w:rPr>
                <w:szCs w:val="17"/>
              </w:rPr>
            </w:pPr>
            <w:r w:rsidRPr="00567B0D">
              <w:rPr>
                <w:szCs w:val="17"/>
              </w:rPr>
              <w:t>33</w:t>
            </w:r>
          </w:p>
        </w:tc>
        <w:tc>
          <w:tcPr>
            <w:tcW w:w="1485" w:type="pct"/>
          </w:tcPr>
          <w:p w14:paraId="37DFD5CF" w14:textId="77777777" w:rsidR="00567B0D" w:rsidRPr="00567B0D" w:rsidRDefault="00567B0D" w:rsidP="00567B0D">
            <w:pPr>
              <w:spacing w:before="20" w:after="20"/>
              <w:jc w:val="left"/>
              <w:rPr>
                <w:szCs w:val="17"/>
              </w:rPr>
            </w:pPr>
            <w:r w:rsidRPr="00567B0D">
              <w:rPr>
                <w:szCs w:val="17"/>
              </w:rPr>
              <w:t>McLaren Vale Institute Hall</w:t>
            </w:r>
          </w:p>
        </w:tc>
        <w:tc>
          <w:tcPr>
            <w:tcW w:w="1720" w:type="pct"/>
          </w:tcPr>
          <w:p w14:paraId="211A2897" w14:textId="77777777" w:rsidR="00567B0D" w:rsidRPr="00567B0D" w:rsidRDefault="00567B0D" w:rsidP="00567B0D">
            <w:pPr>
              <w:spacing w:before="20" w:after="20"/>
              <w:jc w:val="left"/>
              <w:rPr>
                <w:szCs w:val="17"/>
              </w:rPr>
            </w:pPr>
            <w:r w:rsidRPr="00567B0D">
              <w:rPr>
                <w:szCs w:val="17"/>
              </w:rPr>
              <w:t>155-157 Main Road, McLaren Vale</w:t>
            </w:r>
          </w:p>
        </w:tc>
        <w:tc>
          <w:tcPr>
            <w:tcW w:w="1407" w:type="pct"/>
          </w:tcPr>
          <w:p w14:paraId="0393D9CA" w14:textId="77777777" w:rsidR="00567B0D" w:rsidRPr="00567B0D" w:rsidRDefault="00567B0D" w:rsidP="00567B0D">
            <w:pPr>
              <w:spacing w:before="20" w:after="20"/>
              <w:jc w:val="left"/>
              <w:rPr>
                <w:szCs w:val="17"/>
              </w:rPr>
            </w:pPr>
            <w:r w:rsidRPr="00567B0D">
              <w:rPr>
                <w:szCs w:val="17"/>
              </w:rPr>
              <w:t>CT 6109/588</w:t>
            </w:r>
          </w:p>
        </w:tc>
      </w:tr>
      <w:tr w:rsidR="00567B0D" w:rsidRPr="00567B0D" w14:paraId="157A8412" w14:textId="77777777" w:rsidTr="0012134E">
        <w:tc>
          <w:tcPr>
            <w:tcW w:w="388" w:type="pct"/>
          </w:tcPr>
          <w:p w14:paraId="35A83C55" w14:textId="77777777" w:rsidR="00567B0D" w:rsidRPr="00567B0D" w:rsidRDefault="00567B0D" w:rsidP="00567B0D">
            <w:pPr>
              <w:spacing w:before="20" w:after="20"/>
              <w:jc w:val="left"/>
              <w:rPr>
                <w:szCs w:val="17"/>
              </w:rPr>
            </w:pPr>
            <w:r w:rsidRPr="00567B0D">
              <w:rPr>
                <w:szCs w:val="17"/>
              </w:rPr>
              <w:t>34</w:t>
            </w:r>
          </w:p>
        </w:tc>
        <w:tc>
          <w:tcPr>
            <w:tcW w:w="1485" w:type="pct"/>
          </w:tcPr>
          <w:p w14:paraId="121F4A5F" w14:textId="77777777" w:rsidR="00567B0D" w:rsidRPr="00567B0D" w:rsidRDefault="00567B0D" w:rsidP="00567B0D">
            <w:pPr>
              <w:spacing w:before="20" w:after="20"/>
              <w:jc w:val="left"/>
              <w:rPr>
                <w:szCs w:val="17"/>
              </w:rPr>
            </w:pPr>
            <w:r w:rsidRPr="00567B0D">
              <w:rPr>
                <w:szCs w:val="17"/>
              </w:rPr>
              <w:t>Noarlunga Leisure Centre</w:t>
            </w:r>
          </w:p>
        </w:tc>
        <w:tc>
          <w:tcPr>
            <w:tcW w:w="1720" w:type="pct"/>
          </w:tcPr>
          <w:p w14:paraId="5574C88C" w14:textId="77777777" w:rsidR="00567B0D" w:rsidRPr="00567B0D" w:rsidRDefault="00567B0D" w:rsidP="00567B0D">
            <w:pPr>
              <w:spacing w:before="20" w:after="20"/>
              <w:jc w:val="left"/>
              <w:rPr>
                <w:szCs w:val="17"/>
              </w:rPr>
            </w:pPr>
            <w:r w:rsidRPr="00567B0D">
              <w:rPr>
                <w:szCs w:val="17"/>
              </w:rPr>
              <w:t>13 Seaman Road,</w:t>
            </w:r>
          </w:p>
          <w:p w14:paraId="7C3E78E0" w14:textId="77777777" w:rsidR="00567B0D" w:rsidRPr="00567B0D" w:rsidRDefault="00567B0D" w:rsidP="00567B0D">
            <w:pPr>
              <w:spacing w:before="20" w:after="20"/>
              <w:jc w:val="left"/>
              <w:rPr>
                <w:szCs w:val="17"/>
              </w:rPr>
            </w:pPr>
            <w:r w:rsidRPr="00567B0D">
              <w:rPr>
                <w:szCs w:val="17"/>
              </w:rPr>
              <w:lastRenderedPageBreak/>
              <w:t>Noarlunga Centre</w:t>
            </w:r>
          </w:p>
        </w:tc>
        <w:tc>
          <w:tcPr>
            <w:tcW w:w="1407" w:type="pct"/>
          </w:tcPr>
          <w:p w14:paraId="03B0174C" w14:textId="77777777" w:rsidR="00567B0D" w:rsidRPr="00567B0D" w:rsidRDefault="00567B0D" w:rsidP="00567B0D">
            <w:pPr>
              <w:spacing w:before="20" w:after="20"/>
              <w:jc w:val="left"/>
              <w:rPr>
                <w:szCs w:val="17"/>
              </w:rPr>
            </w:pPr>
            <w:r w:rsidRPr="00567B0D">
              <w:rPr>
                <w:szCs w:val="17"/>
              </w:rPr>
              <w:lastRenderedPageBreak/>
              <w:t>CT 5069/341</w:t>
            </w:r>
          </w:p>
        </w:tc>
      </w:tr>
      <w:tr w:rsidR="00567B0D" w:rsidRPr="00567B0D" w14:paraId="2C5274EB" w14:textId="77777777" w:rsidTr="0012134E">
        <w:tc>
          <w:tcPr>
            <w:tcW w:w="388" w:type="pct"/>
          </w:tcPr>
          <w:p w14:paraId="182968A1" w14:textId="77777777" w:rsidR="00567B0D" w:rsidRPr="00567B0D" w:rsidRDefault="00567B0D" w:rsidP="00567B0D">
            <w:pPr>
              <w:spacing w:before="20" w:after="20"/>
              <w:jc w:val="left"/>
              <w:rPr>
                <w:szCs w:val="17"/>
              </w:rPr>
            </w:pPr>
            <w:r w:rsidRPr="00567B0D">
              <w:rPr>
                <w:szCs w:val="17"/>
              </w:rPr>
              <w:t>35</w:t>
            </w:r>
          </w:p>
        </w:tc>
        <w:tc>
          <w:tcPr>
            <w:tcW w:w="1485" w:type="pct"/>
          </w:tcPr>
          <w:p w14:paraId="079FA3E9" w14:textId="77777777" w:rsidR="00567B0D" w:rsidRPr="00567B0D" w:rsidRDefault="00567B0D" w:rsidP="00567B0D">
            <w:pPr>
              <w:spacing w:before="20" w:after="20"/>
              <w:jc w:val="left"/>
              <w:rPr>
                <w:szCs w:val="17"/>
              </w:rPr>
            </w:pPr>
            <w:r w:rsidRPr="00567B0D">
              <w:rPr>
                <w:szCs w:val="17"/>
              </w:rPr>
              <w:t>Seaford Recreation Centre</w:t>
            </w:r>
          </w:p>
        </w:tc>
        <w:tc>
          <w:tcPr>
            <w:tcW w:w="1720" w:type="pct"/>
          </w:tcPr>
          <w:p w14:paraId="125FD6B2" w14:textId="77777777" w:rsidR="00567B0D" w:rsidRPr="00567B0D" w:rsidRDefault="00567B0D" w:rsidP="00567B0D">
            <w:pPr>
              <w:spacing w:before="20" w:after="20"/>
              <w:jc w:val="left"/>
              <w:rPr>
                <w:szCs w:val="17"/>
              </w:rPr>
            </w:pPr>
            <w:r w:rsidRPr="00567B0D">
              <w:rPr>
                <w:szCs w:val="17"/>
              </w:rPr>
              <w:t>620 Grand Boulevard, Seaford</w:t>
            </w:r>
          </w:p>
        </w:tc>
        <w:tc>
          <w:tcPr>
            <w:tcW w:w="1407" w:type="pct"/>
          </w:tcPr>
          <w:p w14:paraId="01BC3539" w14:textId="77777777" w:rsidR="00567B0D" w:rsidRPr="00567B0D" w:rsidRDefault="00567B0D" w:rsidP="00567B0D">
            <w:pPr>
              <w:spacing w:before="20" w:after="20"/>
              <w:jc w:val="left"/>
              <w:rPr>
                <w:szCs w:val="17"/>
              </w:rPr>
            </w:pPr>
            <w:r w:rsidRPr="00567B0D">
              <w:rPr>
                <w:szCs w:val="17"/>
              </w:rPr>
              <w:t>CT 5566/461</w:t>
            </w:r>
          </w:p>
        </w:tc>
      </w:tr>
      <w:tr w:rsidR="00567B0D" w:rsidRPr="00567B0D" w14:paraId="26BC24E7" w14:textId="77777777" w:rsidTr="0012134E">
        <w:tc>
          <w:tcPr>
            <w:tcW w:w="388" w:type="pct"/>
          </w:tcPr>
          <w:p w14:paraId="725C3177" w14:textId="77777777" w:rsidR="00567B0D" w:rsidRPr="00567B0D" w:rsidRDefault="00567B0D" w:rsidP="00567B0D">
            <w:pPr>
              <w:spacing w:before="20" w:after="20"/>
              <w:jc w:val="left"/>
              <w:rPr>
                <w:szCs w:val="17"/>
              </w:rPr>
            </w:pPr>
            <w:r w:rsidRPr="00567B0D">
              <w:rPr>
                <w:szCs w:val="17"/>
              </w:rPr>
              <w:t>36</w:t>
            </w:r>
          </w:p>
        </w:tc>
        <w:tc>
          <w:tcPr>
            <w:tcW w:w="1485" w:type="pct"/>
          </w:tcPr>
          <w:p w14:paraId="55E287C2" w14:textId="77777777" w:rsidR="00567B0D" w:rsidRPr="00567B0D" w:rsidRDefault="00567B0D" w:rsidP="00567B0D">
            <w:pPr>
              <w:spacing w:before="20" w:after="20"/>
              <w:jc w:val="left"/>
              <w:rPr>
                <w:szCs w:val="17"/>
              </w:rPr>
            </w:pPr>
            <w:r w:rsidRPr="00567B0D">
              <w:rPr>
                <w:szCs w:val="17"/>
              </w:rPr>
              <w:t>Aldinga Recreation Centre</w:t>
            </w:r>
          </w:p>
        </w:tc>
        <w:tc>
          <w:tcPr>
            <w:tcW w:w="1720" w:type="pct"/>
          </w:tcPr>
          <w:p w14:paraId="6E7EFC1C" w14:textId="77777777" w:rsidR="00567B0D" w:rsidRPr="00567B0D" w:rsidRDefault="00567B0D" w:rsidP="00567B0D">
            <w:pPr>
              <w:spacing w:before="20" w:after="20"/>
              <w:jc w:val="left"/>
              <w:rPr>
                <w:szCs w:val="17"/>
              </w:rPr>
            </w:pPr>
            <w:r w:rsidRPr="00567B0D">
              <w:rPr>
                <w:szCs w:val="17"/>
              </w:rPr>
              <w:t>5 McRae Street,</w:t>
            </w:r>
          </w:p>
          <w:p w14:paraId="189AA7D3" w14:textId="77777777" w:rsidR="00567B0D" w:rsidRPr="00567B0D" w:rsidRDefault="00567B0D" w:rsidP="00567B0D">
            <w:pPr>
              <w:spacing w:before="20" w:after="20"/>
              <w:jc w:val="left"/>
              <w:rPr>
                <w:szCs w:val="17"/>
              </w:rPr>
            </w:pPr>
            <w:r w:rsidRPr="00567B0D">
              <w:rPr>
                <w:szCs w:val="17"/>
              </w:rPr>
              <w:t>Aldinga Beach</w:t>
            </w:r>
          </w:p>
        </w:tc>
        <w:tc>
          <w:tcPr>
            <w:tcW w:w="1407" w:type="pct"/>
          </w:tcPr>
          <w:p w14:paraId="002501A1" w14:textId="77777777" w:rsidR="00567B0D" w:rsidRPr="00567B0D" w:rsidRDefault="00567B0D" w:rsidP="00567B0D">
            <w:pPr>
              <w:spacing w:before="20" w:after="20"/>
              <w:jc w:val="left"/>
              <w:rPr>
                <w:szCs w:val="17"/>
              </w:rPr>
            </w:pPr>
            <w:r w:rsidRPr="00567B0D">
              <w:rPr>
                <w:szCs w:val="17"/>
              </w:rPr>
              <w:t>CT 6193/291</w:t>
            </w:r>
          </w:p>
        </w:tc>
      </w:tr>
      <w:tr w:rsidR="00567B0D" w:rsidRPr="00567B0D" w14:paraId="30E9EE17" w14:textId="77777777" w:rsidTr="0012134E">
        <w:tc>
          <w:tcPr>
            <w:tcW w:w="388" w:type="pct"/>
            <w:tcBorders>
              <w:bottom w:val="single" w:sz="4" w:space="0" w:color="auto"/>
            </w:tcBorders>
          </w:tcPr>
          <w:p w14:paraId="1AE07A3A" w14:textId="77777777" w:rsidR="00567B0D" w:rsidRPr="00567B0D" w:rsidRDefault="00567B0D" w:rsidP="00567B0D">
            <w:pPr>
              <w:spacing w:before="20" w:after="20"/>
              <w:jc w:val="left"/>
              <w:rPr>
                <w:szCs w:val="17"/>
              </w:rPr>
            </w:pPr>
            <w:r w:rsidRPr="00567B0D">
              <w:rPr>
                <w:szCs w:val="17"/>
              </w:rPr>
              <w:t>37</w:t>
            </w:r>
          </w:p>
        </w:tc>
        <w:tc>
          <w:tcPr>
            <w:tcW w:w="1485" w:type="pct"/>
            <w:tcBorders>
              <w:bottom w:val="single" w:sz="4" w:space="0" w:color="auto"/>
            </w:tcBorders>
          </w:tcPr>
          <w:p w14:paraId="30BDCFCC" w14:textId="77777777" w:rsidR="00567B0D" w:rsidRPr="00567B0D" w:rsidRDefault="00567B0D" w:rsidP="00567B0D">
            <w:pPr>
              <w:spacing w:before="20" w:after="20"/>
              <w:jc w:val="left"/>
              <w:rPr>
                <w:szCs w:val="17"/>
              </w:rPr>
            </w:pPr>
            <w:r w:rsidRPr="00567B0D">
              <w:rPr>
                <w:szCs w:val="17"/>
              </w:rPr>
              <w:t>The Hub Recreation Centre</w:t>
            </w:r>
          </w:p>
        </w:tc>
        <w:tc>
          <w:tcPr>
            <w:tcW w:w="1720" w:type="pct"/>
            <w:tcBorders>
              <w:bottom w:val="single" w:sz="4" w:space="0" w:color="auto"/>
            </w:tcBorders>
          </w:tcPr>
          <w:p w14:paraId="7CD99EF2" w14:textId="77777777" w:rsidR="00567B0D" w:rsidRPr="00567B0D" w:rsidRDefault="00567B0D" w:rsidP="00567B0D">
            <w:pPr>
              <w:spacing w:before="20" w:after="20"/>
              <w:jc w:val="left"/>
              <w:rPr>
                <w:szCs w:val="17"/>
              </w:rPr>
            </w:pPr>
            <w:r w:rsidRPr="00567B0D">
              <w:rPr>
                <w:szCs w:val="17"/>
              </w:rPr>
              <w:t>3 The Mall,</w:t>
            </w:r>
          </w:p>
          <w:p w14:paraId="43B3A1F3" w14:textId="77777777" w:rsidR="00567B0D" w:rsidRPr="00567B0D" w:rsidRDefault="00567B0D" w:rsidP="00567B0D">
            <w:pPr>
              <w:spacing w:before="20" w:after="20"/>
              <w:jc w:val="left"/>
              <w:rPr>
                <w:szCs w:val="17"/>
              </w:rPr>
            </w:pPr>
            <w:r w:rsidRPr="00567B0D">
              <w:rPr>
                <w:szCs w:val="17"/>
              </w:rPr>
              <w:t>Aberfoyle Park</w:t>
            </w:r>
          </w:p>
        </w:tc>
        <w:tc>
          <w:tcPr>
            <w:tcW w:w="1407" w:type="pct"/>
            <w:tcBorders>
              <w:bottom w:val="single" w:sz="4" w:space="0" w:color="auto"/>
            </w:tcBorders>
          </w:tcPr>
          <w:p w14:paraId="5D58C0D1" w14:textId="77777777" w:rsidR="00567B0D" w:rsidRPr="00567B0D" w:rsidRDefault="00567B0D" w:rsidP="00567B0D">
            <w:pPr>
              <w:spacing w:before="20" w:after="20"/>
              <w:jc w:val="left"/>
              <w:rPr>
                <w:szCs w:val="17"/>
              </w:rPr>
            </w:pPr>
            <w:r w:rsidRPr="00567B0D">
              <w:rPr>
                <w:szCs w:val="17"/>
              </w:rPr>
              <w:t>CT 5654/804</w:t>
            </w:r>
          </w:p>
        </w:tc>
      </w:tr>
    </w:tbl>
    <w:p w14:paraId="17E25ADF" w14:textId="61C4E3AB" w:rsidR="00567B0D" w:rsidRDefault="00567B0D" w:rsidP="00567B0D">
      <w:pPr>
        <w:pBdr>
          <w:bottom w:val="single" w:sz="4" w:space="1" w:color="auto"/>
        </w:pBdr>
        <w:spacing w:after="0" w:line="52" w:lineRule="exact"/>
        <w:jc w:val="center"/>
      </w:pPr>
    </w:p>
    <w:p w14:paraId="595EFBF9" w14:textId="2BF56C08" w:rsidR="00567B0D" w:rsidRDefault="00567B0D" w:rsidP="00567B0D">
      <w:pPr>
        <w:pBdr>
          <w:top w:val="single" w:sz="4" w:space="1" w:color="auto"/>
        </w:pBdr>
        <w:spacing w:before="34" w:after="0" w:line="14" w:lineRule="exact"/>
        <w:jc w:val="center"/>
      </w:pPr>
    </w:p>
    <w:p w14:paraId="7FC69BE5" w14:textId="48DC2E36" w:rsidR="00567B0D" w:rsidRDefault="00567B0D" w:rsidP="00965F17">
      <w:pPr>
        <w:pStyle w:val="GG-body"/>
        <w:spacing w:after="0"/>
        <w:rPr>
          <w:lang w:val="en-US"/>
        </w:rPr>
      </w:pPr>
    </w:p>
    <w:p w14:paraId="3B9FFEF2" w14:textId="77777777" w:rsidR="00567B0D" w:rsidRPr="00567B0D" w:rsidRDefault="00567B0D" w:rsidP="00392842">
      <w:pPr>
        <w:pStyle w:val="Heading2"/>
        <w:rPr>
          <w:lang w:eastAsia="en-AU"/>
        </w:rPr>
      </w:pPr>
      <w:bookmarkStart w:id="66" w:name="_Toc122600846"/>
      <w:r w:rsidRPr="00567B0D">
        <w:rPr>
          <w:lang w:eastAsia="en-AU"/>
        </w:rPr>
        <w:t>Return to Work Act 2014</w:t>
      </w:r>
      <w:bookmarkEnd w:id="66"/>
    </w:p>
    <w:p w14:paraId="04046BB3" w14:textId="77777777" w:rsidR="00567B0D" w:rsidRPr="00567B0D" w:rsidRDefault="00567B0D" w:rsidP="00567B0D">
      <w:pPr>
        <w:jc w:val="center"/>
        <w:rPr>
          <w:i/>
          <w:szCs w:val="17"/>
          <w:lang w:eastAsia="en-AU"/>
        </w:rPr>
      </w:pPr>
      <w:r w:rsidRPr="00567B0D">
        <w:rPr>
          <w:i/>
          <w:szCs w:val="17"/>
          <w:lang w:eastAsia="en-AU"/>
        </w:rPr>
        <w:t>Notice of Travel Allowance</w:t>
      </w:r>
    </w:p>
    <w:p w14:paraId="38A46714" w14:textId="77777777" w:rsidR="00567B0D" w:rsidRPr="00567B0D" w:rsidRDefault="00567B0D" w:rsidP="00567B0D">
      <w:pPr>
        <w:rPr>
          <w:rFonts w:eastAsia="Times New Roman"/>
          <w:b/>
          <w:bCs/>
          <w:szCs w:val="17"/>
          <w:lang w:eastAsia="en-AU"/>
        </w:rPr>
      </w:pPr>
      <w:r w:rsidRPr="00567B0D">
        <w:rPr>
          <w:rFonts w:eastAsia="Times New Roman"/>
          <w:b/>
          <w:bCs/>
          <w:szCs w:val="17"/>
          <w:lang w:eastAsia="en-AU"/>
        </w:rPr>
        <w:t>Preamble</w:t>
      </w:r>
    </w:p>
    <w:p w14:paraId="161334D2" w14:textId="77777777" w:rsidR="00567B0D" w:rsidRPr="00567B0D" w:rsidRDefault="00567B0D" w:rsidP="00567B0D">
      <w:pPr>
        <w:rPr>
          <w:rFonts w:eastAsia="Times New Roman" w:cs="Arial"/>
          <w:szCs w:val="17"/>
        </w:rPr>
      </w:pPr>
      <w:r w:rsidRPr="00567B0D">
        <w:rPr>
          <w:rFonts w:eastAsia="Times New Roman" w:cs="Arial"/>
          <w:szCs w:val="17"/>
        </w:rPr>
        <w:t xml:space="preserve">Section 33(8) of the </w:t>
      </w:r>
      <w:r w:rsidRPr="00567B0D">
        <w:rPr>
          <w:rFonts w:eastAsia="Times New Roman" w:cs="Arial"/>
          <w:i/>
          <w:iCs/>
          <w:szCs w:val="17"/>
        </w:rPr>
        <w:t>Return to Work Act 2014</w:t>
      </w:r>
      <w:r w:rsidRPr="00567B0D">
        <w:rPr>
          <w:rFonts w:eastAsia="Times New Roman" w:cs="Arial"/>
          <w:szCs w:val="17"/>
        </w:rPr>
        <w:t xml:space="preserve"> (the Act) states that:</w:t>
      </w:r>
    </w:p>
    <w:p w14:paraId="79DE2BDC" w14:textId="77777777" w:rsidR="00567B0D" w:rsidRPr="00567B0D" w:rsidRDefault="00567B0D" w:rsidP="00567B0D">
      <w:pPr>
        <w:ind w:left="284"/>
        <w:rPr>
          <w:rFonts w:eastAsia="Times New Roman" w:cs="Arial"/>
          <w:i/>
          <w:iCs/>
          <w:szCs w:val="17"/>
        </w:rPr>
      </w:pPr>
      <w:r w:rsidRPr="00567B0D">
        <w:rPr>
          <w:rFonts w:eastAsia="Times New Roman" w:cs="Arial"/>
          <w:i/>
          <w:iCs/>
          <w:szCs w:val="17"/>
        </w:rPr>
        <w:t>If a worker travels in a private vehicle to or from any place for the purpose of receiving medical services, hospitalisation or approved recovery/return to work services, and the travel is reasonably necessary in the circumstances of the case, the worker is entitled to a travel allowance at rates fixed by a scale published by the Minister under this section.</w:t>
      </w:r>
    </w:p>
    <w:p w14:paraId="5B459360" w14:textId="77777777" w:rsidR="00567B0D" w:rsidRPr="00567B0D" w:rsidRDefault="00567B0D" w:rsidP="004C3299">
      <w:pPr>
        <w:pStyle w:val="GG-Title2"/>
        <w:rPr>
          <w:lang w:val="en-US" w:eastAsia="en-AU"/>
        </w:rPr>
      </w:pPr>
      <w:bookmarkStart w:id="67" w:name="_Toc122600847"/>
      <w:r w:rsidRPr="00567B0D">
        <w:rPr>
          <w:lang w:val="en-US" w:eastAsia="en-AU"/>
        </w:rPr>
        <w:t>Notice</w:t>
      </w:r>
      <w:bookmarkEnd w:id="67"/>
    </w:p>
    <w:p w14:paraId="1733BED7" w14:textId="77777777" w:rsidR="00567B0D" w:rsidRPr="00567B0D" w:rsidRDefault="00567B0D" w:rsidP="00567B0D">
      <w:pPr>
        <w:rPr>
          <w:rFonts w:eastAsia="Times New Roman" w:cs="Arial"/>
          <w:szCs w:val="17"/>
          <w:lang w:eastAsia="en-AU"/>
        </w:rPr>
      </w:pPr>
      <w:r w:rsidRPr="00567B0D">
        <w:rPr>
          <w:rFonts w:eastAsia="Times New Roman" w:cs="Arial"/>
          <w:szCs w:val="17"/>
          <w:lang w:eastAsia="en-AU"/>
        </w:rPr>
        <w:t>I DECLARE that the rate for travel allowance in 2023 is hereby fixed for the purposes of section 33(8) of the Act at 51.6 cents per kilometre, and this notice supersedes all previous notices of the travel allowance rate published under section 33(8) of the Act.</w:t>
      </w:r>
    </w:p>
    <w:p w14:paraId="372D0656" w14:textId="77777777" w:rsidR="00567B0D" w:rsidRPr="00567B0D" w:rsidRDefault="00567B0D" w:rsidP="00567B0D">
      <w:pPr>
        <w:rPr>
          <w:rFonts w:eastAsia="Times New Roman" w:cs="Arial"/>
          <w:szCs w:val="17"/>
          <w:lang w:eastAsia="en-AU"/>
        </w:rPr>
      </w:pPr>
      <w:r w:rsidRPr="00567B0D">
        <w:rPr>
          <w:rFonts w:eastAsia="Times New Roman" w:cs="Arial"/>
          <w:szCs w:val="17"/>
          <w:lang w:eastAsia="en-AU"/>
        </w:rPr>
        <w:t>This Notice is effective for travel on or after 1 January 2023.</w:t>
      </w:r>
    </w:p>
    <w:p w14:paraId="5558EEFA" w14:textId="77777777" w:rsidR="00567B0D" w:rsidRPr="00567B0D" w:rsidRDefault="00567B0D" w:rsidP="00567B0D">
      <w:pPr>
        <w:spacing w:after="0"/>
        <w:rPr>
          <w:rFonts w:eastAsia="Times New Roman"/>
          <w:szCs w:val="17"/>
          <w:lang w:eastAsia="en-AU"/>
        </w:rPr>
      </w:pPr>
      <w:r w:rsidRPr="00567B0D">
        <w:rPr>
          <w:rFonts w:eastAsia="Times New Roman"/>
          <w:szCs w:val="17"/>
          <w:lang w:eastAsia="en-AU"/>
        </w:rPr>
        <w:t>Dated: 11 December 2022</w:t>
      </w:r>
    </w:p>
    <w:p w14:paraId="4FD4CF93" w14:textId="77777777" w:rsidR="00567B0D" w:rsidRPr="00567B0D" w:rsidRDefault="00567B0D" w:rsidP="00567B0D">
      <w:pPr>
        <w:spacing w:after="0"/>
        <w:jc w:val="right"/>
        <w:rPr>
          <w:rFonts w:eastAsia="Times New Roman"/>
          <w:smallCaps/>
          <w:szCs w:val="20"/>
          <w:lang w:eastAsia="en-AU"/>
        </w:rPr>
      </w:pPr>
      <w:r w:rsidRPr="00567B0D">
        <w:rPr>
          <w:rFonts w:eastAsia="Times New Roman"/>
          <w:smallCaps/>
          <w:szCs w:val="20"/>
          <w:lang w:eastAsia="en-AU"/>
        </w:rPr>
        <w:t>Hon Kyam Maher MLC</w:t>
      </w:r>
    </w:p>
    <w:p w14:paraId="524D6D08" w14:textId="5D2968E7" w:rsidR="00567B0D" w:rsidRDefault="00567B0D" w:rsidP="00567B0D">
      <w:pPr>
        <w:jc w:val="right"/>
        <w:rPr>
          <w:rFonts w:eastAsia="Times New Roman"/>
          <w:szCs w:val="17"/>
          <w:lang w:eastAsia="en-AU"/>
        </w:rPr>
      </w:pPr>
      <w:r w:rsidRPr="00567B0D">
        <w:rPr>
          <w:rFonts w:eastAsia="Times New Roman"/>
          <w:szCs w:val="17"/>
          <w:lang w:eastAsia="en-AU"/>
        </w:rPr>
        <w:t>Minister for Industrial Relations and Private Sector</w:t>
      </w:r>
    </w:p>
    <w:p w14:paraId="18AA40F5" w14:textId="568AC514" w:rsidR="00567B0D" w:rsidRDefault="00567B0D" w:rsidP="00567B0D">
      <w:pPr>
        <w:pBdr>
          <w:bottom w:val="single" w:sz="4" w:space="1" w:color="auto"/>
        </w:pBdr>
        <w:spacing w:after="0" w:line="52" w:lineRule="exact"/>
        <w:jc w:val="center"/>
        <w:rPr>
          <w:rFonts w:eastAsia="Times New Roman"/>
          <w:szCs w:val="17"/>
          <w:lang w:eastAsia="en-AU"/>
        </w:rPr>
      </w:pPr>
    </w:p>
    <w:p w14:paraId="24B77472" w14:textId="2CFB0DA3" w:rsidR="00567B0D" w:rsidRDefault="00567B0D" w:rsidP="00567B0D">
      <w:pPr>
        <w:pBdr>
          <w:top w:val="single" w:sz="4" w:space="1" w:color="auto"/>
        </w:pBdr>
        <w:spacing w:before="34" w:after="0" w:line="14" w:lineRule="exact"/>
        <w:jc w:val="center"/>
        <w:rPr>
          <w:rFonts w:eastAsia="Times New Roman"/>
          <w:szCs w:val="17"/>
          <w:lang w:eastAsia="en-AU"/>
        </w:rPr>
      </w:pPr>
    </w:p>
    <w:p w14:paraId="41E5ACC7" w14:textId="0D8F1518" w:rsidR="00567B0D" w:rsidRDefault="00567B0D" w:rsidP="00965F17">
      <w:pPr>
        <w:pStyle w:val="GG-body"/>
        <w:spacing w:after="0"/>
        <w:rPr>
          <w:lang w:val="en-US"/>
        </w:rPr>
      </w:pPr>
    </w:p>
    <w:p w14:paraId="0F11985D" w14:textId="77777777" w:rsidR="0035143A" w:rsidRDefault="0035143A" w:rsidP="00392842">
      <w:pPr>
        <w:pStyle w:val="Heading2"/>
      </w:pPr>
      <w:bookmarkStart w:id="68" w:name="_Toc122600848"/>
      <w:r>
        <w:t>South Australian Skills Act 2008</w:t>
      </w:r>
      <w:bookmarkEnd w:id="68"/>
    </w:p>
    <w:p w14:paraId="310ED724" w14:textId="77777777" w:rsidR="0035143A" w:rsidRPr="00F109C9" w:rsidRDefault="0035143A" w:rsidP="0035143A">
      <w:pPr>
        <w:pStyle w:val="GG-Title3"/>
      </w:pPr>
      <w:r w:rsidRPr="00F109C9">
        <w:t>Part 4</w:t>
      </w:r>
      <w:r>
        <w:t>—</w:t>
      </w:r>
      <w:r w:rsidRPr="00F109C9">
        <w:t xml:space="preserve">Apprenticeships, Traineeships </w:t>
      </w:r>
      <w:r>
        <w:t>a</w:t>
      </w:r>
      <w:r w:rsidRPr="00F109C9">
        <w:t>nd Training Contracts</w:t>
      </w:r>
    </w:p>
    <w:p w14:paraId="21605220" w14:textId="77777777" w:rsidR="0035143A" w:rsidRDefault="0035143A" w:rsidP="0035143A">
      <w:pPr>
        <w:pStyle w:val="GG-body"/>
      </w:pPr>
      <w:r w:rsidRPr="00F109C9">
        <w:t xml:space="preserve">PURSUANT to the provision of the </w:t>
      </w:r>
      <w:r w:rsidRPr="00F109C9">
        <w:rPr>
          <w:i/>
          <w:iCs/>
        </w:rPr>
        <w:t>South Australian Skills Act 2008</w:t>
      </w:r>
      <w:r w:rsidRPr="00F109C9">
        <w:t xml:space="preserve">, the South Australian Skills Commission (SASC) gives notice that determines the following Trades or Declared Vocations in addition to the </w:t>
      </w:r>
      <w:r w:rsidRPr="00F109C9">
        <w:rPr>
          <w:i/>
          <w:iCs/>
        </w:rPr>
        <w:t>Gazette</w:t>
      </w:r>
      <w:r w:rsidRPr="00F109C9">
        <w:t xml:space="preserve"> notices of:</w:t>
      </w:r>
    </w:p>
    <w:tbl>
      <w:tblPr>
        <w:tblW w:w="5000" w:type="pct"/>
        <w:tblLook w:val="04A0" w:firstRow="1" w:lastRow="0" w:firstColumn="1" w:lastColumn="0" w:noHBand="0" w:noVBand="1"/>
      </w:tblPr>
      <w:tblGrid>
        <w:gridCol w:w="2301"/>
        <w:gridCol w:w="2376"/>
        <w:gridCol w:w="2376"/>
        <w:gridCol w:w="2301"/>
      </w:tblGrid>
      <w:tr w:rsidR="0035143A" w:rsidRPr="00180656" w14:paraId="64C6994B" w14:textId="77777777" w:rsidTr="0012134E">
        <w:trPr>
          <w:trHeight w:val="20"/>
        </w:trPr>
        <w:tc>
          <w:tcPr>
            <w:tcW w:w="1230" w:type="pct"/>
            <w:tcBorders>
              <w:top w:val="nil"/>
              <w:left w:val="nil"/>
              <w:bottom w:val="nil"/>
              <w:right w:val="nil"/>
            </w:tcBorders>
            <w:shd w:val="clear" w:color="auto" w:fill="auto"/>
            <w:vAlign w:val="center"/>
            <w:hideMark/>
          </w:tcPr>
          <w:p w14:paraId="073B6B7F" w14:textId="77777777" w:rsidR="0035143A" w:rsidRPr="00180656" w:rsidRDefault="0035143A" w:rsidP="0012134E">
            <w:pPr>
              <w:pStyle w:val="GG-body"/>
              <w:spacing w:after="0"/>
              <w:ind w:left="459" w:hanging="459"/>
              <w:jc w:val="left"/>
            </w:pPr>
            <w:r w:rsidRPr="00180656">
              <w:t>1</w:t>
            </w:r>
            <w:r w:rsidRPr="00F23BB0">
              <w:t>.</w:t>
            </w:r>
            <w:r w:rsidRPr="00F23BB0">
              <w:tab/>
            </w:r>
            <w:r w:rsidRPr="00180656">
              <w:t>25 September 2008</w:t>
            </w:r>
          </w:p>
        </w:tc>
        <w:tc>
          <w:tcPr>
            <w:tcW w:w="1270" w:type="pct"/>
            <w:tcBorders>
              <w:top w:val="nil"/>
              <w:left w:val="nil"/>
              <w:bottom w:val="nil"/>
              <w:right w:val="nil"/>
            </w:tcBorders>
            <w:shd w:val="clear" w:color="auto" w:fill="auto"/>
            <w:vAlign w:val="center"/>
            <w:hideMark/>
          </w:tcPr>
          <w:p w14:paraId="0D97A0C3" w14:textId="77777777" w:rsidR="0035143A" w:rsidRPr="00180656" w:rsidRDefault="0035143A" w:rsidP="0012134E">
            <w:pPr>
              <w:pStyle w:val="GG-body"/>
              <w:spacing w:after="0"/>
              <w:ind w:left="459" w:hanging="459"/>
              <w:jc w:val="left"/>
            </w:pPr>
            <w:r w:rsidRPr="00180656">
              <w:t>2</w:t>
            </w:r>
            <w:r w:rsidRPr="00F23BB0">
              <w:t>.</w:t>
            </w:r>
            <w:r w:rsidRPr="00F23BB0">
              <w:tab/>
            </w:r>
            <w:r w:rsidRPr="00180656">
              <w:t>23 October 2008</w:t>
            </w:r>
          </w:p>
        </w:tc>
        <w:tc>
          <w:tcPr>
            <w:tcW w:w="1270" w:type="pct"/>
            <w:tcBorders>
              <w:top w:val="nil"/>
              <w:left w:val="nil"/>
              <w:bottom w:val="nil"/>
              <w:right w:val="nil"/>
            </w:tcBorders>
            <w:shd w:val="clear" w:color="auto" w:fill="auto"/>
            <w:vAlign w:val="center"/>
            <w:hideMark/>
          </w:tcPr>
          <w:p w14:paraId="0CFF001B" w14:textId="77777777" w:rsidR="0035143A" w:rsidRPr="00180656" w:rsidRDefault="0035143A" w:rsidP="0012134E">
            <w:pPr>
              <w:pStyle w:val="GG-body"/>
              <w:spacing w:after="0"/>
              <w:ind w:left="459" w:hanging="459"/>
              <w:jc w:val="left"/>
            </w:pPr>
            <w:r w:rsidRPr="00180656">
              <w:t>3</w:t>
            </w:r>
            <w:r w:rsidRPr="00F23BB0">
              <w:t>.</w:t>
            </w:r>
            <w:r w:rsidRPr="00F23BB0">
              <w:tab/>
            </w:r>
            <w:r w:rsidRPr="00180656">
              <w:t>13 November 2008</w:t>
            </w:r>
          </w:p>
        </w:tc>
        <w:tc>
          <w:tcPr>
            <w:tcW w:w="1230" w:type="pct"/>
            <w:tcBorders>
              <w:top w:val="nil"/>
              <w:left w:val="nil"/>
              <w:bottom w:val="nil"/>
              <w:right w:val="nil"/>
            </w:tcBorders>
            <w:shd w:val="clear" w:color="auto" w:fill="auto"/>
            <w:vAlign w:val="center"/>
            <w:hideMark/>
          </w:tcPr>
          <w:p w14:paraId="2DB3C62E" w14:textId="77777777" w:rsidR="0035143A" w:rsidRPr="00180656" w:rsidRDefault="0035143A" w:rsidP="0012134E">
            <w:pPr>
              <w:pStyle w:val="GG-body"/>
              <w:spacing w:after="0"/>
              <w:ind w:left="459" w:hanging="459"/>
              <w:jc w:val="left"/>
            </w:pPr>
            <w:r w:rsidRPr="00180656">
              <w:t>4</w:t>
            </w:r>
            <w:r w:rsidRPr="00F23BB0">
              <w:t>.</w:t>
            </w:r>
            <w:r w:rsidRPr="00F23BB0">
              <w:tab/>
            </w:r>
            <w:r w:rsidRPr="00180656">
              <w:t>4 December 2008</w:t>
            </w:r>
          </w:p>
        </w:tc>
      </w:tr>
      <w:tr w:rsidR="0035143A" w:rsidRPr="00180656" w14:paraId="7630F474" w14:textId="77777777" w:rsidTr="0012134E">
        <w:trPr>
          <w:trHeight w:val="20"/>
        </w:trPr>
        <w:tc>
          <w:tcPr>
            <w:tcW w:w="1230" w:type="pct"/>
            <w:tcBorders>
              <w:top w:val="nil"/>
              <w:left w:val="nil"/>
              <w:bottom w:val="nil"/>
              <w:right w:val="nil"/>
            </w:tcBorders>
            <w:shd w:val="clear" w:color="auto" w:fill="auto"/>
            <w:vAlign w:val="center"/>
            <w:hideMark/>
          </w:tcPr>
          <w:p w14:paraId="31F3B022" w14:textId="77777777" w:rsidR="0035143A" w:rsidRPr="00180656" w:rsidRDefault="0035143A" w:rsidP="0012134E">
            <w:pPr>
              <w:pStyle w:val="GG-body"/>
              <w:spacing w:after="0"/>
              <w:ind w:left="459" w:hanging="459"/>
              <w:jc w:val="left"/>
            </w:pPr>
            <w:r w:rsidRPr="00180656">
              <w:t>5</w:t>
            </w:r>
            <w:r w:rsidRPr="00F23BB0">
              <w:t>.</w:t>
            </w:r>
            <w:r w:rsidRPr="00F23BB0">
              <w:tab/>
            </w:r>
            <w:r w:rsidRPr="00180656">
              <w:t>18 December 2008</w:t>
            </w:r>
          </w:p>
        </w:tc>
        <w:tc>
          <w:tcPr>
            <w:tcW w:w="1270" w:type="pct"/>
            <w:tcBorders>
              <w:top w:val="nil"/>
              <w:left w:val="nil"/>
              <w:bottom w:val="nil"/>
              <w:right w:val="nil"/>
            </w:tcBorders>
            <w:shd w:val="clear" w:color="auto" w:fill="auto"/>
            <w:vAlign w:val="center"/>
            <w:hideMark/>
          </w:tcPr>
          <w:p w14:paraId="6CB8D2AE" w14:textId="77777777" w:rsidR="0035143A" w:rsidRPr="00180656" w:rsidRDefault="0035143A" w:rsidP="0012134E">
            <w:pPr>
              <w:pStyle w:val="GG-body"/>
              <w:spacing w:after="0"/>
              <w:ind w:left="459" w:hanging="459"/>
              <w:jc w:val="left"/>
            </w:pPr>
            <w:r w:rsidRPr="00180656">
              <w:t>6</w:t>
            </w:r>
            <w:r w:rsidRPr="00F23BB0">
              <w:t>.</w:t>
            </w:r>
            <w:r w:rsidRPr="00F23BB0">
              <w:tab/>
            </w:r>
            <w:r w:rsidRPr="00180656">
              <w:t>29 January 2009</w:t>
            </w:r>
          </w:p>
        </w:tc>
        <w:tc>
          <w:tcPr>
            <w:tcW w:w="1270" w:type="pct"/>
            <w:tcBorders>
              <w:top w:val="nil"/>
              <w:left w:val="nil"/>
              <w:bottom w:val="nil"/>
              <w:right w:val="nil"/>
            </w:tcBorders>
            <w:shd w:val="clear" w:color="auto" w:fill="auto"/>
            <w:vAlign w:val="center"/>
            <w:hideMark/>
          </w:tcPr>
          <w:p w14:paraId="09773E3F" w14:textId="77777777" w:rsidR="0035143A" w:rsidRPr="00180656" w:rsidRDefault="0035143A" w:rsidP="0012134E">
            <w:pPr>
              <w:pStyle w:val="GG-body"/>
              <w:spacing w:after="0"/>
              <w:ind w:left="459" w:hanging="459"/>
              <w:jc w:val="left"/>
            </w:pPr>
            <w:r w:rsidRPr="00180656">
              <w:t>7</w:t>
            </w:r>
            <w:r w:rsidRPr="00F23BB0">
              <w:t>.</w:t>
            </w:r>
            <w:r w:rsidRPr="00F23BB0">
              <w:tab/>
            </w:r>
            <w:r w:rsidRPr="00180656">
              <w:t>12 February 2009</w:t>
            </w:r>
          </w:p>
        </w:tc>
        <w:tc>
          <w:tcPr>
            <w:tcW w:w="1230" w:type="pct"/>
            <w:tcBorders>
              <w:top w:val="nil"/>
              <w:left w:val="nil"/>
              <w:bottom w:val="nil"/>
              <w:right w:val="nil"/>
            </w:tcBorders>
            <w:shd w:val="clear" w:color="auto" w:fill="auto"/>
            <w:vAlign w:val="center"/>
            <w:hideMark/>
          </w:tcPr>
          <w:p w14:paraId="3E9BB30E" w14:textId="77777777" w:rsidR="0035143A" w:rsidRPr="00180656" w:rsidRDefault="0035143A" w:rsidP="0012134E">
            <w:pPr>
              <w:pStyle w:val="GG-body"/>
              <w:spacing w:after="0"/>
              <w:ind w:left="459" w:hanging="459"/>
              <w:jc w:val="left"/>
            </w:pPr>
            <w:r w:rsidRPr="00180656">
              <w:t>8</w:t>
            </w:r>
            <w:r w:rsidRPr="00F23BB0">
              <w:t>.</w:t>
            </w:r>
            <w:r w:rsidRPr="00F23BB0">
              <w:tab/>
            </w:r>
            <w:r w:rsidRPr="00180656">
              <w:t>5 March 2009</w:t>
            </w:r>
          </w:p>
        </w:tc>
      </w:tr>
      <w:tr w:rsidR="0035143A" w:rsidRPr="00180656" w14:paraId="2A769D73" w14:textId="77777777" w:rsidTr="0012134E">
        <w:trPr>
          <w:trHeight w:val="20"/>
        </w:trPr>
        <w:tc>
          <w:tcPr>
            <w:tcW w:w="1230" w:type="pct"/>
            <w:tcBorders>
              <w:top w:val="nil"/>
              <w:left w:val="nil"/>
              <w:bottom w:val="nil"/>
              <w:right w:val="nil"/>
            </w:tcBorders>
            <w:shd w:val="clear" w:color="auto" w:fill="auto"/>
            <w:vAlign w:val="center"/>
            <w:hideMark/>
          </w:tcPr>
          <w:p w14:paraId="4F1EF436" w14:textId="77777777" w:rsidR="0035143A" w:rsidRPr="00180656" w:rsidRDefault="0035143A" w:rsidP="0012134E">
            <w:pPr>
              <w:pStyle w:val="GG-body"/>
              <w:spacing w:after="0"/>
              <w:ind w:left="459" w:hanging="459"/>
              <w:jc w:val="left"/>
            </w:pPr>
            <w:r w:rsidRPr="00180656">
              <w:t>9</w:t>
            </w:r>
            <w:r w:rsidRPr="00F23BB0">
              <w:t>.</w:t>
            </w:r>
            <w:r w:rsidRPr="00F23BB0">
              <w:tab/>
            </w:r>
            <w:r w:rsidRPr="00180656">
              <w:t>12 March 2009</w:t>
            </w:r>
          </w:p>
        </w:tc>
        <w:tc>
          <w:tcPr>
            <w:tcW w:w="1270" w:type="pct"/>
            <w:tcBorders>
              <w:top w:val="nil"/>
              <w:left w:val="nil"/>
              <w:bottom w:val="nil"/>
              <w:right w:val="nil"/>
            </w:tcBorders>
            <w:shd w:val="clear" w:color="auto" w:fill="auto"/>
            <w:vAlign w:val="center"/>
            <w:hideMark/>
          </w:tcPr>
          <w:p w14:paraId="718B8F02" w14:textId="77777777" w:rsidR="0035143A" w:rsidRPr="00180656" w:rsidRDefault="0035143A" w:rsidP="0012134E">
            <w:pPr>
              <w:pStyle w:val="GG-body"/>
              <w:spacing w:after="0"/>
              <w:ind w:left="459" w:hanging="459"/>
              <w:jc w:val="left"/>
            </w:pPr>
            <w:r w:rsidRPr="00180656">
              <w:t>10</w:t>
            </w:r>
            <w:r w:rsidRPr="00F23BB0">
              <w:t>.</w:t>
            </w:r>
            <w:r w:rsidRPr="00F23BB0">
              <w:tab/>
            </w:r>
            <w:r w:rsidRPr="00180656">
              <w:t>26 March 2009</w:t>
            </w:r>
          </w:p>
        </w:tc>
        <w:tc>
          <w:tcPr>
            <w:tcW w:w="1270" w:type="pct"/>
            <w:tcBorders>
              <w:top w:val="nil"/>
              <w:left w:val="nil"/>
              <w:bottom w:val="nil"/>
              <w:right w:val="nil"/>
            </w:tcBorders>
            <w:shd w:val="clear" w:color="auto" w:fill="auto"/>
            <w:vAlign w:val="center"/>
            <w:hideMark/>
          </w:tcPr>
          <w:p w14:paraId="11FA464D" w14:textId="77777777" w:rsidR="0035143A" w:rsidRPr="00180656" w:rsidRDefault="0035143A" w:rsidP="0012134E">
            <w:pPr>
              <w:pStyle w:val="GG-body"/>
              <w:spacing w:after="0"/>
              <w:ind w:left="459" w:hanging="459"/>
              <w:jc w:val="left"/>
            </w:pPr>
            <w:r w:rsidRPr="00180656">
              <w:t>11</w:t>
            </w:r>
            <w:r w:rsidRPr="00F23BB0">
              <w:t>.</w:t>
            </w:r>
            <w:r w:rsidRPr="00F23BB0">
              <w:tab/>
            </w:r>
            <w:r w:rsidRPr="00180656">
              <w:t>30 April 2009</w:t>
            </w:r>
          </w:p>
        </w:tc>
        <w:tc>
          <w:tcPr>
            <w:tcW w:w="1230" w:type="pct"/>
            <w:tcBorders>
              <w:top w:val="nil"/>
              <w:left w:val="nil"/>
              <w:bottom w:val="nil"/>
              <w:right w:val="nil"/>
            </w:tcBorders>
            <w:shd w:val="clear" w:color="auto" w:fill="auto"/>
            <w:vAlign w:val="center"/>
            <w:hideMark/>
          </w:tcPr>
          <w:p w14:paraId="4967B424" w14:textId="77777777" w:rsidR="0035143A" w:rsidRPr="00180656" w:rsidRDefault="0035143A" w:rsidP="0012134E">
            <w:pPr>
              <w:pStyle w:val="GG-body"/>
              <w:spacing w:after="0"/>
              <w:ind w:left="459" w:hanging="459"/>
              <w:jc w:val="left"/>
            </w:pPr>
            <w:r w:rsidRPr="00180656">
              <w:t>12</w:t>
            </w:r>
            <w:r w:rsidRPr="00F23BB0">
              <w:t>.</w:t>
            </w:r>
            <w:r w:rsidRPr="00F23BB0">
              <w:tab/>
            </w:r>
            <w:r w:rsidRPr="00180656">
              <w:t>18 June 2009</w:t>
            </w:r>
          </w:p>
        </w:tc>
      </w:tr>
      <w:tr w:rsidR="0035143A" w:rsidRPr="00180656" w14:paraId="0E692844" w14:textId="77777777" w:rsidTr="0012134E">
        <w:trPr>
          <w:trHeight w:val="20"/>
        </w:trPr>
        <w:tc>
          <w:tcPr>
            <w:tcW w:w="1230" w:type="pct"/>
            <w:tcBorders>
              <w:top w:val="nil"/>
              <w:left w:val="nil"/>
              <w:bottom w:val="nil"/>
              <w:right w:val="nil"/>
            </w:tcBorders>
            <w:shd w:val="clear" w:color="auto" w:fill="auto"/>
            <w:vAlign w:val="center"/>
            <w:hideMark/>
          </w:tcPr>
          <w:p w14:paraId="23830C7C" w14:textId="77777777" w:rsidR="0035143A" w:rsidRPr="00180656" w:rsidRDefault="0035143A" w:rsidP="0012134E">
            <w:pPr>
              <w:pStyle w:val="GG-body"/>
              <w:spacing w:after="0"/>
              <w:ind w:left="459" w:hanging="459"/>
              <w:jc w:val="left"/>
            </w:pPr>
            <w:r w:rsidRPr="00180656">
              <w:t>13</w:t>
            </w:r>
            <w:r w:rsidRPr="00F23BB0">
              <w:t>.</w:t>
            </w:r>
            <w:r w:rsidRPr="00F23BB0">
              <w:tab/>
            </w:r>
            <w:r w:rsidRPr="00180656">
              <w:t>25 June 2009</w:t>
            </w:r>
          </w:p>
        </w:tc>
        <w:tc>
          <w:tcPr>
            <w:tcW w:w="1270" w:type="pct"/>
            <w:tcBorders>
              <w:top w:val="nil"/>
              <w:left w:val="nil"/>
              <w:bottom w:val="nil"/>
              <w:right w:val="nil"/>
            </w:tcBorders>
            <w:shd w:val="clear" w:color="auto" w:fill="auto"/>
            <w:vAlign w:val="center"/>
            <w:hideMark/>
          </w:tcPr>
          <w:p w14:paraId="7582C45D" w14:textId="77777777" w:rsidR="0035143A" w:rsidRPr="00180656" w:rsidRDefault="0035143A" w:rsidP="0012134E">
            <w:pPr>
              <w:pStyle w:val="GG-body"/>
              <w:spacing w:after="0"/>
              <w:ind w:left="459" w:hanging="459"/>
              <w:jc w:val="left"/>
            </w:pPr>
            <w:r w:rsidRPr="00180656">
              <w:t>14</w:t>
            </w:r>
            <w:r w:rsidRPr="00F23BB0">
              <w:t>.</w:t>
            </w:r>
            <w:r w:rsidRPr="00F23BB0">
              <w:tab/>
            </w:r>
            <w:r w:rsidRPr="00180656">
              <w:t>27 August 2009</w:t>
            </w:r>
          </w:p>
        </w:tc>
        <w:tc>
          <w:tcPr>
            <w:tcW w:w="1270" w:type="pct"/>
            <w:tcBorders>
              <w:top w:val="nil"/>
              <w:left w:val="nil"/>
              <w:bottom w:val="nil"/>
              <w:right w:val="nil"/>
            </w:tcBorders>
            <w:shd w:val="clear" w:color="auto" w:fill="auto"/>
            <w:vAlign w:val="center"/>
            <w:hideMark/>
          </w:tcPr>
          <w:p w14:paraId="34B42364" w14:textId="77777777" w:rsidR="0035143A" w:rsidRPr="00180656" w:rsidRDefault="0035143A" w:rsidP="0012134E">
            <w:pPr>
              <w:pStyle w:val="GG-body"/>
              <w:spacing w:after="0"/>
              <w:ind w:left="459" w:hanging="459"/>
              <w:jc w:val="left"/>
            </w:pPr>
            <w:r w:rsidRPr="00180656">
              <w:t>15</w:t>
            </w:r>
            <w:r w:rsidRPr="00F23BB0">
              <w:t>.</w:t>
            </w:r>
            <w:r w:rsidRPr="00F23BB0">
              <w:tab/>
            </w:r>
            <w:r w:rsidRPr="00180656">
              <w:t>17 September 2009</w:t>
            </w:r>
          </w:p>
        </w:tc>
        <w:tc>
          <w:tcPr>
            <w:tcW w:w="1230" w:type="pct"/>
            <w:tcBorders>
              <w:top w:val="nil"/>
              <w:left w:val="nil"/>
              <w:bottom w:val="nil"/>
              <w:right w:val="nil"/>
            </w:tcBorders>
            <w:shd w:val="clear" w:color="auto" w:fill="auto"/>
            <w:vAlign w:val="center"/>
            <w:hideMark/>
          </w:tcPr>
          <w:p w14:paraId="7DBE73B0" w14:textId="77777777" w:rsidR="0035143A" w:rsidRPr="00180656" w:rsidRDefault="0035143A" w:rsidP="0012134E">
            <w:pPr>
              <w:pStyle w:val="GG-body"/>
              <w:spacing w:after="0"/>
              <w:ind w:left="459" w:hanging="459"/>
              <w:jc w:val="left"/>
            </w:pPr>
            <w:r w:rsidRPr="00180656">
              <w:t>16</w:t>
            </w:r>
            <w:r w:rsidRPr="00F23BB0">
              <w:t>.</w:t>
            </w:r>
            <w:r w:rsidRPr="00F23BB0">
              <w:tab/>
            </w:r>
            <w:r w:rsidRPr="00180656">
              <w:t>24 September 2009</w:t>
            </w:r>
          </w:p>
        </w:tc>
      </w:tr>
      <w:tr w:rsidR="0035143A" w:rsidRPr="00180656" w14:paraId="53B80F73" w14:textId="77777777" w:rsidTr="0012134E">
        <w:trPr>
          <w:trHeight w:val="20"/>
        </w:trPr>
        <w:tc>
          <w:tcPr>
            <w:tcW w:w="1230" w:type="pct"/>
            <w:tcBorders>
              <w:top w:val="nil"/>
              <w:left w:val="nil"/>
              <w:bottom w:val="nil"/>
              <w:right w:val="nil"/>
            </w:tcBorders>
            <w:shd w:val="clear" w:color="auto" w:fill="auto"/>
            <w:vAlign w:val="center"/>
            <w:hideMark/>
          </w:tcPr>
          <w:p w14:paraId="733A7FF5" w14:textId="77777777" w:rsidR="0035143A" w:rsidRPr="00180656" w:rsidRDefault="0035143A" w:rsidP="0012134E">
            <w:pPr>
              <w:pStyle w:val="GG-body"/>
              <w:spacing w:after="0"/>
              <w:ind w:left="459" w:hanging="459"/>
              <w:jc w:val="left"/>
            </w:pPr>
            <w:r w:rsidRPr="00180656">
              <w:t>17</w:t>
            </w:r>
            <w:r w:rsidRPr="00F23BB0">
              <w:t>.</w:t>
            </w:r>
            <w:r w:rsidRPr="00F23BB0">
              <w:tab/>
            </w:r>
            <w:r w:rsidRPr="00180656">
              <w:t>9 October 2009</w:t>
            </w:r>
          </w:p>
        </w:tc>
        <w:tc>
          <w:tcPr>
            <w:tcW w:w="1270" w:type="pct"/>
            <w:tcBorders>
              <w:top w:val="nil"/>
              <w:left w:val="nil"/>
              <w:bottom w:val="nil"/>
              <w:right w:val="nil"/>
            </w:tcBorders>
            <w:shd w:val="clear" w:color="auto" w:fill="auto"/>
            <w:vAlign w:val="center"/>
            <w:hideMark/>
          </w:tcPr>
          <w:p w14:paraId="264BD03E" w14:textId="77777777" w:rsidR="0035143A" w:rsidRPr="00180656" w:rsidRDefault="0035143A" w:rsidP="0012134E">
            <w:pPr>
              <w:pStyle w:val="GG-body"/>
              <w:spacing w:after="0"/>
              <w:ind w:left="459" w:hanging="459"/>
              <w:jc w:val="left"/>
            </w:pPr>
            <w:r w:rsidRPr="00180656">
              <w:t>18</w:t>
            </w:r>
            <w:r w:rsidRPr="00F23BB0">
              <w:t>.</w:t>
            </w:r>
            <w:r w:rsidRPr="00F23BB0">
              <w:tab/>
            </w:r>
            <w:r w:rsidRPr="00180656">
              <w:t>22 October 2009</w:t>
            </w:r>
          </w:p>
        </w:tc>
        <w:tc>
          <w:tcPr>
            <w:tcW w:w="1270" w:type="pct"/>
            <w:tcBorders>
              <w:top w:val="nil"/>
              <w:left w:val="nil"/>
              <w:bottom w:val="nil"/>
              <w:right w:val="nil"/>
            </w:tcBorders>
            <w:shd w:val="clear" w:color="auto" w:fill="auto"/>
            <w:vAlign w:val="center"/>
            <w:hideMark/>
          </w:tcPr>
          <w:p w14:paraId="4580A647" w14:textId="77777777" w:rsidR="0035143A" w:rsidRPr="00180656" w:rsidRDefault="0035143A" w:rsidP="0012134E">
            <w:pPr>
              <w:pStyle w:val="GG-body"/>
              <w:spacing w:after="0"/>
              <w:ind w:left="459" w:hanging="459"/>
              <w:jc w:val="left"/>
            </w:pPr>
            <w:r w:rsidRPr="00180656">
              <w:t>19</w:t>
            </w:r>
            <w:r w:rsidRPr="00F23BB0">
              <w:t>.</w:t>
            </w:r>
            <w:r w:rsidRPr="00F23BB0">
              <w:tab/>
            </w:r>
            <w:r w:rsidRPr="00180656">
              <w:t>3 December 2009</w:t>
            </w:r>
          </w:p>
        </w:tc>
        <w:tc>
          <w:tcPr>
            <w:tcW w:w="1230" w:type="pct"/>
            <w:tcBorders>
              <w:top w:val="nil"/>
              <w:left w:val="nil"/>
              <w:bottom w:val="nil"/>
              <w:right w:val="nil"/>
            </w:tcBorders>
            <w:shd w:val="clear" w:color="auto" w:fill="auto"/>
            <w:vAlign w:val="center"/>
            <w:hideMark/>
          </w:tcPr>
          <w:p w14:paraId="7377BDC4" w14:textId="77777777" w:rsidR="0035143A" w:rsidRPr="00180656" w:rsidRDefault="0035143A" w:rsidP="0012134E">
            <w:pPr>
              <w:pStyle w:val="GG-body"/>
              <w:spacing w:after="0"/>
              <w:ind w:left="459" w:hanging="459"/>
              <w:jc w:val="left"/>
            </w:pPr>
            <w:r w:rsidRPr="00180656">
              <w:t>20</w:t>
            </w:r>
            <w:r w:rsidRPr="00F23BB0">
              <w:t>.</w:t>
            </w:r>
            <w:r w:rsidRPr="00F23BB0">
              <w:tab/>
            </w:r>
            <w:r w:rsidRPr="00180656">
              <w:t>17 December 2009</w:t>
            </w:r>
          </w:p>
        </w:tc>
      </w:tr>
      <w:tr w:rsidR="0035143A" w:rsidRPr="00180656" w14:paraId="3FC585DC" w14:textId="77777777" w:rsidTr="0012134E">
        <w:trPr>
          <w:trHeight w:val="20"/>
        </w:trPr>
        <w:tc>
          <w:tcPr>
            <w:tcW w:w="1230" w:type="pct"/>
            <w:tcBorders>
              <w:top w:val="nil"/>
              <w:left w:val="nil"/>
              <w:bottom w:val="nil"/>
              <w:right w:val="nil"/>
            </w:tcBorders>
            <w:shd w:val="clear" w:color="auto" w:fill="auto"/>
            <w:vAlign w:val="center"/>
            <w:hideMark/>
          </w:tcPr>
          <w:p w14:paraId="5735835F" w14:textId="77777777" w:rsidR="0035143A" w:rsidRPr="00180656" w:rsidRDefault="0035143A" w:rsidP="0012134E">
            <w:pPr>
              <w:pStyle w:val="GG-body"/>
              <w:spacing w:after="0"/>
              <w:ind w:left="459" w:hanging="459"/>
              <w:jc w:val="left"/>
            </w:pPr>
            <w:r w:rsidRPr="00180656">
              <w:t>21</w:t>
            </w:r>
            <w:r w:rsidRPr="00F23BB0">
              <w:t>.</w:t>
            </w:r>
            <w:r w:rsidRPr="00F23BB0">
              <w:tab/>
            </w:r>
            <w:r w:rsidRPr="00180656">
              <w:t>4 February 2010</w:t>
            </w:r>
          </w:p>
        </w:tc>
        <w:tc>
          <w:tcPr>
            <w:tcW w:w="1270" w:type="pct"/>
            <w:tcBorders>
              <w:top w:val="nil"/>
              <w:left w:val="nil"/>
              <w:bottom w:val="nil"/>
              <w:right w:val="nil"/>
            </w:tcBorders>
            <w:shd w:val="clear" w:color="auto" w:fill="auto"/>
            <w:vAlign w:val="center"/>
            <w:hideMark/>
          </w:tcPr>
          <w:p w14:paraId="3AFDB020" w14:textId="77777777" w:rsidR="0035143A" w:rsidRPr="00180656" w:rsidRDefault="0035143A" w:rsidP="0012134E">
            <w:pPr>
              <w:pStyle w:val="GG-body"/>
              <w:spacing w:after="0"/>
              <w:ind w:left="459" w:hanging="459"/>
              <w:jc w:val="left"/>
            </w:pPr>
            <w:r w:rsidRPr="00180656">
              <w:t>22</w:t>
            </w:r>
            <w:r w:rsidRPr="00F23BB0">
              <w:t>.</w:t>
            </w:r>
            <w:r w:rsidRPr="00F23BB0">
              <w:tab/>
            </w:r>
            <w:r w:rsidRPr="00180656">
              <w:t>11 February 2010</w:t>
            </w:r>
          </w:p>
        </w:tc>
        <w:tc>
          <w:tcPr>
            <w:tcW w:w="1270" w:type="pct"/>
            <w:tcBorders>
              <w:top w:val="nil"/>
              <w:left w:val="nil"/>
              <w:bottom w:val="nil"/>
              <w:right w:val="nil"/>
            </w:tcBorders>
            <w:shd w:val="clear" w:color="auto" w:fill="auto"/>
            <w:vAlign w:val="center"/>
            <w:hideMark/>
          </w:tcPr>
          <w:p w14:paraId="315A8295" w14:textId="77777777" w:rsidR="0035143A" w:rsidRPr="00180656" w:rsidRDefault="0035143A" w:rsidP="0012134E">
            <w:pPr>
              <w:pStyle w:val="GG-body"/>
              <w:spacing w:after="0"/>
              <w:ind w:left="459" w:hanging="459"/>
              <w:jc w:val="left"/>
            </w:pPr>
            <w:r w:rsidRPr="00180656">
              <w:t>23</w:t>
            </w:r>
            <w:r w:rsidRPr="00F23BB0">
              <w:t>.</w:t>
            </w:r>
            <w:r w:rsidRPr="00F23BB0">
              <w:tab/>
            </w:r>
            <w:r w:rsidRPr="00180656">
              <w:t>18 February 2010</w:t>
            </w:r>
          </w:p>
        </w:tc>
        <w:tc>
          <w:tcPr>
            <w:tcW w:w="1230" w:type="pct"/>
            <w:tcBorders>
              <w:top w:val="nil"/>
              <w:left w:val="nil"/>
              <w:bottom w:val="nil"/>
              <w:right w:val="nil"/>
            </w:tcBorders>
            <w:shd w:val="clear" w:color="auto" w:fill="auto"/>
            <w:vAlign w:val="center"/>
            <w:hideMark/>
          </w:tcPr>
          <w:p w14:paraId="7850687D" w14:textId="77777777" w:rsidR="0035143A" w:rsidRPr="00180656" w:rsidRDefault="0035143A" w:rsidP="0012134E">
            <w:pPr>
              <w:pStyle w:val="GG-body"/>
              <w:spacing w:after="0"/>
              <w:ind w:left="459" w:hanging="459"/>
              <w:jc w:val="left"/>
            </w:pPr>
            <w:r w:rsidRPr="00180656">
              <w:t>24</w:t>
            </w:r>
            <w:r w:rsidRPr="00F23BB0">
              <w:t>.</w:t>
            </w:r>
            <w:r w:rsidRPr="00F23BB0">
              <w:tab/>
            </w:r>
            <w:r w:rsidRPr="00180656">
              <w:t>18 March 2010</w:t>
            </w:r>
          </w:p>
        </w:tc>
      </w:tr>
      <w:tr w:rsidR="0035143A" w:rsidRPr="00180656" w14:paraId="4830C7EA" w14:textId="77777777" w:rsidTr="0012134E">
        <w:trPr>
          <w:trHeight w:val="20"/>
        </w:trPr>
        <w:tc>
          <w:tcPr>
            <w:tcW w:w="1230" w:type="pct"/>
            <w:tcBorders>
              <w:top w:val="nil"/>
              <w:left w:val="nil"/>
              <w:bottom w:val="nil"/>
              <w:right w:val="nil"/>
            </w:tcBorders>
            <w:shd w:val="clear" w:color="auto" w:fill="auto"/>
            <w:vAlign w:val="center"/>
            <w:hideMark/>
          </w:tcPr>
          <w:p w14:paraId="17AD2BE8" w14:textId="77777777" w:rsidR="0035143A" w:rsidRPr="00180656" w:rsidRDefault="0035143A" w:rsidP="0012134E">
            <w:pPr>
              <w:pStyle w:val="GG-body"/>
              <w:spacing w:after="0"/>
              <w:ind w:left="459" w:hanging="459"/>
              <w:jc w:val="left"/>
            </w:pPr>
            <w:r w:rsidRPr="00180656">
              <w:t>25</w:t>
            </w:r>
            <w:r w:rsidRPr="00F23BB0">
              <w:t>.</w:t>
            </w:r>
            <w:r w:rsidRPr="00F23BB0">
              <w:tab/>
            </w:r>
            <w:r w:rsidRPr="00180656">
              <w:t>8 April 2010</w:t>
            </w:r>
          </w:p>
        </w:tc>
        <w:tc>
          <w:tcPr>
            <w:tcW w:w="1270" w:type="pct"/>
            <w:tcBorders>
              <w:top w:val="nil"/>
              <w:left w:val="nil"/>
              <w:bottom w:val="nil"/>
              <w:right w:val="nil"/>
            </w:tcBorders>
            <w:shd w:val="clear" w:color="auto" w:fill="auto"/>
            <w:vAlign w:val="center"/>
            <w:hideMark/>
          </w:tcPr>
          <w:p w14:paraId="697A14BB" w14:textId="77777777" w:rsidR="0035143A" w:rsidRPr="00180656" w:rsidRDefault="0035143A" w:rsidP="0012134E">
            <w:pPr>
              <w:pStyle w:val="GG-body"/>
              <w:spacing w:after="0"/>
              <w:ind w:left="459" w:hanging="459"/>
              <w:jc w:val="left"/>
            </w:pPr>
            <w:r w:rsidRPr="00180656">
              <w:t>26</w:t>
            </w:r>
            <w:r w:rsidRPr="00F23BB0">
              <w:t>.</w:t>
            </w:r>
            <w:r w:rsidRPr="00F23BB0">
              <w:tab/>
            </w:r>
            <w:r w:rsidRPr="00180656">
              <w:t>6 May 2010</w:t>
            </w:r>
          </w:p>
        </w:tc>
        <w:tc>
          <w:tcPr>
            <w:tcW w:w="1270" w:type="pct"/>
            <w:tcBorders>
              <w:top w:val="nil"/>
              <w:left w:val="nil"/>
              <w:bottom w:val="nil"/>
              <w:right w:val="nil"/>
            </w:tcBorders>
            <w:shd w:val="clear" w:color="auto" w:fill="auto"/>
            <w:vAlign w:val="center"/>
            <w:hideMark/>
          </w:tcPr>
          <w:p w14:paraId="0B7A45A5" w14:textId="77777777" w:rsidR="0035143A" w:rsidRPr="00180656" w:rsidRDefault="0035143A" w:rsidP="0012134E">
            <w:pPr>
              <w:pStyle w:val="GG-body"/>
              <w:spacing w:after="0"/>
              <w:ind w:left="459" w:hanging="459"/>
              <w:jc w:val="left"/>
            </w:pPr>
            <w:r w:rsidRPr="00180656">
              <w:t>27</w:t>
            </w:r>
            <w:r w:rsidRPr="00F23BB0">
              <w:t>.</w:t>
            </w:r>
            <w:r w:rsidRPr="00F23BB0">
              <w:tab/>
            </w:r>
            <w:r w:rsidRPr="00180656">
              <w:t>20 May 2010</w:t>
            </w:r>
          </w:p>
        </w:tc>
        <w:tc>
          <w:tcPr>
            <w:tcW w:w="1230" w:type="pct"/>
            <w:tcBorders>
              <w:top w:val="nil"/>
              <w:left w:val="nil"/>
              <w:bottom w:val="nil"/>
              <w:right w:val="nil"/>
            </w:tcBorders>
            <w:shd w:val="clear" w:color="auto" w:fill="auto"/>
            <w:vAlign w:val="center"/>
            <w:hideMark/>
          </w:tcPr>
          <w:p w14:paraId="6CCE7A25" w14:textId="77777777" w:rsidR="0035143A" w:rsidRPr="00180656" w:rsidRDefault="0035143A" w:rsidP="0012134E">
            <w:pPr>
              <w:pStyle w:val="GG-body"/>
              <w:spacing w:after="0"/>
              <w:ind w:left="459" w:hanging="459"/>
              <w:jc w:val="left"/>
            </w:pPr>
            <w:r w:rsidRPr="00180656">
              <w:t>28</w:t>
            </w:r>
            <w:r w:rsidRPr="00F23BB0">
              <w:t>.</w:t>
            </w:r>
            <w:r w:rsidRPr="00F23BB0">
              <w:tab/>
            </w:r>
            <w:r w:rsidRPr="00180656">
              <w:t>3 June 2010</w:t>
            </w:r>
          </w:p>
        </w:tc>
      </w:tr>
      <w:tr w:rsidR="0035143A" w:rsidRPr="00180656" w14:paraId="234D5F43" w14:textId="77777777" w:rsidTr="0012134E">
        <w:trPr>
          <w:trHeight w:val="20"/>
        </w:trPr>
        <w:tc>
          <w:tcPr>
            <w:tcW w:w="1230" w:type="pct"/>
            <w:tcBorders>
              <w:top w:val="nil"/>
              <w:left w:val="nil"/>
              <w:bottom w:val="nil"/>
              <w:right w:val="nil"/>
            </w:tcBorders>
            <w:shd w:val="clear" w:color="auto" w:fill="auto"/>
            <w:vAlign w:val="center"/>
            <w:hideMark/>
          </w:tcPr>
          <w:p w14:paraId="12723A32" w14:textId="77777777" w:rsidR="0035143A" w:rsidRPr="00180656" w:rsidRDefault="0035143A" w:rsidP="0012134E">
            <w:pPr>
              <w:pStyle w:val="GG-body"/>
              <w:spacing w:after="0"/>
              <w:ind w:left="459" w:hanging="459"/>
              <w:jc w:val="left"/>
            </w:pPr>
            <w:r w:rsidRPr="00180656">
              <w:t>29</w:t>
            </w:r>
            <w:r w:rsidRPr="00F23BB0">
              <w:t>.</w:t>
            </w:r>
            <w:r w:rsidRPr="00F23BB0">
              <w:tab/>
            </w:r>
            <w:r w:rsidRPr="00180656">
              <w:t>17 June 2010</w:t>
            </w:r>
          </w:p>
        </w:tc>
        <w:tc>
          <w:tcPr>
            <w:tcW w:w="1270" w:type="pct"/>
            <w:tcBorders>
              <w:top w:val="nil"/>
              <w:left w:val="nil"/>
              <w:bottom w:val="nil"/>
              <w:right w:val="nil"/>
            </w:tcBorders>
            <w:shd w:val="clear" w:color="auto" w:fill="auto"/>
            <w:vAlign w:val="center"/>
            <w:hideMark/>
          </w:tcPr>
          <w:p w14:paraId="432F5001" w14:textId="77777777" w:rsidR="0035143A" w:rsidRPr="00180656" w:rsidRDefault="0035143A" w:rsidP="0012134E">
            <w:pPr>
              <w:pStyle w:val="GG-body"/>
              <w:spacing w:after="0"/>
              <w:ind w:left="459" w:hanging="459"/>
              <w:jc w:val="left"/>
            </w:pPr>
            <w:r w:rsidRPr="00180656">
              <w:t>30</w:t>
            </w:r>
            <w:r w:rsidRPr="00F23BB0">
              <w:t>.</w:t>
            </w:r>
            <w:r w:rsidRPr="00F23BB0">
              <w:tab/>
            </w:r>
            <w:r w:rsidRPr="00180656">
              <w:t>24 June 2010</w:t>
            </w:r>
          </w:p>
        </w:tc>
        <w:tc>
          <w:tcPr>
            <w:tcW w:w="1270" w:type="pct"/>
            <w:tcBorders>
              <w:top w:val="nil"/>
              <w:left w:val="nil"/>
              <w:bottom w:val="nil"/>
              <w:right w:val="nil"/>
            </w:tcBorders>
            <w:shd w:val="clear" w:color="auto" w:fill="auto"/>
            <w:vAlign w:val="center"/>
            <w:hideMark/>
          </w:tcPr>
          <w:p w14:paraId="091D06EA" w14:textId="77777777" w:rsidR="0035143A" w:rsidRPr="00180656" w:rsidRDefault="0035143A" w:rsidP="0012134E">
            <w:pPr>
              <w:pStyle w:val="GG-body"/>
              <w:spacing w:after="0"/>
              <w:ind w:left="459" w:hanging="459"/>
              <w:jc w:val="left"/>
            </w:pPr>
            <w:r w:rsidRPr="00180656">
              <w:t>31</w:t>
            </w:r>
            <w:r w:rsidRPr="00F23BB0">
              <w:t>.</w:t>
            </w:r>
            <w:r w:rsidRPr="00F23BB0">
              <w:tab/>
            </w:r>
            <w:r w:rsidRPr="00180656">
              <w:t>8 July 2010</w:t>
            </w:r>
          </w:p>
        </w:tc>
        <w:tc>
          <w:tcPr>
            <w:tcW w:w="1230" w:type="pct"/>
            <w:tcBorders>
              <w:top w:val="nil"/>
              <w:left w:val="nil"/>
              <w:bottom w:val="nil"/>
              <w:right w:val="nil"/>
            </w:tcBorders>
            <w:shd w:val="clear" w:color="auto" w:fill="auto"/>
            <w:vAlign w:val="center"/>
            <w:hideMark/>
          </w:tcPr>
          <w:p w14:paraId="399EFC99" w14:textId="77777777" w:rsidR="0035143A" w:rsidRPr="00180656" w:rsidRDefault="0035143A" w:rsidP="0012134E">
            <w:pPr>
              <w:pStyle w:val="GG-body"/>
              <w:spacing w:after="0"/>
              <w:ind w:left="459" w:hanging="459"/>
              <w:jc w:val="left"/>
            </w:pPr>
            <w:r w:rsidRPr="00180656">
              <w:t>32</w:t>
            </w:r>
            <w:r w:rsidRPr="00F23BB0">
              <w:t>.</w:t>
            </w:r>
            <w:r w:rsidRPr="00F23BB0">
              <w:tab/>
            </w:r>
            <w:r w:rsidRPr="00180656">
              <w:t>9 September 2010</w:t>
            </w:r>
          </w:p>
        </w:tc>
      </w:tr>
      <w:tr w:rsidR="0035143A" w:rsidRPr="00180656" w14:paraId="23BACB35" w14:textId="77777777" w:rsidTr="0012134E">
        <w:trPr>
          <w:trHeight w:val="20"/>
        </w:trPr>
        <w:tc>
          <w:tcPr>
            <w:tcW w:w="1230" w:type="pct"/>
            <w:tcBorders>
              <w:top w:val="nil"/>
              <w:left w:val="nil"/>
              <w:bottom w:val="nil"/>
              <w:right w:val="nil"/>
            </w:tcBorders>
            <w:shd w:val="clear" w:color="auto" w:fill="auto"/>
            <w:vAlign w:val="center"/>
            <w:hideMark/>
          </w:tcPr>
          <w:p w14:paraId="6A4C5378" w14:textId="77777777" w:rsidR="0035143A" w:rsidRPr="00180656" w:rsidRDefault="0035143A" w:rsidP="0012134E">
            <w:pPr>
              <w:pStyle w:val="GG-body"/>
              <w:spacing w:after="0"/>
              <w:ind w:left="459" w:hanging="459"/>
              <w:jc w:val="left"/>
            </w:pPr>
            <w:r w:rsidRPr="00180656">
              <w:t>33</w:t>
            </w:r>
            <w:r w:rsidRPr="00F23BB0">
              <w:t>.</w:t>
            </w:r>
            <w:r w:rsidRPr="00F23BB0">
              <w:tab/>
            </w:r>
            <w:r w:rsidRPr="00180656">
              <w:t>23 September 2010</w:t>
            </w:r>
          </w:p>
        </w:tc>
        <w:tc>
          <w:tcPr>
            <w:tcW w:w="1270" w:type="pct"/>
            <w:tcBorders>
              <w:top w:val="nil"/>
              <w:left w:val="nil"/>
              <w:bottom w:val="nil"/>
              <w:right w:val="nil"/>
            </w:tcBorders>
            <w:shd w:val="clear" w:color="auto" w:fill="auto"/>
            <w:vAlign w:val="center"/>
            <w:hideMark/>
          </w:tcPr>
          <w:p w14:paraId="0D2B2366" w14:textId="77777777" w:rsidR="0035143A" w:rsidRPr="00180656" w:rsidRDefault="0035143A" w:rsidP="0012134E">
            <w:pPr>
              <w:pStyle w:val="GG-body"/>
              <w:spacing w:after="0"/>
              <w:ind w:left="459" w:hanging="459"/>
              <w:jc w:val="left"/>
            </w:pPr>
            <w:r w:rsidRPr="00180656">
              <w:t>34</w:t>
            </w:r>
            <w:r w:rsidRPr="00F23BB0">
              <w:t>.</w:t>
            </w:r>
            <w:r w:rsidRPr="00F23BB0">
              <w:tab/>
            </w:r>
            <w:r w:rsidRPr="00180656">
              <w:t>4 November 2010</w:t>
            </w:r>
          </w:p>
        </w:tc>
        <w:tc>
          <w:tcPr>
            <w:tcW w:w="1270" w:type="pct"/>
            <w:tcBorders>
              <w:top w:val="nil"/>
              <w:left w:val="nil"/>
              <w:bottom w:val="nil"/>
              <w:right w:val="nil"/>
            </w:tcBorders>
            <w:shd w:val="clear" w:color="auto" w:fill="auto"/>
            <w:vAlign w:val="center"/>
            <w:hideMark/>
          </w:tcPr>
          <w:p w14:paraId="4AF9BCBF" w14:textId="77777777" w:rsidR="0035143A" w:rsidRPr="00180656" w:rsidRDefault="0035143A" w:rsidP="0012134E">
            <w:pPr>
              <w:pStyle w:val="GG-body"/>
              <w:spacing w:after="0"/>
              <w:ind w:left="459" w:hanging="459"/>
              <w:jc w:val="left"/>
            </w:pPr>
            <w:r w:rsidRPr="00180656">
              <w:t>35</w:t>
            </w:r>
            <w:r w:rsidRPr="00F23BB0">
              <w:t>.</w:t>
            </w:r>
            <w:r w:rsidRPr="00F23BB0">
              <w:tab/>
            </w:r>
            <w:r w:rsidRPr="00180656">
              <w:t>25 November 2010</w:t>
            </w:r>
          </w:p>
        </w:tc>
        <w:tc>
          <w:tcPr>
            <w:tcW w:w="1230" w:type="pct"/>
            <w:tcBorders>
              <w:top w:val="nil"/>
              <w:left w:val="nil"/>
              <w:bottom w:val="nil"/>
              <w:right w:val="nil"/>
            </w:tcBorders>
            <w:shd w:val="clear" w:color="auto" w:fill="auto"/>
            <w:vAlign w:val="center"/>
            <w:hideMark/>
          </w:tcPr>
          <w:p w14:paraId="69CACA2B" w14:textId="77777777" w:rsidR="0035143A" w:rsidRPr="00180656" w:rsidRDefault="0035143A" w:rsidP="0012134E">
            <w:pPr>
              <w:pStyle w:val="GG-body"/>
              <w:spacing w:after="0"/>
              <w:ind w:left="459" w:hanging="459"/>
              <w:jc w:val="left"/>
            </w:pPr>
            <w:r w:rsidRPr="00180656">
              <w:t>36</w:t>
            </w:r>
            <w:r w:rsidRPr="00F23BB0">
              <w:t>.</w:t>
            </w:r>
            <w:r w:rsidRPr="00F23BB0">
              <w:tab/>
            </w:r>
            <w:r w:rsidRPr="00180656">
              <w:t>16 December 2010</w:t>
            </w:r>
          </w:p>
        </w:tc>
      </w:tr>
      <w:tr w:rsidR="0035143A" w:rsidRPr="00180656" w14:paraId="2B5DD50D" w14:textId="77777777" w:rsidTr="0012134E">
        <w:trPr>
          <w:trHeight w:val="20"/>
        </w:trPr>
        <w:tc>
          <w:tcPr>
            <w:tcW w:w="1230" w:type="pct"/>
            <w:tcBorders>
              <w:top w:val="nil"/>
              <w:left w:val="nil"/>
              <w:bottom w:val="nil"/>
              <w:right w:val="nil"/>
            </w:tcBorders>
            <w:shd w:val="clear" w:color="auto" w:fill="auto"/>
            <w:vAlign w:val="center"/>
            <w:hideMark/>
          </w:tcPr>
          <w:p w14:paraId="50128632" w14:textId="77777777" w:rsidR="0035143A" w:rsidRPr="00180656" w:rsidRDefault="0035143A" w:rsidP="0012134E">
            <w:pPr>
              <w:pStyle w:val="GG-body"/>
              <w:spacing w:after="0"/>
              <w:ind w:left="459" w:hanging="459"/>
              <w:jc w:val="left"/>
            </w:pPr>
            <w:r w:rsidRPr="00180656">
              <w:t>37</w:t>
            </w:r>
            <w:r w:rsidRPr="00F23BB0">
              <w:t>.</w:t>
            </w:r>
            <w:r w:rsidRPr="00F23BB0">
              <w:tab/>
            </w:r>
            <w:r w:rsidRPr="00180656">
              <w:t>23 December 2010</w:t>
            </w:r>
          </w:p>
        </w:tc>
        <w:tc>
          <w:tcPr>
            <w:tcW w:w="1270" w:type="pct"/>
            <w:tcBorders>
              <w:top w:val="nil"/>
              <w:left w:val="nil"/>
              <w:bottom w:val="nil"/>
              <w:right w:val="nil"/>
            </w:tcBorders>
            <w:shd w:val="clear" w:color="auto" w:fill="auto"/>
            <w:vAlign w:val="center"/>
            <w:hideMark/>
          </w:tcPr>
          <w:p w14:paraId="71B3131D" w14:textId="77777777" w:rsidR="0035143A" w:rsidRPr="00180656" w:rsidRDefault="0035143A" w:rsidP="0012134E">
            <w:pPr>
              <w:pStyle w:val="GG-body"/>
              <w:spacing w:after="0"/>
              <w:ind w:left="459" w:hanging="459"/>
              <w:jc w:val="left"/>
            </w:pPr>
            <w:r w:rsidRPr="00180656">
              <w:t>38</w:t>
            </w:r>
            <w:r w:rsidRPr="00F23BB0">
              <w:t>.</w:t>
            </w:r>
            <w:r w:rsidRPr="00F23BB0">
              <w:tab/>
            </w:r>
            <w:r w:rsidRPr="00180656">
              <w:t>17 March 2011</w:t>
            </w:r>
          </w:p>
        </w:tc>
        <w:tc>
          <w:tcPr>
            <w:tcW w:w="1270" w:type="pct"/>
            <w:tcBorders>
              <w:top w:val="nil"/>
              <w:left w:val="nil"/>
              <w:bottom w:val="nil"/>
              <w:right w:val="nil"/>
            </w:tcBorders>
            <w:shd w:val="clear" w:color="auto" w:fill="auto"/>
            <w:vAlign w:val="center"/>
            <w:hideMark/>
          </w:tcPr>
          <w:p w14:paraId="7DF12F66" w14:textId="77777777" w:rsidR="0035143A" w:rsidRPr="00180656" w:rsidRDefault="0035143A" w:rsidP="0012134E">
            <w:pPr>
              <w:pStyle w:val="GG-body"/>
              <w:spacing w:after="0"/>
              <w:ind w:left="459" w:hanging="459"/>
              <w:jc w:val="left"/>
            </w:pPr>
            <w:r w:rsidRPr="00180656">
              <w:t>39</w:t>
            </w:r>
            <w:r w:rsidRPr="00F23BB0">
              <w:t>.</w:t>
            </w:r>
            <w:r w:rsidRPr="00F23BB0">
              <w:tab/>
            </w:r>
            <w:r w:rsidRPr="00180656">
              <w:t>7 April 2011</w:t>
            </w:r>
          </w:p>
        </w:tc>
        <w:tc>
          <w:tcPr>
            <w:tcW w:w="1230" w:type="pct"/>
            <w:tcBorders>
              <w:top w:val="nil"/>
              <w:left w:val="nil"/>
              <w:bottom w:val="nil"/>
              <w:right w:val="nil"/>
            </w:tcBorders>
            <w:shd w:val="clear" w:color="auto" w:fill="auto"/>
            <w:vAlign w:val="center"/>
            <w:hideMark/>
          </w:tcPr>
          <w:p w14:paraId="28B4639A" w14:textId="77777777" w:rsidR="0035143A" w:rsidRPr="00180656" w:rsidRDefault="0035143A" w:rsidP="0012134E">
            <w:pPr>
              <w:pStyle w:val="GG-body"/>
              <w:spacing w:after="0"/>
              <w:ind w:left="459" w:hanging="459"/>
              <w:jc w:val="left"/>
            </w:pPr>
            <w:r w:rsidRPr="00180656">
              <w:t>40</w:t>
            </w:r>
            <w:r w:rsidRPr="00F23BB0">
              <w:t>.</w:t>
            </w:r>
            <w:r w:rsidRPr="00F23BB0">
              <w:tab/>
            </w:r>
            <w:r w:rsidRPr="00180656">
              <w:t>21 April 2011</w:t>
            </w:r>
          </w:p>
        </w:tc>
      </w:tr>
      <w:tr w:rsidR="0035143A" w:rsidRPr="00180656" w14:paraId="1D077CBD" w14:textId="77777777" w:rsidTr="0012134E">
        <w:trPr>
          <w:trHeight w:val="20"/>
        </w:trPr>
        <w:tc>
          <w:tcPr>
            <w:tcW w:w="1230" w:type="pct"/>
            <w:tcBorders>
              <w:top w:val="nil"/>
              <w:left w:val="nil"/>
              <w:bottom w:val="nil"/>
              <w:right w:val="nil"/>
            </w:tcBorders>
            <w:shd w:val="clear" w:color="auto" w:fill="auto"/>
            <w:vAlign w:val="center"/>
            <w:hideMark/>
          </w:tcPr>
          <w:p w14:paraId="49C31FD9" w14:textId="77777777" w:rsidR="0035143A" w:rsidRPr="00180656" w:rsidRDefault="0035143A" w:rsidP="0012134E">
            <w:pPr>
              <w:pStyle w:val="GG-body"/>
              <w:spacing w:after="0"/>
              <w:ind w:left="459" w:hanging="459"/>
              <w:jc w:val="left"/>
            </w:pPr>
            <w:r w:rsidRPr="00180656">
              <w:t>41</w:t>
            </w:r>
            <w:r w:rsidRPr="00F23BB0">
              <w:t>.</w:t>
            </w:r>
            <w:r w:rsidRPr="00F23BB0">
              <w:tab/>
            </w:r>
            <w:r w:rsidRPr="00180656">
              <w:t>19 May 2011</w:t>
            </w:r>
          </w:p>
        </w:tc>
        <w:tc>
          <w:tcPr>
            <w:tcW w:w="1270" w:type="pct"/>
            <w:tcBorders>
              <w:top w:val="nil"/>
              <w:left w:val="nil"/>
              <w:bottom w:val="nil"/>
              <w:right w:val="nil"/>
            </w:tcBorders>
            <w:shd w:val="clear" w:color="auto" w:fill="auto"/>
            <w:vAlign w:val="center"/>
            <w:hideMark/>
          </w:tcPr>
          <w:p w14:paraId="5DA9B6A6" w14:textId="77777777" w:rsidR="0035143A" w:rsidRPr="00180656" w:rsidRDefault="0035143A" w:rsidP="0012134E">
            <w:pPr>
              <w:pStyle w:val="GG-body"/>
              <w:spacing w:after="0"/>
              <w:ind w:left="459" w:hanging="459"/>
              <w:jc w:val="left"/>
            </w:pPr>
            <w:r w:rsidRPr="00180656">
              <w:t>42</w:t>
            </w:r>
            <w:r w:rsidRPr="00F23BB0">
              <w:t>.</w:t>
            </w:r>
            <w:r w:rsidRPr="00F23BB0">
              <w:tab/>
            </w:r>
            <w:r w:rsidRPr="00180656">
              <w:t>30 June 2011</w:t>
            </w:r>
          </w:p>
        </w:tc>
        <w:tc>
          <w:tcPr>
            <w:tcW w:w="1270" w:type="pct"/>
            <w:tcBorders>
              <w:top w:val="nil"/>
              <w:left w:val="nil"/>
              <w:bottom w:val="nil"/>
              <w:right w:val="nil"/>
            </w:tcBorders>
            <w:shd w:val="clear" w:color="auto" w:fill="auto"/>
            <w:vAlign w:val="center"/>
            <w:hideMark/>
          </w:tcPr>
          <w:p w14:paraId="52D0F0F2" w14:textId="77777777" w:rsidR="0035143A" w:rsidRPr="00180656" w:rsidRDefault="0035143A" w:rsidP="0012134E">
            <w:pPr>
              <w:pStyle w:val="GG-body"/>
              <w:spacing w:after="0"/>
              <w:ind w:left="459" w:hanging="459"/>
              <w:jc w:val="left"/>
            </w:pPr>
            <w:r w:rsidRPr="00180656">
              <w:t>43</w:t>
            </w:r>
            <w:r w:rsidRPr="00F23BB0">
              <w:t>.</w:t>
            </w:r>
            <w:r w:rsidRPr="00F23BB0">
              <w:tab/>
            </w:r>
            <w:r w:rsidRPr="00180656">
              <w:t>21 July 2011</w:t>
            </w:r>
          </w:p>
        </w:tc>
        <w:tc>
          <w:tcPr>
            <w:tcW w:w="1230" w:type="pct"/>
            <w:tcBorders>
              <w:top w:val="nil"/>
              <w:left w:val="nil"/>
              <w:bottom w:val="nil"/>
              <w:right w:val="nil"/>
            </w:tcBorders>
            <w:shd w:val="clear" w:color="auto" w:fill="auto"/>
            <w:vAlign w:val="center"/>
            <w:hideMark/>
          </w:tcPr>
          <w:p w14:paraId="34B84A4F" w14:textId="77777777" w:rsidR="0035143A" w:rsidRPr="00180656" w:rsidRDefault="0035143A" w:rsidP="0012134E">
            <w:pPr>
              <w:pStyle w:val="GG-body"/>
              <w:spacing w:after="0"/>
              <w:ind w:left="459" w:hanging="459"/>
              <w:jc w:val="left"/>
            </w:pPr>
            <w:r w:rsidRPr="00180656">
              <w:t>44</w:t>
            </w:r>
            <w:r w:rsidRPr="00F23BB0">
              <w:t>.</w:t>
            </w:r>
            <w:r w:rsidRPr="00F23BB0">
              <w:tab/>
            </w:r>
            <w:r w:rsidRPr="00180656">
              <w:t>8 September 2011</w:t>
            </w:r>
          </w:p>
        </w:tc>
      </w:tr>
      <w:tr w:rsidR="0035143A" w:rsidRPr="00180656" w14:paraId="2489E8FD" w14:textId="77777777" w:rsidTr="0012134E">
        <w:trPr>
          <w:trHeight w:val="20"/>
        </w:trPr>
        <w:tc>
          <w:tcPr>
            <w:tcW w:w="1230" w:type="pct"/>
            <w:tcBorders>
              <w:top w:val="nil"/>
              <w:left w:val="nil"/>
              <w:bottom w:val="nil"/>
              <w:right w:val="nil"/>
            </w:tcBorders>
            <w:shd w:val="clear" w:color="auto" w:fill="auto"/>
            <w:vAlign w:val="center"/>
            <w:hideMark/>
          </w:tcPr>
          <w:p w14:paraId="43490F70" w14:textId="77777777" w:rsidR="0035143A" w:rsidRPr="00180656" w:rsidRDefault="0035143A" w:rsidP="0012134E">
            <w:pPr>
              <w:pStyle w:val="GG-body"/>
              <w:spacing w:after="0"/>
              <w:ind w:left="459" w:hanging="459"/>
              <w:jc w:val="left"/>
            </w:pPr>
            <w:r w:rsidRPr="00180656">
              <w:t>45</w:t>
            </w:r>
            <w:r w:rsidRPr="00F23BB0">
              <w:t>.</w:t>
            </w:r>
            <w:r w:rsidRPr="00F23BB0">
              <w:tab/>
            </w:r>
            <w:r w:rsidRPr="00180656">
              <w:t>10 November 2011</w:t>
            </w:r>
          </w:p>
        </w:tc>
        <w:tc>
          <w:tcPr>
            <w:tcW w:w="1270" w:type="pct"/>
            <w:tcBorders>
              <w:top w:val="nil"/>
              <w:left w:val="nil"/>
              <w:bottom w:val="nil"/>
              <w:right w:val="nil"/>
            </w:tcBorders>
            <w:shd w:val="clear" w:color="auto" w:fill="auto"/>
            <w:vAlign w:val="center"/>
            <w:hideMark/>
          </w:tcPr>
          <w:p w14:paraId="64E21F0A" w14:textId="77777777" w:rsidR="0035143A" w:rsidRPr="00180656" w:rsidRDefault="0035143A" w:rsidP="0012134E">
            <w:pPr>
              <w:pStyle w:val="GG-body"/>
              <w:spacing w:after="0"/>
              <w:ind w:left="459" w:hanging="459"/>
              <w:jc w:val="left"/>
            </w:pPr>
            <w:r w:rsidRPr="00180656">
              <w:t>46</w:t>
            </w:r>
            <w:r w:rsidRPr="00F23BB0">
              <w:t>.</w:t>
            </w:r>
            <w:r w:rsidRPr="00F23BB0">
              <w:tab/>
            </w:r>
            <w:r w:rsidRPr="00180656">
              <w:t>24 November 2011</w:t>
            </w:r>
          </w:p>
        </w:tc>
        <w:tc>
          <w:tcPr>
            <w:tcW w:w="1270" w:type="pct"/>
            <w:tcBorders>
              <w:top w:val="nil"/>
              <w:left w:val="nil"/>
              <w:bottom w:val="nil"/>
              <w:right w:val="nil"/>
            </w:tcBorders>
            <w:shd w:val="clear" w:color="auto" w:fill="auto"/>
            <w:vAlign w:val="center"/>
            <w:hideMark/>
          </w:tcPr>
          <w:p w14:paraId="51CDBD4A" w14:textId="77777777" w:rsidR="0035143A" w:rsidRPr="00180656" w:rsidRDefault="0035143A" w:rsidP="0012134E">
            <w:pPr>
              <w:pStyle w:val="GG-body"/>
              <w:spacing w:after="0"/>
              <w:ind w:left="459" w:hanging="459"/>
              <w:jc w:val="left"/>
            </w:pPr>
            <w:r w:rsidRPr="00180656">
              <w:t>47</w:t>
            </w:r>
            <w:r w:rsidRPr="00F23BB0">
              <w:t>.</w:t>
            </w:r>
            <w:r w:rsidRPr="00F23BB0">
              <w:tab/>
            </w:r>
            <w:r w:rsidRPr="00180656">
              <w:t>1 December 2011</w:t>
            </w:r>
          </w:p>
        </w:tc>
        <w:tc>
          <w:tcPr>
            <w:tcW w:w="1230" w:type="pct"/>
            <w:tcBorders>
              <w:top w:val="nil"/>
              <w:left w:val="nil"/>
              <w:bottom w:val="nil"/>
              <w:right w:val="nil"/>
            </w:tcBorders>
            <w:shd w:val="clear" w:color="auto" w:fill="auto"/>
            <w:vAlign w:val="center"/>
            <w:hideMark/>
          </w:tcPr>
          <w:p w14:paraId="5CE3A6FC" w14:textId="77777777" w:rsidR="0035143A" w:rsidRPr="00180656" w:rsidRDefault="0035143A" w:rsidP="0012134E">
            <w:pPr>
              <w:pStyle w:val="GG-body"/>
              <w:spacing w:after="0"/>
              <w:ind w:left="459" w:hanging="459"/>
              <w:jc w:val="left"/>
            </w:pPr>
            <w:r w:rsidRPr="00180656">
              <w:t>48</w:t>
            </w:r>
            <w:r w:rsidRPr="00F23BB0">
              <w:t>.</w:t>
            </w:r>
            <w:r w:rsidRPr="00F23BB0">
              <w:tab/>
            </w:r>
            <w:r w:rsidRPr="00180656">
              <w:t>8 December 2011</w:t>
            </w:r>
          </w:p>
        </w:tc>
      </w:tr>
      <w:tr w:rsidR="0035143A" w:rsidRPr="00180656" w14:paraId="0D6936A7" w14:textId="77777777" w:rsidTr="0012134E">
        <w:trPr>
          <w:trHeight w:val="20"/>
        </w:trPr>
        <w:tc>
          <w:tcPr>
            <w:tcW w:w="1230" w:type="pct"/>
            <w:tcBorders>
              <w:top w:val="nil"/>
              <w:left w:val="nil"/>
              <w:bottom w:val="nil"/>
              <w:right w:val="nil"/>
            </w:tcBorders>
            <w:shd w:val="clear" w:color="auto" w:fill="auto"/>
            <w:vAlign w:val="center"/>
            <w:hideMark/>
          </w:tcPr>
          <w:p w14:paraId="59BC0AC6" w14:textId="77777777" w:rsidR="0035143A" w:rsidRPr="00180656" w:rsidRDefault="0035143A" w:rsidP="0012134E">
            <w:pPr>
              <w:pStyle w:val="GG-body"/>
              <w:spacing w:after="0"/>
              <w:ind w:left="459" w:hanging="459"/>
              <w:jc w:val="left"/>
            </w:pPr>
            <w:r w:rsidRPr="00180656">
              <w:t>49</w:t>
            </w:r>
            <w:r w:rsidRPr="00F23BB0">
              <w:t>.</w:t>
            </w:r>
            <w:r w:rsidRPr="00F23BB0">
              <w:tab/>
            </w:r>
            <w:r w:rsidRPr="00180656">
              <w:t>16 December 2011</w:t>
            </w:r>
          </w:p>
        </w:tc>
        <w:tc>
          <w:tcPr>
            <w:tcW w:w="1270" w:type="pct"/>
            <w:tcBorders>
              <w:top w:val="nil"/>
              <w:left w:val="nil"/>
              <w:bottom w:val="nil"/>
              <w:right w:val="nil"/>
            </w:tcBorders>
            <w:shd w:val="clear" w:color="auto" w:fill="auto"/>
            <w:vAlign w:val="center"/>
            <w:hideMark/>
          </w:tcPr>
          <w:p w14:paraId="1DF6381B" w14:textId="77777777" w:rsidR="0035143A" w:rsidRPr="00180656" w:rsidRDefault="0035143A" w:rsidP="0012134E">
            <w:pPr>
              <w:pStyle w:val="GG-body"/>
              <w:spacing w:after="0"/>
              <w:ind w:left="459" w:hanging="459"/>
              <w:jc w:val="left"/>
            </w:pPr>
            <w:r w:rsidRPr="00180656">
              <w:t>50</w:t>
            </w:r>
            <w:r w:rsidRPr="00F23BB0">
              <w:t>.</w:t>
            </w:r>
            <w:r w:rsidRPr="00F23BB0">
              <w:tab/>
            </w:r>
            <w:r w:rsidRPr="00180656">
              <w:t>22 December 2011</w:t>
            </w:r>
          </w:p>
        </w:tc>
        <w:tc>
          <w:tcPr>
            <w:tcW w:w="1270" w:type="pct"/>
            <w:tcBorders>
              <w:top w:val="nil"/>
              <w:left w:val="nil"/>
              <w:bottom w:val="nil"/>
              <w:right w:val="nil"/>
            </w:tcBorders>
            <w:shd w:val="clear" w:color="auto" w:fill="auto"/>
            <w:vAlign w:val="center"/>
            <w:hideMark/>
          </w:tcPr>
          <w:p w14:paraId="09D3260D" w14:textId="77777777" w:rsidR="0035143A" w:rsidRPr="00180656" w:rsidRDefault="0035143A" w:rsidP="0012134E">
            <w:pPr>
              <w:pStyle w:val="GG-body"/>
              <w:spacing w:after="0"/>
              <w:ind w:left="459" w:hanging="459"/>
              <w:jc w:val="left"/>
            </w:pPr>
            <w:r w:rsidRPr="00180656">
              <w:t>51</w:t>
            </w:r>
            <w:r w:rsidRPr="00F23BB0">
              <w:t>.</w:t>
            </w:r>
            <w:r w:rsidRPr="00F23BB0">
              <w:tab/>
            </w:r>
            <w:r w:rsidRPr="00180656">
              <w:t>5 January 2012</w:t>
            </w:r>
          </w:p>
        </w:tc>
        <w:tc>
          <w:tcPr>
            <w:tcW w:w="1230" w:type="pct"/>
            <w:tcBorders>
              <w:top w:val="nil"/>
              <w:left w:val="nil"/>
              <w:bottom w:val="nil"/>
              <w:right w:val="nil"/>
            </w:tcBorders>
            <w:shd w:val="clear" w:color="auto" w:fill="auto"/>
            <w:vAlign w:val="center"/>
            <w:hideMark/>
          </w:tcPr>
          <w:p w14:paraId="046763B8" w14:textId="77777777" w:rsidR="0035143A" w:rsidRPr="00180656" w:rsidRDefault="0035143A" w:rsidP="0012134E">
            <w:pPr>
              <w:pStyle w:val="GG-body"/>
              <w:spacing w:after="0"/>
              <w:ind w:left="459" w:hanging="459"/>
              <w:jc w:val="left"/>
            </w:pPr>
            <w:r w:rsidRPr="00180656">
              <w:t>52</w:t>
            </w:r>
            <w:r w:rsidRPr="00F23BB0">
              <w:t>.</w:t>
            </w:r>
            <w:r w:rsidRPr="00F23BB0">
              <w:tab/>
            </w:r>
            <w:r w:rsidRPr="00180656">
              <w:t>19 January 2012</w:t>
            </w:r>
          </w:p>
        </w:tc>
      </w:tr>
      <w:tr w:rsidR="0035143A" w:rsidRPr="00180656" w14:paraId="6500AF3E" w14:textId="77777777" w:rsidTr="0012134E">
        <w:trPr>
          <w:trHeight w:val="20"/>
        </w:trPr>
        <w:tc>
          <w:tcPr>
            <w:tcW w:w="1230" w:type="pct"/>
            <w:tcBorders>
              <w:top w:val="nil"/>
              <w:left w:val="nil"/>
              <w:bottom w:val="nil"/>
              <w:right w:val="nil"/>
            </w:tcBorders>
            <w:shd w:val="clear" w:color="auto" w:fill="auto"/>
            <w:vAlign w:val="center"/>
            <w:hideMark/>
          </w:tcPr>
          <w:p w14:paraId="18626FF9" w14:textId="77777777" w:rsidR="0035143A" w:rsidRPr="00180656" w:rsidRDefault="0035143A" w:rsidP="0012134E">
            <w:pPr>
              <w:pStyle w:val="GG-body"/>
              <w:spacing w:after="0"/>
              <w:ind w:left="459" w:hanging="459"/>
              <w:jc w:val="left"/>
            </w:pPr>
            <w:r w:rsidRPr="00180656">
              <w:t>53</w:t>
            </w:r>
            <w:r w:rsidRPr="00F23BB0">
              <w:t>.</w:t>
            </w:r>
            <w:r w:rsidRPr="00F23BB0">
              <w:tab/>
            </w:r>
            <w:r w:rsidRPr="00180656">
              <w:t>1 March 2012</w:t>
            </w:r>
          </w:p>
        </w:tc>
        <w:tc>
          <w:tcPr>
            <w:tcW w:w="1270" w:type="pct"/>
            <w:tcBorders>
              <w:top w:val="nil"/>
              <w:left w:val="nil"/>
              <w:bottom w:val="nil"/>
              <w:right w:val="nil"/>
            </w:tcBorders>
            <w:shd w:val="clear" w:color="auto" w:fill="auto"/>
            <w:vAlign w:val="center"/>
            <w:hideMark/>
          </w:tcPr>
          <w:p w14:paraId="136E6BFE" w14:textId="77777777" w:rsidR="0035143A" w:rsidRPr="00180656" w:rsidRDefault="0035143A" w:rsidP="0012134E">
            <w:pPr>
              <w:pStyle w:val="GG-body"/>
              <w:spacing w:after="0"/>
              <w:ind w:left="459" w:hanging="459"/>
              <w:jc w:val="left"/>
            </w:pPr>
            <w:r w:rsidRPr="00180656">
              <w:t>54</w:t>
            </w:r>
            <w:r w:rsidRPr="00F23BB0">
              <w:t>.</w:t>
            </w:r>
            <w:r w:rsidRPr="00F23BB0">
              <w:tab/>
            </w:r>
            <w:r w:rsidRPr="00180656">
              <w:t>29 March 2012</w:t>
            </w:r>
          </w:p>
        </w:tc>
        <w:tc>
          <w:tcPr>
            <w:tcW w:w="1270" w:type="pct"/>
            <w:tcBorders>
              <w:top w:val="nil"/>
              <w:left w:val="nil"/>
              <w:bottom w:val="nil"/>
              <w:right w:val="nil"/>
            </w:tcBorders>
            <w:shd w:val="clear" w:color="auto" w:fill="auto"/>
            <w:vAlign w:val="center"/>
            <w:hideMark/>
          </w:tcPr>
          <w:p w14:paraId="0E319C29" w14:textId="77777777" w:rsidR="0035143A" w:rsidRPr="00180656" w:rsidRDefault="0035143A" w:rsidP="0012134E">
            <w:pPr>
              <w:pStyle w:val="GG-body"/>
              <w:spacing w:after="0"/>
              <w:ind w:left="459" w:hanging="459"/>
              <w:jc w:val="left"/>
            </w:pPr>
            <w:r w:rsidRPr="00180656">
              <w:t>55</w:t>
            </w:r>
            <w:r w:rsidRPr="00F23BB0">
              <w:t>.</w:t>
            </w:r>
            <w:r w:rsidRPr="00F23BB0">
              <w:tab/>
            </w:r>
            <w:r w:rsidRPr="00180656">
              <w:t>24 May 2012</w:t>
            </w:r>
          </w:p>
        </w:tc>
        <w:tc>
          <w:tcPr>
            <w:tcW w:w="1230" w:type="pct"/>
            <w:tcBorders>
              <w:top w:val="nil"/>
              <w:left w:val="nil"/>
              <w:bottom w:val="nil"/>
              <w:right w:val="nil"/>
            </w:tcBorders>
            <w:shd w:val="clear" w:color="auto" w:fill="auto"/>
            <w:vAlign w:val="center"/>
            <w:hideMark/>
          </w:tcPr>
          <w:p w14:paraId="20407CCE" w14:textId="77777777" w:rsidR="0035143A" w:rsidRPr="00180656" w:rsidRDefault="0035143A" w:rsidP="0012134E">
            <w:pPr>
              <w:pStyle w:val="GG-body"/>
              <w:spacing w:after="0"/>
              <w:ind w:left="459" w:hanging="459"/>
              <w:jc w:val="left"/>
            </w:pPr>
            <w:r w:rsidRPr="00180656">
              <w:t>56</w:t>
            </w:r>
            <w:r w:rsidRPr="00F23BB0">
              <w:t>.</w:t>
            </w:r>
            <w:r w:rsidRPr="00F23BB0">
              <w:tab/>
            </w:r>
            <w:r w:rsidRPr="00180656">
              <w:t>31 May 2012</w:t>
            </w:r>
          </w:p>
        </w:tc>
      </w:tr>
      <w:tr w:rsidR="0035143A" w:rsidRPr="00180656" w14:paraId="27D85600" w14:textId="77777777" w:rsidTr="0012134E">
        <w:trPr>
          <w:trHeight w:val="20"/>
        </w:trPr>
        <w:tc>
          <w:tcPr>
            <w:tcW w:w="1230" w:type="pct"/>
            <w:tcBorders>
              <w:top w:val="nil"/>
              <w:left w:val="nil"/>
              <w:bottom w:val="nil"/>
              <w:right w:val="nil"/>
            </w:tcBorders>
            <w:shd w:val="clear" w:color="auto" w:fill="auto"/>
            <w:vAlign w:val="center"/>
            <w:hideMark/>
          </w:tcPr>
          <w:p w14:paraId="664FD781" w14:textId="77777777" w:rsidR="0035143A" w:rsidRPr="00180656" w:rsidRDefault="0035143A" w:rsidP="0012134E">
            <w:pPr>
              <w:pStyle w:val="GG-body"/>
              <w:spacing w:after="0"/>
              <w:ind w:left="459" w:hanging="459"/>
              <w:jc w:val="left"/>
            </w:pPr>
            <w:r w:rsidRPr="00180656">
              <w:t>57</w:t>
            </w:r>
            <w:r w:rsidRPr="00F23BB0">
              <w:t>.</w:t>
            </w:r>
            <w:r w:rsidRPr="00F23BB0">
              <w:tab/>
            </w:r>
            <w:r w:rsidRPr="00180656">
              <w:t>7 June 2012</w:t>
            </w:r>
          </w:p>
        </w:tc>
        <w:tc>
          <w:tcPr>
            <w:tcW w:w="1270" w:type="pct"/>
            <w:tcBorders>
              <w:top w:val="nil"/>
              <w:left w:val="nil"/>
              <w:bottom w:val="nil"/>
              <w:right w:val="nil"/>
            </w:tcBorders>
            <w:shd w:val="clear" w:color="auto" w:fill="auto"/>
            <w:vAlign w:val="center"/>
            <w:hideMark/>
          </w:tcPr>
          <w:p w14:paraId="200B64FA" w14:textId="77777777" w:rsidR="0035143A" w:rsidRPr="00180656" w:rsidRDefault="0035143A" w:rsidP="0012134E">
            <w:pPr>
              <w:pStyle w:val="GG-body"/>
              <w:spacing w:after="0"/>
              <w:ind w:left="459" w:hanging="459"/>
              <w:jc w:val="left"/>
            </w:pPr>
            <w:r w:rsidRPr="00180656">
              <w:t>58</w:t>
            </w:r>
            <w:r w:rsidRPr="00F23BB0">
              <w:t>.</w:t>
            </w:r>
            <w:r w:rsidRPr="00F23BB0">
              <w:tab/>
            </w:r>
            <w:r w:rsidRPr="00180656">
              <w:t>14 June 2012</w:t>
            </w:r>
          </w:p>
        </w:tc>
        <w:tc>
          <w:tcPr>
            <w:tcW w:w="1270" w:type="pct"/>
            <w:tcBorders>
              <w:top w:val="nil"/>
              <w:left w:val="nil"/>
              <w:bottom w:val="nil"/>
              <w:right w:val="nil"/>
            </w:tcBorders>
            <w:shd w:val="clear" w:color="auto" w:fill="auto"/>
            <w:vAlign w:val="center"/>
            <w:hideMark/>
          </w:tcPr>
          <w:p w14:paraId="702DA0FC" w14:textId="77777777" w:rsidR="0035143A" w:rsidRPr="00180656" w:rsidRDefault="0035143A" w:rsidP="0012134E">
            <w:pPr>
              <w:pStyle w:val="GG-body"/>
              <w:spacing w:after="0"/>
              <w:ind w:left="459" w:hanging="459"/>
              <w:jc w:val="left"/>
            </w:pPr>
            <w:r w:rsidRPr="00180656">
              <w:t>59</w:t>
            </w:r>
            <w:r w:rsidRPr="00F23BB0">
              <w:t>.</w:t>
            </w:r>
            <w:r w:rsidRPr="00F23BB0">
              <w:tab/>
            </w:r>
            <w:r w:rsidRPr="00180656">
              <w:t>21 June 2012</w:t>
            </w:r>
          </w:p>
        </w:tc>
        <w:tc>
          <w:tcPr>
            <w:tcW w:w="1230" w:type="pct"/>
            <w:tcBorders>
              <w:top w:val="nil"/>
              <w:left w:val="nil"/>
              <w:bottom w:val="nil"/>
              <w:right w:val="nil"/>
            </w:tcBorders>
            <w:shd w:val="clear" w:color="auto" w:fill="auto"/>
            <w:vAlign w:val="center"/>
            <w:hideMark/>
          </w:tcPr>
          <w:p w14:paraId="2185DF68" w14:textId="77777777" w:rsidR="0035143A" w:rsidRPr="00180656" w:rsidRDefault="0035143A" w:rsidP="0012134E">
            <w:pPr>
              <w:pStyle w:val="GG-body"/>
              <w:spacing w:after="0"/>
              <w:ind w:left="459" w:hanging="459"/>
              <w:jc w:val="left"/>
            </w:pPr>
            <w:r w:rsidRPr="00180656">
              <w:t>60</w:t>
            </w:r>
            <w:r w:rsidRPr="00F23BB0">
              <w:t>.</w:t>
            </w:r>
            <w:r w:rsidRPr="00F23BB0">
              <w:tab/>
            </w:r>
            <w:r w:rsidRPr="00180656">
              <w:t>28 June 2012</w:t>
            </w:r>
          </w:p>
        </w:tc>
      </w:tr>
      <w:tr w:rsidR="0035143A" w:rsidRPr="00180656" w14:paraId="736ABFAF" w14:textId="77777777" w:rsidTr="0012134E">
        <w:trPr>
          <w:trHeight w:val="20"/>
        </w:trPr>
        <w:tc>
          <w:tcPr>
            <w:tcW w:w="1230" w:type="pct"/>
            <w:tcBorders>
              <w:top w:val="nil"/>
              <w:left w:val="nil"/>
              <w:bottom w:val="nil"/>
              <w:right w:val="nil"/>
            </w:tcBorders>
            <w:shd w:val="clear" w:color="auto" w:fill="auto"/>
            <w:vAlign w:val="center"/>
            <w:hideMark/>
          </w:tcPr>
          <w:p w14:paraId="316800D6" w14:textId="77777777" w:rsidR="0035143A" w:rsidRPr="00180656" w:rsidRDefault="0035143A" w:rsidP="0012134E">
            <w:pPr>
              <w:pStyle w:val="GG-body"/>
              <w:spacing w:after="0"/>
              <w:ind w:left="459" w:hanging="459"/>
              <w:jc w:val="left"/>
            </w:pPr>
            <w:r w:rsidRPr="00180656">
              <w:t>61</w:t>
            </w:r>
            <w:r w:rsidRPr="00F23BB0">
              <w:t>.</w:t>
            </w:r>
            <w:r w:rsidRPr="00F23BB0">
              <w:tab/>
            </w:r>
            <w:r w:rsidRPr="00180656">
              <w:t>5 July 2012</w:t>
            </w:r>
          </w:p>
        </w:tc>
        <w:tc>
          <w:tcPr>
            <w:tcW w:w="1270" w:type="pct"/>
            <w:tcBorders>
              <w:top w:val="nil"/>
              <w:left w:val="nil"/>
              <w:bottom w:val="nil"/>
              <w:right w:val="nil"/>
            </w:tcBorders>
            <w:shd w:val="clear" w:color="auto" w:fill="auto"/>
            <w:vAlign w:val="center"/>
            <w:hideMark/>
          </w:tcPr>
          <w:p w14:paraId="7DF4EC7A" w14:textId="77777777" w:rsidR="0035143A" w:rsidRPr="00180656" w:rsidRDefault="0035143A" w:rsidP="0012134E">
            <w:pPr>
              <w:pStyle w:val="GG-body"/>
              <w:spacing w:after="0"/>
              <w:ind w:left="459" w:hanging="459"/>
              <w:jc w:val="left"/>
            </w:pPr>
            <w:r w:rsidRPr="00180656">
              <w:t>62</w:t>
            </w:r>
            <w:r w:rsidRPr="00F23BB0">
              <w:t>.</w:t>
            </w:r>
            <w:r w:rsidRPr="00F23BB0">
              <w:tab/>
            </w:r>
            <w:r w:rsidRPr="00180656">
              <w:t>12 July 2012</w:t>
            </w:r>
          </w:p>
        </w:tc>
        <w:tc>
          <w:tcPr>
            <w:tcW w:w="1270" w:type="pct"/>
            <w:tcBorders>
              <w:top w:val="nil"/>
              <w:left w:val="nil"/>
              <w:bottom w:val="nil"/>
              <w:right w:val="nil"/>
            </w:tcBorders>
            <w:shd w:val="clear" w:color="auto" w:fill="auto"/>
            <w:vAlign w:val="center"/>
            <w:hideMark/>
          </w:tcPr>
          <w:p w14:paraId="38210340" w14:textId="77777777" w:rsidR="0035143A" w:rsidRPr="00180656" w:rsidRDefault="0035143A" w:rsidP="0012134E">
            <w:pPr>
              <w:pStyle w:val="GG-body"/>
              <w:spacing w:after="0"/>
              <w:ind w:left="459" w:hanging="459"/>
              <w:jc w:val="left"/>
            </w:pPr>
            <w:r w:rsidRPr="00180656">
              <w:t>63</w:t>
            </w:r>
            <w:r w:rsidRPr="00F23BB0">
              <w:t>.</w:t>
            </w:r>
            <w:r w:rsidRPr="00F23BB0">
              <w:tab/>
            </w:r>
            <w:r w:rsidRPr="00180656">
              <w:t>19 July 2012</w:t>
            </w:r>
          </w:p>
        </w:tc>
        <w:tc>
          <w:tcPr>
            <w:tcW w:w="1230" w:type="pct"/>
            <w:tcBorders>
              <w:top w:val="nil"/>
              <w:left w:val="nil"/>
              <w:bottom w:val="nil"/>
              <w:right w:val="nil"/>
            </w:tcBorders>
            <w:shd w:val="clear" w:color="auto" w:fill="auto"/>
            <w:vAlign w:val="center"/>
            <w:hideMark/>
          </w:tcPr>
          <w:p w14:paraId="65867CB3" w14:textId="77777777" w:rsidR="0035143A" w:rsidRPr="00180656" w:rsidRDefault="0035143A" w:rsidP="0012134E">
            <w:pPr>
              <w:pStyle w:val="GG-body"/>
              <w:spacing w:after="0"/>
              <w:ind w:left="459" w:hanging="459"/>
              <w:jc w:val="left"/>
            </w:pPr>
            <w:r w:rsidRPr="00180656">
              <w:t>64</w:t>
            </w:r>
            <w:r w:rsidRPr="00F23BB0">
              <w:t>.</w:t>
            </w:r>
            <w:r w:rsidRPr="00F23BB0">
              <w:tab/>
            </w:r>
            <w:r w:rsidRPr="00180656">
              <w:t>2 August 2012</w:t>
            </w:r>
          </w:p>
        </w:tc>
      </w:tr>
      <w:tr w:rsidR="0035143A" w:rsidRPr="00180656" w14:paraId="5B763B4A" w14:textId="77777777" w:rsidTr="0012134E">
        <w:trPr>
          <w:trHeight w:val="20"/>
        </w:trPr>
        <w:tc>
          <w:tcPr>
            <w:tcW w:w="1230" w:type="pct"/>
            <w:tcBorders>
              <w:top w:val="nil"/>
              <w:left w:val="nil"/>
              <w:bottom w:val="nil"/>
              <w:right w:val="nil"/>
            </w:tcBorders>
            <w:shd w:val="clear" w:color="auto" w:fill="auto"/>
            <w:vAlign w:val="center"/>
            <w:hideMark/>
          </w:tcPr>
          <w:p w14:paraId="6148828D" w14:textId="77777777" w:rsidR="0035143A" w:rsidRPr="00180656" w:rsidRDefault="0035143A" w:rsidP="0012134E">
            <w:pPr>
              <w:pStyle w:val="GG-body"/>
              <w:spacing w:after="0"/>
              <w:ind w:left="459" w:hanging="459"/>
              <w:jc w:val="left"/>
            </w:pPr>
            <w:r w:rsidRPr="00180656">
              <w:t>65</w:t>
            </w:r>
            <w:r w:rsidRPr="00F23BB0">
              <w:t>.</w:t>
            </w:r>
            <w:r w:rsidRPr="00F23BB0">
              <w:tab/>
            </w:r>
            <w:r w:rsidRPr="00180656">
              <w:t>9 August 2012</w:t>
            </w:r>
          </w:p>
        </w:tc>
        <w:tc>
          <w:tcPr>
            <w:tcW w:w="1270" w:type="pct"/>
            <w:tcBorders>
              <w:top w:val="nil"/>
              <w:left w:val="nil"/>
              <w:bottom w:val="nil"/>
              <w:right w:val="nil"/>
            </w:tcBorders>
            <w:shd w:val="clear" w:color="auto" w:fill="auto"/>
            <w:vAlign w:val="center"/>
            <w:hideMark/>
          </w:tcPr>
          <w:p w14:paraId="35C53D4E" w14:textId="77777777" w:rsidR="0035143A" w:rsidRPr="00180656" w:rsidRDefault="0035143A" w:rsidP="0012134E">
            <w:pPr>
              <w:pStyle w:val="GG-body"/>
              <w:spacing w:after="0"/>
              <w:ind w:left="459" w:hanging="459"/>
              <w:jc w:val="left"/>
            </w:pPr>
            <w:r w:rsidRPr="00180656">
              <w:t>66</w:t>
            </w:r>
            <w:r w:rsidRPr="00F23BB0">
              <w:t>.</w:t>
            </w:r>
            <w:r w:rsidRPr="00F23BB0">
              <w:tab/>
            </w:r>
            <w:r w:rsidRPr="00180656">
              <w:t>30 August 2012</w:t>
            </w:r>
          </w:p>
        </w:tc>
        <w:tc>
          <w:tcPr>
            <w:tcW w:w="1270" w:type="pct"/>
            <w:tcBorders>
              <w:top w:val="nil"/>
              <w:left w:val="nil"/>
              <w:bottom w:val="nil"/>
              <w:right w:val="nil"/>
            </w:tcBorders>
            <w:shd w:val="clear" w:color="auto" w:fill="auto"/>
            <w:vAlign w:val="center"/>
            <w:hideMark/>
          </w:tcPr>
          <w:p w14:paraId="6ACDAA42" w14:textId="77777777" w:rsidR="0035143A" w:rsidRPr="00180656" w:rsidRDefault="0035143A" w:rsidP="0012134E">
            <w:pPr>
              <w:pStyle w:val="GG-body"/>
              <w:spacing w:after="0"/>
              <w:ind w:left="459" w:hanging="459"/>
              <w:jc w:val="left"/>
            </w:pPr>
            <w:r w:rsidRPr="00180656">
              <w:t>67</w:t>
            </w:r>
            <w:r w:rsidRPr="00F23BB0">
              <w:t>.</w:t>
            </w:r>
            <w:r w:rsidRPr="00F23BB0">
              <w:tab/>
            </w:r>
            <w:r w:rsidRPr="00180656">
              <w:t>13 September 2012</w:t>
            </w:r>
          </w:p>
        </w:tc>
        <w:tc>
          <w:tcPr>
            <w:tcW w:w="1230" w:type="pct"/>
            <w:tcBorders>
              <w:top w:val="nil"/>
              <w:left w:val="nil"/>
              <w:bottom w:val="nil"/>
              <w:right w:val="nil"/>
            </w:tcBorders>
            <w:shd w:val="clear" w:color="auto" w:fill="auto"/>
            <w:vAlign w:val="center"/>
            <w:hideMark/>
          </w:tcPr>
          <w:p w14:paraId="6F098668" w14:textId="77777777" w:rsidR="0035143A" w:rsidRPr="00180656" w:rsidRDefault="0035143A" w:rsidP="0012134E">
            <w:pPr>
              <w:pStyle w:val="GG-body"/>
              <w:spacing w:after="0"/>
              <w:ind w:left="459" w:hanging="459"/>
              <w:jc w:val="left"/>
            </w:pPr>
            <w:r w:rsidRPr="00180656">
              <w:t>68</w:t>
            </w:r>
            <w:r w:rsidRPr="00F23BB0">
              <w:t>.</w:t>
            </w:r>
            <w:r w:rsidRPr="00F23BB0">
              <w:tab/>
            </w:r>
            <w:r w:rsidRPr="00180656">
              <w:t>4 October 2012</w:t>
            </w:r>
          </w:p>
        </w:tc>
      </w:tr>
      <w:tr w:rsidR="0035143A" w:rsidRPr="00180656" w14:paraId="4D587B86" w14:textId="77777777" w:rsidTr="0012134E">
        <w:trPr>
          <w:trHeight w:val="20"/>
        </w:trPr>
        <w:tc>
          <w:tcPr>
            <w:tcW w:w="1230" w:type="pct"/>
            <w:tcBorders>
              <w:top w:val="nil"/>
              <w:left w:val="nil"/>
              <w:bottom w:val="nil"/>
              <w:right w:val="nil"/>
            </w:tcBorders>
            <w:shd w:val="clear" w:color="auto" w:fill="auto"/>
            <w:vAlign w:val="center"/>
            <w:hideMark/>
          </w:tcPr>
          <w:p w14:paraId="61CD7B4B" w14:textId="77777777" w:rsidR="0035143A" w:rsidRPr="00180656" w:rsidRDefault="0035143A" w:rsidP="0012134E">
            <w:pPr>
              <w:pStyle w:val="GG-body"/>
              <w:spacing w:after="0"/>
              <w:ind w:left="459" w:hanging="459"/>
              <w:jc w:val="left"/>
            </w:pPr>
            <w:r w:rsidRPr="00180656">
              <w:t>69</w:t>
            </w:r>
            <w:r w:rsidRPr="00F23BB0">
              <w:t>.</w:t>
            </w:r>
            <w:r w:rsidRPr="00F23BB0">
              <w:tab/>
            </w:r>
            <w:r w:rsidRPr="00180656">
              <w:t>18 October 2012</w:t>
            </w:r>
          </w:p>
        </w:tc>
        <w:tc>
          <w:tcPr>
            <w:tcW w:w="1270" w:type="pct"/>
            <w:tcBorders>
              <w:top w:val="nil"/>
              <w:left w:val="nil"/>
              <w:bottom w:val="nil"/>
              <w:right w:val="nil"/>
            </w:tcBorders>
            <w:shd w:val="clear" w:color="auto" w:fill="auto"/>
            <w:vAlign w:val="center"/>
            <w:hideMark/>
          </w:tcPr>
          <w:p w14:paraId="22FFDE4A" w14:textId="77777777" w:rsidR="0035143A" w:rsidRPr="00180656" w:rsidRDefault="0035143A" w:rsidP="0012134E">
            <w:pPr>
              <w:pStyle w:val="GG-body"/>
              <w:spacing w:after="0"/>
              <w:ind w:left="459" w:hanging="459"/>
              <w:jc w:val="left"/>
            </w:pPr>
            <w:r w:rsidRPr="00180656">
              <w:t>70</w:t>
            </w:r>
            <w:r w:rsidRPr="00F23BB0">
              <w:t>.</w:t>
            </w:r>
            <w:r w:rsidRPr="00F23BB0">
              <w:tab/>
            </w:r>
            <w:r w:rsidRPr="00180656">
              <w:t>25 October 2012</w:t>
            </w:r>
          </w:p>
        </w:tc>
        <w:tc>
          <w:tcPr>
            <w:tcW w:w="1270" w:type="pct"/>
            <w:tcBorders>
              <w:top w:val="nil"/>
              <w:left w:val="nil"/>
              <w:bottom w:val="nil"/>
              <w:right w:val="nil"/>
            </w:tcBorders>
            <w:shd w:val="clear" w:color="auto" w:fill="auto"/>
            <w:vAlign w:val="center"/>
            <w:hideMark/>
          </w:tcPr>
          <w:p w14:paraId="4CFF81E4" w14:textId="77777777" w:rsidR="0035143A" w:rsidRPr="00180656" w:rsidRDefault="0035143A" w:rsidP="0012134E">
            <w:pPr>
              <w:pStyle w:val="GG-body"/>
              <w:spacing w:after="0"/>
              <w:ind w:left="459" w:hanging="459"/>
              <w:jc w:val="left"/>
            </w:pPr>
            <w:r w:rsidRPr="00180656">
              <w:t>71</w:t>
            </w:r>
            <w:r w:rsidRPr="00F23BB0">
              <w:t>.</w:t>
            </w:r>
            <w:r w:rsidRPr="00F23BB0">
              <w:tab/>
            </w:r>
            <w:r w:rsidRPr="00180656">
              <w:t>8 November 2012</w:t>
            </w:r>
          </w:p>
        </w:tc>
        <w:tc>
          <w:tcPr>
            <w:tcW w:w="1230" w:type="pct"/>
            <w:tcBorders>
              <w:top w:val="nil"/>
              <w:left w:val="nil"/>
              <w:bottom w:val="nil"/>
              <w:right w:val="nil"/>
            </w:tcBorders>
            <w:shd w:val="clear" w:color="auto" w:fill="auto"/>
            <w:vAlign w:val="center"/>
            <w:hideMark/>
          </w:tcPr>
          <w:p w14:paraId="0126ECD6" w14:textId="77777777" w:rsidR="0035143A" w:rsidRPr="00180656" w:rsidRDefault="0035143A" w:rsidP="0012134E">
            <w:pPr>
              <w:pStyle w:val="GG-body"/>
              <w:spacing w:after="0"/>
              <w:ind w:left="459" w:hanging="459"/>
              <w:jc w:val="left"/>
            </w:pPr>
            <w:r w:rsidRPr="00180656">
              <w:t>72</w:t>
            </w:r>
            <w:r w:rsidRPr="00F23BB0">
              <w:t>.</w:t>
            </w:r>
            <w:r w:rsidRPr="00F23BB0">
              <w:tab/>
            </w:r>
            <w:r w:rsidRPr="00180656">
              <w:t>29 November 2012</w:t>
            </w:r>
          </w:p>
        </w:tc>
      </w:tr>
      <w:tr w:rsidR="0035143A" w:rsidRPr="00180656" w14:paraId="7D80C7FB" w14:textId="77777777" w:rsidTr="0012134E">
        <w:trPr>
          <w:trHeight w:val="20"/>
        </w:trPr>
        <w:tc>
          <w:tcPr>
            <w:tcW w:w="1230" w:type="pct"/>
            <w:tcBorders>
              <w:top w:val="nil"/>
              <w:left w:val="nil"/>
              <w:bottom w:val="nil"/>
              <w:right w:val="nil"/>
            </w:tcBorders>
            <w:shd w:val="clear" w:color="auto" w:fill="auto"/>
            <w:vAlign w:val="center"/>
            <w:hideMark/>
          </w:tcPr>
          <w:p w14:paraId="56879CD8" w14:textId="77777777" w:rsidR="0035143A" w:rsidRPr="00180656" w:rsidRDefault="0035143A" w:rsidP="0012134E">
            <w:pPr>
              <w:pStyle w:val="GG-body"/>
              <w:spacing w:after="0"/>
              <w:ind w:left="459" w:hanging="459"/>
              <w:jc w:val="left"/>
            </w:pPr>
            <w:r w:rsidRPr="00180656">
              <w:t>73</w:t>
            </w:r>
            <w:r w:rsidRPr="00F23BB0">
              <w:t>.</w:t>
            </w:r>
            <w:r w:rsidRPr="00F23BB0">
              <w:tab/>
            </w:r>
            <w:r w:rsidRPr="00180656">
              <w:t>13 December 2012</w:t>
            </w:r>
          </w:p>
        </w:tc>
        <w:tc>
          <w:tcPr>
            <w:tcW w:w="1270" w:type="pct"/>
            <w:tcBorders>
              <w:top w:val="nil"/>
              <w:left w:val="nil"/>
              <w:bottom w:val="nil"/>
              <w:right w:val="nil"/>
            </w:tcBorders>
            <w:shd w:val="clear" w:color="auto" w:fill="auto"/>
            <w:vAlign w:val="center"/>
            <w:hideMark/>
          </w:tcPr>
          <w:p w14:paraId="2B98F59E" w14:textId="77777777" w:rsidR="0035143A" w:rsidRPr="00180656" w:rsidRDefault="0035143A" w:rsidP="0012134E">
            <w:pPr>
              <w:pStyle w:val="GG-body"/>
              <w:spacing w:after="0"/>
              <w:ind w:left="459" w:hanging="459"/>
              <w:jc w:val="left"/>
            </w:pPr>
            <w:r w:rsidRPr="00180656">
              <w:t>74</w:t>
            </w:r>
            <w:r w:rsidRPr="00F23BB0">
              <w:t>.</w:t>
            </w:r>
            <w:r w:rsidRPr="00F23BB0">
              <w:tab/>
            </w:r>
            <w:r w:rsidRPr="00180656">
              <w:t>25 January 2013</w:t>
            </w:r>
          </w:p>
        </w:tc>
        <w:tc>
          <w:tcPr>
            <w:tcW w:w="1270" w:type="pct"/>
            <w:tcBorders>
              <w:top w:val="nil"/>
              <w:left w:val="nil"/>
              <w:bottom w:val="nil"/>
              <w:right w:val="nil"/>
            </w:tcBorders>
            <w:shd w:val="clear" w:color="auto" w:fill="auto"/>
            <w:vAlign w:val="center"/>
            <w:hideMark/>
          </w:tcPr>
          <w:p w14:paraId="26137E80" w14:textId="77777777" w:rsidR="0035143A" w:rsidRPr="00180656" w:rsidRDefault="0035143A" w:rsidP="0012134E">
            <w:pPr>
              <w:pStyle w:val="GG-body"/>
              <w:spacing w:after="0"/>
              <w:ind w:left="459" w:hanging="459"/>
              <w:jc w:val="left"/>
            </w:pPr>
            <w:r w:rsidRPr="00180656">
              <w:t>75</w:t>
            </w:r>
            <w:r w:rsidRPr="00F23BB0">
              <w:t>.</w:t>
            </w:r>
            <w:r w:rsidRPr="00F23BB0">
              <w:tab/>
            </w:r>
            <w:r w:rsidRPr="00180656">
              <w:t>14 February 2013</w:t>
            </w:r>
          </w:p>
        </w:tc>
        <w:tc>
          <w:tcPr>
            <w:tcW w:w="1230" w:type="pct"/>
            <w:tcBorders>
              <w:top w:val="nil"/>
              <w:left w:val="nil"/>
              <w:bottom w:val="nil"/>
              <w:right w:val="nil"/>
            </w:tcBorders>
            <w:shd w:val="clear" w:color="auto" w:fill="auto"/>
            <w:vAlign w:val="center"/>
            <w:hideMark/>
          </w:tcPr>
          <w:p w14:paraId="54E8AEA5" w14:textId="77777777" w:rsidR="0035143A" w:rsidRPr="00180656" w:rsidRDefault="0035143A" w:rsidP="0012134E">
            <w:pPr>
              <w:pStyle w:val="GG-body"/>
              <w:spacing w:after="0"/>
              <w:ind w:left="459" w:hanging="459"/>
              <w:jc w:val="left"/>
            </w:pPr>
            <w:r w:rsidRPr="00180656">
              <w:t>76</w:t>
            </w:r>
            <w:r w:rsidRPr="00F23BB0">
              <w:t>.</w:t>
            </w:r>
            <w:r w:rsidRPr="00F23BB0">
              <w:tab/>
            </w:r>
            <w:r w:rsidRPr="00180656">
              <w:t>21 February 2013</w:t>
            </w:r>
          </w:p>
        </w:tc>
      </w:tr>
      <w:tr w:rsidR="0035143A" w:rsidRPr="00180656" w14:paraId="4CB7FDD0" w14:textId="77777777" w:rsidTr="0012134E">
        <w:trPr>
          <w:trHeight w:val="20"/>
        </w:trPr>
        <w:tc>
          <w:tcPr>
            <w:tcW w:w="1230" w:type="pct"/>
            <w:tcBorders>
              <w:top w:val="nil"/>
              <w:left w:val="nil"/>
              <w:bottom w:val="nil"/>
              <w:right w:val="nil"/>
            </w:tcBorders>
            <w:shd w:val="clear" w:color="auto" w:fill="auto"/>
            <w:vAlign w:val="center"/>
            <w:hideMark/>
          </w:tcPr>
          <w:p w14:paraId="5084D26E" w14:textId="77777777" w:rsidR="0035143A" w:rsidRPr="00180656" w:rsidRDefault="0035143A" w:rsidP="0012134E">
            <w:pPr>
              <w:pStyle w:val="GG-body"/>
              <w:spacing w:after="0"/>
              <w:ind w:left="459" w:hanging="459"/>
              <w:jc w:val="left"/>
            </w:pPr>
            <w:r w:rsidRPr="00180656">
              <w:t>77</w:t>
            </w:r>
            <w:r w:rsidRPr="00F23BB0">
              <w:t>.</w:t>
            </w:r>
            <w:r w:rsidRPr="00F23BB0">
              <w:tab/>
            </w:r>
            <w:r w:rsidRPr="00180656">
              <w:t>28 February 2013</w:t>
            </w:r>
          </w:p>
        </w:tc>
        <w:tc>
          <w:tcPr>
            <w:tcW w:w="1270" w:type="pct"/>
            <w:tcBorders>
              <w:top w:val="nil"/>
              <w:left w:val="nil"/>
              <w:bottom w:val="nil"/>
              <w:right w:val="nil"/>
            </w:tcBorders>
            <w:shd w:val="clear" w:color="auto" w:fill="auto"/>
            <w:vAlign w:val="center"/>
            <w:hideMark/>
          </w:tcPr>
          <w:p w14:paraId="1289B5AF" w14:textId="77777777" w:rsidR="0035143A" w:rsidRPr="00180656" w:rsidRDefault="0035143A" w:rsidP="0012134E">
            <w:pPr>
              <w:pStyle w:val="GG-body"/>
              <w:spacing w:after="0"/>
              <w:ind w:left="459" w:hanging="459"/>
              <w:jc w:val="left"/>
            </w:pPr>
            <w:r w:rsidRPr="00180656">
              <w:t>78</w:t>
            </w:r>
            <w:r w:rsidRPr="00F23BB0">
              <w:t>.</w:t>
            </w:r>
            <w:r w:rsidRPr="00F23BB0">
              <w:tab/>
            </w:r>
            <w:r w:rsidRPr="00180656">
              <w:t>7 March 2013</w:t>
            </w:r>
          </w:p>
        </w:tc>
        <w:tc>
          <w:tcPr>
            <w:tcW w:w="1270" w:type="pct"/>
            <w:tcBorders>
              <w:top w:val="nil"/>
              <w:left w:val="nil"/>
              <w:bottom w:val="nil"/>
              <w:right w:val="nil"/>
            </w:tcBorders>
            <w:shd w:val="clear" w:color="auto" w:fill="auto"/>
            <w:vAlign w:val="center"/>
            <w:hideMark/>
          </w:tcPr>
          <w:p w14:paraId="480BA762" w14:textId="77777777" w:rsidR="0035143A" w:rsidRPr="00180656" w:rsidRDefault="0035143A" w:rsidP="0012134E">
            <w:pPr>
              <w:pStyle w:val="GG-body"/>
              <w:spacing w:after="0"/>
              <w:ind w:left="459" w:hanging="459"/>
              <w:jc w:val="left"/>
            </w:pPr>
            <w:r w:rsidRPr="00180656">
              <w:t>79</w:t>
            </w:r>
            <w:r w:rsidRPr="00F23BB0">
              <w:t>.</w:t>
            </w:r>
            <w:r w:rsidRPr="00F23BB0">
              <w:tab/>
            </w:r>
            <w:r w:rsidRPr="00180656">
              <w:t>14 March 2013</w:t>
            </w:r>
          </w:p>
        </w:tc>
        <w:tc>
          <w:tcPr>
            <w:tcW w:w="1230" w:type="pct"/>
            <w:tcBorders>
              <w:top w:val="nil"/>
              <w:left w:val="nil"/>
              <w:bottom w:val="nil"/>
              <w:right w:val="nil"/>
            </w:tcBorders>
            <w:shd w:val="clear" w:color="auto" w:fill="auto"/>
            <w:vAlign w:val="center"/>
            <w:hideMark/>
          </w:tcPr>
          <w:p w14:paraId="022125E9" w14:textId="77777777" w:rsidR="0035143A" w:rsidRPr="00180656" w:rsidRDefault="0035143A" w:rsidP="0012134E">
            <w:pPr>
              <w:pStyle w:val="GG-body"/>
              <w:spacing w:after="0"/>
              <w:ind w:left="459" w:hanging="459"/>
              <w:jc w:val="left"/>
            </w:pPr>
            <w:r w:rsidRPr="00180656">
              <w:t>80</w:t>
            </w:r>
            <w:r w:rsidRPr="00F23BB0">
              <w:t>.</w:t>
            </w:r>
            <w:r w:rsidRPr="00F23BB0">
              <w:tab/>
            </w:r>
            <w:r w:rsidRPr="00180656">
              <w:t>21 March 2013</w:t>
            </w:r>
          </w:p>
        </w:tc>
      </w:tr>
      <w:tr w:rsidR="0035143A" w:rsidRPr="00180656" w14:paraId="552C8790" w14:textId="77777777" w:rsidTr="0012134E">
        <w:trPr>
          <w:trHeight w:val="20"/>
        </w:trPr>
        <w:tc>
          <w:tcPr>
            <w:tcW w:w="1230" w:type="pct"/>
            <w:tcBorders>
              <w:top w:val="nil"/>
              <w:left w:val="nil"/>
              <w:bottom w:val="nil"/>
              <w:right w:val="nil"/>
            </w:tcBorders>
            <w:shd w:val="clear" w:color="auto" w:fill="auto"/>
            <w:vAlign w:val="center"/>
            <w:hideMark/>
          </w:tcPr>
          <w:p w14:paraId="4990E7CF" w14:textId="77777777" w:rsidR="0035143A" w:rsidRPr="00180656" w:rsidRDefault="0035143A" w:rsidP="0012134E">
            <w:pPr>
              <w:pStyle w:val="GG-body"/>
              <w:spacing w:after="0"/>
              <w:ind w:left="459" w:hanging="459"/>
              <w:jc w:val="left"/>
            </w:pPr>
            <w:r w:rsidRPr="00180656">
              <w:t>81</w:t>
            </w:r>
            <w:r w:rsidRPr="00F23BB0">
              <w:t>.</w:t>
            </w:r>
            <w:r w:rsidRPr="00F23BB0">
              <w:tab/>
            </w:r>
            <w:r w:rsidRPr="00180656">
              <w:t>28 March 2013</w:t>
            </w:r>
          </w:p>
        </w:tc>
        <w:tc>
          <w:tcPr>
            <w:tcW w:w="1270" w:type="pct"/>
            <w:tcBorders>
              <w:top w:val="nil"/>
              <w:left w:val="nil"/>
              <w:bottom w:val="nil"/>
              <w:right w:val="nil"/>
            </w:tcBorders>
            <w:shd w:val="clear" w:color="auto" w:fill="auto"/>
            <w:vAlign w:val="center"/>
            <w:hideMark/>
          </w:tcPr>
          <w:p w14:paraId="5719D979" w14:textId="77777777" w:rsidR="0035143A" w:rsidRPr="00180656" w:rsidRDefault="0035143A" w:rsidP="0012134E">
            <w:pPr>
              <w:pStyle w:val="GG-body"/>
              <w:spacing w:after="0"/>
              <w:ind w:left="459" w:hanging="459"/>
              <w:jc w:val="left"/>
            </w:pPr>
            <w:r w:rsidRPr="00180656">
              <w:t>82</w:t>
            </w:r>
            <w:r w:rsidRPr="00F23BB0">
              <w:t>.</w:t>
            </w:r>
            <w:r w:rsidRPr="00F23BB0">
              <w:tab/>
            </w:r>
            <w:r w:rsidRPr="00180656">
              <w:t>26 April 2013</w:t>
            </w:r>
          </w:p>
        </w:tc>
        <w:tc>
          <w:tcPr>
            <w:tcW w:w="1270" w:type="pct"/>
            <w:tcBorders>
              <w:top w:val="nil"/>
              <w:left w:val="nil"/>
              <w:bottom w:val="nil"/>
              <w:right w:val="nil"/>
            </w:tcBorders>
            <w:shd w:val="clear" w:color="auto" w:fill="auto"/>
            <w:vAlign w:val="center"/>
            <w:hideMark/>
          </w:tcPr>
          <w:p w14:paraId="15B8D8AB" w14:textId="77777777" w:rsidR="0035143A" w:rsidRPr="00180656" w:rsidRDefault="0035143A" w:rsidP="0012134E">
            <w:pPr>
              <w:pStyle w:val="GG-body"/>
              <w:spacing w:after="0"/>
              <w:ind w:left="459" w:hanging="459"/>
              <w:jc w:val="left"/>
            </w:pPr>
            <w:r w:rsidRPr="00180656">
              <w:t>83</w:t>
            </w:r>
            <w:r w:rsidRPr="00F23BB0">
              <w:t>.</w:t>
            </w:r>
            <w:r w:rsidRPr="00F23BB0">
              <w:tab/>
            </w:r>
            <w:r w:rsidRPr="00180656">
              <w:t>23 May 2013</w:t>
            </w:r>
          </w:p>
        </w:tc>
        <w:tc>
          <w:tcPr>
            <w:tcW w:w="1230" w:type="pct"/>
            <w:tcBorders>
              <w:top w:val="nil"/>
              <w:left w:val="nil"/>
              <w:bottom w:val="nil"/>
              <w:right w:val="nil"/>
            </w:tcBorders>
            <w:shd w:val="clear" w:color="auto" w:fill="auto"/>
            <w:vAlign w:val="center"/>
            <w:hideMark/>
          </w:tcPr>
          <w:p w14:paraId="6F5CC633" w14:textId="77777777" w:rsidR="0035143A" w:rsidRPr="00180656" w:rsidRDefault="0035143A" w:rsidP="0012134E">
            <w:pPr>
              <w:pStyle w:val="GG-body"/>
              <w:spacing w:after="0"/>
              <w:ind w:left="459" w:hanging="459"/>
              <w:jc w:val="left"/>
            </w:pPr>
            <w:r w:rsidRPr="00180656">
              <w:t>84</w:t>
            </w:r>
            <w:r w:rsidRPr="00F23BB0">
              <w:t>.</w:t>
            </w:r>
            <w:r w:rsidRPr="00F23BB0">
              <w:tab/>
            </w:r>
            <w:r w:rsidRPr="00180656">
              <w:t>30 May 2013</w:t>
            </w:r>
          </w:p>
        </w:tc>
      </w:tr>
      <w:tr w:rsidR="0035143A" w:rsidRPr="00180656" w14:paraId="1337DDCF" w14:textId="77777777" w:rsidTr="0012134E">
        <w:trPr>
          <w:trHeight w:val="20"/>
        </w:trPr>
        <w:tc>
          <w:tcPr>
            <w:tcW w:w="1230" w:type="pct"/>
            <w:tcBorders>
              <w:top w:val="nil"/>
              <w:left w:val="nil"/>
              <w:bottom w:val="nil"/>
              <w:right w:val="nil"/>
            </w:tcBorders>
            <w:shd w:val="clear" w:color="auto" w:fill="auto"/>
            <w:vAlign w:val="center"/>
            <w:hideMark/>
          </w:tcPr>
          <w:p w14:paraId="28599507" w14:textId="77777777" w:rsidR="0035143A" w:rsidRPr="00180656" w:rsidRDefault="0035143A" w:rsidP="0012134E">
            <w:pPr>
              <w:pStyle w:val="GG-body"/>
              <w:spacing w:after="0"/>
              <w:ind w:left="459" w:hanging="459"/>
              <w:jc w:val="left"/>
            </w:pPr>
            <w:r w:rsidRPr="00180656">
              <w:t>85</w:t>
            </w:r>
            <w:r w:rsidRPr="00F23BB0">
              <w:t>.</w:t>
            </w:r>
            <w:r w:rsidRPr="00F23BB0">
              <w:tab/>
            </w:r>
            <w:r w:rsidRPr="00180656">
              <w:t>13 June 2013</w:t>
            </w:r>
          </w:p>
        </w:tc>
        <w:tc>
          <w:tcPr>
            <w:tcW w:w="1270" w:type="pct"/>
            <w:tcBorders>
              <w:top w:val="nil"/>
              <w:left w:val="nil"/>
              <w:bottom w:val="nil"/>
              <w:right w:val="nil"/>
            </w:tcBorders>
            <w:shd w:val="clear" w:color="auto" w:fill="auto"/>
            <w:vAlign w:val="center"/>
            <w:hideMark/>
          </w:tcPr>
          <w:p w14:paraId="0FB6EEBC" w14:textId="77777777" w:rsidR="0035143A" w:rsidRPr="00180656" w:rsidRDefault="0035143A" w:rsidP="0012134E">
            <w:pPr>
              <w:pStyle w:val="GG-body"/>
              <w:spacing w:after="0"/>
              <w:ind w:left="459" w:hanging="459"/>
              <w:jc w:val="left"/>
            </w:pPr>
            <w:r w:rsidRPr="00180656">
              <w:t>86</w:t>
            </w:r>
            <w:r w:rsidRPr="00F23BB0">
              <w:t>.</w:t>
            </w:r>
            <w:r w:rsidRPr="00F23BB0">
              <w:tab/>
            </w:r>
            <w:r w:rsidRPr="00180656">
              <w:t>20 June 2013</w:t>
            </w:r>
          </w:p>
        </w:tc>
        <w:tc>
          <w:tcPr>
            <w:tcW w:w="1270" w:type="pct"/>
            <w:tcBorders>
              <w:top w:val="nil"/>
              <w:left w:val="nil"/>
              <w:bottom w:val="nil"/>
              <w:right w:val="nil"/>
            </w:tcBorders>
            <w:shd w:val="clear" w:color="auto" w:fill="auto"/>
            <w:vAlign w:val="center"/>
            <w:hideMark/>
          </w:tcPr>
          <w:p w14:paraId="77F156D2" w14:textId="77777777" w:rsidR="0035143A" w:rsidRPr="00180656" w:rsidRDefault="0035143A" w:rsidP="0012134E">
            <w:pPr>
              <w:pStyle w:val="GG-body"/>
              <w:spacing w:after="0"/>
              <w:ind w:left="459" w:hanging="459"/>
              <w:jc w:val="left"/>
            </w:pPr>
            <w:r w:rsidRPr="00180656">
              <w:t>87</w:t>
            </w:r>
            <w:r w:rsidRPr="00F23BB0">
              <w:t>.</w:t>
            </w:r>
            <w:r w:rsidRPr="00F23BB0">
              <w:tab/>
            </w:r>
            <w:r w:rsidRPr="00180656">
              <w:t>11 July 2013</w:t>
            </w:r>
          </w:p>
        </w:tc>
        <w:tc>
          <w:tcPr>
            <w:tcW w:w="1230" w:type="pct"/>
            <w:tcBorders>
              <w:top w:val="nil"/>
              <w:left w:val="nil"/>
              <w:bottom w:val="nil"/>
              <w:right w:val="nil"/>
            </w:tcBorders>
            <w:shd w:val="clear" w:color="auto" w:fill="auto"/>
            <w:vAlign w:val="center"/>
            <w:hideMark/>
          </w:tcPr>
          <w:p w14:paraId="009C9CCC" w14:textId="77777777" w:rsidR="0035143A" w:rsidRPr="00180656" w:rsidRDefault="0035143A" w:rsidP="0012134E">
            <w:pPr>
              <w:pStyle w:val="GG-body"/>
              <w:spacing w:after="0"/>
              <w:ind w:left="459" w:hanging="459"/>
              <w:jc w:val="left"/>
            </w:pPr>
            <w:r w:rsidRPr="00180656">
              <w:t>88</w:t>
            </w:r>
            <w:r w:rsidRPr="00F23BB0">
              <w:t>.</w:t>
            </w:r>
            <w:r w:rsidRPr="00F23BB0">
              <w:tab/>
            </w:r>
            <w:r w:rsidRPr="00180656">
              <w:t>1 August 2013</w:t>
            </w:r>
          </w:p>
        </w:tc>
      </w:tr>
      <w:tr w:rsidR="0035143A" w:rsidRPr="00180656" w14:paraId="4F7511A4" w14:textId="77777777" w:rsidTr="0012134E">
        <w:trPr>
          <w:trHeight w:val="20"/>
        </w:trPr>
        <w:tc>
          <w:tcPr>
            <w:tcW w:w="1230" w:type="pct"/>
            <w:tcBorders>
              <w:top w:val="nil"/>
              <w:left w:val="nil"/>
              <w:bottom w:val="nil"/>
              <w:right w:val="nil"/>
            </w:tcBorders>
            <w:shd w:val="clear" w:color="auto" w:fill="auto"/>
            <w:vAlign w:val="center"/>
            <w:hideMark/>
          </w:tcPr>
          <w:p w14:paraId="6144FB4E" w14:textId="77777777" w:rsidR="0035143A" w:rsidRPr="00180656" w:rsidRDefault="0035143A" w:rsidP="0012134E">
            <w:pPr>
              <w:pStyle w:val="GG-body"/>
              <w:spacing w:after="0"/>
              <w:ind w:left="459" w:hanging="459"/>
              <w:jc w:val="left"/>
            </w:pPr>
            <w:r w:rsidRPr="00180656">
              <w:t>89</w:t>
            </w:r>
            <w:r w:rsidRPr="00F23BB0">
              <w:t>.</w:t>
            </w:r>
            <w:r w:rsidRPr="00F23BB0">
              <w:tab/>
            </w:r>
            <w:r w:rsidRPr="00180656">
              <w:t>8 August 2013</w:t>
            </w:r>
          </w:p>
        </w:tc>
        <w:tc>
          <w:tcPr>
            <w:tcW w:w="1270" w:type="pct"/>
            <w:tcBorders>
              <w:top w:val="nil"/>
              <w:left w:val="nil"/>
              <w:bottom w:val="nil"/>
              <w:right w:val="nil"/>
            </w:tcBorders>
            <w:shd w:val="clear" w:color="auto" w:fill="auto"/>
            <w:vAlign w:val="center"/>
            <w:hideMark/>
          </w:tcPr>
          <w:p w14:paraId="2E69D204" w14:textId="77777777" w:rsidR="0035143A" w:rsidRPr="00180656" w:rsidRDefault="0035143A" w:rsidP="0012134E">
            <w:pPr>
              <w:pStyle w:val="GG-body"/>
              <w:spacing w:after="0"/>
              <w:ind w:left="459" w:hanging="459"/>
              <w:jc w:val="left"/>
            </w:pPr>
            <w:r w:rsidRPr="00180656">
              <w:t>90</w:t>
            </w:r>
            <w:r w:rsidRPr="00F23BB0">
              <w:t>.</w:t>
            </w:r>
            <w:r w:rsidRPr="00F23BB0">
              <w:tab/>
            </w:r>
            <w:r w:rsidRPr="00180656">
              <w:t>15 August 2013</w:t>
            </w:r>
          </w:p>
        </w:tc>
        <w:tc>
          <w:tcPr>
            <w:tcW w:w="1270" w:type="pct"/>
            <w:tcBorders>
              <w:top w:val="nil"/>
              <w:left w:val="nil"/>
              <w:bottom w:val="nil"/>
              <w:right w:val="nil"/>
            </w:tcBorders>
            <w:shd w:val="clear" w:color="auto" w:fill="auto"/>
            <w:vAlign w:val="center"/>
            <w:hideMark/>
          </w:tcPr>
          <w:p w14:paraId="2CAAAA30" w14:textId="77777777" w:rsidR="0035143A" w:rsidRPr="00180656" w:rsidRDefault="0035143A" w:rsidP="0012134E">
            <w:pPr>
              <w:pStyle w:val="GG-body"/>
              <w:spacing w:after="0"/>
              <w:ind w:left="459" w:hanging="459"/>
              <w:jc w:val="left"/>
            </w:pPr>
            <w:r w:rsidRPr="00180656">
              <w:t>91</w:t>
            </w:r>
            <w:r w:rsidRPr="00F23BB0">
              <w:t>.</w:t>
            </w:r>
            <w:r w:rsidRPr="00F23BB0">
              <w:tab/>
            </w:r>
            <w:r w:rsidRPr="00180656">
              <w:t>29 August 2013</w:t>
            </w:r>
          </w:p>
        </w:tc>
        <w:tc>
          <w:tcPr>
            <w:tcW w:w="1230" w:type="pct"/>
            <w:tcBorders>
              <w:top w:val="nil"/>
              <w:left w:val="nil"/>
              <w:bottom w:val="nil"/>
              <w:right w:val="nil"/>
            </w:tcBorders>
            <w:shd w:val="clear" w:color="auto" w:fill="auto"/>
            <w:vAlign w:val="center"/>
            <w:hideMark/>
          </w:tcPr>
          <w:p w14:paraId="2A4FB8E6" w14:textId="77777777" w:rsidR="0035143A" w:rsidRPr="00180656" w:rsidRDefault="0035143A" w:rsidP="0012134E">
            <w:pPr>
              <w:pStyle w:val="GG-body"/>
              <w:spacing w:after="0"/>
              <w:ind w:left="459" w:hanging="459"/>
              <w:jc w:val="left"/>
            </w:pPr>
            <w:r w:rsidRPr="00180656">
              <w:t>92</w:t>
            </w:r>
            <w:r w:rsidRPr="00F23BB0">
              <w:t>.</w:t>
            </w:r>
            <w:r w:rsidRPr="00F23BB0">
              <w:tab/>
            </w:r>
            <w:r w:rsidRPr="00180656">
              <w:t>6 February 2014</w:t>
            </w:r>
          </w:p>
        </w:tc>
      </w:tr>
      <w:tr w:rsidR="0035143A" w:rsidRPr="00180656" w14:paraId="183E9A2B" w14:textId="77777777" w:rsidTr="0012134E">
        <w:trPr>
          <w:trHeight w:val="20"/>
        </w:trPr>
        <w:tc>
          <w:tcPr>
            <w:tcW w:w="1230" w:type="pct"/>
            <w:tcBorders>
              <w:top w:val="nil"/>
              <w:left w:val="nil"/>
              <w:bottom w:val="nil"/>
              <w:right w:val="nil"/>
            </w:tcBorders>
            <w:shd w:val="clear" w:color="auto" w:fill="auto"/>
            <w:vAlign w:val="center"/>
            <w:hideMark/>
          </w:tcPr>
          <w:p w14:paraId="5932A25C" w14:textId="77777777" w:rsidR="0035143A" w:rsidRPr="00180656" w:rsidRDefault="0035143A" w:rsidP="0012134E">
            <w:pPr>
              <w:pStyle w:val="GG-body"/>
              <w:spacing w:after="0"/>
              <w:ind w:left="459" w:hanging="459"/>
              <w:jc w:val="left"/>
            </w:pPr>
            <w:r w:rsidRPr="00180656">
              <w:t>93</w:t>
            </w:r>
            <w:r w:rsidRPr="00F23BB0">
              <w:t>.</w:t>
            </w:r>
            <w:r w:rsidRPr="00F23BB0">
              <w:tab/>
            </w:r>
            <w:r w:rsidRPr="00180656">
              <w:t>12 June 2014</w:t>
            </w:r>
          </w:p>
        </w:tc>
        <w:tc>
          <w:tcPr>
            <w:tcW w:w="1270" w:type="pct"/>
            <w:tcBorders>
              <w:top w:val="nil"/>
              <w:left w:val="nil"/>
              <w:bottom w:val="nil"/>
              <w:right w:val="nil"/>
            </w:tcBorders>
            <w:shd w:val="clear" w:color="auto" w:fill="auto"/>
            <w:vAlign w:val="center"/>
            <w:hideMark/>
          </w:tcPr>
          <w:p w14:paraId="068B7ED7" w14:textId="77777777" w:rsidR="0035143A" w:rsidRPr="00180656" w:rsidRDefault="0035143A" w:rsidP="0012134E">
            <w:pPr>
              <w:pStyle w:val="GG-body"/>
              <w:spacing w:after="0"/>
              <w:ind w:left="459" w:hanging="459"/>
              <w:jc w:val="left"/>
            </w:pPr>
            <w:r w:rsidRPr="00180656">
              <w:t>94</w:t>
            </w:r>
            <w:r w:rsidRPr="00F23BB0">
              <w:t>.</w:t>
            </w:r>
            <w:r w:rsidRPr="00F23BB0">
              <w:tab/>
            </w:r>
            <w:r w:rsidRPr="00180656">
              <w:t>28 August 2014</w:t>
            </w:r>
          </w:p>
        </w:tc>
        <w:tc>
          <w:tcPr>
            <w:tcW w:w="1270" w:type="pct"/>
            <w:tcBorders>
              <w:top w:val="nil"/>
              <w:left w:val="nil"/>
              <w:bottom w:val="nil"/>
              <w:right w:val="nil"/>
            </w:tcBorders>
            <w:shd w:val="clear" w:color="auto" w:fill="auto"/>
            <w:vAlign w:val="center"/>
            <w:hideMark/>
          </w:tcPr>
          <w:p w14:paraId="308DA24C" w14:textId="77777777" w:rsidR="0035143A" w:rsidRPr="00180656" w:rsidRDefault="0035143A" w:rsidP="0012134E">
            <w:pPr>
              <w:pStyle w:val="GG-body"/>
              <w:spacing w:after="0"/>
              <w:ind w:left="459" w:hanging="459"/>
              <w:jc w:val="left"/>
            </w:pPr>
            <w:r w:rsidRPr="00180656">
              <w:t>95</w:t>
            </w:r>
            <w:r w:rsidRPr="00F23BB0">
              <w:t>.</w:t>
            </w:r>
            <w:r w:rsidRPr="00F23BB0">
              <w:tab/>
            </w:r>
            <w:r w:rsidRPr="00180656">
              <w:t>4 September 2014</w:t>
            </w:r>
          </w:p>
        </w:tc>
        <w:tc>
          <w:tcPr>
            <w:tcW w:w="1230" w:type="pct"/>
            <w:tcBorders>
              <w:top w:val="nil"/>
              <w:left w:val="nil"/>
              <w:bottom w:val="nil"/>
              <w:right w:val="nil"/>
            </w:tcBorders>
            <w:shd w:val="clear" w:color="auto" w:fill="auto"/>
            <w:vAlign w:val="center"/>
            <w:hideMark/>
          </w:tcPr>
          <w:p w14:paraId="44980D2F" w14:textId="77777777" w:rsidR="0035143A" w:rsidRPr="00180656" w:rsidRDefault="0035143A" w:rsidP="0012134E">
            <w:pPr>
              <w:pStyle w:val="GG-body"/>
              <w:spacing w:after="0"/>
              <w:ind w:left="459" w:hanging="459"/>
              <w:jc w:val="left"/>
            </w:pPr>
            <w:r w:rsidRPr="00180656">
              <w:t>96</w:t>
            </w:r>
            <w:r w:rsidRPr="00F23BB0">
              <w:t>.</w:t>
            </w:r>
            <w:r w:rsidRPr="00F23BB0">
              <w:tab/>
            </w:r>
            <w:r w:rsidRPr="00180656">
              <w:t>16 October 2014</w:t>
            </w:r>
          </w:p>
        </w:tc>
      </w:tr>
      <w:tr w:rsidR="0035143A" w:rsidRPr="00180656" w14:paraId="6664AD0E" w14:textId="77777777" w:rsidTr="0012134E">
        <w:trPr>
          <w:trHeight w:val="20"/>
        </w:trPr>
        <w:tc>
          <w:tcPr>
            <w:tcW w:w="1230" w:type="pct"/>
            <w:tcBorders>
              <w:top w:val="nil"/>
              <w:left w:val="nil"/>
              <w:bottom w:val="nil"/>
              <w:right w:val="nil"/>
            </w:tcBorders>
            <w:shd w:val="clear" w:color="auto" w:fill="auto"/>
            <w:vAlign w:val="center"/>
            <w:hideMark/>
          </w:tcPr>
          <w:p w14:paraId="34AD3226" w14:textId="77777777" w:rsidR="0035143A" w:rsidRPr="00180656" w:rsidRDefault="0035143A" w:rsidP="0012134E">
            <w:pPr>
              <w:pStyle w:val="GG-body"/>
              <w:spacing w:after="0"/>
              <w:ind w:left="459" w:hanging="459"/>
              <w:jc w:val="left"/>
            </w:pPr>
            <w:r w:rsidRPr="00180656">
              <w:t>97</w:t>
            </w:r>
            <w:r w:rsidRPr="00F23BB0">
              <w:t>.</w:t>
            </w:r>
            <w:r w:rsidRPr="00F23BB0">
              <w:tab/>
            </w:r>
            <w:r w:rsidRPr="00180656">
              <w:t>23 October 2014</w:t>
            </w:r>
          </w:p>
        </w:tc>
        <w:tc>
          <w:tcPr>
            <w:tcW w:w="1270" w:type="pct"/>
            <w:tcBorders>
              <w:top w:val="nil"/>
              <w:left w:val="nil"/>
              <w:bottom w:val="nil"/>
              <w:right w:val="nil"/>
            </w:tcBorders>
            <w:shd w:val="clear" w:color="auto" w:fill="auto"/>
            <w:vAlign w:val="center"/>
            <w:hideMark/>
          </w:tcPr>
          <w:p w14:paraId="73699D10" w14:textId="77777777" w:rsidR="0035143A" w:rsidRPr="00180656" w:rsidRDefault="0035143A" w:rsidP="0012134E">
            <w:pPr>
              <w:pStyle w:val="GG-body"/>
              <w:spacing w:after="0"/>
              <w:ind w:left="459" w:hanging="459"/>
              <w:jc w:val="left"/>
            </w:pPr>
            <w:r w:rsidRPr="00180656">
              <w:t>98</w:t>
            </w:r>
            <w:r w:rsidRPr="00F23BB0">
              <w:t>.</w:t>
            </w:r>
            <w:r w:rsidRPr="00F23BB0">
              <w:tab/>
            </w:r>
            <w:r w:rsidRPr="00180656">
              <w:t>5 February 2015</w:t>
            </w:r>
          </w:p>
        </w:tc>
        <w:tc>
          <w:tcPr>
            <w:tcW w:w="1270" w:type="pct"/>
            <w:tcBorders>
              <w:top w:val="nil"/>
              <w:left w:val="nil"/>
              <w:bottom w:val="nil"/>
              <w:right w:val="nil"/>
            </w:tcBorders>
            <w:shd w:val="clear" w:color="auto" w:fill="auto"/>
            <w:vAlign w:val="center"/>
            <w:hideMark/>
          </w:tcPr>
          <w:p w14:paraId="35BB7708" w14:textId="77777777" w:rsidR="0035143A" w:rsidRPr="00180656" w:rsidRDefault="0035143A" w:rsidP="0012134E">
            <w:pPr>
              <w:pStyle w:val="GG-body"/>
              <w:spacing w:after="0"/>
              <w:ind w:left="459" w:hanging="459"/>
              <w:jc w:val="left"/>
            </w:pPr>
            <w:r w:rsidRPr="00180656">
              <w:t>99</w:t>
            </w:r>
            <w:r w:rsidRPr="00F23BB0">
              <w:t>.</w:t>
            </w:r>
            <w:r w:rsidRPr="00F23BB0">
              <w:tab/>
            </w:r>
            <w:r w:rsidRPr="00180656">
              <w:t>26 March 2015</w:t>
            </w:r>
          </w:p>
        </w:tc>
        <w:tc>
          <w:tcPr>
            <w:tcW w:w="1230" w:type="pct"/>
            <w:tcBorders>
              <w:top w:val="nil"/>
              <w:left w:val="nil"/>
              <w:bottom w:val="nil"/>
              <w:right w:val="nil"/>
            </w:tcBorders>
            <w:shd w:val="clear" w:color="auto" w:fill="auto"/>
            <w:vAlign w:val="center"/>
            <w:hideMark/>
          </w:tcPr>
          <w:p w14:paraId="73D2506F" w14:textId="77777777" w:rsidR="0035143A" w:rsidRPr="00180656" w:rsidRDefault="0035143A" w:rsidP="0012134E">
            <w:pPr>
              <w:pStyle w:val="GG-body"/>
              <w:spacing w:after="0"/>
              <w:ind w:left="459" w:hanging="459"/>
              <w:jc w:val="left"/>
            </w:pPr>
            <w:r w:rsidRPr="00180656">
              <w:t>100</w:t>
            </w:r>
            <w:r w:rsidRPr="00F23BB0">
              <w:t>.</w:t>
            </w:r>
            <w:r w:rsidRPr="00F23BB0">
              <w:tab/>
            </w:r>
            <w:r w:rsidRPr="00180656">
              <w:t xml:space="preserve">16 April 2015 </w:t>
            </w:r>
          </w:p>
        </w:tc>
      </w:tr>
      <w:tr w:rsidR="0035143A" w:rsidRPr="00180656" w14:paraId="228DDA6D" w14:textId="77777777" w:rsidTr="0012134E">
        <w:trPr>
          <w:trHeight w:val="20"/>
        </w:trPr>
        <w:tc>
          <w:tcPr>
            <w:tcW w:w="1230" w:type="pct"/>
            <w:tcBorders>
              <w:top w:val="nil"/>
              <w:left w:val="nil"/>
              <w:bottom w:val="nil"/>
              <w:right w:val="nil"/>
            </w:tcBorders>
            <w:shd w:val="clear" w:color="auto" w:fill="auto"/>
            <w:vAlign w:val="center"/>
            <w:hideMark/>
          </w:tcPr>
          <w:p w14:paraId="3F4FE04E" w14:textId="77777777" w:rsidR="0035143A" w:rsidRPr="00180656" w:rsidRDefault="0035143A" w:rsidP="0012134E">
            <w:pPr>
              <w:pStyle w:val="GG-body"/>
              <w:spacing w:after="0"/>
              <w:ind w:left="459" w:hanging="459"/>
              <w:jc w:val="left"/>
            </w:pPr>
            <w:r w:rsidRPr="00180656">
              <w:t>101</w:t>
            </w:r>
            <w:r w:rsidRPr="00F23BB0">
              <w:t>.</w:t>
            </w:r>
            <w:r w:rsidRPr="00F23BB0">
              <w:tab/>
            </w:r>
            <w:r w:rsidRPr="00180656">
              <w:t>27 May 2015</w:t>
            </w:r>
          </w:p>
        </w:tc>
        <w:tc>
          <w:tcPr>
            <w:tcW w:w="1270" w:type="pct"/>
            <w:tcBorders>
              <w:top w:val="nil"/>
              <w:left w:val="nil"/>
              <w:bottom w:val="nil"/>
              <w:right w:val="nil"/>
            </w:tcBorders>
            <w:shd w:val="clear" w:color="auto" w:fill="auto"/>
            <w:vAlign w:val="center"/>
            <w:hideMark/>
          </w:tcPr>
          <w:p w14:paraId="765CF197" w14:textId="77777777" w:rsidR="0035143A" w:rsidRPr="00180656" w:rsidRDefault="0035143A" w:rsidP="0012134E">
            <w:pPr>
              <w:pStyle w:val="GG-body"/>
              <w:spacing w:after="0"/>
              <w:ind w:left="459" w:hanging="459"/>
              <w:jc w:val="left"/>
            </w:pPr>
            <w:r w:rsidRPr="00180656">
              <w:t>102</w:t>
            </w:r>
            <w:r w:rsidRPr="00F23BB0">
              <w:t>.</w:t>
            </w:r>
            <w:r w:rsidRPr="00F23BB0">
              <w:tab/>
            </w:r>
            <w:r w:rsidRPr="00180656">
              <w:t>18 June 2015</w:t>
            </w:r>
          </w:p>
        </w:tc>
        <w:tc>
          <w:tcPr>
            <w:tcW w:w="1270" w:type="pct"/>
            <w:tcBorders>
              <w:top w:val="nil"/>
              <w:left w:val="nil"/>
              <w:bottom w:val="nil"/>
              <w:right w:val="nil"/>
            </w:tcBorders>
            <w:shd w:val="clear" w:color="auto" w:fill="auto"/>
            <w:vAlign w:val="center"/>
            <w:hideMark/>
          </w:tcPr>
          <w:p w14:paraId="66AD2537" w14:textId="77777777" w:rsidR="0035143A" w:rsidRPr="00180656" w:rsidRDefault="0035143A" w:rsidP="0012134E">
            <w:pPr>
              <w:pStyle w:val="GG-body"/>
              <w:spacing w:after="0"/>
              <w:ind w:left="459" w:hanging="459"/>
              <w:jc w:val="left"/>
            </w:pPr>
            <w:r w:rsidRPr="00180656">
              <w:t>103</w:t>
            </w:r>
            <w:r w:rsidRPr="00F23BB0">
              <w:t>.</w:t>
            </w:r>
            <w:r w:rsidRPr="00F23BB0">
              <w:tab/>
            </w:r>
            <w:r w:rsidRPr="00180656">
              <w:t>3 December 2015</w:t>
            </w:r>
          </w:p>
        </w:tc>
        <w:tc>
          <w:tcPr>
            <w:tcW w:w="1230" w:type="pct"/>
            <w:tcBorders>
              <w:top w:val="nil"/>
              <w:left w:val="nil"/>
              <w:bottom w:val="nil"/>
              <w:right w:val="nil"/>
            </w:tcBorders>
            <w:shd w:val="clear" w:color="auto" w:fill="auto"/>
            <w:vAlign w:val="center"/>
            <w:hideMark/>
          </w:tcPr>
          <w:p w14:paraId="1B799676" w14:textId="77777777" w:rsidR="0035143A" w:rsidRPr="00180656" w:rsidRDefault="0035143A" w:rsidP="0012134E">
            <w:pPr>
              <w:pStyle w:val="GG-body"/>
              <w:spacing w:after="0"/>
              <w:ind w:left="459" w:hanging="459"/>
              <w:jc w:val="left"/>
            </w:pPr>
            <w:r w:rsidRPr="00180656">
              <w:t>104</w:t>
            </w:r>
            <w:r w:rsidRPr="00F23BB0">
              <w:t>.</w:t>
            </w:r>
            <w:r w:rsidRPr="00F23BB0">
              <w:tab/>
            </w:r>
            <w:r w:rsidRPr="00180656">
              <w:t>7 April 2016</w:t>
            </w:r>
          </w:p>
        </w:tc>
      </w:tr>
      <w:tr w:rsidR="0035143A" w:rsidRPr="00180656" w14:paraId="07B6A0DE" w14:textId="77777777" w:rsidTr="0012134E">
        <w:trPr>
          <w:trHeight w:val="20"/>
        </w:trPr>
        <w:tc>
          <w:tcPr>
            <w:tcW w:w="1230" w:type="pct"/>
            <w:tcBorders>
              <w:top w:val="nil"/>
              <w:left w:val="nil"/>
              <w:bottom w:val="nil"/>
              <w:right w:val="nil"/>
            </w:tcBorders>
            <w:shd w:val="clear" w:color="auto" w:fill="auto"/>
            <w:vAlign w:val="center"/>
            <w:hideMark/>
          </w:tcPr>
          <w:p w14:paraId="37014BDC" w14:textId="77777777" w:rsidR="0035143A" w:rsidRPr="00180656" w:rsidRDefault="0035143A" w:rsidP="0012134E">
            <w:pPr>
              <w:pStyle w:val="GG-body"/>
              <w:spacing w:after="0"/>
              <w:ind w:left="459" w:hanging="459"/>
              <w:jc w:val="left"/>
            </w:pPr>
            <w:r w:rsidRPr="00180656">
              <w:t>105</w:t>
            </w:r>
            <w:r w:rsidRPr="00F23BB0">
              <w:t>.</w:t>
            </w:r>
            <w:r w:rsidRPr="00F23BB0">
              <w:tab/>
            </w:r>
            <w:r w:rsidRPr="00180656">
              <w:t>30 June 2016</w:t>
            </w:r>
          </w:p>
        </w:tc>
        <w:tc>
          <w:tcPr>
            <w:tcW w:w="1270" w:type="pct"/>
            <w:tcBorders>
              <w:top w:val="nil"/>
              <w:left w:val="nil"/>
              <w:bottom w:val="nil"/>
              <w:right w:val="nil"/>
            </w:tcBorders>
            <w:shd w:val="clear" w:color="auto" w:fill="auto"/>
            <w:vAlign w:val="center"/>
            <w:hideMark/>
          </w:tcPr>
          <w:p w14:paraId="47C7FC9B" w14:textId="77777777" w:rsidR="0035143A" w:rsidRPr="00180656" w:rsidRDefault="0035143A" w:rsidP="0012134E">
            <w:pPr>
              <w:pStyle w:val="GG-body"/>
              <w:spacing w:after="0"/>
              <w:ind w:left="459" w:hanging="459"/>
              <w:jc w:val="left"/>
            </w:pPr>
            <w:r w:rsidRPr="00180656">
              <w:t>106</w:t>
            </w:r>
            <w:r w:rsidRPr="00F23BB0">
              <w:t>.</w:t>
            </w:r>
            <w:r w:rsidRPr="00F23BB0">
              <w:tab/>
            </w:r>
            <w:r w:rsidRPr="00180656">
              <w:t>28 July 2016</w:t>
            </w:r>
          </w:p>
        </w:tc>
        <w:tc>
          <w:tcPr>
            <w:tcW w:w="1270" w:type="pct"/>
            <w:tcBorders>
              <w:top w:val="nil"/>
              <w:left w:val="nil"/>
              <w:bottom w:val="nil"/>
              <w:right w:val="nil"/>
            </w:tcBorders>
            <w:shd w:val="clear" w:color="auto" w:fill="auto"/>
            <w:vAlign w:val="center"/>
            <w:hideMark/>
          </w:tcPr>
          <w:p w14:paraId="5E329D4C" w14:textId="77777777" w:rsidR="0035143A" w:rsidRPr="00180656" w:rsidRDefault="0035143A" w:rsidP="0012134E">
            <w:pPr>
              <w:pStyle w:val="GG-body"/>
              <w:spacing w:after="0"/>
              <w:ind w:left="459" w:hanging="459"/>
              <w:jc w:val="left"/>
            </w:pPr>
            <w:r w:rsidRPr="00180656">
              <w:t>107</w:t>
            </w:r>
            <w:r w:rsidRPr="00F23BB0">
              <w:t>.</w:t>
            </w:r>
            <w:r w:rsidRPr="00F23BB0">
              <w:tab/>
            </w:r>
            <w:r w:rsidRPr="00180656">
              <w:t>8 September 2016</w:t>
            </w:r>
          </w:p>
        </w:tc>
        <w:tc>
          <w:tcPr>
            <w:tcW w:w="1230" w:type="pct"/>
            <w:tcBorders>
              <w:top w:val="nil"/>
              <w:left w:val="nil"/>
              <w:bottom w:val="nil"/>
              <w:right w:val="nil"/>
            </w:tcBorders>
            <w:shd w:val="clear" w:color="auto" w:fill="auto"/>
            <w:vAlign w:val="center"/>
            <w:hideMark/>
          </w:tcPr>
          <w:p w14:paraId="56C96864" w14:textId="77777777" w:rsidR="0035143A" w:rsidRPr="00180656" w:rsidRDefault="0035143A" w:rsidP="0012134E">
            <w:pPr>
              <w:pStyle w:val="GG-body"/>
              <w:spacing w:after="0"/>
              <w:ind w:left="459" w:hanging="459"/>
              <w:jc w:val="left"/>
            </w:pPr>
            <w:r w:rsidRPr="00180656">
              <w:t>108</w:t>
            </w:r>
            <w:r w:rsidRPr="00F23BB0">
              <w:t>.</w:t>
            </w:r>
            <w:r w:rsidRPr="00F23BB0">
              <w:tab/>
            </w:r>
            <w:r w:rsidRPr="00180656">
              <w:t>22 September 2016</w:t>
            </w:r>
          </w:p>
        </w:tc>
      </w:tr>
      <w:tr w:rsidR="0035143A" w:rsidRPr="00180656" w14:paraId="382F5F72" w14:textId="77777777" w:rsidTr="0012134E">
        <w:trPr>
          <w:trHeight w:val="20"/>
        </w:trPr>
        <w:tc>
          <w:tcPr>
            <w:tcW w:w="1230" w:type="pct"/>
            <w:tcBorders>
              <w:top w:val="nil"/>
              <w:left w:val="nil"/>
              <w:bottom w:val="nil"/>
              <w:right w:val="nil"/>
            </w:tcBorders>
            <w:shd w:val="clear" w:color="auto" w:fill="auto"/>
            <w:vAlign w:val="center"/>
            <w:hideMark/>
          </w:tcPr>
          <w:p w14:paraId="044624A4" w14:textId="77777777" w:rsidR="0035143A" w:rsidRPr="00180656" w:rsidRDefault="0035143A" w:rsidP="0012134E">
            <w:pPr>
              <w:pStyle w:val="GG-body"/>
              <w:spacing w:after="0"/>
              <w:ind w:left="459" w:hanging="459"/>
              <w:jc w:val="left"/>
            </w:pPr>
            <w:r w:rsidRPr="00180656">
              <w:t>109</w:t>
            </w:r>
            <w:r w:rsidRPr="00F23BB0">
              <w:t>.</w:t>
            </w:r>
            <w:r w:rsidRPr="00F23BB0">
              <w:tab/>
            </w:r>
            <w:r w:rsidRPr="00180656">
              <w:t>27 October 2016</w:t>
            </w:r>
          </w:p>
        </w:tc>
        <w:tc>
          <w:tcPr>
            <w:tcW w:w="1270" w:type="pct"/>
            <w:tcBorders>
              <w:top w:val="nil"/>
              <w:left w:val="nil"/>
              <w:bottom w:val="nil"/>
              <w:right w:val="nil"/>
            </w:tcBorders>
            <w:shd w:val="clear" w:color="auto" w:fill="auto"/>
            <w:vAlign w:val="center"/>
            <w:hideMark/>
          </w:tcPr>
          <w:p w14:paraId="11F85FB4" w14:textId="77777777" w:rsidR="0035143A" w:rsidRPr="00180656" w:rsidRDefault="0035143A" w:rsidP="0012134E">
            <w:pPr>
              <w:pStyle w:val="GG-body"/>
              <w:spacing w:after="0"/>
              <w:ind w:left="459" w:hanging="459"/>
              <w:jc w:val="left"/>
            </w:pPr>
            <w:r w:rsidRPr="00180656">
              <w:t>110</w:t>
            </w:r>
            <w:r w:rsidRPr="00F23BB0">
              <w:t>.</w:t>
            </w:r>
            <w:r w:rsidRPr="00F23BB0">
              <w:tab/>
            </w:r>
            <w:r w:rsidRPr="00180656">
              <w:t>1 December 2016</w:t>
            </w:r>
          </w:p>
        </w:tc>
        <w:tc>
          <w:tcPr>
            <w:tcW w:w="1270" w:type="pct"/>
            <w:tcBorders>
              <w:top w:val="nil"/>
              <w:left w:val="nil"/>
              <w:bottom w:val="nil"/>
              <w:right w:val="nil"/>
            </w:tcBorders>
            <w:shd w:val="clear" w:color="auto" w:fill="auto"/>
            <w:vAlign w:val="center"/>
            <w:hideMark/>
          </w:tcPr>
          <w:p w14:paraId="007C31BE" w14:textId="77777777" w:rsidR="0035143A" w:rsidRPr="00180656" w:rsidRDefault="0035143A" w:rsidP="0012134E">
            <w:pPr>
              <w:pStyle w:val="GG-body"/>
              <w:spacing w:after="0"/>
              <w:ind w:left="459" w:hanging="459"/>
              <w:jc w:val="left"/>
            </w:pPr>
            <w:r w:rsidRPr="00180656">
              <w:t>111</w:t>
            </w:r>
            <w:r w:rsidRPr="00F23BB0">
              <w:t>.</w:t>
            </w:r>
            <w:r w:rsidRPr="00F23BB0">
              <w:tab/>
            </w:r>
            <w:r w:rsidRPr="00180656">
              <w:t>15 December 2016</w:t>
            </w:r>
          </w:p>
        </w:tc>
        <w:tc>
          <w:tcPr>
            <w:tcW w:w="1230" w:type="pct"/>
            <w:tcBorders>
              <w:top w:val="nil"/>
              <w:left w:val="nil"/>
              <w:bottom w:val="nil"/>
              <w:right w:val="nil"/>
            </w:tcBorders>
            <w:shd w:val="clear" w:color="auto" w:fill="auto"/>
            <w:vAlign w:val="center"/>
            <w:hideMark/>
          </w:tcPr>
          <w:p w14:paraId="378D0617" w14:textId="77777777" w:rsidR="0035143A" w:rsidRPr="00180656" w:rsidRDefault="0035143A" w:rsidP="0012134E">
            <w:pPr>
              <w:pStyle w:val="GG-body"/>
              <w:spacing w:after="0"/>
              <w:ind w:left="459" w:hanging="459"/>
              <w:jc w:val="left"/>
            </w:pPr>
            <w:r w:rsidRPr="00180656">
              <w:t>112</w:t>
            </w:r>
            <w:r w:rsidRPr="00F23BB0">
              <w:t>.</w:t>
            </w:r>
            <w:r w:rsidRPr="00F23BB0">
              <w:tab/>
            </w:r>
            <w:r w:rsidRPr="00180656">
              <w:t>7 March 2017</w:t>
            </w:r>
          </w:p>
        </w:tc>
      </w:tr>
      <w:tr w:rsidR="0035143A" w:rsidRPr="00180656" w14:paraId="7E8E3726" w14:textId="77777777" w:rsidTr="0012134E">
        <w:trPr>
          <w:trHeight w:val="20"/>
        </w:trPr>
        <w:tc>
          <w:tcPr>
            <w:tcW w:w="1230" w:type="pct"/>
            <w:tcBorders>
              <w:top w:val="nil"/>
              <w:left w:val="nil"/>
              <w:bottom w:val="nil"/>
              <w:right w:val="nil"/>
            </w:tcBorders>
            <w:shd w:val="clear" w:color="auto" w:fill="auto"/>
            <w:vAlign w:val="center"/>
            <w:hideMark/>
          </w:tcPr>
          <w:p w14:paraId="0C6D7B79" w14:textId="77777777" w:rsidR="0035143A" w:rsidRPr="00180656" w:rsidRDefault="0035143A" w:rsidP="0012134E">
            <w:pPr>
              <w:pStyle w:val="GG-body"/>
              <w:spacing w:after="0"/>
              <w:ind w:left="459" w:hanging="459"/>
              <w:jc w:val="left"/>
            </w:pPr>
            <w:r w:rsidRPr="00180656">
              <w:t>113</w:t>
            </w:r>
            <w:r w:rsidRPr="00F23BB0">
              <w:t>.</w:t>
            </w:r>
            <w:r w:rsidRPr="00F23BB0">
              <w:tab/>
            </w:r>
            <w:r w:rsidRPr="00180656">
              <w:t>21 March 2017</w:t>
            </w:r>
          </w:p>
        </w:tc>
        <w:tc>
          <w:tcPr>
            <w:tcW w:w="1270" w:type="pct"/>
            <w:tcBorders>
              <w:top w:val="nil"/>
              <w:left w:val="nil"/>
              <w:bottom w:val="nil"/>
              <w:right w:val="nil"/>
            </w:tcBorders>
            <w:shd w:val="clear" w:color="auto" w:fill="auto"/>
            <w:vAlign w:val="center"/>
            <w:hideMark/>
          </w:tcPr>
          <w:p w14:paraId="5F268960" w14:textId="77777777" w:rsidR="0035143A" w:rsidRPr="00180656" w:rsidRDefault="0035143A" w:rsidP="0012134E">
            <w:pPr>
              <w:pStyle w:val="GG-body"/>
              <w:spacing w:after="0"/>
              <w:ind w:left="459" w:hanging="459"/>
              <w:jc w:val="left"/>
            </w:pPr>
            <w:r w:rsidRPr="00180656">
              <w:t>114</w:t>
            </w:r>
            <w:r w:rsidRPr="00F23BB0">
              <w:t>.</w:t>
            </w:r>
            <w:r w:rsidRPr="00F23BB0">
              <w:tab/>
            </w:r>
            <w:r w:rsidRPr="00180656">
              <w:t>23 May 2017</w:t>
            </w:r>
          </w:p>
        </w:tc>
        <w:tc>
          <w:tcPr>
            <w:tcW w:w="1270" w:type="pct"/>
            <w:tcBorders>
              <w:top w:val="nil"/>
              <w:left w:val="nil"/>
              <w:bottom w:val="nil"/>
              <w:right w:val="nil"/>
            </w:tcBorders>
            <w:shd w:val="clear" w:color="auto" w:fill="auto"/>
            <w:vAlign w:val="center"/>
            <w:hideMark/>
          </w:tcPr>
          <w:p w14:paraId="64711F75" w14:textId="77777777" w:rsidR="0035143A" w:rsidRPr="00180656" w:rsidRDefault="0035143A" w:rsidP="0012134E">
            <w:pPr>
              <w:pStyle w:val="GG-body"/>
              <w:spacing w:after="0"/>
              <w:ind w:left="459" w:hanging="459"/>
              <w:jc w:val="left"/>
            </w:pPr>
            <w:r w:rsidRPr="00180656">
              <w:t>115</w:t>
            </w:r>
            <w:r w:rsidRPr="00F23BB0">
              <w:t>.</w:t>
            </w:r>
            <w:r w:rsidRPr="00F23BB0">
              <w:tab/>
            </w:r>
            <w:r w:rsidRPr="00180656">
              <w:t>13 June 2017</w:t>
            </w:r>
          </w:p>
        </w:tc>
        <w:tc>
          <w:tcPr>
            <w:tcW w:w="1230" w:type="pct"/>
            <w:tcBorders>
              <w:top w:val="nil"/>
              <w:left w:val="nil"/>
              <w:bottom w:val="nil"/>
              <w:right w:val="nil"/>
            </w:tcBorders>
            <w:shd w:val="clear" w:color="auto" w:fill="auto"/>
            <w:vAlign w:val="center"/>
            <w:hideMark/>
          </w:tcPr>
          <w:p w14:paraId="62D0C7CF" w14:textId="77777777" w:rsidR="0035143A" w:rsidRPr="00180656" w:rsidRDefault="0035143A" w:rsidP="0012134E">
            <w:pPr>
              <w:pStyle w:val="GG-body"/>
              <w:spacing w:after="0"/>
              <w:ind w:left="459" w:hanging="459"/>
              <w:jc w:val="left"/>
            </w:pPr>
            <w:r w:rsidRPr="00180656">
              <w:t>116</w:t>
            </w:r>
            <w:r w:rsidRPr="00F23BB0">
              <w:t>.</w:t>
            </w:r>
            <w:r w:rsidRPr="00F23BB0">
              <w:tab/>
            </w:r>
            <w:r w:rsidRPr="00180656">
              <w:t>18 July 2017</w:t>
            </w:r>
          </w:p>
        </w:tc>
      </w:tr>
      <w:tr w:rsidR="0035143A" w:rsidRPr="00180656" w14:paraId="0BD84519" w14:textId="77777777" w:rsidTr="0012134E">
        <w:trPr>
          <w:trHeight w:val="20"/>
        </w:trPr>
        <w:tc>
          <w:tcPr>
            <w:tcW w:w="1230" w:type="pct"/>
            <w:tcBorders>
              <w:top w:val="nil"/>
              <w:left w:val="nil"/>
              <w:bottom w:val="nil"/>
              <w:right w:val="nil"/>
            </w:tcBorders>
            <w:shd w:val="clear" w:color="auto" w:fill="auto"/>
            <w:vAlign w:val="center"/>
            <w:hideMark/>
          </w:tcPr>
          <w:p w14:paraId="30E69CAD" w14:textId="77777777" w:rsidR="0035143A" w:rsidRPr="00180656" w:rsidRDefault="0035143A" w:rsidP="0012134E">
            <w:pPr>
              <w:pStyle w:val="GG-body"/>
              <w:spacing w:after="0"/>
              <w:ind w:left="459" w:hanging="459"/>
              <w:jc w:val="left"/>
            </w:pPr>
            <w:r w:rsidRPr="00180656">
              <w:t>117</w:t>
            </w:r>
            <w:r w:rsidRPr="00F23BB0">
              <w:t>.</w:t>
            </w:r>
            <w:r w:rsidRPr="00F23BB0">
              <w:tab/>
            </w:r>
            <w:r w:rsidRPr="00180656">
              <w:t>19 September 2017</w:t>
            </w:r>
          </w:p>
        </w:tc>
        <w:tc>
          <w:tcPr>
            <w:tcW w:w="1270" w:type="pct"/>
            <w:tcBorders>
              <w:top w:val="nil"/>
              <w:left w:val="nil"/>
              <w:bottom w:val="nil"/>
              <w:right w:val="nil"/>
            </w:tcBorders>
            <w:shd w:val="clear" w:color="auto" w:fill="auto"/>
            <w:vAlign w:val="center"/>
            <w:hideMark/>
          </w:tcPr>
          <w:p w14:paraId="1A1553AB" w14:textId="77777777" w:rsidR="0035143A" w:rsidRPr="00180656" w:rsidRDefault="0035143A" w:rsidP="0012134E">
            <w:pPr>
              <w:pStyle w:val="GG-body"/>
              <w:spacing w:after="0"/>
              <w:ind w:left="459" w:hanging="459"/>
              <w:jc w:val="left"/>
            </w:pPr>
            <w:r w:rsidRPr="00180656">
              <w:t>118</w:t>
            </w:r>
            <w:r w:rsidRPr="00F23BB0">
              <w:t>.</w:t>
            </w:r>
            <w:r w:rsidRPr="00F23BB0">
              <w:tab/>
            </w:r>
            <w:r w:rsidRPr="00180656">
              <w:t>26 September 2017</w:t>
            </w:r>
          </w:p>
        </w:tc>
        <w:tc>
          <w:tcPr>
            <w:tcW w:w="1270" w:type="pct"/>
            <w:tcBorders>
              <w:top w:val="nil"/>
              <w:left w:val="nil"/>
              <w:bottom w:val="nil"/>
              <w:right w:val="nil"/>
            </w:tcBorders>
            <w:shd w:val="clear" w:color="auto" w:fill="auto"/>
            <w:vAlign w:val="center"/>
            <w:hideMark/>
          </w:tcPr>
          <w:p w14:paraId="3F379127" w14:textId="77777777" w:rsidR="0035143A" w:rsidRPr="00180656" w:rsidRDefault="0035143A" w:rsidP="0012134E">
            <w:pPr>
              <w:pStyle w:val="GG-body"/>
              <w:spacing w:after="0"/>
              <w:ind w:left="459" w:hanging="459"/>
              <w:jc w:val="left"/>
            </w:pPr>
            <w:r w:rsidRPr="00180656">
              <w:t>119</w:t>
            </w:r>
            <w:r w:rsidRPr="00F23BB0">
              <w:t>.</w:t>
            </w:r>
            <w:r w:rsidRPr="00F23BB0">
              <w:tab/>
            </w:r>
            <w:r w:rsidRPr="00180656">
              <w:t>17 October 2017</w:t>
            </w:r>
          </w:p>
        </w:tc>
        <w:tc>
          <w:tcPr>
            <w:tcW w:w="1230" w:type="pct"/>
            <w:tcBorders>
              <w:top w:val="nil"/>
              <w:left w:val="nil"/>
              <w:bottom w:val="nil"/>
              <w:right w:val="nil"/>
            </w:tcBorders>
            <w:shd w:val="clear" w:color="auto" w:fill="auto"/>
            <w:vAlign w:val="center"/>
            <w:hideMark/>
          </w:tcPr>
          <w:p w14:paraId="51C84A53" w14:textId="77777777" w:rsidR="0035143A" w:rsidRPr="00180656" w:rsidRDefault="0035143A" w:rsidP="0012134E">
            <w:pPr>
              <w:pStyle w:val="GG-body"/>
              <w:spacing w:after="0"/>
              <w:ind w:left="459" w:hanging="459"/>
              <w:jc w:val="left"/>
            </w:pPr>
            <w:r w:rsidRPr="00180656">
              <w:t>120</w:t>
            </w:r>
            <w:r w:rsidRPr="00F23BB0">
              <w:t>.</w:t>
            </w:r>
            <w:r w:rsidRPr="00F23BB0">
              <w:tab/>
            </w:r>
            <w:r w:rsidRPr="00180656">
              <w:t>3 January 2018</w:t>
            </w:r>
          </w:p>
        </w:tc>
      </w:tr>
      <w:tr w:rsidR="0035143A" w:rsidRPr="00180656" w14:paraId="3AB33D2F" w14:textId="77777777" w:rsidTr="0012134E">
        <w:trPr>
          <w:trHeight w:val="20"/>
        </w:trPr>
        <w:tc>
          <w:tcPr>
            <w:tcW w:w="1230" w:type="pct"/>
            <w:tcBorders>
              <w:top w:val="nil"/>
              <w:left w:val="nil"/>
              <w:bottom w:val="nil"/>
              <w:right w:val="nil"/>
            </w:tcBorders>
            <w:shd w:val="clear" w:color="auto" w:fill="auto"/>
            <w:vAlign w:val="center"/>
            <w:hideMark/>
          </w:tcPr>
          <w:p w14:paraId="02DF75A0" w14:textId="77777777" w:rsidR="0035143A" w:rsidRPr="00180656" w:rsidRDefault="0035143A" w:rsidP="0012134E">
            <w:pPr>
              <w:pStyle w:val="GG-body"/>
              <w:spacing w:after="0"/>
              <w:ind w:left="459" w:hanging="459"/>
              <w:jc w:val="left"/>
            </w:pPr>
            <w:r w:rsidRPr="00180656">
              <w:t>121</w:t>
            </w:r>
            <w:r w:rsidRPr="00F23BB0">
              <w:t>.</w:t>
            </w:r>
            <w:r w:rsidRPr="00F23BB0">
              <w:tab/>
            </w:r>
            <w:r w:rsidRPr="00180656">
              <w:t>23 January 2018</w:t>
            </w:r>
          </w:p>
        </w:tc>
        <w:tc>
          <w:tcPr>
            <w:tcW w:w="1270" w:type="pct"/>
            <w:tcBorders>
              <w:top w:val="nil"/>
              <w:left w:val="nil"/>
              <w:bottom w:val="nil"/>
              <w:right w:val="nil"/>
            </w:tcBorders>
            <w:shd w:val="clear" w:color="auto" w:fill="auto"/>
            <w:vAlign w:val="center"/>
            <w:hideMark/>
          </w:tcPr>
          <w:p w14:paraId="51B02EAD" w14:textId="77777777" w:rsidR="0035143A" w:rsidRPr="00180656" w:rsidRDefault="0035143A" w:rsidP="0012134E">
            <w:pPr>
              <w:pStyle w:val="GG-body"/>
              <w:spacing w:after="0"/>
              <w:ind w:left="459" w:hanging="459"/>
              <w:jc w:val="left"/>
            </w:pPr>
            <w:r w:rsidRPr="00180656">
              <w:t>122</w:t>
            </w:r>
            <w:r w:rsidRPr="00F23BB0">
              <w:t>.</w:t>
            </w:r>
            <w:r w:rsidRPr="00F23BB0">
              <w:tab/>
            </w:r>
            <w:r w:rsidRPr="00180656">
              <w:t>14 March 2018</w:t>
            </w:r>
          </w:p>
        </w:tc>
        <w:tc>
          <w:tcPr>
            <w:tcW w:w="1270" w:type="pct"/>
            <w:tcBorders>
              <w:top w:val="nil"/>
              <w:left w:val="nil"/>
              <w:bottom w:val="nil"/>
              <w:right w:val="nil"/>
            </w:tcBorders>
            <w:shd w:val="clear" w:color="auto" w:fill="auto"/>
            <w:vAlign w:val="center"/>
            <w:hideMark/>
          </w:tcPr>
          <w:p w14:paraId="6EFB7B7D" w14:textId="77777777" w:rsidR="0035143A" w:rsidRPr="00180656" w:rsidRDefault="0035143A" w:rsidP="0012134E">
            <w:pPr>
              <w:pStyle w:val="GG-body"/>
              <w:spacing w:after="0"/>
              <w:ind w:left="459" w:hanging="459"/>
              <w:jc w:val="left"/>
            </w:pPr>
            <w:r w:rsidRPr="00180656">
              <w:t>123</w:t>
            </w:r>
            <w:r w:rsidRPr="00F23BB0">
              <w:t>.</w:t>
            </w:r>
            <w:r w:rsidRPr="00F23BB0">
              <w:tab/>
            </w:r>
            <w:r w:rsidRPr="00180656">
              <w:t>14 June 2018</w:t>
            </w:r>
          </w:p>
        </w:tc>
        <w:tc>
          <w:tcPr>
            <w:tcW w:w="1230" w:type="pct"/>
            <w:tcBorders>
              <w:top w:val="nil"/>
              <w:left w:val="nil"/>
              <w:bottom w:val="nil"/>
              <w:right w:val="nil"/>
            </w:tcBorders>
            <w:shd w:val="clear" w:color="auto" w:fill="auto"/>
            <w:vAlign w:val="center"/>
            <w:hideMark/>
          </w:tcPr>
          <w:p w14:paraId="40BD56AF" w14:textId="77777777" w:rsidR="0035143A" w:rsidRPr="00180656" w:rsidRDefault="0035143A" w:rsidP="0012134E">
            <w:pPr>
              <w:pStyle w:val="GG-body"/>
              <w:spacing w:after="0"/>
              <w:ind w:left="459" w:hanging="459"/>
              <w:jc w:val="left"/>
            </w:pPr>
            <w:r w:rsidRPr="00180656">
              <w:t>124</w:t>
            </w:r>
            <w:r w:rsidRPr="00F23BB0">
              <w:t>.</w:t>
            </w:r>
            <w:r w:rsidRPr="00F23BB0">
              <w:tab/>
            </w:r>
            <w:r w:rsidRPr="00180656">
              <w:t>5 July 2018</w:t>
            </w:r>
          </w:p>
        </w:tc>
      </w:tr>
      <w:tr w:rsidR="0035143A" w:rsidRPr="00180656" w14:paraId="49599B66" w14:textId="77777777" w:rsidTr="0012134E">
        <w:trPr>
          <w:trHeight w:val="20"/>
        </w:trPr>
        <w:tc>
          <w:tcPr>
            <w:tcW w:w="1230" w:type="pct"/>
            <w:tcBorders>
              <w:top w:val="nil"/>
              <w:left w:val="nil"/>
              <w:bottom w:val="nil"/>
              <w:right w:val="nil"/>
            </w:tcBorders>
            <w:shd w:val="clear" w:color="auto" w:fill="auto"/>
            <w:vAlign w:val="center"/>
            <w:hideMark/>
          </w:tcPr>
          <w:p w14:paraId="093F041A" w14:textId="77777777" w:rsidR="0035143A" w:rsidRPr="00180656" w:rsidRDefault="0035143A" w:rsidP="0012134E">
            <w:pPr>
              <w:pStyle w:val="GG-body"/>
              <w:spacing w:after="0"/>
              <w:ind w:left="459" w:hanging="459"/>
              <w:jc w:val="left"/>
            </w:pPr>
            <w:r w:rsidRPr="00180656">
              <w:t>125</w:t>
            </w:r>
            <w:r w:rsidRPr="00F23BB0">
              <w:t>.</w:t>
            </w:r>
            <w:r w:rsidRPr="00F23BB0">
              <w:tab/>
            </w:r>
            <w:r w:rsidRPr="00180656">
              <w:t>2 August 2018</w:t>
            </w:r>
          </w:p>
        </w:tc>
        <w:tc>
          <w:tcPr>
            <w:tcW w:w="1270" w:type="pct"/>
            <w:tcBorders>
              <w:top w:val="nil"/>
              <w:left w:val="nil"/>
              <w:bottom w:val="nil"/>
              <w:right w:val="nil"/>
            </w:tcBorders>
            <w:shd w:val="clear" w:color="auto" w:fill="auto"/>
            <w:vAlign w:val="center"/>
            <w:hideMark/>
          </w:tcPr>
          <w:p w14:paraId="518D0C9F" w14:textId="77777777" w:rsidR="0035143A" w:rsidRPr="00180656" w:rsidRDefault="0035143A" w:rsidP="0012134E">
            <w:pPr>
              <w:pStyle w:val="GG-body"/>
              <w:spacing w:after="0"/>
              <w:ind w:left="459" w:hanging="459"/>
              <w:jc w:val="left"/>
            </w:pPr>
            <w:r w:rsidRPr="00180656">
              <w:t>126</w:t>
            </w:r>
            <w:r w:rsidRPr="00F23BB0">
              <w:t>.</w:t>
            </w:r>
            <w:r w:rsidRPr="00F23BB0">
              <w:tab/>
            </w:r>
            <w:r w:rsidRPr="00180656">
              <w:t>9 August 2018</w:t>
            </w:r>
          </w:p>
        </w:tc>
        <w:tc>
          <w:tcPr>
            <w:tcW w:w="1270" w:type="pct"/>
            <w:tcBorders>
              <w:top w:val="nil"/>
              <w:left w:val="nil"/>
              <w:bottom w:val="nil"/>
              <w:right w:val="nil"/>
            </w:tcBorders>
            <w:shd w:val="clear" w:color="auto" w:fill="auto"/>
            <w:vAlign w:val="center"/>
            <w:hideMark/>
          </w:tcPr>
          <w:p w14:paraId="2B2A0BED" w14:textId="77777777" w:rsidR="0035143A" w:rsidRPr="00180656" w:rsidRDefault="0035143A" w:rsidP="0012134E">
            <w:pPr>
              <w:pStyle w:val="GG-body"/>
              <w:spacing w:after="0"/>
              <w:ind w:left="459" w:hanging="459"/>
              <w:jc w:val="left"/>
            </w:pPr>
            <w:r w:rsidRPr="00180656">
              <w:t>127</w:t>
            </w:r>
            <w:r w:rsidRPr="00F23BB0">
              <w:t>.</w:t>
            </w:r>
            <w:r w:rsidRPr="00F23BB0">
              <w:tab/>
            </w:r>
            <w:r w:rsidRPr="00180656">
              <w:t>16 August 2018</w:t>
            </w:r>
          </w:p>
        </w:tc>
        <w:tc>
          <w:tcPr>
            <w:tcW w:w="1230" w:type="pct"/>
            <w:tcBorders>
              <w:top w:val="nil"/>
              <w:left w:val="nil"/>
              <w:bottom w:val="nil"/>
              <w:right w:val="nil"/>
            </w:tcBorders>
            <w:shd w:val="clear" w:color="auto" w:fill="auto"/>
            <w:vAlign w:val="center"/>
            <w:hideMark/>
          </w:tcPr>
          <w:p w14:paraId="0718469D" w14:textId="77777777" w:rsidR="0035143A" w:rsidRPr="00180656" w:rsidRDefault="0035143A" w:rsidP="0012134E">
            <w:pPr>
              <w:pStyle w:val="GG-body"/>
              <w:spacing w:after="0"/>
              <w:ind w:left="459" w:hanging="459"/>
              <w:jc w:val="left"/>
            </w:pPr>
            <w:r w:rsidRPr="00180656">
              <w:t>128</w:t>
            </w:r>
            <w:r w:rsidRPr="00F23BB0">
              <w:t>.</w:t>
            </w:r>
            <w:r w:rsidRPr="00F23BB0">
              <w:tab/>
            </w:r>
            <w:r w:rsidRPr="00180656">
              <w:t>30 August 2018</w:t>
            </w:r>
          </w:p>
        </w:tc>
      </w:tr>
      <w:tr w:rsidR="0035143A" w:rsidRPr="00180656" w14:paraId="6B3F6DA7" w14:textId="77777777" w:rsidTr="0012134E">
        <w:trPr>
          <w:trHeight w:val="20"/>
        </w:trPr>
        <w:tc>
          <w:tcPr>
            <w:tcW w:w="1230" w:type="pct"/>
            <w:tcBorders>
              <w:top w:val="nil"/>
              <w:left w:val="nil"/>
              <w:bottom w:val="nil"/>
              <w:right w:val="nil"/>
            </w:tcBorders>
            <w:shd w:val="clear" w:color="auto" w:fill="auto"/>
            <w:vAlign w:val="center"/>
            <w:hideMark/>
          </w:tcPr>
          <w:p w14:paraId="0DAB71E6" w14:textId="77777777" w:rsidR="0035143A" w:rsidRPr="00180656" w:rsidRDefault="0035143A" w:rsidP="0012134E">
            <w:pPr>
              <w:pStyle w:val="GG-body"/>
              <w:spacing w:after="0"/>
              <w:ind w:left="459" w:hanging="459"/>
              <w:jc w:val="left"/>
            </w:pPr>
            <w:r w:rsidRPr="00180656">
              <w:t>129</w:t>
            </w:r>
            <w:r w:rsidRPr="00F23BB0">
              <w:t>.</w:t>
            </w:r>
            <w:r w:rsidRPr="00F23BB0">
              <w:tab/>
            </w:r>
            <w:r w:rsidRPr="00180656">
              <w:t>27 September 2018</w:t>
            </w:r>
          </w:p>
        </w:tc>
        <w:tc>
          <w:tcPr>
            <w:tcW w:w="1270" w:type="pct"/>
            <w:tcBorders>
              <w:top w:val="nil"/>
              <w:left w:val="nil"/>
              <w:bottom w:val="nil"/>
              <w:right w:val="nil"/>
            </w:tcBorders>
            <w:shd w:val="clear" w:color="auto" w:fill="auto"/>
            <w:vAlign w:val="center"/>
            <w:hideMark/>
          </w:tcPr>
          <w:p w14:paraId="053D2FDE" w14:textId="77777777" w:rsidR="0035143A" w:rsidRPr="00180656" w:rsidRDefault="0035143A" w:rsidP="0012134E">
            <w:pPr>
              <w:pStyle w:val="GG-body"/>
              <w:spacing w:after="0"/>
              <w:ind w:left="459" w:hanging="459"/>
              <w:jc w:val="left"/>
            </w:pPr>
            <w:r w:rsidRPr="00180656">
              <w:t>130</w:t>
            </w:r>
            <w:r w:rsidRPr="00F23BB0">
              <w:t>.</w:t>
            </w:r>
            <w:r w:rsidRPr="00F23BB0">
              <w:tab/>
            </w:r>
            <w:r w:rsidRPr="00180656">
              <w:t>4 October 2018</w:t>
            </w:r>
          </w:p>
        </w:tc>
        <w:tc>
          <w:tcPr>
            <w:tcW w:w="1270" w:type="pct"/>
            <w:tcBorders>
              <w:top w:val="nil"/>
              <w:left w:val="nil"/>
              <w:bottom w:val="nil"/>
              <w:right w:val="nil"/>
            </w:tcBorders>
            <w:shd w:val="clear" w:color="auto" w:fill="auto"/>
            <w:vAlign w:val="center"/>
            <w:hideMark/>
          </w:tcPr>
          <w:p w14:paraId="17620AAD" w14:textId="77777777" w:rsidR="0035143A" w:rsidRPr="00180656" w:rsidRDefault="0035143A" w:rsidP="0012134E">
            <w:pPr>
              <w:pStyle w:val="GG-body"/>
              <w:spacing w:after="0"/>
              <w:ind w:left="459" w:hanging="459"/>
              <w:jc w:val="left"/>
            </w:pPr>
            <w:r w:rsidRPr="00180656">
              <w:t>131</w:t>
            </w:r>
            <w:r w:rsidRPr="00F23BB0">
              <w:t>.</w:t>
            </w:r>
            <w:r w:rsidRPr="00F23BB0">
              <w:tab/>
            </w:r>
            <w:r w:rsidRPr="00180656">
              <w:t>18 October 2018</w:t>
            </w:r>
          </w:p>
        </w:tc>
        <w:tc>
          <w:tcPr>
            <w:tcW w:w="1230" w:type="pct"/>
            <w:tcBorders>
              <w:top w:val="nil"/>
              <w:left w:val="nil"/>
              <w:bottom w:val="nil"/>
              <w:right w:val="nil"/>
            </w:tcBorders>
            <w:shd w:val="clear" w:color="auto" w:fill="auto"/>
            <w:vAlign w:val="center"/>
            <w:hideMark/>
          </w:tcPr>
          <w:p w14:paraId="27405D13" w14:textId="77777777" w:rsidR="0035143A" w:rsidRPr="00180656" w:rsidRDefault="0035143A" w:rsidP="0012134E">
            <w:pPr>
              <w:pStyle w:val="GG-body"/>
              <w:spacing w:after="0"/>
              <w:ind w:left="459" w:hanging="459"/>
              <w:jc w:val="left"/>
            </w:pPr>
            <w:r w:rsidRPr="00180656">
              <w:t>132</w:t>
            </w:r>
            <w:r w:rsidRPr="00F23BB0">
              <w:t>.</w:t>
            </w:r>
            <w:r w:rsidRPr="00F23BB0">
              <w:tab/>
            </w:r>
            <w:r w:rsidRPr="00180656">
              <w:t>1 November 2018</w:t>
            </w:r>
          </w:p>
        </w:tc>
      </w:tr>
      <w:tr w:rsidR="0035143A" w:rsidRPr="00180656" w14:paraId="68EDD3A8" w14:textId="77777777" w:rsidTr="0012134E">
        <w:trPr>
          <w:trHeight w:val="20"/>
        </w:trPr>
        <w:tc>
          <w:tcPr>
            <w:tcW w:w="1230" w:type="pct"/>
            <w:tcBorders>
              <w:top w:val="nil"/>
              <w:left w:val="nil"/>
              <w:bottom w:val="nil"/>
              <w:right w:val="nil"/>
            </w:tcBorders>
            <w:shd w:val="clear" w:color="auto" w:fill="auto"/>
            <w:vAlign w:val="center"/>
            <w:hideMark/>
          </w:tcPr>
          <w:p w14:paraId="7B5E9201" w14:textId="77777777" w:rsidR="0035143A" w:rsidRPr="00180656" w:rsidRDefault="0035143A" w:rsidP="0012134E">
            <w:pPr>
              <w:pStyle w:val="GG-body"/>
              <w:spacing w:after="0"/>
              <w:ind w:left="459" w:hanging="459"/>
              <w:jc w:val="left"/>
            </w:pPr>
            <w:r w:rsidRPr="00180656">
              <w:t>133</w:t>
            </w:r>
            <w:r w:rsidRPr="00F23BB0">
              <w:t>.</w:t>
            </w:r>
            <w:r w:rsidRPr="00F23BB0">
              <w:tab/>
            </w:r>
            <w:r w:rsidRPr="00180656">
              <w:t>15 November 2018</w:t>
            </w:r>
          </w:p>
        </w:tc>
        <w:tc>
          <w:tcPr>
            <w:tcW w:w="1270" w:type="pct"/>
            <w:tcBorders>
              <w:top w:val="nil"/>
              <w:left w:val="nil"/>
              <w:bottom w:val="nil"/>
              <w:right w:val="nil"/>
            </w:tcBorders>
            <w:shd w:val="clear" w:color="auto" w:fill="auto"/>
            <w:vAlign w:val="center"/>
            <w:hideMark/>
          </w:tcPr>
          <w:p w14:paraId="761437C1" w14:textId="77777777" w:rsidR="0035143A" w:rsidRPr="00180656" w:rsidRDefault="0035143A" w:rsidP="0012134E">
            <w:pPr>
              <w:pStyle w:val="GG-body"/>
              <w:spacing w:after="0"/>
              <w:ind w:left="459" w:hanging="459"/>
              <w:jc w:val="left"/>
            </w:pPr>
            <w:r w:rsidRPr="00180656">
              <w:t>134</w:t>
            </w:r>
            <w:r w:rsidRPr="00F23BB0">
              <w:t>.</w:t>
            </w:r>
            <w:r w:rsidRPr="00F23BB0">
              <w:tab/>
            </w:r>
            <w:r w:rsidRPr="00180656">
              <w:t>22 November 2018</w:t>
            </w:r>
          </w:p>
        </w:tc>
        <w:tc>
          <w:tcPr>
            <w:tcW w:w="1270" w:type="pct"/>
            <w:tcBorders>
              <w:top w:val="nil"/>
              <w:left w:val="nil"/>
              <w:bottom w:val="nil"/>
              <w:right w:val="nil"/>
            </w:tcBorders>
            <w:shd w:val="clear" w:color="auto" w:fill="auto"/>
            <w:vAlign w:val="center"/>
            <w:hideMark/>
          </w:tcPr>
          <w:p w14:paraId="00ABF003" w14:textId="77777777" w:rsidR="0035143A" w:rsidRPr="00180656" w:rsidRDefault="0035143A" w:rsidP="0012134E">
            <w:pPr>
              <w:pStyle w:val="GG-body"/>
              <w:spacing w:after="0"/>
              <w:ind w:left="459" w:hanging="459"/>
              <w:jc w:val="left"/>
            </w:pPr>
            <w:r w:rsidRPr="00180656">
              <w:t>135</w:t>
            </w:r>
            <w:r w:rsidRPr="00F23BB0">
              <w:t>.</w:t>
            </w:r>
            <w:r w:rsidRPr="00F23BB0">
              <w:tab/>
            </w:r>
            <w:r w:rsidRPr="00180656">
              <w:t>29 November 2018</w:t>
            </w:r>
          </w:p>
        </w:tc>
        <w:tc>
          <w:tcPr>
            <w:tcW w:w="1230" w:type="pct"/>
            <w:tcBorders>
              <w:top w:val="nil"/>
              <w:left w:val="nil"/>
              <w:bottom w:val="nil"/>
              <w:right w:val="nil"/>
            </w:tcBorders>
            <w:shd w:val="clear" w:color="auto" w:fill="auto"/>
            <w:vAlign w:val="center"/>
            <w:hideMark/>
          </w:tcPr>
          <w:p w14:paraId="5F23512B" w14:textId="77777777" w:rsidR="0035143A" w:rsidRPr="00180656" w:rsidRDefault="0035143A" w:rsidP="0012134E">
            <w:pPr>
              <w:pStyle w:val="GG-body"/>
              <w:spacing w:after="0"/>
              <w:ind w:left="459" w:hanging="459"/>
              <w:jc w:val="left"/>
            </w:pPr>
            <w:r w:rsidRPr="00180656">
              <w:t>136</w:t>
            </w:r>
            <w:r w:rsidRPr="00F23BB0">
              <w:t>.</w:t>
            </w:r>
            <w:r w:rsidRPr="00F23BB0">
              <w:tab/>
            </w:r>
            <w:r w:rsidRPr="00180656">
              <w:t>6 December 2018</w:t>
            </w:r>
          </w:p>
        </w:tc>
      </w:tr>
      <w:tr w:rsidR="0035143A" w:rsidRPr="00180656" w14:paraId="0A3BF8BF" w14:textId="77777777" w:rsidTr="0012134E">
        <w:trPr>
          <w:trHeight w:val="20"/>
        </w:trPr>
        <w:tc>
          <w:tcPr>
            <w:tcW w:w="1230" w:type="pct"/>
            <w:tcBorders>
              <w:top w:val="nil"/>
              <w:left w:val="nil"/>
              <w:bottom w:val="nil"/>
              <w:right w:val="nil"/>
            </w:tcBorders>
            <w:shd w:val="clear" w:color="auto" w:fill="auto"/>
            <w:vAlign w:val="center"/>
            <w:hideMark/>
          </w:tcPr>
          <w:p w14:paraId="06DDD510" w14:textId="77777777" w:rsidR="0035143A" w:rsidRPr="00180656" w:rsidRDefault="0035143A" w:rsidP="0012134E">
            <w:pPr>
              <w:pStyle w:val="GG-body"/>
              <w:spacing w:after="0"/>
              <w:ind w:left="459" w:hanging="459"/>
              <w:jc w:val="left"/>
            </w:pPr>
            <w:r w:rsidRPr="00180656">
              <w:t>137</w:t>
            </w:r>
            <w:r w:rsidRPr="00F23BB0">
              <w:t>.</w:t>
            </w:r>
            <w:r w:rsidRPr="00F23BB0">
              <w:tab/>
            </w:r>
            <w:r w:rsidRPr="00180656">
              <w:t>20 December 2018</w:t>
            </w:r>
          </w:p>
        </w:tc>
        <w:tc>
          <w:tcPr>
            <w:tcW w:w="1270" w:type="pct"/>
            <w:tcBorders>
              <w:top w:val="nil"/>
              <w:left w:val="nil"/>
              <w:bottom w:val="nil"/>
              <w:right w:val="nil"/>
            </w:tcBorders>
            <w:shd w:val="clear" w:color="auto" w:fill="auto"/>
            <w:vAlign w:val="center"/>
            <w:hideMark/>
          </w:tcPr>
          <w:p w14:paraId="0743720D" w14:textId="77777777" w:rsidR="0035143A" w:rsidRPr="00180656" w:rsidRDefault="0035143A" w:rsidP="0012134E">
            <w:pPr>
              <w:pStyle w:val="GG-body"/>
              <w:spacing w:after="0"/>
              <w:ind w:left="459" w:hanging="459"/>
              <w:jc w:val="left"/>
            </w:pPr>
            <w:r w:rsidRPr="00180656">
              <w:t>138</w:t>
            </w:r>
            <w:r w:rsidRPr="00F23BB0">
              <w:t>.</w:t>
            </w:r>
            <w:r w:rsidRPr="00F23BB0">
              <w:tab/>
            </w:r>
            <w:r w:rsidRPr="00180656">
              <w:t>24 January 2019</w:t>
            </w:r>
          </w:p>
        </w:tc>
        <w:tc>
          <w:tcPr>
            <w:tcW w:w="1270" w:type="pct"/>
            <w:tcBorders>
              <w:top w:val="nil"/>
              <w:left w:val="nil"/>
              <w:bottom w:val="nil"/>
              <w:right w:val="nil"/>
            </w:tcBorders>
            <w:shd w:val="clear" w:color="auto" w:fill="auto"/>
            <w:vAlign w:val="center"/>
            <w:hideMark/>
          </w:tcPr>
          <w:p w14:paraId="417B08C8" w14:textId="77777777" w:rsidR="0035143A" w:rsidRPr="00180656" w:rsidRDefault="0035143A" w:rsidP="0012134E">
            <w:pPr>
              <w:pStyle w:val="GG-body"/>
              <w:spacing w:after="0"/>
              <w:ind w:left="459" w:hanging="459"/>
              <w:jc w:val="left"/>
            </w:pPr>
            <w:r w:rsidRPr="00180656">
              <w:t>139</w:t>
            </w:r>
            <w:r w:rsidRPr="00F23BB0">
              <w:t>.</w:t>
            </w:r>
            <w:r w:rsidRPr="00F23BB0">
              <w:tab/>
            </w:r>
            <w:r w:rsidRPr="00180656">
              <w:t>14 February 2019</w:t>
            </w:r>
          </w:p>
        </w:tc>
        <w:tc>
          <w:tcPr>
            <w:tcW w:w="1230" w:type="pct"/>
            <w:tcBorders>
              <w:top w:val="nil"/>
              <w:left w:val="nil"/>
              <w:bottom w:val="nil"/>
              <w:right w:val="nil"/>
            </w:tcBorders>
            <w:shd w:val="clear" w:color="auto" w:fill="auto"/>
            <w:vAlign w:val="center"/>
            <w:hideMark/>
          </w:tcPr>
          <w:p w14:paraId="280CB301" w14:textId="77777777" w:rsidR="0035143A" w:rsidRPr="00180656" w:rsidRDefault="0035143A" w:rsidP="0012134E">
            <w:pPr>
              <w:pStyle w:val="GG-body"/>
              <w:spacing w:after="0"/>
              <w:ind w:left="459" w:hanging="459"/>
              <w:jc w:val="left"/>
            </w:pPr>
            <w:r w:rsidRPr="00180656">
              <w:t>140</w:t>
            </w:r>
            <w:r w:rsidRPr="00F23BB0">
              <w:t>.</w:t>
            </w:r>
            <w:r w:rsidRPr="00F23BB0">
              <w:tab/>
            </w:r>
            <w:r w:rsidRPr="00180656">
              <w:t>30 May 2019</w:t>
            </w:r>
          </w:p>
        </w:tc>
      </w:tr>
      <w:tr w:rsidR="0035143A" w:rsidRPr="00180656" w14:paraId="707B3F12" w14:textId="77777777" w:rsidTr="0012134E">
        <w:trPr>
          <w:trHeight w:val="20"/>
        </w:trPr>
        <w:tc>
          <w:tcPr>
            <w:tcW w:w="1230" w:type="pct"/>
            <w:tcBorders>
              <w:top w:val="nil"/>
              <w:left w:val="nil"/>
              <w:bottom w:val="nil"/>
              <w:right w:val="nil"/>
            </w:tcBorders>
            <w:shd w:val="clear" w:color="auto" w:fill="auto"/>
            <w:vAlign w:val="center"/>
            <w:hideMark/>
          </w:tcPr>
          <w:p w14:paraId="39C26086" w14:textId="77777777" w:rsidR="0035143A" w:rsidRPr="00180656" w:rsidRDefault="0035143A" w:rsidP="0012134E">
            <w:pPr>
              <w:pStyle w:val="GG-body"/>
              <w:spacing w:after="0"/>
              <w:ind w:left="459" w:hanging="459"/>
              <w:jc w:val="left"/>
            </w:pPr>
            <w:r w:rsidRPr="00180656">
              <w:t>141</w:t>
            </w:r>
            <w:r w:rsidRPr="00F23BB0">
              <w:t>.</w:t>
            </w:r>
            <w:r w:rsidRPr="00F23BB0">
              <w:tab/>
            </w:r>
            <w:r w:rsidRPr="00180656">
              <w:t>6 June 2019</w:t>
            </w:r>
          </w:p>
        </w:tc>
        <w:tc>
          <w:tcPr>
            <w:tcW w:w="1270" w:type="pct"/>
            <w:tcBorders>
              <w:top w:val="nil"/>
              <w:left w:val="nil"/>
              <w:bottom w:val="nil"/>
              <w:right w:val="nil"/>
            </w:tcBorders>
            <w:shd w:val="clear" w:color="auto" w:fill="auto"/>
            <w:vAlign w:val="center"/>
            <w:hideMark/>
          </w:tcPr>
          <w:p w14:paraId="70FDC3CD" w14:textId="77777777" w:rsidR="0035143A" w:rsidRPr="00180656" w:rsidRDefault="0035143A" w:rsidP="0012134E">
            <w:pPr>
              <w:pStyle w:val="GG-body"/>
              <w:spacing w:after="0"/>
              <w:ind w:left="459" w:hanging="459"/>
              <w:jc w:val="left"/>
            </w:pPr>
            <w:r w:rsidRPr="00180656">
              <w:t>142</w:t>
            </w:r>
            <w:r w:rsidRPr="00F23BB0">
              <w:t>.</w:t>
            </w:r>
            <w:r w:rsidRPr="00F23BB0">
              <w:tab/>
            </w:r>
            <w:r w:rsidRPr="00180656">
              <w:t>13 June 2019</w:t>
            </w:r>
          </w:p>
        </w:tc>
        <w:tc>
          <w:tcPr>
            <w:tcW w:w="1270" w:type="pct"/>
            <w:tcBorders>
              <w:top w:val="nil"/>
              <w:left w:val="nil"/>
              <w:bottom w:val="nil"/>
              <w:right w:val="nil"/>
            </w:tcBorders>
            <w:shd w:val="clear" w:color="auto" w:fill="auto"/>
            <w:vAlign w:val="center"/>
            <w:hideMark/>
          </w:tcPr>
          <w:p w14:paraId="524D887B" w14:textId="77777777" w:rsidR="0035143A" w:rsidRPr="00180656" w:rsidRDefault="0035143A" w:rsidP="0012134E">
            <w:pPr>
              <w:pStyle w:val="GG-body"/>
              <w:spacing w:after="0"/>
              <w:ind w:left="459" w:hanging="459"/>
              <w:jc w:val="left"/>
            </w:pPr>
            <w:r w:rsidRPr="00180656">
              <w:t>143</w:t>
            </w:r>
            <w:r w:rsidRPr="00F23BB0">
              <w:t>.</w:t>
            </w:r>
            <w:r w:rsidRPr="00F23BB0">
              <w:tab/>
            </w:r>
            <w:r w:rsidRPr="00180656">
              <w:t>20 June 2019</w:t>
            </w:r>
          </w:p>
        </w:tc>
        <w:tc>
          <w:tcPr>
            <w:tcW w:w="1230" w:type="pct"/>
            <w:tcBorders>
              <w:top w:val="nil"/>
              <w:left w:val="nil"/>
              <w:bottom w:val="nil"/>
              <w:right w:val="nil"/>
            </w:tcBorders>
            <w:shd w:val="clear" w:color="auto" w:fill="auto"/>
            <w:vAlign w:val="center"/>
            <w:hideMark/>
          </w:tcPr>
          <w:p w14:paraId="0379BE04" w14:textId="77777777" w:rsidR="0035143A" w:rsidRPr="00180656" w:rsidRDefault="0035143A" w:rsidP="0012134E">
            <w:pPr>
              <w:pStyle w:val="GG-body"/>
              <w:spacing w:after="0"/>
              <w:ind w:left="459" w:hanging="459"/>
              <w:jc w:val="left"/>
            </w:pPr>
            <w:r w:rsidRPr="00180656">
              <w:t>144</w:t>
            </w:r>
            <w:r w:rsidRPr="00F23BB0">
              <w:t>.</w:t>
            </w:r>
            <w:r w:rsidRPr="00F23BB0">
              <w:tab/>
            </w:r>
            <w:r w:rsidRPr="00180656">
              <w:t>27 June 2019</w:t>
            </w:r>
          </w:p>
        </w:tc>
      </w:tr>
      <w:tr w:rsidR="0035143A" w:rsidRPr="00180656" w14:paraId="6DA39169" w14:textId="77777777" w:rsidTr="0012134E">
        <w:trPr>
          <w:trHeight w:val="20"/>
        </w:trPr>
        <w:tc>
          <w:tcPr>
            <w:tcW w:w="1230" w:type="pct"/>
            <w:tcBorders>
              <w:top w:val="nil"/>
              <w:left w:val="nil"/>
              <w:bottom w:val="nil"/>
              <w:right w:val="nil"/>
            </w:tcBorders>
            <w:shd w:val="clear" w:color="auto" w:fill="auto"/>
            <w:vAlign w:val="center"/>
            <w:hideMark/>
          </w:tcPr>
          <w:p w14:paraId="432F8867" w14:textId="77777777" w:rsidR="0035143A" w:rsidRPr="00180656" w:rsidRDefault="0035143A" w:rsidP="0012134E">
            <w:pPr>
              <w:pStyle w:val="GG-body"/>
              <w:spacing w:after="0"/>
              <w:ind w:left="459" w:hanging="459"/>
              <w:jc w:val="left"/>
            </w:pPr>
            <w:r w:rsidRPr="00180656">
              <w:t>145</w:t>
            </w:r>
            <w:r w:rsidRPr="00F23BB0">
              <w:t>.</w:t>
            </w:r>
            <w:r w:rsidRPr="00F23BB0">
              <w:tab/>
            </w:r>
            <w:r w:rsidRPr="00180656">
              <w:t>11 July 2019</w:t>
            </w:r>
          </w:p>
        </w:tc>
        <w:tc>
          <w:tcPr>
            <w:tcW w:w="1270" w:type="pct"/>
            <w:tcBorders>
              <w:top w:val="nil"/>
              <w:left w:val="nil"/>
              <w:bottom w:val="nil"/>
              <w:right w:val="nil"/>
            </w:tcBorders>
            <w:shd w:val="clear" w:color="auto" w:fill="auto"/>
            <w:vAlign w:val="center"/>
            <w:hideMark/>
          </w:tcPr>
          <w:p w14:paraId="1190C2CB" w14:textId="77777777" w:rsidR="0035143A" w:rsidRPr="00180656" w:rsidRDefault="0035143A" w:rsidP="0012134E">
            <w:pPr>
              <w:pStyle w:val="GG-body"/>
              <w:spacing w:after="0"/>
              <w:ind w:left="459" w:hanging="459"/>
              <w:jc w:val="left"/>
            </w:pPr>
            <w:r w:rsidRPr="00180656">
              <w:t>146</w:t>
            </w:r>
            <w:r w:rsidRPr="00F23BB0">
              <w:t>.</w:t>
            </w:r>
            <w:r w:rsidRPr="00F23BB0">
              <w:tab/>
            </w:r>
            <w:r w:rsidRPr="00180656">
              <w:t>8 August 2019</w:t>
            </w:r>
          </w:p>
        </w:tc>
        <w:tc>
          <w:tcPr>
            <w:tcW w:w="1270" w:type="pct"/>
            <w:tcBorders>
              <w:top w:val="nil"/>
              <w:left w:val="nil"/>
              <w:bottom w:val="nil"/>
              <w:right w:val="nil"/>
            </w:tcBorders>
            <w:shd w:val="clear" w:color="auto" w:fill="auto"/>
            <w:vAlign w:val="center"/>
            <w:hideMark/>
          </w:tcPr>
          <w:p w14:paraId="798DA462" w14:textId="77777777" w:rsidR="0035143A" w:rsidRPr="00180656" w:rsidRDefault="0035143A" w:rsidP="0012134E">
            <w:pPr>
              <w:pStyle w:val="GG-body"/>
              <w:spacing w:after="0"/>
              <w:ind w:left="459" w:hanging="459"/>
              <w:jc w:val="left"/>
            </w:pPr>
            <w:r w:rsidRPr="00180656">
              <w:t>147</w:t>
            </w:r>
            <w:r w:rsidRPr="00F23BB0">
              <w:t>.</w:t>
            </w:r>
            <w:r w:rsidRPr="00F23BB0">
              <w:tab/>
            </w:r>
            <w:r w:rsidRPr="00180656">
              <w:t>22 August 2019</w:t>
            </w:r>
          </w:p>
        </w:tc>
        <w:tc>
          <w:tcPr>
            <w:tcW w:w="1230" w:type="pct"/>
            <w:tcBorders>
              <w:top w:val="nil"/>
              <w:left w:val="nil"/>
              <w:bottom w:val="nil"/>
              <w:right w:val="nil"/>
            </w:tcBorders>
            <w:shd w:val="clear" w:color="auto" w:fill="auto"/>
            <w:vAlign w:val="center"/>
            <w:hideMark/>
          </w:tcPr>
          <w:p w14:paraId="49E83E1C" w14:textId="77777777" w:rsidR="0035143A" w:rsidRPr="00180656" w:rsidRDefault="0035143A" w:rsidP="0012134E">
            <w:pPr>
              <w:pStyle w:val="GG-body"/>
              <w:spacing w:after="0"/>
              <w:ind w:left="459" w:hanging="459"/>
              <w:jc w:val="left"/>
            </w:pPr>
            <w:r w:rsidRPr="00180656">
              <w:t>148</w:t>
            </w:r>
            <w:r w:rsidRPr="00F23BB0">
              <w:t>.</w:t>
            </w:r>
            <w:r w:rsidRPr="00F23BB0">
              <w:tab/>
            </w:r>
            <w:r w:rsidRPr="00180656">
              <w:t>12 September 2019</w:t>
            </w:r>
          </w:p>
        </w:tc>
      </w:tr>
      <w:tr w:rsidR="0035143A" w:rsidRPr="00180656" w14:paraId="4174DEF0" w14:textId="77777777" w:rsidTr="0012134E">
        <w:trPr>
          <w:trHeight w:val="20"/>
        </w:trPr>
        <w:tc>
          <w:tcPr>
            <w:tcW w:w="1230" w:type="pct"/>
            <w:tcBorders>
              <w:top w:val="nil"/>
              <w:left w:val="nil"/>
              <w:bottom w:val="nil"/>
              <w:right w:val="nil"/>
            </w:tcBorders>
            <w:shd w:val="clear" w:color="auto" w:fill="auto"/>
            <w:vAlign w:val="center"/>
            <w:hideMark/>
          </w:tcPr>
          <w:p w14:paraId="370E4FCC" w14:textId="77777777" w:rsidR="0035143A" w:rsidRPr="00180656" w:rsidRDefault="0035143A" w:rsidP="0012134E">
            <w:pPr>
              <w:pStyle w:val="GG-body"/>
              <w:spacing w:after="0"/>
              <w:ind w:left="459" w:hanging="459"/>
              <w:jc w:val="left"/>
            </w:pPr>
            <w:r w:rsidRPr="00180656">
              <w:t>149</w:t>
            </w:r>
            <w:r w:rsidRPr="00F23BB0">
              <w:t>.</w:t>
            </w:r>
            <w:r w:rsidRPr="00F23BB0">
              <w:tab/>
            </w:r>
            <w:r w:rsidRPr="00180656">
              <w:t>19 September 2019</w:t>
            </w:r>
          </w:p>
        </w:tc>
        <w:tc>
          <w:tcPr>
            <w:tcW w:w="1270" w:type="pct"/>
            <w:tcBorders>
              <w:top w:val="nil"/>
              <w:left w:val="nil"/>
              <w:bottom w:val="nil"/>
              <w:right w:val="nil"/>
            </w:tcBorders>
            <w:shd w:val="clear" w:color="auto" w:fill="auto"/>
            <w:vAlign w:val="center"/>
            <w:hideMark/>
          </w:tcPr>
          <w:p w14:paraId="3B181941" w14:textId="77777777" w:rsidR="0035143A" w:rsidRPr="00180656" w:rsidRDefault="0035143A" w:rsidP="0012134E">
            <w:pPr>
              <w:pStyle w:val="GG-body"/>
              <w:spacing w:after="0"/>
              <w:ind w:left="459" w:hanging="459"/>
              <w:jc w:val="left"/>
            </w:pPr>
            <w:r w:rsidRPr="00180656">
              <w:t>150</w:t>
            </w:r>
            <w:r w:rsidRPr="00F23BB0">
              <w:t>.</w:t>
            </w:r>
            <w:r w:rsidRPr="00F23BB0">
              <w:tab/>
            </w:r>
            <w:r w:rsidRPr="00180656">
              <w:t>14 November 2019</w:t>
            </w:r>
          </w:p>
        </w:tc>
        <w:tc>
          <w:tcPr>
            <w:tcW w:w="1270" w:type="pct"/>
            <w:tcBorders>
              <w:top w:val="nil"/>
              <w:left w:val="nil"/>
              <w:bottom w:val="nil"/>
              <w:right w:val="nil"/>
            </w:tcBorders>
            <w:shd w:val="clear" w:color="auto" w:fill="auto"/>
            <w:vAlign w:val="center"/>
            <w:hideMark/>
          </w:tcPr>
          <w:p w14:paraId="268DABC8" w14:textId="77777777" w:rsidR="0035143A" w:rsidRPr="00180656" w:rsidRDefault="0035143A" w:rsidP="0012134E">
            <w:pPr>
              <w:pStyle w:val="GG-body"/>
              <w:spacing w:after="0"/>
              <w:ind w:left="459" w:hanging="459"/>
              <w:jc w:val="left"/>
            </w:pPr>
            <w:r w:rsidRPr="00180656">
              <w:t>151</w:t>
            </w:r>
            <w:r w:rsidRPr="00F23BB0">
              <w:t>.</w:t>
            </w:r>
            <w:r w:rsidRPr="00F23BB0">
              <w:tab/>
            </w:r>
            <w:r w:rsidRPr="00180656">
              <w:t>28 November 2019</w:t>
            </w:r>
          </w:p>
        </w:tc>
        <w:tc>
          <w:tcPr>
            <w:tcW w:w="1230" w:type="pct"/>
            <w:tcBorders>
              <w:top w:val="nil"/>
              <w:left w:val="nil"/>
              <w:bottom w:val="nil"/>
              <w:right w:val="nil"/>
            </w:tcBorders>
            <w:shd w:val="clear" w:color="auto" w:fill="auto"/>
            <w:vAlign w:val="center"/>
            <w:hideMark/>
          </w:tcPr>
          <w:p w14:paraId="2403D0FA" w14:textId="77777777" w:rsidR="0035143A" w:rsidRPr="00180656" w:rsidRDefault="0035143A" w:rsidP="0012134E">
            <w:pPr>
              <w:pStyle w:val="GG-body"/>
              <w:spacing w:after="0"/>
              <w:ind w:left="459" w:hanging="459"/>
              <w:jc w:val="left"/>
            </w:pPr>
            <w:r w:rsidRPr="00180656">
              <w:t>152</w:t>
            </w:r>
            <w:r w:rsidRPr="00F23BB0">
              <w:t>.</w:t>
            </w:r>
            <w:r w:rsidRPr="00F23BB0">
              <w:tab/>
            </w:r>
            <w:r w:rsidRPr="00180656">
              <w:t>12 December 2019</w:t>
            </w:r>
          </w:p>
        </w:tc>
      </w:tr>
      <w:tr w:rsidR="0035143A" w:rsidRPr="00180656" w14:paraId="663A0A9D" w14:textId="77777777" w:rsidTr="0012134E">
        <w:trPr>
          <w:trHeight w:val="20"/>
        </w:trPr>
        <w:tc>
          <w:tcPr>
            <w:tcW w:w="1230" w:type="pct"/>
            <w:tcBorders>
              <w:top w:val="nil"/>
              <w:left w:val="nil"/>
              <w:bottom w:val="nil"/>
              <w:right w:val="nil"/>
            </w:tcBorders>
            <w:shd w:val="clear" w:color="auto" w:fill="auto"/>
            <w:vAlign w:val="center"/>
            <w:hideMark/>
          </w:tcPr>
          <w:p w14:paraId="3B99680B" w14:textId="77777777" w:rsidR="0035143A" w:rsidRPr="00180656" w:rsidRDefault="0035143A" w:rsidP="0012134E">
            <w:pPr>
              <w:pStyle w:val="GG-body"/>
              <w:spacing w:after="0"/>
              <w:ind w:left="459" w:hanging="459"/>
              <w:jc w:val="left"/>
            </w:pPr>
            <w:r w:rsidRPr="00180656">
              <w:t>153</w:t>
            </w:r>
            <w:r w:rsidRPr="00F23BB0">
              <w:t>.</w:t>
            </w:r>
            <w:r w:rsidRPr="00F23BB0">
              <w:tab/>
            </w:r>
            <w:r w:rsidRPr="00180656">
              <w:t>19 December 2019</w:t>
            </w:r>
          </w:p>
        </w:tc>
        <w:tc>
          <w:tcPr>
            <w:tcW w:w="1270" w:type="pct"/>
            <w:tcBorders>
              <w:top w:val="nil"/>
              <w:left w:val="nil"/>
              <w:bottom w:val="nil"/>
              <w:right w:val="nil"/>
            </w:tcBorders>
            <w:shd w:val="clear" w:color="auto" w:fill="auto"/>
            <w:vAlign w:val="center"/>
            <w:hideMark/>
          </w:tcPr>
          <w:p w14:paraId="07393315" w14:textId="77777777" w:rsidR="0035143A" w:rsidRPr="00180656" w:rsidRDefault="0035143A" w:rsidP="0012134E">
            <w:pPr>
              <w:pStyle w:val="GG-body"/>
              <w:spacing w:after="0"/>
              <w:ind w:left="459" w:hanging="459"/>
              <w:jc w:val="left"/>
            </w:pPr>
            <w:r w:rsidRPr="00180656">
              <w:t>154</w:t>
            </w:r>
            <w:r w:rsidRPr="00F23BB0">
              <w:t>.</w:t>
            </w:r>
            <w:r w:rsidRPr="00F23BB0">
              <w:tab/>
            </w:r>
            <w:r w:rsidRPr="00180656">
              <w:t>23 January 2020</w:t>
            </w:r>
          </w:p>
        </w:tc>
        <w:tc>
          <w:tcPr>
            <w:tcW w:w="1270" w:type="pct"/>
            <w:tcBorders>
              <w:top w:val="nil"/>
              <w:left w:val="nil"/>
              <w:bottom w:val="nil"/>
              <w:right w:val="nil"/>
            </w:tcBorders>
            <w:shd w:val="clear" w:color="auto" w:fill="auto"/>
            <w:vAlign w:val="center"/>
            <w:hideMark/>
          </w:tcPr>
          <w:p w14:paraId="3869723D" w14:textId="77777777" w:rsidR="0035143A" w:rsidRPr="00180656" w:rsidRDefault="0035143A" w:rsidP="0012134E">
            <w:pPr>
              <w:pStyle w:val="GG-body"/>
              <w:spacing w:after="0"/>
              <w:ind w:left="459" w:hanging="459"/>
              <w:jc w:val="left"/>
            </w:pPr>
            <w:r w:rsidRPr="00180656">
              <w:t>155</w:t>
            </w:r>
            <w:r w:rsidRPr="00F23BB0">
              <w:t>.</w:t>
            </w:r>
            <w:r w:rsidRPr="00F23BB0">
              <w:tab/>
            </w:r>
            <w:r w:rsidRPr="00180656">
              <w:t>27 February 2020</w:t>
            </w:r>
          </w:p>
        </w:tc>
        <w:tc>
          <w:tcPr>
            <w:tcW w:w="1230" w:type="pct"/>
            <w:tcBorders>
              <w:top w:val="nil"/>
              <w:left w:val="nil"/>
              <w:bottom w:val="nil"/>
              <w:right w:val="nil"/>
            </w:tcBorders>
            <w:shd w:val="clear" w:color="auto" w:fill="auto"/>
            <w:vAlign w:val="center"/>
            <w:hideMark/>
          </w:tcPr>
          <w:p w14:paraId="40505E2F" w14:textId="77777777" w:rsidR="0035143A" w:rsidRPr="00180656" w:rsidRDefault="0035143A" w:rsidP="0012134E">
            <w:pPr>
              <w:pStyle w:val="GG-body"/>
              <w:spacing w:after="0"/>
              <w:ind w:left="459" w:hanging="459"/>
              <w:jc w:val="left"/>
            </w:pPr>
            <w:r w:rsidRPr="00180656">
              <w:t>156</w:t>
            </w:r>
            <w:r w:rsidRPr="00F23BB0">
              <w:t>.</w:t>
            </w:r>
            <w:r w:rsidRPr="00F23BB0">
              <w:tab/>
            </w:r>
            <w:r w:rsidRPr="00180656">
              <w:t>21 April 2020</w:t>
            </w:r>
          </w:p>
        </w:tc>
      </w:tr>
      <w:tr w:rsidR="0035143A" w:rsidRPr="00180656" w14:paraId="548EDC03" w14:textId="77777777" w:rsidTr="0012134E">
        <w:trPr>
          <w:trHeight w:val="20"/>
        </w:trPr>
        <w:tc>
          <w:tcPr>
            <w:tcW w:w="1230" w:type="pct"/>
            <w:tcBorders>
              <w:top w:val="nil"/>
              <w:left w:val="nil"/>
              <w:bottom w:val="nil"/>
              <w:right w:val="nil"/>
            </w:tcBorders>
            <w:shd w:val="clear" w:color="auto" w:fill="auto"/>
            <w:vAlign w:val="center"/>
            <w:hideMark/>
          </w:tcPr>
          <w:p w14:paraId="5BB60532" w14:textId="77777777" w:rsidR="0035143A" w:rsidRPr="00180656" w:rsidRDefault="0035143A" w:rsidP="0012134E">
            <w:pPr>
              <w:pStyle w:val="GG-body"/>
              <w:spacing w:after="0"/>
              <w:ind w:left="459" w:hanging="459"/>
              <w:jc w:val="left"/>
            </w:pPr>
            <w:r w:rsidRPr="00180656">
              <w:t>157</w:t>
            </w:r>
            <w:r w:rsidRPr="00F23BB0">
              <w:t>.</w:t>
            </w:r>
            <w:r w:rsidRPr="00F23BB0">
              <w:tab/>
            </w:r>
            <w:r w:rsidRPr="00180656">
              <w:t>25 June 2020</w:t>
            </w:r>
          </w:p>
        </w:tc>
        <w:tc>
          <w:tcPr>
            <w:tcW w:w="1270" w:type="pct"/>
            <w:tcBorders>
              <w:top w:val="nil"/>
              <w:left w:val="nil"/>
              <w:bottom w:val="nil"/>
              <w:right w:val="nil"/>
            </w:tcBorders>
            <w:shd w:val="clear" w:color="auto" w:fill="auto"/>
            <w:vAlign w:val="center"/>
            <w:hideMark/>
          </w:tcPr>
          <w:p w14:paraId="70F23909" w14:textId="77777777" w:rsidR="0035143A" w:rsidRPr="00180656" w:rsidRDefault="0035143A" w:rsidP="0012134E">
            <w:pPr>
              <w:pStyle w:val="GG-body"/>
              <w:spacing w:after="0"/>
              <w:ind w:left="459" w:hanging="459"/>
              <w:jc w:val="left"/>
            </w:pPr>
            <w:r w:rsidRPr="00180656">
              <w:t>158</w:t>
            </w:r>
            <w:r w:rsidRPr="00F23BB0">
              <w:t>.</w:t>
            </w:r>
            <w:r w:rsidRPr="00F23BB0">
              <w:tab/>
            </w:r>
            <w:r w:rsidRPr="00180656">
              <w:t>10 September 2020</w:t>
            </w:r>
          </w:p>
        </w:tc>
        <w:tc>
          <w:tcPr>
            <w:tcW w:w="1270" w:type="pct"/>
            <w:tcBorders>
              <w:top w:val="nil"/>
              <w:left w:val="nil"/>
              <w:bottom w:val="nil"/>
              <w:right w:val="nil"/>
            </w:tcBorders>
            <w:shd w:val="clear" w:color="auto" w:fill="auto"/>
            <w:vAlign w:val="center"/>
            <w:hideMark/>
          </w:tcPr>
          <w:p w14:paraId="1783015D" w14:textId="77777777" w:rsidR="0035143A" w:rsidRPr="00180656" w:rsidRDefault="0035143A" w:rsidP="0012134E">
            <w:pPr>
              <w:pStyle w:val="GG-body"/>
              <w:spacing w:after="0"/>
              <w:ind w:left="459" w:hanging="459"/>
              <w:jc w:val="left"/>
            </w:pPr>
            <w:r w:rsidRPr="00180656">
              <w:t>159</w:t>
            </w:r>
            <w:r w:rsidRPr="00F23BB0">
              <w:t>.</w:t>
            </w:r>
            <w:r w:rsidRPr="00F23BB0">
              <w:tab/>
            </w:r>
            <w:r w:rsidRPr="00180656">
              <w:t>17 September 2020</w:t>
            </w:r>
          </w:p>
        </w:tc>
        <w:tc>
          <w:tcPr>
            <w:tcW w:w="1230" w:type="pct"/>
            <w:tcBorders>
              <w:top w:val="nil"/>
              <w:left w:val="nil"/>
              <w:bottom w:val="nil"/>
              <w:right w:val="nil"/>
            </w:tcBorders>
            <w:shd w:val="clear" w:color="auto" w:fill="auto"/>
            <w:vAlign w:val="center"/>
            <w:hideMark/>
          </w:tcPr>
          <w:p w14:paraId="17D80044" w14:textId="77777777" w:rsidR="0035143A" w:rsidRPr="00180656" w:rsidRDefault="0035143A" w:rsidP="0012134E">
            <w:pPr>
              <w:pStyle w:val="GG-body"/>
              <w:spacing w:after="0"/>
              <w:ind w:left="459" w:hanging="459"/>
              <w:jc w:val="left"/>
            </w:pPr>
            <w:r w:rsidRPr="00180656">
              <w:t>160</w:t>
            </w:r>
            <w:r w:rsidRPr="00F23BB0">
              <w:t>.</w:t>
            </w:r>
            <w:r w:rsidRPr="00F23BB0">
              <w:tab/>
            </w:r>
            <w:r w:rsidRPr="00180656">
              <w:t>8 October 2020</w:t>
            </w:r>
          </w:p>
        </w:tc>
      </w:tr>
      <w:tr w:rsidR="0035143A" w:rsidRPr="00180656" w14:paraId="06F07EF1" w14:textId="77777777" w:rsidTr="0012134E">
        <w:trPr>
          <w:trHeight w:val="20"/>
        </w:trPr>
        <w:tc>
          <w:tcPr>
            <w:tcW w:w="1230" w:type="pct"/>
            <w:tcBorders>
              <w:top w:val="nil"/>
              <w:left w:val="nil"/>
              <w:bottom w:val="nil"/>
              <w:right w:val="nil"/>
            </w:tcBorders>
            <w:shd w:val="clear" w:color="auto" w:fill="auto"/>
            <w:vAlign w:val="center"/>
            <w:hideMark/>
          </w:tcPr>
          <w:p w14:paraId="079B387C" w14:textId="77777777" w:rsidR="0035143A" w:rsidRPr="00180656" w:rsidRDefault="0035143A" w:rsidP="0012134E">
            <w:pPr>
              <w:pStyle w:val="GG-body"/>
              <w:spacing w:after="0"/>
              <w:ind w:left="459" w:hanging="459"/>
              <w:jc w:val="left"/>
            </w:pPr>
            <w:r w:rsidRPr="00180656">
              <w:t>161</w:t>
            </w:r>
            <w:r w:rsidRPr="00F23BB0">
              <w:t>.</w:t>
            </w:r>
            <w:r w:rsidRPr="00F23BB0">
              <w:tab/>
            </w:r>
            <w:r w:rsidRPr="00180656">
              <w:t>29 October 2020</w:t>
            </w:r>
          </w:p>
        </w:tc>
        <w:tc>
          <w:tcPr>
            <w:tcW w:w="1270" w:type="pct"/>
            <w:tcBorders>
              <w:top w:val="nil"/>
              <w:left w:val="nil"/>
              <w:bottom w:val="nil"/>
              <w:right w:val="nil"/>
            </w:tcBorders>
            <w:shd w:val="clear" w:color="auto" w:fill="auto"/>
            <w:vAlign w:val="center"/>
            <w:hideMark/>
          </w:tcPr>
          <w:p w14:paraId="68D294E8" w14:textId="77777777" w:rsidR="0035143A" w:rsidRPr="00180656" w:rsidRDefault="0035143A" w:rsidP="0012134E">
            <w:pPr>
              <w:pStyle w:val="GG-body"/>
              <w:spacing w:after="0"/>
              <w:ind w:left="459" w:hanging="459"/>
              <w:jc w:val="left"/>
            </w:pPr>
            <w:r w:rsidRPr="00180656">
              <w:t>162</w:t>
            </w:r>
            <w:r w:rsidRPr="00F23BB0">
              <w:t>.</w:t>
            </w:r>
            <w:r w:rsidRPr="00F23BB0">
              <w:tab/>
            </w:r>
            <w:r w:rsidRPr="00180656">
              <w:t>5 November 2020</w:t>
            </w:r>
          </w:p>
        </w:tc>
        <w:tc>
          <w:tcPr>
            <w:tcW w:w="1270" w:type="pct"/>
            <w:tcBorders>
              <w:top w:val="nil"/>
              <w:left w:val="nil"/>
              <w:bottom w:val="nil"/>
              <w:right w:val="nil"/>
            </w:tcBorders>
            <w:shd w:val="clear" w:color="auto" w:fill="auto"/>
            <w:vAlign w:val="center"/>
            <w:hideMark/>
          </w:tcPr>
          <w:p w14:paraId="71A77A65" w14:textId="77777777" w:rsidR="0035143A" w:rsidRPr="00180656" w:rsidRDefault="0035143A" w:rsidP="0012134E">
            <w:pPr>
              <w:pStyle w:val="GG-body"/>
              <w:spacing w:after="0"/>
              <w:ind w:left="459" w:hanging="459"/>
              <w:jc w:val="left"/>
            </w:pPr>
            <w:r w:rsidRPr="00180656">
              <w:t>163</w:t>
            </w:r>
            <w:r w:rsidRPr="00F23BB0">
              <w:t>.</w:t>
            </w:r>
            <w:r w:rsidRPr="00F23BB0">
              <w:tab/>
            </w:r>
            <w:r w:rsidRPr="00180656">
              <w:t>10 December 2020</w:t>
            </w:r>
          </w:p>
        </w:tc>
        <w:tc>
          <w:tcPr>
            <w:tcW w:w="1230" w:type="pct"/>
            <w:tcBorders>
              <w:top w:val="nil"/>
              <w:left w:val="nil"/>
              <w:bottom w:val="nil"/>
              <w:right w:val="nil"/>
            </w:tcBorders>
            <w:shd w:val="clear" w:color="auto" w:fill="auto"/>
            <w:vAlign w:val="center"/>
            <w:hideMark/>
          </w:tcPr>
          <w:p w14:paraId="410F6708" w14:textId="77777777" w:rsidR="0035143A" w:rsidRPr="00180656" w:rsidRDefault="0035143A" w:rsidP="0012134E">
            <w:pPr>
              <w:pStyle w:val="GG-body"/>
              <w:spacing w:after="0"/>
              <w:ind w:left="459" w:hanging="459"/>
              <w:jc w:val="left"/>
            </w:pPr>
            <w:r w:rsidRPr="00180656">
              <w:t>164</w:t>
            </w:r>
            <w:r w:rsidRPr="00F23BB0">
              <w:t>.</w:t>
            </w:r>
            <w:r w:rsidRPr="00F23BB0">
              <w:tab/>
            </w:r>
            <w:r w:rsidRPr="00180656">
              <w:t>17 December 2020</w:t>
            </w:r>
          </w:p>
        </w:tc>
      </w:tr>
      <w:tr w:rsidR="0035143A" w:rsidRPr="00180656" w14:paraId="6B162BD8" w14:textId="77777777" w:rsidTr="0012134E">
        <w:trPr>
          <w:trHeight w:val="20"/>
        </w:trPr>
        <w:tc>
          <w:tcPr>
            <w:tcW w:w="1230" w:type="pct"/>
            <w:tcBorders>
              <w:top w:val="nil"/>
              <w:left w:val="nil"/>
              <w:bottom w:val="nil"/>
              <w:right w:val="nil"/>
            </w:tcBorders>
            <w:shd w:val="clear" w:color="auto" w:fill="auto"/>
            <w:vAlign w:val="center"/>
            <w:hideMark/>
          </w:tcPr>
          <w:p w14:paraId="53429FA4" w14:textId="77777777" w:rsidR="0035143A" w:rsidRPr="00180656" w:rsidRDefault="0035143A" w:rsidP="0012134E">
            <w:pPr>
              <w:pStyle w:val="GG-body"/>
              <w:spacing w:after="0"/>
              <w:ind w:left="459" w:hanging="459"/>
              <w:jc w:val="left"/>
            </w:pPr>
            <w:r w:rsidRPr="00180656">
              <w:t>165</w:t>
            </w:r>
            <w:r w:rsidRPr="00F23BB0">
              <w:t>.</w:t>
            </w:r>
            <w:r w:rsidRPr="00F23BB0">
              <w:tab/>
            </w:r>
            <w:r w:rsidRPr="00180656">
              <w:t>24 December 2020</w:t>
            </w:r>
          </w:p>
        </w:tc>
        <w:tc>
          <w:tcPr>
            <w:tcW w:w="1270" w:type="pct"/>
            <w:tcBorders>
              <w:top w:val="nil"/>
              <w:left w:val="nil"/>
              <w:bottom w:val="nil"/>
              <w:right w:val="nil"/>
            </w:tcBorders>
            <w:shd w:val="clear" w:color="auto" w:fill="auto"/>
            <w:vAlign w:val="center"/>
            <w:hideMark/>
          </w:tcPr>
          <w:p w14:paraId="3DF34A58" w14:textId="77777777" w:rsidR="0035143A" w:rsidRPr="00180656" w:rsidRDefault="0035143A" w:rsidP="0012134E">
            <w:pPr>
              <w:pStyle w:val="GG-body"/>
              <w:spacing w:after="0"/>
              <w:ind w:left="459" w:hanging="459"/>
              <w:jc w:val="left"/>
            </w:pPr>
            <w:r w:rsidRPr="00180656">
              <w:t>166</w:t>
            </w:r>
            <w:r w:rsidRPr="00F23BB0">
              <w:t>.</w:t>
            </w:r>
            <w:r w:rsidRPr="00F23BB0">
              <w:tab/>
            </w:r>
            <w:r w:rsidRPr="00180656">
              <w:t>21 January 2021</w:t>
            </w:r>
          </w:p>
        </w:tc>
        <w:tc>
          <w:tcPr>
            <w:tcW w:w="1270" w:type="pct"/>
            <w:tcBorders>
              <w:top w:val="nil"/>
              <w:left w:val="nil"/>
              <w:bottom w:val="nil"/>
              <w:right w:val="nil"/>
            </w:tcBorders>
            <w:shd w:val="clear" w:color="auto" w:fill="auto"/>
            <w:vAlign w:val="center"/>
            <w:hideMark/>
          </w:tcPr>
          <w:p w14:paraId="3977DDCC" w14:textId="77777777" w:rsidR="0035143A" w:rsidRPr="00180656" w:rsidRDefault="0035143A" w:rsidP="0012134E">
            <w:pPr>
              <w:pStyle w:val="GG-body"/>
              <w:spacing w:after="0"/>
              <w:ind w:left="459" w:hanging="459"/>
              <w:jc w:val="left"/>
            </w:pPr>
            <w:r w:rsidRPr="00180656">
              <w:t>167</w:t>
            </w:r>
            <w:r w:rsidRPr="00F23BB0">
              <w:t>.</w:t>
            </w:r>
            <w:r w:rsidRPr="00F23BB0">
              <w:tab/>
            </w:r>
            <w:r w:rsidRPr="00180656">
              <w:t>11 February 2021</w:t>
            </w:r>
          </w:p>
        </w:tc>
        <w:tc>
          <w:tcPr>
            <w:tcW w:w="1230" w:type="pct"/>
            <w:tcBorders>
              <w:top w:val="nil"/>
              <w:left w:val="nil"/>
              <w:bottom w:val="nil"/>
              <w:right w:val="nil"/>
            </w:tcBorders>
            <w:shd w:val="clear" w:color="auto" w:fill="auto"/>
            <w:vAlign w:val="center"/>
            <w:hideMark/>
          </w:tcPr>
          <w:p w14:paraId="4684AE0E" w14:textId="77777777" w:rsidR="0035143A" w:rsidRPr="00180656" w:rsidRDefault="0035143A" w:rsidP="0012134E">
            <w:pPr>
              <w:pStyle w:val="GG-body"/>
              <w:spacing w:after="0"/>
              <w:ind w:left="459" w:hanging="459"/>
              <w:jc w:val="left"/>
            </w:pPr>
            <w:r w:rsidRPr="00180656">
              <w:t>168</w:t>
            </w:r>
            <w:r w:rsidRPr="00F23BB0">
              <w:t>.</w:t>
            </w:r>
            <w:r w:rsidRPr="00F23BB0">
              <w:tab/>
            </w:r>
            <w:r w:rsidRPr="00180656">
              <w:t>25 February 2021</w:t>
            </w:r>
          </w:p>
        </w:tc>
      </w:tr>
      <w:tr w:rsidR="0035143A" w:rsidRPr="00180656" w14:paraId="4FE465F8" w14:textId="77777777" w:rsidTr="0012134E">
        <w:trPr>
          <w:trHeight w:val="20"/>
        </w:trPr>
        <w:tc>
          <w:tcPr>
            <w:tcW w:w="1230" w:type="pct"/>
            <w:tcBorders>
              <w:top w:val="nil"/>
              <w:left w:val="nil"/>
              <w:bottom w:val="nil"/>
              <w:right w:val="nil"/>
            </w:tcBorders>
            <w:shd w:val="clear" w:color="auto" w:fill="auto"/>
            <w:vAlign w:val="center"/>
            <w:hideMark/>
          </w:tcPr>
          <w:p w14:paraId="4C9CF8BA" w14:textId="77777777" w:rsidR="0035143A" w:rsidRPr="00180656" w:rsidRDefault="0035143A" w:rsidP="0012134E">
            <w:pPr>
              <w:pStyle w:val="GG-body"/>
              <w:spacing w:after="0"/>
              <w:ind w:left="459" w:hanging="459"/>
              <w:jc w:val="left"/>
            </w:pPr>
            <w:r w:rsidRPr="00180656">
              <w:t>169</w:t>
            </w:r>
            <w:r w:rsidRPr="00F23BB0">
              <w:t>.</w:t>
            </w:r>
            <w:r w:rsidRPr="00F23BB0">
              <w:tab/>
            </w:r>
            <w:r w:rsidRPr="00180656">
              <w:t>25 March 2021</w:t>
            </w:r>
          </w:p>
        </w:tc>
        <w:tc>
          <w:tcPr>
            <w:tcW w:w="1270" w:type="pct"/>
            <w:tcBorders>
              <w:top w:val="nil"/>
              <w:left w:val="nil"/>
              <w:bottom w:val="nil"/>
              <w:right w:val="nil"/>
            </w:tcBorders>
            <w:shd w:val="clear" w:color="auto" w:fill="auto"/>
            <w:vAlign w:val="center"/>
            <w:hideMark/>
          </w:tcPr>
          <w:p w14:paraId="3CFEC9C4" w14:textId="77777777" w:rsidR="0035143A" w:rsidRPr="00180656" w:rsidRDefault="0035143A" w:rsidP="0012134E">
            <w:pPr>
              <w:pStyle w:val="GG-body"/>
              <w:spacing w:after="0"/>
              <w:ind w:left="459" w:hanging="459"/>
              <w:jc w:val="left"/>
            </w:pPr>
            <w:r w:rsidRPr="00180656">
              <w:t>170</w:t>
            </w:r>
            <w:r w:rsidRPr="00F23BB0">
              <w:t>.</w:t>
            </w:r>
            <w:r w:rsidRPr="00F23BB0">
              <w:tab/>
            </w:r>
            <w:r w:rsidRPr="00180656">
              <w:t>1 April 2021</w:t>
            </w:r>
          </w:p>
        </w:tc>
        <w:tc>
          <w:tcPr>
            <w:tcW w:w="1270" w:type="pct"/>
            <w:tcBorders>
              <w:top w:val="nil"/>
              <w:left w:val="nil"/>
              <w:bottom w:val="nil"/>
              <w:right w:val="nil"/>
            </w:tcBorders>
            <w:shd w:val="clear" w:color="auto" w:fill="auto"/>
            <w:vAlign w:val="center"/>
            <w:hideMark/>
          </w:tcPr>
          <w:p w14:paraId="158F4803" w14:textId="77777777" w:rsidR="0035143A" w:rsidRPr="00180656" w:rsidRDefault="0035143A" w:rsidP="0012134E">
            <w:pPr>
              <w:pStyle w:val="GG-body"/>
              <w:spacing w:after="0"/>
              <w:ind w:left="459" w:hanging="459"/>
              <w:jc w:val="left"/>
            </w:pPr>
            <w:r w:rsidRPr="00180656">
              <w:t>171</w:t>
            </w:r>
            <w:r w:rsidRPr="00F23BB0">
              <w:t>.</w:t>
            </w:r>
            <w:r w:rsidRPr="00F23BB0">
              <w:tab/>
            </w:r>
            <w:r w:rsidRPr="00180656">
              <w:t>8 April 2021</w:t>
            </w:r>
          </w:p>
        </w:tc>
        <w:tc>
          <w:tcPr>
            <w:tcW w:w="1230" w:type="pct"/>
            <w:tcBorders>
              <w:top w:val="nil"/>
              <w:left w:val="nil"/>
              <w:bottom w:val="nil"/>
              <w:right w:val="nil"/>
            </w:tcBorders>
            <w:shd w:val="clear" w:color="auto" w:fill="auto"/>
            <w:noWrap/>
            <w:vAlign w:val="center"/>
            <w:hideMark/>
          </w:tcPr>
          <w:p w14:paraId="34CA4C78" w14:textId="77777777" w:rsidR="0035143A" w:rsidRPr="00180656" w:rsidRDefault="0035143A" w:rsidP="0012134E">
            <w:pPr>
              <w:pStyle w:val="GG-body"/>
              <w:spacing w:after="0"/>
              <w:ind w:left="459" w:hanging="459"/>
              <w:jc w:val="left"/>
            </w:pPr>
            <w:r w:rsidRPr="00180656">
              <w:t>172</w:t>
            </w:r>
            <w:r w:rsidRPr="00F23BB0">
              <w:t>.</w:t>
            </w:r>
            <w:r w:rsidRPr="00F23BB0">
              <w:tab/>
            </w:r>
            <w:r w:rsidRPr="00180656">
              <w:t>6 May 2021</w:t>
            </w:r>
          </w:p>
        </w:tc>
      </w:tr>
      <w:tr w:rsidR="0035143A" w:rsidRPr="00180656" w14:paraId="1A7A8015" w14:textId="77777777" w:rsidTr="0012134E">
        <w:trPr>
          <w:trHeight w:val="20"/>
        </w:trPr>
        <w:tc>
          <w:tcPr>
            <w:tcW w:w="1230" w:type="pct"/>
            <w:tcBorders>
              <w:top w:val="nil"/>
              <w:left w:val="nil"/>
              <w:bottom w:val="nil"/>
              <w:right w:val="nil"/>
            </w:tcBorders>
            <w:shd w:val="clear" w:color="auto" w:fill="auto"/>
            <w:vAlign w:val="center"/>
            <w:hideMark/>
          </w:tcPr>
          <w:p w14:paraId="0828B4C9" w14:textId="77777777" w:rsidR="0035143A" w:rsidRPr="00180656" w:rsidRDefault="0035143A" w:rsidP="0012134E">
            <w:pPr>
              <w:pStyle w:val="GG-body"/>
              <w:spacing w:after="0"/>
              <w:ind w:left="459" w:hanging="459"/>
              <w:jc w:val="left"/>
            </w:pPr>
            <w:r w:rsidRPr="00180656">
              <w:t>173</w:t>
            </w:r>
            <w:r w:rsidRPr="00F23BB0">
              <w:t>.</w:t>
            </w:r>
            <w:r w:rsidRPr="00F23BB0">
              <w:tab/>
            </w:r>
            <w:r w:rsidRPr="00180656">
              <w:t>10 June 2021</w:t>
            </w:r>
          </w:p>
        </w:tc>
        <w:tc>
          <w:tcPr>
            <w:tcW w:w="1270" w:type="pct"/>
            <w:tcBorders>
              <w:top w:val="nil"/>
              <w:left w:val="nil"/>
              <w:bottom w:val="nil"/>
              <w:right w:val="nil"/>
            </w:tcBorders>
            <w:shd w:val="clear" w:color="auto" w:fill="auto"/>
            <w:vAlign w:val="center"/>
            <w:hideMark/>
          </w:tcPr>
          <w:p w14:paraId="1CAC46C2" w14:textId="77777777" w:rsidR="0035143A" w:rsidRPr="00180656" w:rsidRDefault="0035143A" w:rsidP="0012134E">
            <w:pPr>
              <w:pStyle w:val="GG-body"/>
              <w:spacing w:after="0"/>
              <w:ind w:left="459" w:hanging="459"/>
              <w:jc w:val="left"/>
            </w:pPr>
            <w:r w:rsidRPr="00180656">
              <w:t>174</w:t>
            </w:r>
            <w:r w:rsidRPr="00F23BB0">
              <w:t>.</w:t>
            </w:r>
            <w:r w:rsidRPr="00F23BB0">
              <w:tab/>
            </w:r>
            <w:r w:rsidRPr="00180656">
              <w:t>1 July 2021</w:t>
            </w:r>
          </w:p>
        </w:tc>
        <w:tc>
          <w:tcPr>
            <w:tcW w:w="1270" w:type="pct"/>
            <w:tcBorders>
              <w:top w:val="nil"/>
              <w:left w:val="nil"/>
              <w:bottom w:val="nil"/>
              <w:right w:val="nil"/>
            </w:tcBorders>
            <w:shd w:val="clear" w:color="auto" w:fill="auto"/>
            <w:noWrap/>
            <w:vAlign w:val="center"/>
            <w:hideMark/>
          </w:tcPr>
          <w:p w14:paraId="18233BBF" w14:textId="77777777" w:rsidR="0035143A" w:rsidRPr="00180656" w:rsidRDefault="0035143A" w:rsidP="0012134E">
            <w:pPr>
              <w:pStyle w:val="GG-body"/>
              <w:spacing w:after="0"/>
              <w:ind w:left="459" w:hanging="459"/>
              <w:jc w:val="left"/>
            </w:pPr>
            <w:r w:rsidRPr="00180656">
              <w:t>175</w:t>
            </w:r>
            <w:r w:rsidRPr="00F23BB0">
              <w:t>.</w:t>
            </w:r>
            <w:r w:rsidRPr="00F23BB0">
              <w:tab/>
            </w:r>
            <w:r w:rsidRPr="00180656">
              <w:t>12 August 2021</w:t>
            </w:r>
          </w:p>
        </w:tc>
        <w:tc>
          <w:tcPr>
            <w:tcW w:w="1230" w:type="pct"/>
            <w:tcBorders>
              <w:top w:val="nil"/>
              <w:left w:val="nil"/>
              <w:bottom w:val="nil"/>
              <w:right w:val="nil"/>
            </w:tcBorders>
            <w:shd w:val="clear" w:color="auto" w:fill="auto"/>
            <w:vAlign w:val="center"/>
            <w:hideMark/>
          </w:tcPr>
          <w:p w14:paraId="1AB7DBDD" w14:textId="77777777" w:rsidR="0035143A" w:rsidRPr="00180656" w:rsidRDefault="0035143A" w:rsidP="0012134E">
            <w:pPr>
              <w:pStyle w:val="GG-body"/>
              <w:spacing w:after="0"/>
              <w:ind w:left="459" w:hanging="459"/>
              <w:jc w:val="left"/>
            </w:pPr>
            <w:r w:rsidRPr="00180656">
              <w:t>176</w:t>
            </w:r>
            <w:r w:rsidRPr="00F23BB0">
              <w:t>.</w:t>
            </w:r>
            <w:r w:rsidRPr="00F23BB0">
              <w:tab/>
            </w:r>
            <w:r w:rsidRPr="00180656">
              <w:t>16 September 2021</w:t>
            </w:r>
          </w:p>
        </w:tc>
      </w:tr>
      <w:tr w:rsidR="0035143A" w:rsidRPr="00180656" w14:paraId="3E39FC6D" w14:textId="77777777" w:rsidTr="0012134E">
        <w:trPr>
          <w:trHeight w:val="20"/>
        </w:trPr>
        <w:tc>
          <w:tcPr>
            <w:tcW w:w="1230" w:type="pct"/>
            <w:tcBorders>
              <w:top w:val="nil"/>
              <w:left w:val="nil"/>
              <w:bottom w:val="nil"/>
              <w:right w:val="nil"/>
            </w:tcBorders>
            <w:shd w:val="clear" w:color="auto" w:fill="auto"/>
            <w:vAlign w:val="center"/>
            <w:hideMark/>
          </w:tcPr>
          <w:p w14:paraId="68907474" w14:textId="77777777" w:rsidR="0035143A" w:rsidRPr="00180656" w:rsidRDefault="0035143A" w:rsidP="0012134E">
            <w:pPr>
              <w:pStyle w:val="GG-body"/>
              <w:spacing w:after="0"/>
              <w:ind w:left="459" w:hanging="459"/>
              <w:jc w:val="left"/>
            </w:pPr>
            <w:r w:rsidRPr="00180656">
              <w:lastRenderedPageBreak/>
              <w:t>177</w:t>
            </w:r>
            <w:r w:rsidRPr="00F23BB0">
              <w:t>.</w:t>
            </w:r>
            <w:r w:rsidRPr="00F23BB0">
              <w:tab/>
            </w:r>
            <w:r w:rsidRPr="00180656">
              <w:t>23 September 2021</w:t>
            </w:r>
          </w:p>
        </w:tc>
        <w:tc>
          <w:tcPr>
            <w:tcW w:w="1270" w:type="pct"/>
            <w:tcBorders>
              <w:top w:val="nil"/>
              <w:left w:val="nil"/>
              <w:bottom w:val="nil"/>
              <w:right w:val="nil"/>
            </w:tcBorders>
            <w:shd w:val="clear" w:color="auto" w:fill="auto"/>
            <w:vAlign w:val="center"/>
            <w:hideMark/>
          </w:tcPr>
          <w:p w14:paraId="08D06348" w14:textId="77777777" w:rsidR="0035143A" w:rsidRPr="00180656" w:rsidRDefault="0035143A" w:rsidP="0012134E">
            <w:pPr>
              <w:pStyle w:val="GG-body"/>
              <w:spacing w:after="0"/>
              <w:ind w:left="459" w:hanging="459"/>
              <w:jc w:val="left"/>
            </w:pPr>
            <w:r w:rsidRPr="00180656">
              <w:t>178</w:t>
            </w:r>
            <w:r w:rsidRPr="00F23BB0">
              <w:t>.</w:t>
            </w:r>
            <w:r w:rsidRPr="00F23BB0">
              <w:tab/>
            </w:r>
            <w:r w:rsidRPr="00180656">
              <w:t>30 September 2021</w:t>
            </w:r>
          </w:p>
        </w:tc>
        <w:tc>
          <w:tcPr>
            <w:tcW w:w="1270" w:type="pct"/>
            <w:tcBorders>
              <w:top w:val="nil"/>
              <w:left w:val="nil"/>
              <w:bottom w:val="nil"/>
              <w:right w:val="nil"/>
            </w:tcBorders>
            <w:shd w:val="clear" w:color="auto" w:fill="auto"/>
            <w:vAlign w:val="center"/>
            <w:hideMark/>
          </w:tcPr>
          <w:p w14:paraId="3D7D6C2A" w14:textId="77777777" w:rsidR="0035143A" w:rsidRPr="00180656" w:rsidRDefault="0035143A" w:rsidP="0012134E">
            <w:pPr>
              <w:pStyle w:val="GG-body"/>
              <w:spacing w:after="0"/>
              <w:ind w:left="459" w:hanging="459"/>
              <w:jc w:val="left"/>
            </w:pPr>
            <w:r w:rsidRPr="00180656">
              <w:t>179</w:t>
            </w:r>
            <w:r w:rsidRPr="00F23BB0">
              <w:t>.</w:t>
            </w:r>
            <w:r w:rsidRPr="00F23BB0">
              <w:tab/>
            </w:r>
            <w:r w:rsidRPr="00180656">
              <w:t>14 October 2021</w:t>
            </w:r>
          </w:p>
        </w:tc>
        <w:tc>
          <w:tcPr>
            <w:tcW w:w="1230" w:type="pct"/>
            <w:tcBorders>
              <w:top w:val="nil"/>
              <w:left w:val="nil"/>
              <w:bottom w:val="nil"/>
              <w:right w:val="nil"/>
            </w:tcBorders>
            <w:shd w:val="clear" w:color="auto" w:fill="auto"/>
            <w:vAlign w:val="center"/>
            <w:hideMark/>
          </w:tcPr>
          <w:p w14:paraId="0FAB6B24" w14:textId="77777777" w:rsidR="0035143A" w:rsidRPr="00180656" w:rsidRDefault="0035143A" w:rsidP="0012134E">
            <w:pPr>
              <w:pStyle w:val="GG-body"/>
              <w:spacing w:after="0"/>
              <w:ind w:left="459" w:hanging="459"/>
              <w:jc w:val="left"/>
            </w:pPr>
            <w:r w:rsidRPr="00180656">
              <w:t>180</w:t>
            </w:r>
            <w:r w:rsidRPr="00F23BB0">
              <w:t>.</w:t>
            </w:r>
            <w:r w:rsidRPr="00F23BB0">
              <w:tab/>
            </w:r>
            <w:r w:rsidRPr="00180656">
              <w:t>21 October 2021</w:t>
            </w:r>
          </w:p>
        </w:tc>
      </w:tr>
      <w:tr w:rsidR="0035143A" w:rsidRPr="00180656" w14:paraId="3D504841" w14:textId="77777777" w:rsidTr="0012134E">
        <w:trPr>
          <w:trHeight w:val="20"/>
        </w:trPr>
        <w:tc>
          <w:tcPr>
            <w:tcW w:w="1230" w:type="pct"/>
            <w:tcBorders>
              <w:top w:val="nil"/>
              <w:left w:val="nil"/>
              <w:bottom w:val="nil"/>
              <w:right w:val="nil"/>
            </w:tcBorders>
            <w:shd w:val="clear" w:color="auto" w:fill="auto"/>
            <w:vAlign w:val="center"/>
            <w:hideMark/>
          </w:tcPr>
          <w:p w14:paraId="5195ABDA" w14:textId="77777777" w:rsidR="0035143A" w:rsidRPr="00180656" w:rsidRDefault="0035143A" w:rsidP="0012134E">
            <w:pPr>
              <w:pStyle w:val="GG-body"/>
              <w:spacing w:after="0"/>
              <w:ind w:left="459" w:hanging="459"/>
              <w:jc w:val="left"/>
            </w:pPr>
            <w:r w:rsidRPr="00180656">
              <w:t>181</w:t>
            </w:r>
            <w:r w:rsidRPr="00F23BB0">
              <w:t>.</w:t>
            </w:r>
            <w:r w:rsidRPr="00F23BB0">
              <w:tab/>
            </w:r>
            <w:r w:rsidRPr="00180656">
              <w:t>9 November 2021</w:t>
            </w:r>
          </w:p>
        </w:tc>
        <w:tc>
          <w:tcPr>
            <w:tcW w:w="1270" w:type="pct"/>
            <w:tcBorders>
              <w:top w:val="nil"/>
              <w:left w:val="nil"/>
              <w:bottom w:val="nil"/>
              <w:right w:val="nil"/>
            </w:tcBorders>
            <w:shd w:val="clear" w:color="auto" w:fill="auto"/>
            <w:vAlign w:val="center"/>
            <w:hideMark/>
          </w:tcPr>
          <w:p w14:paraId="75EEA442" w14:textId="77777777" w:rsidR="0035143A" w:rsidRPr="00180656" w:rsidRDefault="0035143A" w:rsidP="0012134E">
            <w:pPr>
              <w:pStyle w:val="GG-body"/>
              <w:spacing w:after="0"/>
              <w:ind w:left="459" w:hanging="459"/>
              <w:jc w:val="left"/>
            </w:pPr>
            <w:r w:rsidRPr="00180656">
              <w:t>182</w:t>
            </w:r>
            <w:r w:rsidRPr="00F23BB0">
              <w:t>.</w:t>
            </w:r>
            <w:r w:rsidRPr="00F23BB0">
              <w:tab/>
            </w:r>
            <w:r w:rsidRPr="00180656">
              <w:t>2 December 2021</w:t>
            </w:r>
          </w:p>
        </w:tc>
        <w:tc>
          <w:tcPr>
            <w:tcW w:w="1270" w:type="pct"/>
            <w:tcBorders>
              <w:top w:val="nil"/>
              <w:left w:val="nil"/>
              <w:bottom w:val="nil"/>
              <w:right w:val="nil"/>
            </w:tcBorders>
            <w:shd w:val="clear" w:color="auto" w:fill="auto"/>
            <w:vAlign w:val="center"/>
            <w:hideMark/>
          </w:tcPr>
          <w:p w14:paraId="5F205E8D" w14:textId="77777777" w:rsidR="0035143A" w:rsidRPr="00180656" w:rsidRDefault="0035143A" w:rsidP="0012134E">
            <w:pPr>
              <w:pStyle w:val="GG-body"/>
              <w:spacing w:after="0"/>
              <w:ind w:left="459" w:hanging="459"/>
              <w:jc w:val="left"/>
            </w:pPr>
            <w:r w:rsidRPr="00180656">
              <w:t>183</w:t>
            </w:r>
            <w:r w:rsidRPr="00F23BB0">
              <w:t>.</w:t>
            </w:r>
            <w:r w:rsidRPr="00F23BB0">
              <w:tab/>
            </w:r>
            <w:r w:rsidRPr="00180656">
              <w:t>23 December 2021</w:t>
            </w:r>
          </w:p>
        </w:tc>
        <w:tc>
          <w:tcPr>
            <w:tcW w:w="1230" w:type="pct"/>
            <w:tcBorders>
              <w:top w:val="nil"/>
              <w:left w:val="nil"/>
              <w:bottom w:val="nil"/>
              <w:right w:val="nil"/>
            </w:tcBorders>
            <w:shd w:val="clear" w:color="auto" w:fill="auto"/>
            <w:vAlign w:val="center"/>
            <w:hideMark/>
          </w:tcPr>
          <w:p w14:paraId="77D83AAF" w14:textId="77777777" w:rsidR="0035143A" w:rsidRPr="00180656" w:rsidRDefault="0035143A" w:rsidP="0012134E">
            <w:pPr>
              <w:pStyle w:val="GG-body"/>
              <w:spacing w:after="0"/>
              <w:ind w:left="459" w:hanging="459"/>
              <w:jc w:val="left"/>
            </w:pPr>
            <w:r w:rsidRPr="00180656">
              <w:t>184</w:t>
            </w:r>
            <w:r w:rsidRPr="00F23BB0">
              <w:t>.</w:t>
            </w:r>
            <w:r w:rsidRPr="00F23BB0">
              <w:tab/>
            </w:r>
            <w:r w:rsidRPr="00180656">
              <w:t>24 February 2022</w:t>
            </w:r>
          </w:p>
        </w:tc>
      </w:tr>
      <w:tr w:rsidR="0035143A" w:rsidRPr="00180656" w14:paraId="55D6D794" w14:textId="77777777" w:rsidTr="0012134E">
        <w:trPr>
          <w:trHeight w:val="20"/>
        </w:trPr>
        <w:tc>
          <w:tcPr>
            <w:tcW w:w="1230" w:type="pct"/>
            <w:tcBorders>
              <w:top w:val="nil"/>
              <w:left w:val="nil"/>
              <w:bottom w:val="nil"/>
              <w:right w:val="nil"/>
            </w:tcBorders>
            <w:shd w:val="clear" w:color="auto" w:fill="auto"/>
            <w:vAlign w:val="center"/>
          </w:tcPr>
          <w:p w14:paraId="4BF0C90B" w14:textId="77777777" w:rsidR="0035143A" w:rsidRPr="00180656" w:rsidRDefault="0035143A" w:rsidP="0012134E">
            <w:pPr>
              <w:pStyle w:val="GG-body"/>
              <w:spacing w:after="0"/>
              <w:ind w:left="459" w:hanging="459"/>
              <w:jc w:val="left"/>
            </w:pPr>
            <w:r w:rsidRPr="00180656">
              <w:t>185</w:t>
            </w:r>
            <w:r w:rsidRPr="00F23BB0">
              <w:t>.</w:t>
            </w:r>
            <w:r w:rsidRPr="00F23BB0">
              <w:tab/>
            </w:r>
            <w:r w:rsidRPr="00180656">
              <w:t>10 March 2022</w:t>
            </w:r>
          </w:p>
        </w:tc>
        <w:tc>
          <w:tcPr>
            <w:tcW w:w="1270" w:type="pct"/>
            <w:tcBorders>
              <w:top w:val="nil"/>
              <w:left w:val="nil"/>
              <w:bottom w:val="nil"/>
              <w:right w:val="nil"/>
            </w:tcBorders>
            <w:shd w:val="clear" w:color="auto" w:fill="auto"/>
            <w:vAlign w:val="center"/>
          </w:tcPr>
          <w:p w14:paraId="6F5D8642" w14:textId="77777777" w:rsidR="0035143A" w:rsidRPr="00180656" w:rsidRDefault="0035143A" w:rsidP="0012134E">
            <w:pPr>
              <w:pStyle w:val="GG-body"/>
              <w:spacing w:after="0"/>
              <w:ind w:left="459" w:hanging="459"/>
              <w:jc w:val="left"/>
            </w:pPr>
            <w:r w:rsidRPr="00180656">
              <w:t>186</w:t>
            </w:r>
            <w:r w:rsidRPr="00F23BB0">
              <w:t>.</w:t>
            </w:r>
            <w:r w:rsidRPr="00F23BB0">
              <w:tab/>
            </w:r>
            <w:r w:rsidRPr="00180656">
              <w:t>24 March 2022</w:t>
            </w:r>
          </w:p>
        </w:tc>
        <w:tc>
          <w:tcPr>
            <w:tcW w:w="1270" w:type="pct"/>
            <w:tcBorders>
              <w:top w:val="nil"/>
              <w:left w:val="nil"/>
              <w:bottom w:val="nil"/>
              <w:right w:val="nil"/>
            </w:tcBorders>
            <w:shd w:val="clear" w:color="auto" w:fill="auto"/>
            <w:vAlign w:val="center"/>
          </w:tcPr>
          <w:p w14:paraId="71F474F4" w14:textId="77777777" w:rsidR="0035143A" w:rsidRPr="00180656" w:rsidRDefault="0035143A" w:rsidP="0012134E">
            <w:pPr>
              <w:pStyle w:val="GG-body"/>
              <w:spacing w:after="0"/>
              <w:ind w:left="459" w:hanging="459"/>
              <w:jc w:val="left"/>
            </w:pPr>
            <w:r w:rsidRPr="00180656">
              <w:t>187</w:t>
            </w:r>
            <w:r w:rsidRPr="00F23BB0">
              <w:t>.</w:t>
            </w:r>
            <w:r w:rsidRPr="00F23BB0">
              <w:tab/>
            </w:r>
            <w:r w:rsidRPr="00180656">
              <w:t>12 May 2022</w:t>
            </w:r>
          </w:p>
        </w:tc>
        <w:tc>
          <w:tcPr>
            <w:tcW w:w="1230" w:type="pct"/>
            <w:tcBorders>
              <w:top w:val="nil"/>
              <w:left w:val="nil"/>
              <w:bottom w:val="nil"/>
              <w:right w:val="nil"/>
            </w:tcBorders>
            <w:shd w:val="clear" w:color="auto" w:fill="auto"/>
            <w:vAlign w:val="center"/>
          </w:tcPr>
          <w:p w14:paraId="4A37B2E5" w14:textId="77777777" w:rsidR="0035143A" w:rsidRPr="00180656" w:rsidRDefault="0035143A" w:rsidP="0012134E">
            <w:pPr>
              <w:pStyle w:val="GG-body"/>
              <w:spacing w:after="0"/>
              <w:ind w:left="459" w:hanging="459"/>
              <w:jc w:val="left"/>
            </w:pPr>
            <w:r w:rsidRPr="00180656">
              <w:t>188</w:t>
            </w:r>
            <w:r w:rsidRPr="00F23BB0">
              <w:t>.</w:t>
            </w:r>
            <w:r w:rsidRPr="00F23BB0">
              <w:tab/>
            </w:r>
            <w:r w:rsidRPr="00180656">
              <w:t>16 June 2022</w:t>
            </w:r>
          </w:p>
        </w:tc>
      </w:tr>
      <w:tr w:rsidR="0035143A" w:rsidRPr="00180656" w14:paraId="0AB5F03C" w14:textId="77777777" w:rsidTr="0012134E">
        <w:trPr>
          <w:trHeight w:val="20"/>
        </w:trPr>
        <w:tc>
          <w:tcPr>
            <w:tcW w:w="1230" w:type="pct"/>
            <w:tcBorders>
              <w:top w:val="nil"/>
              <w:left w:val="nil"/>
              <w:bottom w:val="nil"/>
              <w:right w:val="nil"/>
            </w:tcBorders>
            <w:shd w:val="clear" w:color="auto" w:fill="auto"/>
          </w:tcPr>
          <w:p w14:paraId="2E19212F" w14:textId="77777777" w:rsidR="0035143A" w:rsidRPr="00180656" w:rsidRDefault="0035143A" w:rsidP="0012134E">
            <w:pPr>
              <w:pStyle w:val="GG-body"/>
              <w:spacing w:after="0"/>
              <w:ind w:left="459" w:hanging="459"/>
              <w:jc w:val="left"/>
            </w:pPr>
            <w:r w:rsidRPr="004B55BB">
              <w:t>189.</w:t>
            </w:r>
            <w:r w:rsidRPr="00F23BB0">
              <w:tab/>
            </w:r>
            <w:r w:rsidRPr="004B55BB">
              <w:t>23 June 2022</w:t>
            </w:r>
          </w:p>
        </w:tc>
        <w:tc>
          <w:tcPr>
            <w:tcW w:w="1270" w:type="pct"/>
            <w:tcBorders>
              <w:top w:val="nil"/>
              <w:left w:val="nil"/>
              <w:bottom w:val="nil"/>
              <w:right w:val="nil"/>
            </w:tcBorders>
            <w:shd w:val="clear" w:color="auto" w:fill="auto"/>
          </w:tcPr>
          <w:p w14:paraId="151AC871" w14:textId="77777777" w:rsidR="0035143A" w:rsidRPr="00180656" w:rsidRDefault="0035143A" w:rsidP="0012134E">
            <w:pPr>
              <w:pStyle w:val="GG-body"/>
              <w:spacing w:after="0"/>
              <w:ind w:left="459" w:hanging="459"/>
              <w:jc w:val="left"/>
            </w:pPr>
            <w:r w:rsidRPr="004B55BB">
              <w:t>190.</w:t>
            </w:r>
            <w:r w:rsidRPr="00F23BB0">
              <w:tab/>
            </w:r>
            <w:r w:rsidRPr="004B55BB">
              <w:t>11 August 2022</w:t>
            </w:r>
          </w:p>
        </w:tc>
        <w:tc>
          <w:tcPr>
            <w:tcW w:w="1270" w:type="pct"/>
            <w:tcBorders>
              <w:top w:val="nil"/>
              <w:left w:val="nil"/>
              <w:bottom w:val="nil"/>
              <w:right w:val="nil"/>
            </w:tcBorders>
            <w:shd w:val="clear" w:color="auto" w:fill="auto"/>
          </w:tcPr>
          <w:p w14:paraId="3F884BA7" w14:textId="77777777" w:rsidR="0035143A" w:rsidRPr="00180656" w:rsidRDefault="0035143A" w:rsidP="0012134E">
            <w:pPr>
              <w:pStyle w:val="GG-body"/>
              <w:spacing w:after="0"/>
              <w:ind w:left="459" w:hanging="459"/>
              <w:jc w:val="left"/>
            </w:pPr>
            <w:r w:rsidRPr="004B55BB">
              <w:t>191.</w:t>
            </w:r>
            <w:r w:rsidRPr="00F23BB0">
              <w:tab/>
            </w:r>
            <w:r w:rsidRPr="004B55BB">
              <w:t>25 August 2022</w:t>
            </w:r>
          </w:p>
        </w:tc>
        <w:tc>
          <w:tcPr>
            <w:tcW w:w="1230" w:type="pct"/>
            <w:tcBorders>
              <w:top w:val="nil"/>
              <w:left w:val="nil"/>
              <w:bottom w:val="nil"/>
              <w:right w:val="nil"/>
            </w:tcBorders>
            <w:shd w:val="clear" w:color="auto" w:fill="auto"/>
          </w:tcPr>
          <w:p w14:paraId="6ACB0CC6" w14:textId="77777777" w:rsidR="0035143A" w:rsidRPr="00180656" w:rsidRDefault="0035143A" w:rsidP="0012134E">
            <w:pPr>
              <w:pStyle w:val="GG-body"/>
              <w:spacing w:after="0"/>
              <w:ind w:left="459" w:hanging="459"/>
              <w:jc w:val="left"/>
            </w:pPr>
            <w:r w:rsidRPr="004B55BB">
              <w:t>192.</w:t>
            </w:r>
            <w:r w:rsidRPr="00F23BB0">
              <w:tab/>
            </w:r>
            <w:r w:rsidRPr="004B55BB">
              <w:t>27 October 2022</w:t>
            </w:r>
          </w:p>
        </w:tc>
      </w:tr>
      <w:tr w:rsidR="0035143A" w:rsidRPr="00180656" w14:paraId="6946A15B" w14:textId="77777777" w:rsidTr="0012134E">
        <w:trPr>
          <w:trHeight w:val="20"/>
        </w:trPr>
        <w:tc>
          <w:tcPr>
            <w:tcW w:w="1230" w:type="pct"/>
            <w:tcBorders>
              <w:top w:val="nil"/>
              <w:left w:val="nil"/>
              <w:bottom w:val="nil"/>
              <w:right w:val="nil"/>
            </w:tcBorders>
            <w:shd w:val="clear" w:color="auto" w:fill="auto"/>
          </w:tcPr>
          <w:p w14:paraId="00CDDB48" w14:textId="77777777" w:rsidR="0035143A" w:rsidRPr="00180656" w:rsidRDefault="0035143A" w:rsidP="0012134E">
            <w:pPr>
              <w:pStyle w:val="GG-body"/>
              <w:spacing w:after="0"/>
              <w:ind w:left="459" w:hanging="459"/>
              <w:jc w:val="left"/>
            </w:pPr>
            <w:r w:rsidRPr="004B55BB">
              <w:t>192.</w:t>
            </w:r>
            <w:r w:rsidRPr="00F23BB0">
              <w:tab/>
            </w:r>
            <w:r w:rsidRPr="004B55BB">
              <w:t>22 December 2022</w:t>
            </w:r>
          </w:p>
        </w:tc>
        <w:tc>
          <w:tcPr>
            <w:tcW w:w="1270" w:type="pct"/>
            <w:tcBorders>
              <w:top w:val="nil"/>
              <w:left w:val="nil"/>
              <w:bottom w:val="nil"/>
              <w:right w:val="nil"/>
            </w:tcBorders>
            <w:shd w:val="clear" w:color="auto" w:fill="auto"/>
          </w:tcPr>
          <w:p w14:paraId="74621672" w14:textId="77777777" w:rsidR="0035143A" w:rsidRPr="00180656" w:rsidRDefault="0035143A" w:rsidP="0012134E">
            <w:pPr>
              <w:pStyle w:val="GG-body"/>
              <w:spacing w:after="0"/>
              <w:ind w:left="459" w:hanging="459"/>
              <w:jc w:val="left"/>
            </w:pPr>
          </w:p>
        </w:tc>
        <w:tc>
          <w:tcPr>
            <w:tcW w:w="1270" w:type="pct"/>
            <w:tcBorders>
              <w:top w:val="nil"/>
              <w:left w:val="nil"/>
              <w:bottom w:val="nil"/>
              <w:right w:val="nil"/>
            </w:tcBorders>
            <w:shd w:val="clear" w:color="auto" w:fill="auto"/>
          </w:tcPr>
          <w:p w14:paraId="72040395" w14:textId="77777777" w:rsidR="0035143A" w:rsidRPr="00180656" w:rsidRDefault="0035143A" w:rsidP="0012134E">
            <w:pPr>
              <w:pStyle w:val="GG-body"/>
              <w:spacing w:after="0"/>
              <w:ind w:left="459" w:hanging="459"/>
              <w:jc w:val="left"/>
            </w:pPr>
          </w:p>
        </w:tc>
        <w:tc>
          <w:tcPr>
            <w:tcW w:w="1230" w:type="pct"/>
            <w:tcBorders>
              <w:top w:val="nil"/>
              <w:left w:val="nil"/>
              <w:bottom w:val="nil"/>
              <w:right w:val="nil"/>
            </w:tcBorders>
            <w:shd w:val="clear" w:color="auto" w:fill="auto"/>
          </w:tcPr>
          <w:p w14:paraId="1F0A4D5D" w14:textId="77777777" w:rsidR="0035143A" w:rsidRPr="00180656" w:rsidRDefault="0035143A" w:rsidP="0012134E">
            <w:pPr>
              <w:pStyle w:val="GG-body"/>
              <w:spacing w:after="0"/>
              <w:ind w:left="459" w:hanging="459"/>
              <w:jc w:val="left"/>
            </w:pPr>
          </w:p>
        </w:tc>
      </w:tr>
      <w:tr w:rsidR="0035143A" w:rsidRPr="00F23BB0" w14:paraId="222F98AC" w14:textId="77777777" w:rsidTr="0012134E">
        <w:trPr>
          <w:trHeight w:val="20"/>
        </w:trPr>
        <w:tc>
          <w:tcPr>
            <w:tcW w:w="1230" w:type="pct"/>
            <w:tcBorders>
              <w:top w:val="nil"/>
              <w:left w:val="nil"/>
              <w:bottom w:val="nil"/>
              <w:right w:val="nil"/>
            </w:tcBorders>
            <w:shd w:val="clear" w:color="auto" w:fill="auto"/>
            <w:vAlign w:val="center"/>
          </w:tcPr>
          <w:p w14:paraId="55A8FF37" w14:textId="77777777" w:rsidR="0035143A" w:rsidRPr="00F23BB0" w:rsidRDefault="0035143A" w:rsidP="0012134E">
            <w:pPr>
              <w:pStyle w:val="GG-body"/>
              <w:spacing w:after="0"/>
              <w:ind w:left="459" w:hanging="459"/>
              <w:jc w:val="left"/>
            </w:pPr>
          </w:p>
        </w:tc>
        <w:tc>
          <w:tcPr>
            <w:tcW w:w="1270" w:type="pct"/>
            <w:tcBorders>
              <w:top w:val="nil"/>
              <w:left w:val="nil"/>
              <w:bottom w:val="nil"/>
              <w:right w:val="nil"/>
            </w:tcBorders>
            <w:shd w:val="clear" w:color="auto" w:fill="auto"/>
            <w:vAlign w:val="center"/>
          </w:tcPr>
          <w:p w14:paraId="4F53D50B" w14:textId="77777777" w:rsidR="0035143A" w:rsidRPr="00F23BB0" w:rsidRDefault="0035143A" w:rsidP="0012134E">
            <w:pPr>
              <w:pStyle w:val="GG-body"/>
              <w:spacing w:after="0"/>
              <w:ind w:left="459" w:hanging="459"/>
              <w:jc w:val="left"/>
            </w:pPr>
          </w:p>
        </w:tc>
        <w:tc>
          <w:tcPr>
            <w:tcW w:w="1270" w:type="pct"/>
            <w:tcBorders>
              <w:top w:val="nil"/>
              <w:left w:val="nil"/>
              <w:bottom w:val="nil"/>
              <w:right w:val="nil"/>
            </w:tcBorders>
            <w:shd w:val="clear" w:color="auto" w:fill="auto"/>
            <w:vAlign w:val="center"/>
          </w:tcPr>
          <w:p w14:paraId="5E20EEB2" w14:textId="77777777" w:rsidR="0035143A" w:rsidRPr="00F23BB0" w:rsidRDefault="0035143A" w:rsidP="0012134E">
            <w:pPr>
              <w:pStyle w:val="GG-body"/>
              <w:spacing w:after="0"/>
              <w:ind w:left="459" w:hanging="459"/>
              <w:jc w:val="left"/>
            </w:pPr>
          </w:p>
        </w:tc>
        <w:tc>
          <w:tcPr>
            <w:tcW w:w="1230" w:type="pct"/>
            <w:tcBorders>
              <w:top w:val="nil"/>
              <w:left w:val="nil"/>
              <w:bottom w:val="nil"/>
              <w:right w:val="nil"/>
            </w:tcBorders>
            <w:shd w:val="clear" w:color="auto" w:fill="auto"/>
            <w:vAlign w:val="center"/>
          </w:tcPr>
          <w:p w14:paraId="30720B7D" w14:textId="77777777" w:rsidR="0035143A" w:rsidRPr="00F23BB0" w:rsidRDefault="0035143A" w:rsidP="0012134E">
            <w:pPr>
              <w:pStyle w:val="GG-body"/>
              <w:spacing w:after="0"/>
              <w:ind w:left="459" w:hanging="459"/>
              <w:jc w:val="left"/>
            </w:pPr>
          </w:p>
        </w:tc>
      </w:tr>
    </w:tbl>
    <w:p w14:paraId="1700C54B" w14:textId="77777777" w:rsidR="0035143A" w:rsidRDefault="0035143A" w:rsidP="0035143A">
      <w:pPr>
        <w:pStyle w:val="GG-Title2"/>
      </w:pPr>
      <w:r w:rsidRPr="00E53DE0">
        <w:t xml:space="preserve">Trades </w:t>
      </w:r>
      <w:r>
        <w:t>o</w:t>
      </w:r>
      <w:r w:rsidRPr="00E53DE0">
        <w:t xml:space="preserve">r Declared Vocations </w:t>
      </w:r>
      <w:r>
        <w:t>a</w:t>
      </w:r>
      <w:r w:rsidRPr="00E53DE0">
        <w:t xml:space="preserve">nd Required Qualifications </w:t>
      </w:r>
      <w:r>
        <w:t>a</w:t>
      </w:r>
      <w:r w:rsidRPr="00E53DE0">
        <w:t xml:space="preserve">nd Training Contract Conditions </w:t>
      </w:r>
      <w:r>
        <w:t>f</w:t>
      </w:r>
      <w:r w:rsidRPr="00E53DE0">
        <w:t xml:space="preserve">or </w:t>
      </w:r>
      <w:r>
        <w:t>t</w:t>
      </w:r>
      <w:r w:rsidRPr="00E53DE0">
        <w:t xml:space="preserve">he Community Services (CHC), Correctional Services (CSC), Electrotechnology (UEE), Health (HLT), Manufacturing </w:t>
      </w:r>
      <w:r>
        <w:t>a</w:t>
      </w:r>
      <w:r w:rsidRPr="00E53DE0">
        <w:t xml:space="preserve">nd Engineering (MEM), National Water (NWP), Public Safety (PUA), Transport </w:t>
      </w:r>
      <w:r>
        <w:t>a</w:t>
      </w:r>
      <w:r w:rsidRPr="00E53DE0">
        <w:t xml:space="preserve">nd Logistics (TLI), Furnishing (MSF), Training </w:t>
      </w:r>
      <w:r>
        <w:t>a</w:t>
      </w:r>
      <w:r w:rsidRPr="00E53DE0">
        <w:t>nd Education (TAE) Training Package/</w:t>
      </w:r>
      <w:r>
        <w:t>s</w:t>
      </w:r>
    </w:p>
    <w:tbl>
      <w:tblPr>
        <w:tblW w:w="5000" w:type="pct"/>
        <w:tblLook w:val="04A0" w:firstRow="1" w:lastRow="0" w:firstColumn="1" w:lastColumn="0" w:noHBand="0" w:noVBand="1"/>
      </w:tblPr>
      <w:tblGrid>
        <w:gridCol w:w="1924"/>
        <w:gridCol w:w="160"/>
        <w:gridCol w:w="1009"/>
        <w:gridCol w:w="234"/>
        <w:gridCol w:w="2035"/>
        <w:gridCol w:w="396"/>
        <w:gridCol w:w="662"/>
        <w:gridCol w:w="544"/>
        <w:gridCol w:w="645"/>
        <w:gridCol w:w="591"/>
        <w:gridCol w:w="499"/>
        <w:gridCol w:w="645"/>
      </w:tblGrid>
      <w:tr w:rsidR="0035143A" w:rsidRPr="00AD3409" w14:paraId="7AB5F6BE"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9D9AAD" w14:textId="77777777" w:rsidR="0035143A" w:rsidRPr="00AD3409" w:rsidRDefault="0035143A" w:rsidP="0012134E">
            <w:pPr>
              <w:spacing w:before="40" w:after="40"/>
              <w:jc w:val="center"/>
              <w:rPr>
                <w:b/>
                <w:bCs/>
                <w:szCs w:val="17"/>
                <w:lang w:eastAsia="en-AU"/>
              </w:rPr>
            </w:pPr>
            <w:r w:rsidRPr="00AD3409">
              <w:rPr>
                <w:b/>
                <w:bCs/>
                <w:szCs w:val="17"/>
                <w:lang w:eastAsia="en-AU"/>
              </w:rPr>
              <w:t>*Trade/ #Declared Vocation/ Other Occupation</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20439CD1" w14:textId="77777777" w:rsidR="0035143A" w:rsidRPr="00AD3409" w:rsidRDefault="0035143A" w:rsidP="0012134E">
            <w:pPr>
              <w:spacing w:before="40" w:after="40"/>
              <w:jc w:val="center"/>
              <w:rPr>
                <w:b/>
                <w:bCs/>
                <w:szCs w:val="17"/>
                <w:lang w:eastAsia="en-AU"/>
              </w:rPr>
            </w:pPr>
            <w:r w:rsidRPr="00AD3409">
              <w:rPr>
                <w:b/>
                <w:bCs/>
                <w:szCs w:val="17"/>
                <w:lang w:eastAsia="en-AU"/>
              </w:rPr>
              <w:t>Qualification Code</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CE3B9B8" w14:textId="77777777" w:rsidR="0035143A" w:rsidRPr="00AD3409" w:rsidRDefault="0035143A" w:rsidP="0012134E">
            <w:pPr>
              <w:spacing w:before="40" w:after="40"/>
              <w:jc w:val="center"/>
              <w:rPr>
                <w:b/>
                <w:bCs/>
                <w:szCs w:val="17"/>
                <w:lang w:eastAsia="en-AU"/>
              </w:rPr>
            </w:pPr>
            <w:r w:rsidRPr="00AD3409">
              <w:rPr>
                <w:b/>
                <w:bCs/>
                <w:szCs w:val="17"/>
                <w:lang w:eastAsia="en-AU"/>
              </w:rPr>
              <w:t>Qualification Title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7589FBD" w14:textId="77777777" w:rsidR="0035143A" w:rsidRPr="00AD3409" w:rsidRDefault="0035143A" w:rsidP="0012134E">
            <w:pPr>
              <w:spacing w:before="40" w:after="40"/>
              <w:jc w:val="center"/>
              <w:rPr>
                <w:b/>
                <w:bCs/>
                <w:szCs w:val="17"/>
                <w:lang w:eastAsia="en-AU"/>
              </w:rPr>
            </w:pPr>
            <w:r w:rsidRPr="00AD3409">
              <w:rPr>
                <w:b/>
                <w:bCs/>
                <w:szCs w:val="17"/>
                <w:lang w:eastAsia="en-AU"/>
              </w:rPr>
              <w:t>Nominal Term of Training Contract</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0DF4CB9D" w14:textId="77777777" w:rsidR="0035143A" w:rsidRPr="00AD3409" w:rsidRDefault="0035143A" w:rsidP="0012134E">
            <w:pPr>
              <w:spacing w:before="40" w:after="40"/>
              <w:jc w:val="center"/>
              <w:rPr>
                <w:b/>
                <w:bCs/>
                <w:szCs w:val="17"/>
                <w:lang w:eastAsia="en-AU"/>
              </w:rPr>
            </w:pPr>
            <w:r w:rsidRPr="00AD3409">
              <w:rPr>
                <w:b/>
                <w:bCs/>
                <w:szCs w:val="17"/>
                <w:lang w:eastAsia="en-AU"/>
              </w:rPr>
              <w:t>Probationary Period</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333F11F" w14:textId="77777777" w:rsidR="0035143A" w:rsidRPr="00AD3409" w:rsidRDefault="0035143A" w:rsidP="0012134E">
            <w:pPr>
              <w:spacing w:before="40" w:after="40"/>
              <w:jc w:val="center"/>
              <w:rPr>
                <w:b/>
                <w:bCs/>
                <w:szCs w:val="17"/>
                <w:lang w:eastAsia="en-AU"/>
              </w:rPr>
            </w:pPr>
            <w:r w:rsidRPr="00AD3409">
              <w:rPr>
                <w:b/>
                <w:bCs/>
                <w:szCs w:val="17"/>
                <w:lang w:eastAsia="en-AU"/>
              </w:rPr>
              <w:t>Supervision Level Rating</w:t>
            </w:r>
          </w:p>
        </w:tc>
      </w:tr>
      <w:tr w:rsidR="0035143A" w:rsidRPr="00C06100" w14:paraId="0013347F"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C7D7FB" w14:textId="77777777" w:rsidR="0035143A" w:rsidRPr="00C06100" w:rsidRDefault="0035143A" w:rsidP="0012134E">
            <w:pPr>
              <w:spacing w:before="20" w:after="20"/>
              <w:jc w:val="left"/>
              <w:rPr>
                <w:szCs w:val="17"/>
                <w:lang w:eastAsia="en-AU"/>
              </w:rPr>
            </w:pPr>
            <w:r w:rsidRPr="00C06100">
              <w:rPr>
                <w:szCs w:val="17"/>
                <w:lang w:eastAsia="en-AU"/>
              </w:rPr>
              <w:t>Aged Care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AB57373" w14:textId="77777777" w:rsidR="0035143A" w:rsidRPr="00C06100" w:rsidRDefault="0035143A" w:rsidP="0012134E">
            <w:pPr>
              <w:spacing w:before="20" w:after="20"/>
              <w:jc w:val="left"/>
              <w:rPr>
                <w:szCs w:val="17"/>
                <w:lang w:eastAsia="en-AU"/>
              </w:rPr>
            </w:pPr>
            <w:r w:rsidRPr="00C06100">
              <w:rPr>
                <w:szCs w:val="17"/>
                <w:lang w:eastAsia="en-AU"/>
              </w:rPr>
              <w:t>CHC43021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7E1AF69D" w14:textId="77777777" w:rsidR="0035143A" w:rsidRPr="00C06100" w:rsidRDefault="0035143A" w:rsidP="0012134E">
            <w:pPr>
              <w:spacing w:before="20" w:after="20"/>
              <w:jc w:val="left"/>
              <w:rPr>
                <w:szCs w:val="17"/>
                <w:lang w:eastAsia="en-AU"/>
              </w:rPr>
            </w:pPr>
            <w:r w:rsidRPr="00C06100">
              <w:rPr>
                <w:szCs w:val="17"/>
                <w:lang w:eastAsia="en-AU"/>
              </w:rPr>
              <w:t>Certificate IV in Ageing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6B73DE31"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71FF310"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FBC90FD"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43F60799"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1A5E7" w14:textId="77777777" w:rsidR="0035143A" w:rsidRPr="00C06100" w:rsidRDefault="0035143A" w:rsidP="0012134E">
            <w:pPr>
              <w:spacing w:before="20" w:after="20"/>
              <w:jc w:val="left"/>
              <w:rPr>
                <w:szCs w:val="17"/>
                <w:lang w:eastAsia="en-AU"/>
              </w:rPr>
            </w:pPr>
            <w:r w:rsidRPr="00C06100">
              <w:rPr>
                <w:szCs w:val="17"/>
                <w:lang w:eastAsia="en-AU"/>
              </w:rPr>
              <w:t>Community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34D690D9" w14:textId="77777777" w:rsidR="0035143A" w:rsidRPr="00C06100" w:rsidRDefault="0035143A" w:rsidP="0012134E">
            <w:pPr>
              <w:spacing w:before="20" w:after="20"/>
              <w:jc w:val="left"/>
              <w:rPr>
                <w:szCs w:val="17"/>
                <w:lang w:eastAsia="en-AU"/>
              </w:rPr>
            </w:pPr>
            <w:r w:rsidRPr="00C06100">
              <w:rPr>
                <w:szCs w:val="17"/>
                <w:lang w:eastAsia="en-AU"/>
              </w:rPr>
              <w:t>CHC43021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267F94BF" w14:textId="77777777" w:rsidR="0035143A" w:rsidRPr="00C06100" w:rsidRDefault="0035143A" w:rsidP="0012134E">
            <w:pPr>
              <w:spacing w:before="20" w:after="20"/>
              <w:jc w:val="left"/>
              <w:rPr>
                <w:szCs w:val="17"/>
                <w:lang w:eastAsia="en-AU"/>
              </w:rPr>
            </w:pPr>
            <w:r w:rsidRPr="00C06100">
              <w:rPr>
                <w:szCs w:val="17"/>
                <w:lang w:eastAsia="en-AU"/>
              </w:rPr>
              <w:t>Certificate IV in Ageing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077A3AE8"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7328FC0"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69C19ECD"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1D3C0849"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8E4C5A" w14:textId="77777777" w:rsidR="0035143A" w:rsidRPr="00C06100" w:rsidRDefault="0035143A" w:rsidP="0012134E">
            <w:pPr>
              <w:spacing w:before="20" w:after="20"/>
              <w:jc w:val="left"/>
              <w:rPr>
                <w:szCs w:val="17"/>
                <w:lang w:eastAsia="en-AU"/>
              </w:rPr>
            </w:pPr>
            <w:r w:rsidRPr="00C06100">
              <w:rPr>
                <w:szCs w:val="17"/>
                <w:lang w:eastAsia="en-AU"/>
              </w:rPr>
              <w:t>Correctional Officer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E13F561" w14:textId="77777777" w:rsidR="0035143A" w:rsidRPr="00C06100" w:rsidRDefault="0035143A" w:rsidP="0012134E">
            <w:pPr>
              <w:spacing w:before="20" w:after="20"/>
              <w:jc w:val="left"/>
              <w:rPr>
                <w:szCs w:val="17"/>
                <w:lang w:eastAsia="en-AU"/>
              </w:rPr>
            </w:pPr>
            <w:r w:rsidRPr="00C06100">
              <w:rPr>
                <w:szCs w:val="17"/>
                <w:lang w:eastAsia="en-AU"/>
              </w:rPr>
              <w:t>CSC30122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EB97E87" w14:textId="77777777" w:rsidR="0035143A" w:rsidRPr="00C06100" w:rsidRDefault="0035143A" w:rsidP="0012134E">
            <w:pPr>
              <w:spacing w:before="20" w:after="20"/>
              <w:jc w:val="left"/>
              <w:rPr>
                <w:szCs w:val="17"/>
                <w:lang w:eastAsia="en-AU"/>
              </w:rPr>
            </w:pPr>
            <w:r w:rsidRPr="00C06100">
              <w:rPr>
                <w:szCs w:val="17"/>
                <w:lang w:eastAsia="en-AU"/>
              </w:rPr>
              <w:t>Certificate III in Correctional Practice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0D37D74A"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24AE7FB"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EB26790"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77DFE73C"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168D7F" w14:textId="77777777" w:rsidR="0035143A" w:rsidRPr="00C06100" w:rsidRDefault="0035143A" w:rsidP="0012134E">
            <w:pPr>
              <w:spacing w:before="20" w:after="20"/>
              <w:jc w:val="left"/>
              <w:rPr>
                <w:szCs w:val="17"/>
                <w:lang w:eastAsia="en-AU"/>
              </w:rPr>
            </w:pPr>
            <w:r w:rsidRPr="00C06100">
              <w:rPr>
                <w:szCs w:val="17"/>
                <w:lang w:eastAsia="en-AU"/>
              </w:rPr>
              <w:t>Correctional Officer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333F04B9" w14:textId="77777777" w:rsidR="0035143A" w:rsidRPr="00C06100" w:rsidRDefault="0035143A" w:rsidP="0012134E">
            <w:pPr>
              <w:spacing w:before="20" w:after="20"/>
              <w:jc w:val="left"/>
              <w:rPr>
                <w:szCs w:val="17"/>
                <w:lang w:eastAsia="en-AU"/>
              </w:rPr>
            </w:pPr>
            <w:r w:rsidRPr="00C06100">
              <w:rPr>
                <w:szCs w:val="17"/>
                <w:lang w:eastAsia="en-AU"/>
              </w:rPr>
              <w:t>CSC40122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13A500E8" w14:textId="77777777" w:rsidR="0035143A" w:rsidRPr="00C06100" w:rsidRDefault="0035143A" w:rsidP="0012134E">
            <w:pPr>
              <w:spacing w:before="20" w:after="20"/>
              <w:jc w:val="left"/>
              <w:rPr>
                <w:szCs w:val="17"/>
                <w:lang w:eastAsia="en-AU"/>
              </w:rPr>
            </w:pPr>
            <w:r w:rsidRPr="00C06100">
              <w:rPr>
                <w:szCs w:val="17"/>
                <w:lang w:eastAsia="en-AU"/>
              </w:rPr>
              <w:t>Certificate IV in Correctional Practice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3C2073A3"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44010643"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65A0E34"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78447320"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B6DCDC" w14:textId="77777777" w:rsidR="0035143A" w:rsidRPr="00C06100" w:rsidRDefault="0035143A" w:rsidP="0012134E">
            <w:pPr>
              <w:spacing w:before="20" w:after="20"/>
              <w:jc w:val="left"/>
              <w:rPr>
                <w:szCs w:val="17"/>
                <w:lang w:eastAsia="en-AU"/>
              </w:rPr>
            </w:pPr>
            <w:r w:rsidRPr="00C06100">
              <w:rPr>
                <w:szCs w:val="17"/>
                <w:lang w:eastAsia="en-AU"/>
              </w:rPr>
              <w:t>Disability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943CBB2" w14:textId="77777777" w:rsidR="0035143A" w:rsidRPr="00C06100" w:rsidRDefault="0035143A" w:rsidP="0012134E">
            <w:pPr>
              <w:spacing w:before="20" w:after="20"/>
              <w:jc w:val="left"/>
              <w:rPr>
                <w:szCs w:val="17"/>
                <w:lang w:eastAsia="en-AU"/>
              </w:rPr>
            </w:pPr>
            <w:r w:rsidRPr="00C06100">
              <w:rPr>
                <w:szCs w:val="17"/>
                <w:lang w:eastAsia="en-AU"/>
              </w:rPr>
              <w:t>CHC43021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38EA5B75" w14:textId="77777777" w:rsidR="0035143A" w:rsidRPr="00C06100" w:rsidRDefault="0035143A" w:rsidP="0012134E">
            <w:pPr>
              <w:spacing w:before="20" w:after="20"/>
              <w:jc w:val="left"/>
              <w:rPr>
                <w:szCs w:val="17"/>
                <w:lang w:eastAsia="en-AU"/>
              </w:rPr>
            </w:pPr>
            <w:r w:rsidRPr="00C06100">
              <w:rPr>
                <w:szCs w:val="17"/>
                <w:lang w:eastAsia="en-AU"/>
              </w:rPr>
              <w:t>Certificate IV in Ageing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11C371A5"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11EB8E20"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14B82A88"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4A7AAE1A"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019D04" w14:textId="77777777" w:rsidR="0035143A" w:rsidRPr="00C06100" w:rsidRDefault="0035143A" w:rsidP="0012134E">
            <w:pPr>
              <w:spacing w:before="20" w:after="20"/>
              <w:jc w:val="left"/>
              <w:rPr>
                <w:szCs w:val="17"/>
                <w:lang w:eastAsia="en-AU"/>
              </w:rPr>
            </w:pPr>
            <w:r w:rsidRPr="00C06100">
              <w:rPr>
                <w:szCs w:val="17"/>
                <w:lang w:eastAsia="en-AU"/>
              </w:rPr>
              <w:t>Disability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9F18F2C" w14:textId="77777777" w:rsidR="0035143A" w:rsidRPr="00C06100" w:rsidRDefault="0035143A" w:rsidP="0012134E">
            <w:pPr>
              <w:spacing w:before="20" w:after="20"/>
              <w:jc w:val="left"/>
              <w:rPr>
                <w:szCs w:val="17"/>
                <w:lang w:eastAsia="en-AU"/>
              </w:rPr>
            </w:pPr>
            <w:r w:rsidRPr="00C06100">
              <w:rPr>
                <w:szCs w:val="17"/>
                <w:lang w:eastAsia="en-AU"/>
              </w:rPr>
              <w:t>CHC43121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230E7A68" w14:textId="77777777" w:rsidR="0035143A" w:rsidRPr="00C06100" w:rsidRDefault="0035143A" w:rsidP="0012134E">
            <w:pPr>
              <w:spacing w:before="20" w:after="20"/>
              <w:jc w:val="left"/>
              <w:rPr>
                <w:szCs w:val="17"/>
                <w:lang w:eastAsia="en-AU"/>
              </w:rPr>
            </w:pPr>
            <w:r w:rsidRPr="00C06100">
              <w:rPr>
                <w:szCs w:val="17"/>
                <w:lang w:eastAsia="en-AU"/>
              </w:rPr>
              <w:t>Certificate IV in Disability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7D7A9F13"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64359E0D"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7FD4631"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7A144004"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F75EF4A" w14:textId="77777777" w:rsidR="0035143A" w:rsidRPr="00C06100" w:rsidRDefault="0035143A" w:rsidP="0012134E">
            <w:pPr>
              <w:spacing w:before="20" w:after="20"/>
              <w:jc w:val="left"/>
              <w:rPr>
                <w:szCs w:val="17"/>
                <w:lang w:eastAsia="en-AU"/>
              </w:rPr>
            </w:pPr>
            <w:r w:rsidRPr="00C06100">
              <w:rPr>
                <w:szCs w:val="17"/>
                <w:lang w:eastAsia="en-AU"/>
              </w:rPr>
              <w:t>Emergency Communications Centre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4A69CD8A" w14:textId="77777777" w:rsidR="0035143A" w:rsidRPr="00C06100" w:rsidRDefault="0035143A" w:rsidP="0012134E">
            <w:pPr>
              <w:spacing w:before="20" w:after="20"/>
              <w:jc w:val="left"/>
              <w:rPr>
                <w:szCs w:val="17"/>
                <w:lang w:eastAsia="en-AU"/>
              </w:rPr>
            </w:pPr>
            <w:r w:rsidRPr="00C06100">
              <w:rPr>
                <w:szCs w:val="17"/>
                <w:lang w:eastAsia="en-AU"/>
              </w:rPr>
              <w:t>PUA30822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7FEF0F0" w14:textId="77777777" w:rsidR="0035143A" w:rsidRPr="00C06100" w:rsidRDefault="0035143A" w:rsidP="0012134E">
            <w:pPr>
              <w:spacing w:before="20" w:after="20"/>
              <w:jc w:val="left"/>
              <w:rPr>
                <w:szCs w:val="17"/>
                <w:lang w:eastAsia="en-AU"/>
              </w:rPr>
            </w:pPr>
            <w:r w:rsidRPr="00C06100">
              <w:rPr>
                <w:szCs w:val="17"/>
                <w:lang w:eastAsia="en-AU"/>
              </w:rPr>
              <w:t>Certificate III in Public Safety (Emergency Communications Centre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6A6DFDCD"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18AEA0C7"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E5ABD11"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43AB9314"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E8C99E" w14:textId="77777777" w:rsidR="0035143A" w:rsidRPr="00C06100" w:rsidRDefault="0035143A" w:rsidP="0012134E">
            <w:pPr>
              <w:spacing w:before="20" w:after="20"/>
              <w:jc w:val="left"/>
              <w:rPr>
                <w:szCs w:val="17"/>
                <w:lang w:eastAsia="en-AU"/>
              </w:rPr>
            </w:pPr>
            <w:r w:rsidRPr="00C06100">
              <w:rPr>
                <w:szCs w:val="17"/>
                <w:lang w:eastAsia="en-AU"/>
              </w:rPr>
              <w:t>Engineering Technician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E8BAF73" w14:textId="77777777" w:rsidR="0035143A" w:rsidRPr="00C06100" w:rsidRDefault="0035143A" w:rsidP="0012134E">
            <w:pPr>
              <w:spacing w:before="20" w:after="20"/>
              <w:jc w:val="left"/>
              <w:rPr>
                <w:szCs w:val="17"/>
                <w:lang w:eastAsia="en-AU"/>
              </w:rPr>
            </w:pPr>
            <w:r w:rsidRPr="00C06100">
              <w:rPr>
                <w:szCs w:val="17"/>
                <w:lang w:eastAsia="en-AU"/>
              </w:rPr>
              <w:t>MEM30522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4FD6D520" w14:textId="77777777" w:rsidR="0035143A" w:rsidRPr="00C06100" w:rsidRDefault="0035143A" w:rsidP="0012134E">
            <w:pPr>
              <w:spacing w:before="20" w:after="20"/>
              <w:jc w:val="left"/>
              <w:rPr>
                <w:szCs w:val="17"/>
                <w:lang w:eastAsia="en-AU"/>
              </w:rPr>
            </w:pPr>
            <w:r w:rsidRPr="00C06100">
              <w:rPr>
                <w:szCs w:val="17"/>
                <w:lang w:eastAsia="en-AU"/>
              </w:rPr>
              <w:t>Certificate III in Engineering - Technical</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7FBAFA52"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432229DA"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10AC7906"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60A593A6"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362D13" w14:textId="77777777" w:rsidR="0035143A" w:rsidRPr="00C06100" w:rsidRDefault="0035143A" w:rsidP="0012134E">
            <w:pPr>
              <w:spacing w:before="20" w:after="20"/>
              <w:jc w:val="left"/>
              <w:rPr>
                <w:szCs w:val="17"/>
                <w:lang w:eastAsia="en-AU"/>
              </w:rPr>
            </w:pPr>
            <w:r w:rsidRPr="00C06100">
              <w:rPr>
                <w:szCs w:val="17"/>
                <w:lang w:eastAsia="en-AU"/>
              </w:rPr>
              <w:t>Engineering Technician Level V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416BFE54" w14:textId="77777777" w:rsidR="0035143A" w:rsidRPr="00C06100" w:rsidRDefault="0035143A" w:rsidP="0012134E">
            <w:pPr>
              <w:spacing w:before="20" w:after="20"/>
              <w:jc w:val="left"/>
              <w:rPr>
                <w:szCs w:val="17"/>
                <w:lang w:eastAsia="en-AU"/>
              </w:rPr>
            </w:pPr>
            <w:r w:rsidRPr="00C06100">
              <w:rPr>
                <w:szCs w:val="17"/>
                <w:lang w:eastAsia="en-AU"/>
              </w:rPr>
              <w:t>MEM50222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6708C0D8" w14:textId="77777777" w:rsidR="0035143A" w:rsidRPr="00C06100" w:rsidRDefault="0035143A" w:rsidP="0012134E">
            <w:pPr>
              <w:spacing w:before="20" w:after="20"/>
              <w:jc w:val="left"/>
              <w:rPr>
                <w:szCs w:val="17"/>
                <w:lang w:eastAsia="en-AU"/>
              </w:rPr>
            </w:pPr>
            <w:r w:rsidRPr="00C06100">
              <w:rPr>
                <w:szCs w:val="17"/>
                <w:lang w:eastAsia="en-AU"/>
              </w:rPr>
              <w:t>Diploma of Engineering - Technical</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55DB00A0"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4DB3D204"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68CBFC5"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5451B7EB"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1E3227" w14:textId="77777777" w:rsidR="0035143A" w:rsidRPr="00C06100" w:rsidRDefault="0035143A" w:rsidP="0012134E">
            <w:pPr>
              <w:spacing w:before="20" w:after="20"/>
              <w:jc w:val="left"/>
              <w:rPr>
                <w:szCs w:val="17"/>
                <w:lang w:eastAsia="en-AU"/>
              </w:rPr>
            </w:pPr>
            <w:r w:rsidRPr="00C06100">
              <w:rPr>
                <w:szCs w:val="17"/>
                <w:lang w:eastAsia="en-AU"/>
              </w:rPr>
              <w:t>Engineering Tradesperson (Fabrication)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6076DCC1" w14:textId="77777777" w:rsidR="0035143A" w:rsidRPr="00C06100" w:rsidRDefault="0035143A" w:rsidP="0012134E">
            <w:pPr>
              <w:spacing w:before="20" w:after="20"/>
              <w:jc w:val="left"/>
              <w:rPr>
                <w:szCs w:val="17"/>
                <w:lang w:eastAsia="en-AU"/>
              </w:rPr>
            </w:pPr>
            <w:r w:rsidRPr="00C06100">
              <w:rPr>
                <w:szCs w:val="17"/>
                <w:lang w:eastAsia="en-AU"/>
              </w:rPr>
              <w:t>MEM31922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4AFFC91B" w14:textId="77777777" w:rsidR="0035143A" w:rsidRPr="00C06100" w:rsidRDefault="0035143A" w:rsidP="0012134E">
            <w:pPr>
              <w:spacing w:before="20" w:after="20"/>
              <w:jc w:val="left"/>
              <w:rPr>
                <w:szCs w:val="17"/>
                <w:lang w:eastAsia="en-AU"/>
              </w:rPr>
            </w:pPr>
            <w:r w:rsidRPr="00C06100">
              <w:rPr>
                <w:szCs w:val="17"/>
                <w:lang w:eastAsia="en-AU"/>
              </w:rPr>
              <w:t>Certificate III in Engineering - Fabrication Trade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51D2E75A" w14:textId="77777777" w:rsidR="0035143A" w:rsidRPr="00C06100" w:rsidRDefault="0035143A" w:rsidP="0012134E">
            <w:pPr>
              <w:spacing w:before="20" w:after="20"/>
              <w:jc w:val="left"/>
              <w:rPr>
                <w:szCs w:val="17"/>
                <w:lang w:eastAsia="en-AU"/>
              </w:rPr>
            </w:pPr>
            <w:r w:rsidRPr="00C06100">
              <w:rPr>
                <w:szCs w:val="17"/>
                <w:lang w:eastAsia="en-AU"/>
              </w:rPr>
              <w:t>48</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230239AB" w14:textId="77777777" w:rsidR="0035143A" w:rsidRPr="00C06100" w:rsidRDefault="0035143A" w:rsidP="0012134E">
            <w:pPr>
              <w:spacing w:before="20" w:after="20"/>
              <w:jc w:val="left"/>
              <w:rPr>
                <w:szCs w:val="17"/>
                <w:lang w:eastAsia="en-AU"/>
              </w:rPr>
            </w:pPr>
            <w:r w:rsidRPr="00C06100">
              <w:rPr>
                <w:szCs w:val="17"/>
                <w:lang w:eastAsia="en-AU"/>
              </w:rPr>
              <w:t>90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276B2406"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609DCEA7"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9A5FC" w14:textId="77777777" w:rsidR="0035143A" w:rsidRPr="00C06100" w:rsidRDefault="0035143A" w:rsidP="0012134E">
            <w:pPr>
              <w:spacing w:before="20" w:after="20"/>
              <w:jc w:val="left"/>
              <w:rPr>
                <w:szCs w:val="17"/>
                <w:lang w:eastAsia="en-AU"/>
              </w:rPr>
            </w:pPr>
            <w:r w:rsidRPr="00C06100">
              <w:rPr>
                <w:szCs w:val="17"/>
                <w:lang w:eastAsia="en-AU"/>
              </w:rPr>
              <w:t>Engineering Tradesperson (Mechanical)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333198CD" w14:textId="77777777" w:rsidR="0035143A" w:rsidRPr="00C06100" w:rsidRDefault="0035143A" w:rsidP="0012134E">
            <w:pPr>
              <w:spacing w:before="20" w:after="20"/>
              <w:jc w:val="left"/>
              <w:rPr>
                <w:szCs w:val="17"/>
                <w:lang w:eastAsia="en-AU"/>
              </w:rPr>
            </w:pPr>
            <w:r w:rsidRPr="00C06100">
              <w:rPr>
                <w:szCs w:val="17"/>
                <w:lang w:eastAsia="en-AU"/>
              </w:rPr>
              <w:t>MEM31322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10BFCBAA" w14:textId="77777777" w:rsidR="0035143A" w:rsidRPr="00C06100" w:rsidRDefault="0035143A" w:rsidP="0012134E">
            <w:pPr>
              <w:spacing w:before="20" w:after="20"/>
              <w:jc w:val="left"/>
              <w:rPr>
                <w:szCs w:val="17"/>
                <w:lang w:eastAsia="en-AU"/>
              </w:rPr>
            </w:pPr>
            <w:r w:rsidRPr="00C06100">
              <w:rPr>
                <w:szCs w:val="17"/>
                <w:lang w:eastAsia="en-AU"/>
              </w:rPr>
              <w:t>Certificate III in Refrigeration and Air Conditioning</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8F4EE69" w14:textId="77777777" w:rsidR="0035143A" w:rsidRPr="00C06100" w:rsidRDefault="0035143A" w:rsidP="0012134E">
            <w:pPr>
              <w:spacing w:before="20" w:after="20"/>
              <w:jc w:val="left"/>
              <w:rPr>
                <w:szCs w:val="17"/>
                <w:lang w:eastAsia="en-AU"/>
              </w:rPr>
            </w:pPr>
            <w:r w:rsidRPr="00C06100">
              <w:rPr>
                <w:szCs w:val="17"/>
                <w:lang w:eastAsia="en-AU"/>
              </w:rPr>
              <w:t>48</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76AE7B8" w14:textId="77777777" w:rsidR="0035143A" w:rsidRPr="00C06100" w:rsidRDefault="0035143A" w:rsidP="0012134E">
            <w:pPr>
              <w:spacing w:before="20" w:after="20"/>
              <w:jc w:val="left"/>
              <w:rPr>
                <w:szCs w:val="17"/>
                <w:lang w:eastAsia="en-AU"/>
              </w:rPr>
            </w:pPr>
            <w:r w:rsidRPr="00C06100">
              <w:rPr>
                <w:szCs w:val="17"/>
                <w:lang w:eastAsia="en-AU"/>
              </w:rPr>
              <w:t>90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3B4852D0"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3DC638B3"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DB563" w14:textId="77777777" w:rsidR="0035143A" w:rsidRPr="00C06100" w:rsidRDefault="0035143A" w:rsidP="0012134E">
            <w:pPr>
              <w:spacing w:before="20" w:after="20"/>
              <w:jc w:val="left"/>
              <w:rPr>
                <w:szCs w:val="17"/>
                <w:lang w:eastAsia="en-AU"/>
              </w:rPr>
            </w:pPr>
            <w:r w:rsidRPr="00C06100">
              <w:rPr>
                <w:szCs w:val="17"/>
                <w:lang w:eastAsia="en-AU"/>
              </w:rPr>
              <w:t>Firefighter and Emergency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25F44CD7" w14:textId="77777777" w:rsidR="0035143A" w:rsidRPr="00C06100" w:rsidRDefault="0035143A" w:rsidP="0012134E">
            <w:pPr>
              <w:spacing w:before="20" w:after="20"/>
              <w:jc w:val="left"/>
              <w:rPr>
                <w:szCs w:val="17"/>
                <w:lang w:eastAsia="en-AU"/>
              </w:rPr>
            </w:pPr>
            <w:r w:rsidRPr="00C06100">
              <w:rPr>
                <w:szCs w:val="17"/>
                <w:lang w:eastAsia="en-AU"/>
              </w:rPr>
              <w:t>PUA20622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28349E96" w14:textId="77777777" w:rsidR="0035143A" w:rsidRPr="00C06100" w:rsidRDefault="0035143A" w:rsidP="0012134E">
            <w:pPr>
              <w:spacing w:before="20" w:after="20"/>
              <w:jc w:val="left"/>
              <w:rPr>
                <w:szCs w:val="17"/>
                <w:lang w:eastAsia="en-AU"/>
              </w:rPr>
            </w:pPr>
            <w:r w:rsidRPr="00C06100">
              <w:rPr>
                <w:szCs w:val="17"/>
                <w:lang w:eastAsia="en-AU"/>
              </w:rPr>
              <w:t>Certificate II in Public Safety (Firefighting and Emergency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05B4A91A"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EC7FE4B"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597377C2"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42F543C8"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7A0217" w14:textId="77777777" w:rsidR="0035143A" w:rsidRPr="00C06100" w:rsidRDefault="0035143A" w:rsidP="0012134E">
            <w:pPr>
              <w:spacing w:before="20" w:after="20"/>
              <w:jc w:val="left"/>
              <w:rPr>
                <w:szCs w:val="17"/>
                <w:lang w:eastAsia="en-AU"/>
              </w:rPr>
            </w:pPr>
            <w:r w:rsidRPr="00C06100">
              <w:rPr>
                <w:szCs w:val="17"/>
                <w:lang w:eastAsia="en-AU"/>
              </w:rPr>
              <w:t>Firefighter and Emergency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BAF2F1A" w14:textId="77777777" w:rsidR="0035143A" w:rsidRPr="00C06100" w:rsidRDefault="0035143A" w:rsidP="0012134E">
            <w:pPr>
              <w:spacing w:before="20" w:after="20"/>
              <w:jc w:val="left"/>
              <w:rPr>
                <w:szCs w:val="17"/>
                <w:lang w:eastAsia="en-AU"/>
              </w:rPr>
            </w:pPr>
            <w:r w:rsidRPr="00C06100">
              <w:rPr>
                <w:szCs w:val="17"/>
                <w:lang w:eastAsia="en-AU"/>
              </w:rPr>
              <w:t>PUA30622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0AAEF74D" w14:textId="77777777" w:rsidR="0035143A" w:rsidRPr="00C06100" w:rsidRDefault="0035143A" w:rsidP="0012134E">
            <w:pPr>
              <w:spacing w:before="20" w:after="20"/>
              <w:jc w:val="left"/>
              <w:rPr>
                <w:szCs w:val="17"/>
                <w:lang w:eastAsia="en-AU"/>
              </w:rPr>
            </w:pPr>
            <w:r w:rsidRPr="00C06100">
              <w:rPr>
                <w:szCs w:val="17"/>
                <w:lang w:eastAsia="en-AU"/>
              </w:rPr>
              <w:t>Certificate III in Public Safety (Firefighting and Emergency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75520C60" w14:textId="77777777" w:rsidR="0035143A" w:rsidRPr="00C06100" w:rsidRDefault="0035143A" w:rsidP="0012134E">
            <w:pPr>
              <w:spacing w:before="20" w:after="20"/>
              <w:jc w:val="left"/>
              <w:rPr>
                <w:szCs w:val="17"/>
                <w:lang w:eastAsia="en-AU"/>
              </w:rPr>
            </w:pPr>
            <w:r w:rsidRPr="00C06100">
              <w:rPr>
                <w:szCs w:val="17"/>
                <w:lang w:eastAsia="en-AU"/>
              </w:rPr>
              <w:t>36</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67B1C30C" w14:textId="77777777" w:rsidR="0035143A" w:rsidRPr="00C06100" w:rsidRDefault="0035143A" w:rsidP="0012134E">
            <w:pPr>
              <w:spacing w:before="20" w:after="20"/>
              <w:jc w:val="left"/>
              <w:rPr>
                <w:szCs w:val="17"/>
                <w:lang w:eastAsia="en-AU"/>
              </w:rPr>
            </w:pPr>
            <w:r w:rsidRPr="00C06100">
              <w:rPr>
                <w:szCs w:val="17"/>
                <w:lang w:eastAsia="en-AU"/>
              </w:rPr>
              <w:t>90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29948D16"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420626EB"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3631BD" w14:textId="77777777" w:rsidR="0035143A" w:rsidRPr="00C06100" w:rsidRDefault="0035143A" w:rsidP="0012134E">
            <w:pPr>
              <w:spacing w:before="20" w:after="20"/>
              <w:jc w:val="left"/>
              <w:rPr>
                <w:szCs w:val="17"/>
                <w:lang w:eastAsia="en-AU"/>
              </w:rPr>
            </w:pPr>
            <w:r w:rsidRPr="00241D87">
              <w:t>Cyber Security Support Officer</w:t>
            </w:r>
            <w:r>
              <w:t xml:space="preserve"> #</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14:paraId="781EF094" w14:textId="77777777" w:rsidR="0035143A" w:rsidRPr="00C06100" w:rsidRDefault="0035143A" w:rsidP="0012134E">
            <w:pPr>
              <w:spacing w:before="20" w:after="20"/>
              <w:jc w:val="left"/>
              <w:rPr>
                <w:szCs w:val="17"/>
                <w:lang w:eastAsia="en-AU"/>
              </w:rPr>
            </w:pPr>
            <w:r w:rsidRPr="00297EBE">
              <w:rPr>
                <w:szCs w:val="17"/>
                <w:lang w:eastAsia="en-AU"/>
              </w:rPr>
              <w:t>22603VIC</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56006490" w14:textId="77777777" w:rsidR="0035143A" w:rsidRPr="00C06100" w:rsidRDefault="0035143A" w:rsidP="0012134E">
            <w:pPr>
              <w:spacing w:before="20" w:after="20"/>
              <w:jc w:val="left"/>
              <w:rPr>
                <w:szCs w:val="17"/>
                <w:lang w:eastAsia="en-AU"/>
              </w:rPr>
            </w:pPr>
            <w:r w:rsidRPr="004472DB">
              <w:rPr>
                <w:szCs w:val="17"/>
                <w:lang w:eastAsia="en-AU"/>
              </w:rPr>
              <w:t>Certificate IV in Cyber Security</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681EB975" w14:textId="77777777" w:rsidR="0035143A" w:rsidRPr="00C06100" w:rsidRDefault="0035143A" w:rsidP="0012134E">
            <w:pPr>
              <w:spacing w:before="20" w:after="20"/>
              <w:jc w:val="left"/>
              <w:rPr>
                <w:szCs w:val="17"/>
                <w:lang w:eastAsia="en-AU"/>
              </w:rPr>
            </w:pPr>
            <w:r w:rsidRPr="008778A7">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tcPr>
          <w:p w14:paraId="7DBDB2D7" w14:textId="77777777" w:rsidR="0035143A" w:rsidRPr="00C06100" w:rsidRDefault="0035143A" w:rsidP="0012134E">
            <w:pPr>
              <w:spacing w:before="20" w:after="20"/>
              <w:jc w:val="left"/>
              <w:rPr>
                <w:szCs w:val="17"/>
                <w:lang w:eastAsia="en-AU"/>
              </w:rPr>
            </w:pPr>
            <w:r w:rsidRPr="008778A7">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14:paraId="7182CD2D" w14:textId="77777777" w:rsidR="0035143A" w:rsidRPr="00C06100" w:rsidRDefault="0035143A" w:rsidP="0012134E">
            <w:pPr>
              <w:spacing w:before="20" w:after="20"/>
              <w:jc w:val="left"/>
              <w:rPr>
                <w:szCs w:val="17"/>
                <w:lang w:eastAsia="en-AU"/>
              </w:rPr>
            </w:pPr>
            <w:r>
              <w:rPr>
                <w:szCs w:val="17"/>
                <w:lang w:eastAsia="en-AU"/>
              </w:rPr>
              <w:t>M</w:t>
            </w:r>
          </w:p>
        </w:tc>
      </w:tr>
      <w:tr w:rsidR="0035143A" w:rsidRPr="00C06100" w14:paraId="5576631C"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0FCAAF" w14:textId="77777777" w:rsidR="0035143A" w:rsidRPr="00E20DF0" w:rsidRDefault="0035143A" w:rsidP="0012134E">
            <w:pPr>
              <w:spacing w:before="20" w:after="20"/>
              <w:jc w:val="left"/>
              <w:rPr>
                <w:szCs w:val="17"/>
                <w:lang w:eastAsia="en-AU"/>
              </w:rPr>
            </w:pPr>
            <w:r w:rsidRPr="00241D87">
              <w:t>Network Operations Centre Analyst</w:t>
            </w:r>
            <w:r>
              <w:t xml:space="preserve"> #</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14:paraId="55DF4FB9" w14:textId="77777777" w:rsidR="0035143A" w:rsidRPr="008A1841" w:rsidRDefault="0035143A" w:rsidP="0012134E">
            <w:pPr>
              <w:spacing w:before="20" w:after="20"/>
              <w:jc w:val="left"/>
              <w:rPr>
                <w:szCs w:val="17"/>
                <w:lang w:eastAsia="en-AU"/>
              </w:rPr>
            </w:pPr>
            <w:r w:rsidRPr="00297EBE">
              <w:rPr>
                <w:szCs w:val="17"/>
                <w:lang w:eastAsia="en-AU"/>
              </w:rPr>
              <w:t>22603VIC</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7302563B" w14:textId="77777777" w:rsidR="0035143A" w:rsidRPr="00E20DF0" w:rsidRDefault="0035143A" w:rsidP="0012134E">
            <w:pPr>
              <w:spacing w:before="20" w:after="20"/>
              <w:jc w:val="left"/>
              <w:rPr>
                <w:szCs w:val="17"/>
                <w:lang w:eastAsia="en-AU"/>
              </w:rPr>
            </w:pPr>
            <w:r w:rsidRPr="004472DB">
              <w:rPr>
                <w:szCs w:val="17"/>
                <w:lang w:eastAsia="en-AU"/>
              </w:rPr>
              <w:t>Certificate IV in Cyber Security</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3BB2FB90" w14:textId="77777777" w:rsidR="0035143A" w:rsidRPr="008778A7" w:rsidRDefault="0035143A" w:rsidP="0012134E">
            <w:pPr>
              <w:spacing w:before="20" w:after="20"/>
              <w:jc w:val="left"/>
              <w:rPr>
                <w:szCs w:val="17"/>
                <w:lang w:eastAsia="en-AU"/>
              </w:rPr>
            </w:pPr>
            <w:r w:rsidRPr="008778A7">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tcPr>
          <w:p w14:paraId="5C698CF7" w14:textId="77777777" w:rsidR="0035143A" w:rsidRPr="008778A7" w:rsidRDefault="0035143A" w:rsidP="0012134E">
            <w:pPr>
              <w:spacing w:before="20" w:after="20"/>
              <w:jc w:val="left"/>
              <w:rPr>
                <w:szCs w:val="17"/>
                <w:lang w:eastAsia="en-AU"/>
              </w:rPr>
            </w:pPr>
            <w:r w:rsidRPr="008778A7">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14:paraId="5851CEC6" w14:textId="77777777" w:rsidR="0035143A" w:rsidRDefault="0035143A" w:rsidP="0012134E">
            <w:pPr>
              <w:spacing w:before="20" w:after="20"/>
              <w:jc w:val="left"/>
              <w:rPr>
                <w:szCs w:val="17"/>
                <w:lang w:eastAsia="en-AU"/>
              </w:rPr>
            </w:pPr>
            <w:r>
              <w:rPr>
                <w:szCs w:val="17"/>
                <w:lang w:eastAsia="en-AU"/>
              </w:rPr>
              <w:t>M</w:t>
            </w:r>
          </w:p>
        </w:tc>
      </w:tr>
      <w:tr w:rsidR="0035143A" w:rsidRPr="00C06100" w14:paraId="0E77B209"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1991" w14:textId="77777777" w:rsidR="0035143A" w:rsidRPr="00E20DF0" w:rsidRDefault="0035143A" w:rsidP="0012134E">
            <w:pPr>
              <w:spacing w:before="20" w:after="20"/>
              <w:jc w:val="left"/>
              <w:rPr>
                <w:szCs w:val="17"/>
                <w:lang w:eastAsia="en-AU"/>
              </w:rPr>
            </w:pPr>
            <w:r w:rsidRPr="00241D87">
              <w:t>Network Security Support Officer</w:t>
            </w:r>
            <w:r>
              <w:t xml:space="preserve"> #</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14:paraId="597294D5" w14:textId="77777777" w:rsidR="0035143A" w:rsidRPr="008A1841" w:rsidRDefault="0035143A" w:rsidP="0012134E">
            <w:pPr>
              <w:spacing w:before="20" w:after="20"/>
              <w:jc w:val="left"/>
              <w:rPr>
                <w:szCs w:val="17"/>
                <w:lang w:eastAsia="en-AU"/>
              </w:rPr>
            </w:pPr>
            <w:r w:rsidRPr="00297EBE">
              <w:rPr>
                <w:szCs w:val="17"/>
                <w:lang w:eastAsia="en-AU"/>
              </w:rPr>
              <w:t>22603VIC</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1BC4A252" w14:textId="77777777" w:rsidR="0035143A" w:rsidRPr="00E20DF0" w:rsidRDefault="0035143A" w:rsidP="0012134E">
            <w:pPr>
              <w:spacing w:before="20" w:after="20"/>
              <w:jc w:val="left"/>
              <w:rPr>
                <w:szCs w:val="17"/>
                <w:lang w:eastAsia="en-AU"/>
              </w:rPr>
            </w:pPr>
            <w:r w:rsidRPr="004472DB">
              <w:rPr>
                <w:szCs w:val="17"/>
                <w:lang w:eastAsia="en-AU"/>
              </w:rPr>
              <w:t>Certificate IV in Cyber Security</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6193EFB1" w14:textId="77777777" w:rsidR="0035143A" w:rsidRPr="008778A7" w:rsidRDefault="0035143A" w:rsidP="0012134E">
            <w:pPr>
              <w:spacing w:before="20" w:after="20"/>
              <w:jc w:val="left"/>
              <w:rPr>
                <w:szCs w:val="17"/>
                <w:lang w:eastAsia="en-AU"/>
              </w:rPr>
            </w:pPr>
            <w:r w:rsidRPr="008778A7">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tcPr>
          <w:p w14:paraId="035F3338" w14:textId="77777777" w:rsidR="0035143A" w:rsidRPr="008778A7" w:rsidRDefault="0035143A" w:rsidP="0012134E">
            <w:pPr>
              <w:spacing w:before="20" w:after="20"/>
              <w:jc w:val="left"/>
              <w:rPr>
                <w:szCs w:val="17"/>
                <w:lang w:eastAsia="en-AU"/>
              </w:rPr>
            </w:pPr>
            <w:r w:rsidRPr="008778A7">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14:paraId="763C9D9E" w14:textId="77777777" w:rsidR="0035143A" w:rsidRDefault="0035143A" w:rsidP="0012134E">
            <w:pPr>
              <w:spacing w:before="20" w:after="20"/>
              <w:jc w:val="left"/>
              <w:rPr>
                <w:szCs w:val="17"/>
                <w:lang w:eastAsia="en-AU"/>
              </w:rPr>
            </w:pPr>
            <w:r>
              <w:rPr>
                <w:szCs w:val="17"/>
                <w:lang w:eastAsia="en-AU"/>
              </w:rPr>
              <w:t>M</w:t>
            </w:r>
          </w:p>
        </w:tc>
      </w:tr>
      <w:tr w:rsidR="0035143A" w:rsidRPr="00C06100" w14:paraId="0588FA0B"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5ABA8" w14:textId="77777777" w:rsidR="0035143A" w:rsidRPr="00E20DF0" w:rsidRDefault="0035143A" w:rsidP="0012134E">
            <w:pPr>
              <w:spacing w:before="20" w:after="20"/>
              <w:jc w:val="left"/>
              <w:rPr>
                <w:szCs w:val="17"/>
                <w:lang w:eastAsia="en-AU"/>
              </w:rPr>
            </w:pPr>
            <w:r w:rsidRPr="00241D87">
              <w:t>Security Penetration Tester</w:t>
            </w:r>
            <w:r>
              <w:t xml:space="preserve"> #</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14:paraId="0BC72234" w14:textId="77777777" w:rsidR="0035143A" w:rsidRPr="008A1841" w:rsidRDefault="0035143A" w:rsidP="0012134E">
            <w:pPr>
              <w:spacing w:before="20" w:after="20"/>
              <w:jc w:val="left"/>
              <w:rPr>
                <w:szCs w:val="17"/>
                <w:lang w:eastAsia="en-AU"/>
              </w:rPr>
            </w:pPr>
            <w:r w:rsidRPr="00297EBE">
              <w:rPr>
                <w:szCs w:val="17"/>
                <w:lang w:eastAsia="en-AU"/>
              </w:rPr>
              <w:t>22603VIC</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7177D405" w14:textId="77777777" w:rsidR="0035143A" w:rsidRPr="00E20DF0" w:rsidRDefault="0035143A" w:rsidP="0012134E">
            <w:pPr>
              <w:spacing w:before="20" w:after="20"/>
              <w:jc w:val="left"/>
              <w:rPr>
                <w:szCs w:val="17"/>
                <w:lang w:eastAsia="en-AU"/>
              </w:rPr>
            </w:pPr>
            <w:r w:rsidRPr="004472DB">
              <w:rPr>
                <w:szCs w:val="17"/>
                <w:lang w:eastAsia="en-AU"/>
              </w:rPr>
              <w:t>Certificate IV in Cyber Security</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1D0DA753" w14:textId="77777777" w:rsidR="0035143A" w:rsidRPr="008778A7" w:rsidRDefault="0035143A" w:rsidP="0012134E">
            <w:pPr>
              <w:spacing w:before="20" w:after="20"/>
              <w:jc w:val="left"/>
              <w:rPr>
                <w:szCs w:val="17"/>
                <w:lang w:eastAsia="en-AU"/>
              </w:rPr>
            </w:pPr>
            <w:r w:rsidRPr="008778A7">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tcPr>
          <w:p w14:paraId="2FD8D705" w14:textId="77777777" w:rsidR="0035143A" w:rsidRPr="008778A7" w:rsidRDefault="0035143A" w:rsidP="0012134E">
            <w:pPr>
              <w:spacing w:before="20" w:after="20"/>
              <w:jc w:val="left"/>
              <w:rPr>
                <w:szCs w:val="17"/>
                <w:lang w:eastAsia="en-AU"/>
              </w:rPr>
            </w:pPr>
            <w:r w:rsidRPr="008778A7">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14:paraId="2CBDB9AD" w14:textId="77777777" w:rsidR="0035143A" w:rsidRDefault="0035143A" w:rsidP="0012134E">
            <w:pPr>
              <w:spacing w:before="20" w:after="20"/>
              <w:jc w:val="left"/>
              <w:rPr>
                <w:szCs w:val="17"/>
                <w:lang w:eastAsia="en-AU"/>
              </w:rPr>
            </w:pPr>
            <w:r>
              <w:rPr>
                <w:szCs w:val="17"/>
                <w:lang w:eastAsia="en-AU"/>
              </w:rPr>
              <w:t>M</w:t>
            </w:r>
          </w:p>
        </w:tc>
      </w:tr>
      <w:tr w:rsidR="0035143A" w:rsidRPr="00C06100" w14:paraId="2F22FDC7"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D2374" w14:textId="77777777" w:rsidR="0035143A" w:rsidRPr="00E20DF0" w:rsidRDefault="0035143A" w:rsidP="0012134E">
            <w:pPr>
              <w:spacing w:before="20" w:after="20"/>
              <w:jc w:val="left"/>
              <w:rPr>
                <w:szCs w:val="17"/>
                <w:lang w:eastAsia="en-AU"/>
              </w:rPr>
            </w:pPr>
            <w:r w:rsidRPr="00241D87">
              <w:t>Systems Security Administrator</w:t>
            </w:r>
            <w:r>
              <w:t xml:space="preserve"> #</w:t>
            </w:r>
          </w:p>
        </w:tc>
        <w:tc>
          <w:tcPr>
            <w:tcW w:w="665" w:type="pct"/>
            <w:gridSpan w:val="2"/>
            <w:tcBorders>
              <w:top w:val="single" w:sz="4" w:space="0" w:color="auto"/>
              <w:left w:val="nil"/>
              <w:bottom w:val="single" w:sz="4" w:space="0" w:color="auto"/>
              <w:right w:val="single" w:sz="4" w:space="0" w:color="auto"/>
            </w:tcBorders>
            <w:shd w:val="clear" w:color="auto" w:fill="auto"/>
            <w:vAlign w:val="center"/>
          </w:tcPr>
          <w:p w14:paraId="0E760078" w14:textId="77777777" w:rsidR="0035143A" w:rsidRPr="008A1841" w:rsidRDefault="0035143A" w:rsidP="0012134E">
            <w:pPr>
              <w:spacing w:before="20" w:after="20"/>
              <w:jc w:val="left"/>
              <w:rPr>
                <w:szCs w:val="17"/>
                <w:lang w:eastAsia="en-AU"/>
              </w:rPr>
            </w:pPr>
            <w:r w:rsidRPr="00297EBE">
              <w:rPr>
                <w:szCs w:val="17"/>
                <w:lang w:eastAsia="en-AU"/>
              </w:rPr>
              <w:t>22603VIC</w:t>
            </w:r>
          </w:p>
        </w:tc>
        <w:tc>
          <w:tcPr>
            <w:tcW w:w="1301" w:type="pct"/>
            <w:gridSpan w:val="2"/>
            <w:tcBorders>
              <w:top w:val="single" w:sz="4" w:space="0" w:color="auto"/>
              <w:left w:val="nil"/>
              <w:bottom w:val="single" w:sz="4" w:space="0" w:color="auto"/>
              <w:right w:val="single" w:sz="4" w:space="0" w:color="auto"/>
            </w:tcBorders>
            <w:shd w:val="clear" w:color="auto" w:fill="auto"/>
            <w:vAlign w:val="center"/>
          </w:tcPr>
          <w:p w14:paraId="5FFCC1A6" w14:textId="77777777" w:rsidR="0035143A" w:rsidRPr="00E20DF0" w:rsidRDefault="0035143A" w:rsidP="0012134E">
            <w:pPr>
              <w:spacing w:before="20" w:after="20"/>
              <w:jc w:val="left"/>
              <w:rPr>
                <w:szCs w:val="17"/>
                <w:lang w:eastAsia="en-AU"/>
              </w:rPr>
            </w:pPr>
            <w:r w:rsidRPr="004472DB">
              <w:rPr>
                <w:szCs w:val="17"/>
                <w:lang w:eastAsia="en-AU"/>
              </w:rPr>
              <w:t>Certificate IV in Cyber Security</w:t>
            </w:r>
          </w:p>
        </w:tc>
        <w:tc>
          <w:tcPr>
            <w:tcW w:w="645" w:type="pct"/>
            <w:gridSpan w:val="2"/>
            <w:tcBorders>
              <w:top w:val="single" w:sz="4" w:space="0" w:color="auto"/>
              <w:left w:val="nil"/>
              <w:bottom w:val="single" w:sz="4" w:space="0" w:color="auto"/>
              <w:right w:val="single" w:sz="4" w:space="0" w:color="auto"/>
            </w:tcBorders>
            <w:shd w:val="clear" w:color="auto" w:fill="auto"/>
            <w:vAlign w:val="center"/>
          </w:tcPr>
          <w:p w14:paraId="7E9DF722" w14:textId="77777777" w:rsidR="0035143A" w:rsidRPr="008778A7" w:rsidRDefault="0035143A" w:rsidP="0012134E">
            <w:pPr>
              <w:spacing w:before="20" w:after="20"/>
              <w:jc w:val="left"/>
              <w:rPr>
                <w:szCs w:val="17"/>
                <w:lang w:eastAsia="en-AU"/>
              </w:rPr>
            </w:pPr>
            <w:r w:rsidRPr="008778A7">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tcPr>
          <w:p w14:paraId="0D1EE0E5" w14:textId="77777777" w:rsidR="0035143A" w:rsidRPr="008778A7" w:rsidRDefault="0035143A" w:rsidP="0012134E">
            <w:pPr>
              <w:spacing w:before="20" w:after="20"/>
              <w:jc w:val="left"/>
              <w:rPr>
                <w:szCs w:val="17"/>
                <w:lang w:eastAsia="en-AU"/>
              </w:rPr>
            </w:pPr>
            <w:r w:rsidRPr="008778A7">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tcPr>
          <w:p w14:paraId="74A6694F" w14:textId="77777777" w:rsidR="0035143A" w:rsidRDefault="0035143A" w:rsidP="0012134E">
            <w:pPr>
              <w:spacing w:before="20" w:after="20"/>
              <w:jc w:val="left"/>
              <w:rPr>
                <w:szCs w:val="17"/>
                <w:lang w:eastAsia="en-AU"/>
              </w:rPr>
            </w:pPr>
            <w:r>
              <w:rPr>
                <w:szCs w:val="17"/>
                <w:lang w:eastAsia="en-AU"/>
              </w:rPr>
              <w:t>M</w:t>
            </w:r>
          </w:p>
        </w:tc>
      </w:tr>
      <w:tr w:rsidR="0035143A" w:rsidRPr="00C06100" w14:paraId="57D7921D"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6E7B5B" w14:textId="77777777" w:rsidR="0035143A" w:rsidRPr="00C06100" w:rsidRDefault="0035143A" w:rsidP="0012134E">
            <w:pPr>
              <w:spacing w:before="20" w:after="20"/>
              <w:jc w:val="left"/>
              <w:rPr>
                <w:szCs w:val="17"/>
                <w:lang w:eastAsia="en-AU"/>
              </w:rPr>
            </w:pPr>
            <w:r w:rsidRPr="00C06100">
              <w:rPr>
                <w:szCs w:val="17"/>
                <w:lang w:eastAsia="en-AU"/>
              </w:rPr>
              <w:t>Health Administration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657F3782" w14:textId="77777777" w:rsidR="0035143A" w:rsidRPr="00C06100" w:rsidRDefault="0035143A" w:rsidP="0012134E">
            <w:pPr>
              <w:spacing w:before="20" w:after="20"/>
              <w:jc w:val="left"/>
              <w:rPr>
                <w:szCs w:val="17"/>
                <w:lang w:eastAsia="en-AU"/>
              </w:rPr>
            </w:pPr>
            <w:r w:rsidRPr="00C06100">
              <w:rPr>
                <w:szCs w:val="17"/>
                <w:lang w:eastAsia="en-AU"/>
              </w:rPr>
              <w:t>HLT47321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C817454" w14:textId="77777777" w:rsidR="0035143A" w:rsidRPr="00C06100" w:rsidRDefault="0035143A" w:rsidP="0012134E">
            <w:pPr>
              <w:spacing w:before="20" w:after="20"/>
              <w:jc w:val="left"/>
              <w:rPr>
                <w:szCs w:val="17"/>
                <w:lang w:eastAsia="en-AU"/>
              </w:rPr>
            </w:pPr>
            <w:r w:rsidRPr="00C06100">
              <w:rPr>
                <w:szCs w:val="17"/>
                <w:lang w:eastAsia="en-AU"/>
              </w:rPr>
              <w:t>Certificate IV in Health Administration</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6D58AF40"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E482A4D"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318BB626"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4A40E929"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0D593A" w14:textId="77777777" w:rsidR="0035143A" w:rsidRPr="00C06100" w:rsidRDefault="0035143A" w:rsidP="0012134E">
            <w:pPr>
              <w:spacing w:before="20" w:after="20"/>
              <w:jc w:val="left"/>
              <w:rPr>
                <w:szCs w:val="17"/>
                <w:lang w:eastAsia="en-AU"/>
              </w:rPr>
            </w:pPr>
            <w:r w:rsidRPr="00C06100">
              <w:rPr>
                <w:szCs w:val="17"/>
                <w:lang w:eastAsia="en-AU"/>
              </w:rPr>
              <w:t>Health Support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0F24AEC2" w14:textId="77777777" w:rsidR="0035143A" w:rsidRPr="00C06100" w:rsidRDefault="0035143A" w:rsidP="0012134E">
            <w:pPr>
              <w:spacing w:before="20" w:after="20"/>
              <w:jc w:val="left"/>
              <w:rPr>
                <w:szCs w:val="17"/>
                <w:lang w:eastAsia="en-AU"/>
              </w:rPr>
            </w:pPr>
            <w:r w:rsidRPr="00C06100">
              <w:rPr>
                <w:szCs w:val="17"/>
                <w:lang w:eastAsia="en-AU"/>
              </w:rPr>
              <w:t>HLT23221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0D511428" w14:textId="77777777" w:rsidR="0035143A" w:rsidRPr="00C06100" w:rsidRDefault="0035143A" w:rsidP="0012134E">
            <w:pPr>
              <w:spacing w:before="20" w:after="20"/>
              <w:jc w:val="left"/>
              <w:rPr>
                <w:szCs w:val="17"/>
                <w:lang w:eastAsia="en-AU"/>
              </w:rPr>
            </w:pPr>
            <w:r w:rsidRPr="00C06100">
              <w:rPr>
                <w:szCs w:val="17"/>
                <w:lang w:eastAsia="en-AU"/>
              </w:rPr>
              <w:t>Certificate II in Health Support Services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7A7F0789"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6511E22"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20FDF8DD" w14:textId="77777777" w:rsidR="0035143A" w:rsidRPr="00C06100" w:rsidRDefault="0035143A" w:rsidP="0012134E">
            <w:pPr>
              <w:spacing w:before="20" w:after="20"/>
              <w:jc w:val="left"/>
              <w:rPr>
                <w:szCs w:val="17"/>
                <w:lang w:eastAsia="en-AU"/>
              </w:rPr>
            </w:pPr>
            <w:r w:rsidRPr="00C06100">
              <w:rPr>
                <w:szCs w:val="17"/>
                <w:lang w:eastAsia="en-AU"/>
              </w:rPr>
              <w:t>L</w:t>
            </w:r>
          </w:p>
        </w:tc>
      </w:tr>
      <w:tr w:rsidR="0035143A" w:rsidRPr="00C06100" w14:paraId="3D692005"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3DB08C" w14:textId="77777777" w:rsidR="0035143A" w:rsidRPr="00C06100" w:rsidRDefault="0035143A" w:rsidP="0012134E">
            <w:pPr>
              <w:spacing w:before="20" w:after="20"/>
              <w:jc w:val="left"/>
              <w:rPr>
                <w:szCs w:val="17"/>
                <w:lang w:eastAsia="en-AU"/>
              </w:rPr>
            </w:pPr>
            <w:r w:rsidRPr="00C06100">
              <w:rPr>
                <w:szCs w:val="17"/>
                <w:lang w:eastAsia="en-AU"/>
              </w:rPr>
              <w:t>Health Support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4AABEDA" w14:textId="77777777" w:rsidR="0035143A" w:rsidRPr="00C06100" w:rsidRDefault="0035143A" w:rsidP="0012134E">
            <w:pPr>
              <w:spacing w:before="20" w:after="20"/>
              <w:jc w:val="left"/>
              <w:rPr>
                <w:szCs w:val="17"/>
                <w:lang w:eastAsia="en-AU"/>
              </w:rPr>
            </w:pPr>
            <w:r w:rsidRPr="00C06100">
              <w:rPr>
                <w:szCs w:val="17"/>
                <w:lang w:eastAsia="en-AU"/>
              </w:rPr>
              <w:t>HLT33021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3568A2CA" w14:textId="77777777" w:rsidR="0035143A" w:rsidRPr="00C06100" w:rsidRDefault="0035143A" w:rsidP="0012134E">
            <w:pPr>
              <w:spacing w:before="20" w:after="20"/>
              <w:jc w:val="left"/>
              <w:rPr>
                <w:szCs w:val="17"/>
                <w:lang w:eastAsia="en-AU"/>
              </w:rPr>
            </w:pPr>
            <w:r w:rsidRPr="00C06100">
              <w:rPr>
                <w:szCs w:val="17"/>
                <w:lang w:eastAsia="en-AU"/>
              </w:rPr>
              <w:t>Certificate III in Allied Health Assistance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0A39E0F3"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69777B47"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27C14B0E"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31D6F860"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FE21AF" w14:textId="77777777" w:rsidR="0035143A" w:rsidRPr="00C06100" w:rsidRDefault="0035143A" w:rsidP="0012134E">
            <w:pPr>
              <w:spacing w:before="20" w:after="20"/>
              <w:jc w:val="left"/>
              <w:rPr>
                <w:szCs w:val="17"/>
                <w:lang w:eastAsia="en-AU"/>
              </w:rPr>
            </w:pPr>
            <w:r w:rsidRPr="00C06100">
              <w:rPr>
                <w:szCs w:val="17"/>
                <w:lang w:eastAsia="en-AU"/>
              </w:rPr>
              <w:t>Health Support Worker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245EDD17" w14:textId="77777777" w:rsidR="0035143A" w:rsidRPr="00C06100" w:rsidRDefault="0035143A" w:rsidP="0012134E">
            <w:pPr>
              <w:spacing w:before="20" w:after="20"/>
              <w:jc w:val="left"/>
              <w:rPr>
                <w:szCs w:val="17"/>
                <w:lang w:eastAsia="en-AU"/>
              </w:rPr>
            </w:pPr>
            <w:r w:rsidRPr="00C06100">
              <w:rPr>
                <w:szCs w:val="17"/>
                <w:lang w:eastAsia="en-AU"/>
              </w:rPr>
              <w:t>HLT43021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66547CC4" w14:textId="77777777" w:rsidR="0035143A" w:rsidRPr="00C06100" w:rsidRDefault="0035143A" w:rsidP="0012134E">
            <w:pPr>
              <w:spacing w:before="20" w:after="20"/>
              <w:jc w:val="left"/>
              <w:rPr>
                <w:szCs w:val="17"/>
                <w:lang w:eastAsia="en-AU"/>
              </w:rPr>
            </w:pPr>
            <w:r w:rsidRPr="00C06100">
              <w:rPr>
                <w:szCs w:val="17"/>
                <w:lang w:eastAsia="en-AU"/>
              </w:rPr>
              <w:t>Certificate IV in Allied Health Assistance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52435AFF"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D06C2C6"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76B137B"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443045FE"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03588A" w14:textId="77777777" w:rsidR="0035143A" w:rsidRPr="00C06100" w:rsidRDefault="0035143A" w:rsidP="0012134E">
            <w:pPr>
              <w:spacing w:before="20" w:after="20"/>
              <w:jc w:val="left"/>
              <w:rPr>
                <w:szCs w:val="17"/>
                <w:lang w:eastAsia="en-AU"/>
              </w:rPr>
            </w:pPr>
            <w:r w:rsidRPr="00C06100">
              <w:rPr>
                <w:szCs w:val="17"/>
                <w:lang w:eastAsia="en-AU"/>
              </w:rPr>
              <w:t>Personal Servicing Worker (Aged Care)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E685B8E" w14:textId="77777777" w:rsidR="0035143A" w:rsidRPr="00C06100" w:rsidRDefault="0035143A" w:rsidP="0012134E">
            <w:pPr>
              <w:spacing w:before="20" w:after="20"/>
              <w:jc w:val="left"/>
              <w:rPr>
                <w:szCs w:val="17"/>
                <w:lang w:eastAsia="en-AU"/>
              </w:rPr>
            </w:pPr>
            <w:r w:rsidRPr="00C06100">
              <w:rPr>
                <w:szCs w:val="17"/>
                <w:lang w:eastAsia="en-AU"/>
              </w:rPr>
              <w:t>CHC33021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648D43FB" w14:textId="77777777" w:rsidR="0035143A" w:rsidRPr="00C06100" w:rsidRDefault="0035143A" w:rsidP="0012134E">
            <w:pPr>
              <w:spacing w:before="20" w:after="20"/>
              <w:jc w:val="left"/>
              <w:rPr>
                <w:szCs w:val="17"/>
                <w:lang w:eastAsia="en-AU"/>
              </w:rPr>
            </w:pPr>
            <w:r w:rsidRPr="00C06100">
              <w:rPr>
                <w:szCs w:val="17"/>
                <w:lang w:eastAsia="en-AU"/>
              </w:rPr>
              <w:t>Certificate III in Individual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1A75D585"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58D00EB"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7D691AA6"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772341E9"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FA0C80" w14:textId="77777777" w:rsidR="0035143A" w:rsidRPr="00C06100" w:rsidRDefault="0035143A" w:rsidP="0012134E">
            <w:pPr>
              <w:spacing w:before="20" w:after="20"/>
              <w:jc w:val="left"/>
              <w:rPr>
                <w:szCs w:val="17"/>
                <w:lang w:eastAsia="en-AU"/>
              </w:rPr>
            </w:pPr>
            <w:r w:rsidRPr="00C06100">
              <w:rPr>
                <w:szCs w:val="17"/>
                <w:lang w:eastAsia="en-AU"/>
              </w:rPr>
              <w:t>Personal Servicing Worker (Disability)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35BE3B34" w14:textId="77777777" w:rsidR="0035143A" w:rsidRPr="00C06100" w:rsidRDefault="0035143A" w:rsidP="0012134E">
            <w:pPr>
              <w:spacing w:before="20" w:after="20"/>
              <w:jc w:val="left"/>
              <w:rPr>
                <w:szCs w:val="17"/>
                <w:lang w:eastAsia="en-AU"/>
              </w:rPr>
            </w:pPr>
            <w:r w:rsidRPr="00C06100">
              <w:rPr>
                <w:szCs w:val="17"/>
                <w:lang w:eastAsia="en-AU"/>
              </w:rPr>
              <w:t>CHC33021</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DF21647" w14:textId="77777777" w:rsidR="0035143A" w:rsidRPr="00C06100" w:rsidRDefault="0035143A" w:rsidP="0012134E">
            <w:pPr>
              <w:spacing w:before="20" w:after="20"/>
              <w:jc w:val="left"/>
              <w:rPr>
                <w:szCs w:val="17"/>
                <w:lang w:eastAsia="en-AU"/>
              </w:rPr>
            </w:pPr>
            <w:r w:rsidRPr="00C06100">
              <w:rPr>
                <w:szCs w:val="17"/>
                <w:lang w:eastAsia="en-AU"/>
              </w:rPr>
              <w:t>Certificate III in Individual Support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B4D7A36"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65629FB"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42955D26"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792636A0"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A46FF2" w14:textId="77777777" w:rsidR="0035143A" w:rsidRPr="00C06100" w:rsidRDefault="0035143A" w:rsidP="0012134E">
            <w:pPr>
              <w:spacing w:before="20" w:after="20"/>
              <w:jc w:val="left"/>
              <w:rPr>
                <w:szCs w:val="17"/>
                <w:lang w:eastAsia="en-AU"/>
              </w:rPr>
            </w:pPr>
            <w:r w:rsidRPr="00C06100">
              <w:rPr>
                <w:szCs w:val="17"/>
                <w:lang w:eastAsia="en-AU"/>
              </w:rPr>
              <w:t>Rail Transport (Train Operations)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25676AC3" w14:textId="77777777" w:rsidR="0035143A" w:rsidRPr="00C06100" w:rsidRDefault="0035143A" w:rsidP="0012134E">
            <w:pPr>
              <w:spacing w:before="20" w:after="20"/>
              <w:jc w:val="left"/>
              <w:rPr>
                <w:szCs w:val="17"/>
                <w:lang w:eastAsia="en-AU"/>
              </w:rPr>
            </w:pPr>
            <w:r w:rsidRPr="00C06100">
              <w:rPr>
                <w:szCs w:val="17"/>
                <w:lang w:eastAsia="en-AU"/>
              </w:rPr>
              <w:t>TLI33122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0B777822" w14:textId="77777777" w:rsidR="0035143A" w:rsidRPr="00C06100" w:rsidRDefault="0035143A" w:rsidP="0012134E">
            <w:pPr>
              <w:spacing w:before="20" w:after="20"/>
              <w:jc w:val="left"/>
              <w:rPr>
                <w:szCs w:val="17"/>
                <w:lang w:eastAsia="en-AU"/>
              </w:rPr>
            </w:pPr>
            <w:r w:rsidRPr="00C06100">
              <w:rPr>
                <w:szCs w:val="17"/>
                <w:lang w:eastAsia="en-AU"/>
              </w:rPr>
              <w:t>Certificate III in Rail Customer Service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01487A29"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4832726"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4681B5BF"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7AE6F3AA"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0A9AF3" w14:textId="77777777" w:rsidR="0035143A" w:rsidRPr="00C06100" w:rsidRDefault="0035143A" w:rsidP="0012134E">
            <w:pPr>
              <w:spacing w:before="20" w:after="20"/>
              <w:jc w:val="left"/>
              <w:rPr>
                <w:szCs w:val="17"/>
                <w:lang w:eastAsia="en-AU"/>
              </w:rPr>
            </w:pPr>
            <w:r w:rsidRPr="00C06100">
              <w:rPr>
                <w:szCs w:val="17"/>
                <w:lang w:eastAsia="en-AU"/>
              </w:rPr>
              <w:t>Road Transport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13E73BD0" w14:textId="77777777" w:rsidR="0035143A" w:rsidRPr="00C06100" w:rsidRDefault="0035143A" w:rsidP="0012134E">
            <w:pPr>
              <w:spacing w:before="20" w:after="20"/>
              <w:jc w:val="left"/>
              <w:rPr>
                <w:szCs w:val="17"/>
                <w:lang w:eastAsia="en-AU"/>
              </w:rPr>
            </w:pPr>
            <w:r w:rsidRPr="00C06100">
              <w:rPr>
                <w:szCs w:val="17"/>
                <w:lang w:eastAsia="en-AU"/>
              </w:rPr>
              <w:t>TLI30122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28EE64BE" w14:textId="77777777" w:rsidR="0035143A" w:rsidRPr="00C06100" w:rsidRDefault="0035143A" w:rsidP="0012134E">
            <w:pPr>
              <w:spacing w:before="20" w:after="20"/>
              <w:jc w:val="left"/>
              <w:rPr>
                <w:szCs w:val="17"/>
                <w:lang w:eastAsia="en-AU"/>
              </w:rPr>
            </w:pPr>
            <w:r w:rsidRPr="00C06100">
              <w:rPr>
                <w:szCs w:val="17"/>
                <w:lang w:eastAsia="en-AU"/>
              </w:rPr>
              <w:t>Certificate III in Mobile Crane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5C9BA01E" w14:textId="77777777" w:rsidR="0035143A" w:rsidRPr="00C06100" w:rsidRDefault="0035143A" w:rsidP="0012134E">
            <w:pPr>
              <w:spacing w:before="20" w:after="20"/>
              <w:jc w:val="left"/>
              <w:rPr>
                <w:szCs w:val="17"/>
                <w:lang w:eastAsia="en-AU"/>
              </w:rPr>
            </w:pPr>
            <w:r w:rsidRPr="00C06100">
              <w:rPr>
                <w:szCs w:val="17"/>
                <w:lang w:eastAsia="en-AU"/>
              </w:rPr>
              <w:t>18</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595A8998"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15D7F3D"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3A8C5AD5"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1EBCEB" w14:textId="77777777" w:rsidR="0035143A" w:rsidRPr="00C06100" w:rsidRDefault="0035143A" w:rsidP="0012134E">
            <w:pPr>
              <w:spacing w:before="20" w:after="20"/>
              <w:jc w:val="left"/>
              <w:rPr>
                <w:szCs w:val="17"/>
                <w:lang w:eastAsia="en-AU"/>
              </w:rPr>
            </w:pPr>
            <w:r w:rsidRPr="00C06100">
              <w:rPr>
                <w:szCs w:val="17"/>
                <w:lang w:eastAsia="en-AU"/>
              </w:rPr>
              <w:t>Road Transport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B4241A2" w14:textId="77777777" w:rsidR="0035143A" w:rsidRPr="00C06100" w:rsidRDefault="0035143A" w:rsidP="0012134E">
            <w:pPr>
              <w:spacing w:before="20" w:after="20"/>
              <w:jc w:val="left"/>
              <w:rPr>
                <w:szCs w:val="17"/>
                <w:lang w:eastAsia="en-AU"/>
              </w:rPr>
            </w:pPr>
            <w:r w:rsidRPr="00C06100">
              <w:rPr>
                <w:szCs w:val="17"/>
                <w:lang w:eastAsia="en-AU"/>
              </w:rPr>
              <w:t>TLI40722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37DCE1E2" w14:textId="77777777" w:rsidR="0035143A" w:rsidRPr="00C06100" w:rsidRDefault="0035143A" w:rsidP="0012134E">
            <w:pPr>
              <w:spacing w:before="20" w:after="20"/>
              <w:jc w:val="left"/>
              <w:rPr>
                <w:szCs w:val="17"/>
                <w:lang w:eastAsia="en-AU"/>
              </w:rPr>
            </w:pPr>
            <w:r w:rsidRPr="00C06100">
              <w:rPr>
                <w:szCs w:val="17"/>
                <w:lang w:eastAsia="en-AU"/>
              </w:rPr>
              <w:t>Certificate IV in Mobile Crane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FD262A9"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51FB2C7"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1C1A5DC7"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181D2F30"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85786B" w14:textId="77777777" w:rsidR="0035143A" w:rsidRPr="00C06100" w:rsidRDefault="0035143A" w:rsidP="0012134E">
            <w:pPr>
              <w:spacing w:before="20" w:after="20"/>
              <w:jc w:val="left"/>
              <w:rPr>
                <w:szCs w:val="17"/>
                <w:lang w:eastAsia="en-AU"/>
              </w:rPr>
            </w:pPr>
            <w:r w:rsidRPr="00C06100">
              <w:rPr>
                <w:szCs w:val="17"/>
                <w:lang w:eastAsia="en-AU"/>
              </w:rPr>
              <w:lastRenderedPageBreak/>
              <w:t>Silversmith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C696EF2" w14:textId="77777777" w:rsidR="0035143A" w:rsidRPr="00C06100" w:rsidRDefault="0035143A" w:rsidP="0012134E">
            <w:pPr>
              <w:spacing w:before="20" w:after="20"/>
              <w:jc w:val="left"/>
              <w:rPr>
                <w:szCs w:val="17"/>
                <w:lang w:eastAsia="en-AU"/>
              </w:rPr>
            </w:pPr>
            <w:r w:rsidRPr="00C06100">
              <w:rPr>
                <w:szCs w:val="17"/>
                <w:lang w:eastAsia="en-AU"/>
              </w:rPr>
              <w:t>MEM31922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53D21E18" w14:textId="77777777" w:rsidR="0035143A" w:rsidRPr="00C06100" w:rsidRDefault="0035143A" w:rsidP="0012134E">
            <w:pPr>
              <w:spacing w:before="20" w:after="20"/>
              <w:jc w:val="left"/>
              <w:rPr>
                <w:szCs w:val="17"/>
                <w:lang w:eastAsia="en-AU"/>
              </w:rPr>
            </w:pPr>
            <w:r w:rsidRPr="00C06100">
              <w:rPr>
                <w:szCs w:val="17"/>
                <w:lang w:eastAsia="en-AU"/>
              </w:rPr>
              <w:t>Certificate III in Engineering - Fabrication Trade</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3ED952F0" w14:textId="77777777" w:rsidR="0035143A" w:rsidRPr="00C06100" w:rsidRDefault="0035143A" w:rsidP="0012134E">
            <w:pPr>
              <w:spacing w:before="20" w:after="20"/>
              <w:jc w:val="left"/>
              <w:rPr>
                <w:szCs w:val="17"/>
                <w:lang w:eastAsia="en-AU"/>
              </w:rPr>
            </w:pPr>
            <w:r w:rsidRPr="00C06100">
              <w:rPr>
                <w:szCs w:val="17"/>
                <w:lang w:eastAsia="en-AU"/>
              </w:rPr>
              <w:t>48</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24FA152" w14:textId="77777777" w:rsidR="0035143A" w:rsidRPr="00C06100" w:rsidRDefault="0035143A" w:rsidP="0012134E">
            <w:pPr>
              <w:spacing w:before="20" w:after="20"/>
              <w:jc w:val="left"/>
              <w:rPr>
                <w:szCs w:val="17"/>
                <w:lang w:eastAsia="en-AU"/>
              </w:rPr>
            </w:pPr>
            <w:r w:rsidRPr="00C06100">
              <w:rPr>
                <w:szCs w:val="17"/>
                <w:lang w:eastAsia="en-AU"/>
              </w:rPr>
              <w:t>90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33ECA25A"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C06100" w14:paraId="4B4DE76F"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80BC5" w14:textId="77777777" w:rsidR="0035143A" w:rsidRPr="00C06100" w:rsidRDefault="0035143A" w:rsidP="0012134E">
            <w:pPr>
              <w:spacing w:before="20" w:after="20"/>
              <w:jc w:val="left"/>
              <w:rPr>
                <w:szCs w:val="17"/>
                <w:lang w:eastAsia="en-AU"/>
              </w:rPr>
            </w:pPr>
            <w:r w:rsidRPr="00C06100">
              <w:rPr>
                <w:szCs w:val="17"/>
                <w:lang w:eastAsia="en-AU"/>
              </w:rPr>
              <w:t>Training Officer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73D85B68" w14:textId="77777777" w:rsidR="0035143A" w:rsidRPr="00C06100" w:rsidRDefault="0035143A" w:rsidP="0012134E">
            <w:pPr>
              <w:spacing w:before="20" w:after="20"/>
              <w:jc w:val="left"/>
              <w:rPr>
                <w:szCs w:val="17"/>
                <w:lang w:eastAsia="en-AU"/>
              </w:rPr>
            </w:pPr>
            <w:r w:rsidRPr="00C06100">
              <w:rPr>
                <w:szCs w:val="17"/>
                <w:lang w:eastAsia="en-AU"/>
              </w:rPr>
              <w:t>TAE40122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4E3792A0" w14:textId="77777777" w:rsidR="0035143A" w:rsidRPr="00C06100" w:rsidRDefault="0035143A" w:rsidP="0012134E">
            <w:pPr>
              <w:spacing w:before="20" w:after="20"/>
              <w:jc w:val="left"/>
              <w:rPr>
                <w:szCs w:val="17"/>
                <w:lang w:eastAsia="en-AU"/>
              </w:rPr>
            </w:pPr>
            <w:r w:rsidRPr="00C06100">
              <w:rPr>
                <w:szCs w:val="17"/>
                <w:lang w:eastAsia="en-AU"/>
              </w:rPr>
              <w:t>Certificate IV in Training and Assessment</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4500E90E"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4EF98B43"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566066A0"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02073F0F"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B468F7" w14:textId="77777777" w:rsidR="0035143A" w:rsidRPr="00C06100" w:rsidRDefault="0035143A" w:rsidP="0012134E">
            <w:pPr>
              <w:spacing w:before="20" w:after="20"/>
              <w:jc w:val="left"/>
              <w:rPr>
                <w:szCs w:val="17"/>
                <w:lang w:eastAsia="en-AU"/>
              </w:rPr>
            </w:pPr>
            <w:r w:rsidRPr="00C06100">
              <w:rPr>
                <w:szCs w:val="17"/>
                <w:lang w:eastAsia="en-AU"/>
              </w:rPr>
              <w:t>Upholstering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522B84D3" w14:textId="77777777" w:rsidR="0035143A" w:rsidRPr="00C06100" w:rsidRDefault="0035143A" w:rsidP="0012134E">
            <w:pPr>
              <w:spacing w:before="20" w:after="20"/>
              <w:jc w:val="left"/>
              <w:rPr>
                <w:szCs w:val="17"/>
                <w:lang w:eastAsia="en-AU"/>
              </w:rPr>
            </w:pPr>
            <w:r w:rsidRPr="00C06100">
              <w:rPr>
                <w:szCs w:val="17"/>
                <w:lang w:eastAsia="en-AU"/>
              </w:rPr>
              <w:t>MSF30722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6A937C39" w14:textId="77777777" w:rsidR="0035143A" w:rsidRPr="00C06100" w:rsidRDefault="0035143A" w:rsidP="0012134E">
            <w:pPr>
              <w:spacing w:before="20" w:after="20"/>
              <w:jc w:val="left"/>
              <w:rPr>
                <w:szCs w:val="17"/>
                <w:lang w:eastAsia="en-AU"/>
              </w:rPr>
            </w:pPr>
            <w:r w:rsidRPr="00C06100">
              <w:rPr>
                <w:szCs w:val="17"/>
                <w:lang w:eastAsia="en-AU"/>
              </w:rPr>
              <w:t>Certificate III in Upholstery</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3711944A" w14:textId="77777777" w:rsidR="0035143A" w:rsidRPr="00C06100" w:rsidRDefault="0035143A" w:rsidP="0012134E">
            <w:pPr>
              <w:spacing w:before="20" w:after="20"/>
              <w:jc w:val="left"/>
              <w:rPr>
                <w:szCs w:val="17"/>
                <w:lang w:eastAsia="en-AU"/>
              </w:rPr>
            </w:pPr>
            <w:r w:rsidRPr="00C06100">
              <w:rPr>
                <w:szCs w:val="17"/>
                <w:lang w:eastAsia="en-AU"/>
              </w:rPr>
              <w:t>48</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38729ED8" w14:textId="77777777" w:rsidR="0035143A" w:rsidRPr="00C06100" w:rsidRDefault="0035143A" w:rsidP="0012134E">
            <w:pPr>
              <w:spacing w:before="20" w:after="20"/>
              <w:jc w:val="left"/>
              <w:rPr>
                <w:szCs w:val="17"/>
                <w:lang w:eastAsia="en-AU"/>
              </w:rPr>
            </w:pPr>
            <w:r w:rsidRPr="00C06100">
              <w:rPr>
                <w:szCs w:val="17"/>
                <w:lang w:eastAsia="en-AU"/>
              </w:rPr>
              <w:t>90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204494A5"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654E769E"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0AD001" w14:textId="77777777" w:rsidR="0035143A" w:rsidRPr="00C06100" w:rsidRDefault="0035143A" w:rsidP="0012134E">
            <w:pPr>
              <w:spacing w:before="20" w:after="20"/>
              <w:jc w:val="left"/>
              <w:rPr>
                <w:szCs w:val="17"/>
                <w:lang w:eastAsia="en-AU"/>
              </w:rPr>
            </w:pPr>
            <w:r w:rsidRPr="00C06100">
              <w:rPr>
                <w:szCs w:val="17"/>
                <w:lang w:eastAsia="en-AU"/>
              </w:rPr>
              <w:t>Water Industry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18DAA0FE" w14:textId="77777777" w:rsidR="0035143A" w:rsidRPr="00C06100" w:rsidRDefault="0035143A" w:rsidP="0012134E">
            <w:pPr>
              <w:spacing w:before="20" w:after="20"/>
              <w:jc w:val="left"/>
              <w:rPr>
                <w:szCs w:val="17"/>
                <w:lang w:eastAsia="en-AU"/>
              </w:rPr>
            </w:pPr>
            <w:r w:rsidRPr="00C06100">
              <w:rPr>
                <w:szCs w:val="17"/>
                <w:lang w:eastAsia="en-AU"/>
              </w:rPr>
              <w:t>NWP20122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165EE699" w14:textId="77777777" w:rsidR="0035143A" w:rsidRPr="00C06100" w:rsidRDefault="0035143A" w:rsidP="0012134E">
            <w:pPr>
              <w:spacing w:before="20" w:after="20"/>
              <w:jc w:val="left"/>
              <w:rPr>
                <w:szCs w:val="17"/>
                <w:lang w:eastAsia="en-AU"/>
              </w:rPr>
            </w:pPr>
            <w:r w:rsidRPr="00C06100">
              <w:rPr>
                <w:szCs w:val="17"/>
                <w:lang w:eastAsia="en-AU"/>
              </w:rPr>
              <w:t>Certificate II in Water Industry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51C14982" w14:textId="77777777" w:rsidR="0035143A" w:rsidRPr="00C06100" w:rsidRDefault="0035143A" w:rsidP="0012134E">
            <w:pPr>
              <w:spacing w:before="20" w:after="20"/>
              <w:jc w:val="left"/>
              <w:rPr>
                <w:szCs w:val="17"/>
                <w:lang w:eastAsia="en-AU"/>
              </w:rPr>
            </w:pPr>
            <w:r w:rsidRPr="00C06100">
              <w:rPr>
                <w:szCs w:val="17"/>
                <w:lang w:eastAsia="en-AU"/>
              </w:rPr>
              <w:t>12</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7F2DD677"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1C89960F"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125FEA02"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297BF2" w14:textId="77777777" w:rsidR="0035143A" w:rsidRPr="00C06100" w:rsidRDefault="0035143A" w:rsidP="0012134E">
            <w:pPr>
              <w:spacing w:before="20" w:after="20"/>
              <w:jc w:val="left"/>
              <w:rPr>
                <w:szCs w:val="17"/>
                <w:lang w:eastAsia="en-AU"/>
              </w:rPr>
            </w:pPr>
            <w:r w:rsidRPr="00C06100">
              <w:rPr>
                <w:szCs w:val="17"/>
                <w:lang w:eastAsia="en-AU"/>
              </w:rPr>
              <w:t>Water Industry Operator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68849FA5" w14:textId="77777777" w:rsidR="0035143A" w:rsidRPr="00C06100" w:rsidRDefault="0035143A" w:rsidP="0012134E">
            <w:pPr>
              <w:spacing w:before="20" w:after="20"/>
              <w:jc w:val="left"/>
              <w:rPr>
                <w:szCs w:val="17"/>
                <w:lang w:eastAsia="en-AU"/>
              </w:rPr>
            </w:pPr>
            <w:r w:rsidRPr="00C06100">
              <w:rPr>
                <w:szCs w:val="17"/>
                <w:lang w:eastAsia="en-AU"/>
              </w:rPr>
              <w:t>NWP30222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42ED67A4" w14:textId="77777777" w:rsidR="0035143A" w:rsidRPr="00C06100" w:rsidRDefault="0035143A" w:rsidP="0012134E">
            <w:pPr>
              <w:spacing w:before="20" w:after="20"/>
              <w:jc w:val="left"/>
              <w:rPr>
                <w:szCs w:val="17"/>
                <w:lang w:eastAsia="en-AU"/>
              </w:rPr>
            </w:pPr>
            <w:r w:rsidRPr="00C06100">
              <w:rPr>
                <w:szCs w:val="17"/>
                <w:lang w:eastAsia="en-AU"/>
              </w:rPr>
              <w:t>Certificate III in Water Industry Operations</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28ADCB3B"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2E5A694E"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5D86AB21" w14:textId="77777777" w:rsidR="0035143A" w:rsidRPr="00C06100" w:rsidRDefault="0035143A" w:rsidP="0012134E">
            <w:pPr>
              <w:spacing w:before="20" w:after="20"/>
              <w:jc w:val="left"/>
              <w:rPr>
                <w:szCs w:val="17"/>
                <w:lang w:eastAsia="en-AU"/>
              </w:rPr>
            </w:pPr>
            <w:r w:rsidRPr="00C06100">
              <w:rPr>
                <w:szCs w:val="17"/>
                <w:lang w:eastAsia="en-AU"/>
              </w:rPr>
              <w:t>M</w:t>
            </w:r>
          </w:p>
        </w:tc>
      </w:tr>
      <w:tr w:rsidR="0035143A" w:rsidRPr="00C06100" w14:paraId="19996EA5" w14:textId="77777777" w:rsidTr="0012134E">
        <w:trPr>
          <w:trHeight w:val="20"/>
        </w:trPr>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0FA1D" w14:textId="77777777" w:rsidR="0035143A" w:rsidRPr="00C06100" w:rsidRDefault="0035143A" w:rsidP="0012134E">
            <w:pPr>
              <w:spacing w:before="20" w:after="20"/>
              <w:jc w:val="left"/>
              <w:rPr>
                <w:szCs w:val="17"/>
                <w:lang w:eastAsia="en-AU"/>
              </w:rPr>
            </w:pPr>
            <w:r w:rsidRPr="00C06100">
              <w:rPr>
                <w:szCs w:val="17"/>
                <w:lang w:eastAsia="en-AU"/>
              </w:rPr>
              <w:t>Advanced Tradesperson (Hazardous Areas - Electrical) *</w:t>
            </w:r>
          </w:p>
        </w:tc>
        <w:tc>
          <w:tcPr>
            <w:tcW w:w="665" w:type="pct"/>
            <w:gridSpan w:val="2"/>
            <w:tcBorders>
              <w:top w:val="single" w:sz="4" w:space="0" w:color="auto"/>
              <w:left w:val="nil"/>
              <w:bottom w:val="single" w:sz="4" w:space="0" w:color="auto"/>
              <w:right w:val="single" w:sz="4" w:space="0" w:color="auto"/>
            </w:tcBorders>
            <w:shd w:val="clear" w:color="auto" w:fill="auto"/>
            <w:vAlign w:val="center"/>
            <w:hideMark/>
          </w:tcPr>
          <w:p w14:paraId="2EA7E488" w14:textId="77777777" w:rsidR="0035143A" w:rsidRPr="00C06100" w:rsidRDefault="0035143A" w:rsidP="0012134E">
            <w:pPr>
              <w:spacing w:before="20" w:after="20"/>
              <w:jc w:val="left"/>
              <w:rPr>
                <w:szCs w:val="17"/>
                <w:lang w:eastAsia="en-AU"/>
              </w:rPr>
            </w:pPr>
            <w:r w:rsidRPr="00C06100">
              <w:rPr>
                <w:szCs w:val="17"/>
                <w:lang w:eastAsia="en-AU"/>
              </w:rPr>
              <w:t>UEE42622</w:t>
            </w:r>
          </w:p>
        </w:tc>
        <w:tc>
          <w:tcPr>
            <w:tcW w:w="1301" w:type="pct"/>
            <w:gridSpan w:val="2"/>
            <w:tcBorders>
              <w:top w:val="single" w:sz="4" w:space="0" w:color="auto"/>
              <w:left w:val="nil"/>
              <w:bottom w:val="single" w:sz="4" w:space="0" w:color="auto"/>
              <w:right w:val="single" w:sz="4" w:space="0" w:color="auto"/>
            </w:tcBorders>
            <w:shd w:val="clear" w:color="auto" w:fill="auto"/>
            <w:vAlign w:val="center"/>
            <w:hideMark/>
          </w:tcPr>
          <w:p w14:paraId="79F6FF82" w14:textId="77777777" w:rsidR="0035143A" w:rsidRPr="00C06100" w:rsidRDefault="0035143A" w:rsidP="0012134E">
            <w:pPr>
              <w:spacing w:before="20" w:after="20"/>
              <w:jc w:val="left"/>
              <w:rPr>
                <w:szCs w:val="17"/>
                <w:lang w:eastAsia="en-AU"/>
              </w:rPr>
            </w:pPr>
            <w:r w:rsidRPr="00C06100">
              <w:rPr>
                <w:szCs w:val="17"/>
                <w:lang w:eastAsia="en-AU"/>
              </w:rPr>
              <w:t>Certificate IV in Hazardous areas - Electrical</w:t>
            </w:r>
          </w:p>
        </w:tc>
        <w:tc>
          <w:tcPr>
            <w:tcW w:w="645" w:type="pct"/>
            <w:gridSpan w:val="2"/>
            <w:tcBorders>
              <w:top w:val="single" w:sz="4" w:space="0" w:color="auto"/>
              <w:left w:val="nil"/>
              <w:bottom w:val="single" w:sz="4" w:space="0" w:color="auto"/>
              <w:right w:val="single" w:sz="4" w:space="0" w:color="auto"/>
            </w:tcBorders>
            <w:shd w:val="clear" w:color="auto" w:fill="auto"/>
            <w:vAlign w:val="center"/>
            <w:hideMark/>
          </w:tcPr>
          <w:p w14:paraId="13B510B8" w14:textId="77777777" w:rsidR="0035143A" w:rsidRPr="00C06100" w:rsidRDefault="0035143A" w:rsidP="0012134E">
            <w:pPr>
              <w:spacing w:before="20" w:after="20"/>
              <w:jc w:val="left"/>
              <w:rPr>
                <w:szCs w:val="17"/>
                <w:lang w:eastAsia="en-AU"/>
              </w:rPr>
            </w:pPr>
            <w:r w:rsidRPr="00C06100">
              <w:rPr>
                <w:szCs w:val="17"/>
                <w:lang w:eastAsia="en-AU"/>
              </w:rPr>
              <w:t>24</w:t>
            </w:r>
          </w:p>
        </w:tc>
        <w:tc>
          <w:tcPr>
            <w:tcW w:w="661" w:type="pct"/>
            <w:gridSpan w:val="2"/>
            <w:tcBorders>
              <w:top w:val="single" w:sz="4" w:space="0" w:color="auto"/>
              <w:left w:val="nil"/>
              <w:bottom w:val="single" w:sz="4" w:space="0" w:color="auto"/>
              <w:right w:val="single" w:sz="4" w:space="0" w:color="auto"/>
            </w:tcBorders>
            <w:shd w:val="clear" w:color="auto" w:fill="auto"/>
            <w:vAlign w:val="center"/>
            <w:hideMark/>
          </w:tcPr>
          <w:p w14:paraId="244F2B4D" w14:textId="77777777" w:rsidR="0035143A" w:rsidRPr="00C06100" w:rsidRDefault="0035143A" w:rsidP="0012134E">
            <w:pPr>
              <w:spacing w:before="20" w:after="20"/>
              <w:jc w:val="left"/>
              <w:rPr>
                <w:szCs w:val="17"/>
                <w:lang w:eastAsia="en-AU"/>
              </w:rPr>
            </w:pPr>
            <w:r w:rsidRPr="00C06100">
              <w:rPr>
                <w:szCs w:val="17"/>
                <w:lang w:eastAsia="en-AU"/>
              </w:rPr>
              <w:t>60</w:t>
            </w:r>
          </w:p>
        </w:tc>
        <w:tc>
          <w:tcPr>
            <w:tcW w:w="612" w:type="pct"/>
            <w:gridSpan w:val="2"/>
            <w:tcBorders>
              <w:top w:val="single" w:sz="4" w:space="0" w:color="auto"/>
              <w:left w:val="nil"/>
              <w:bottom w:val="single" w:sz="4" w:space="0" w:color="auto"/>
              <w:right w:val="single" w:sz="4" w:space="0" w:color="auto"/>
            </w:tcBorders>
            <w:shd w:val="clear" w:color="auto" w:fill="auto"/>
            <w:vAlign w:val="center"/>
            <w:hideMark/>
          </w:tcPr>
          <w:p w14:paraId="0C3CF541" w14:textId="77777777" w:rsidR="0035143A" w:rsidRPr="00C06100" w:rsidRDefault="0035143A" w:rsidP="0012134E">
            <w:pPr>
              <w:spacing w:before="20" w:after="20"/>
              <w:jc w:val="left"/>
              <w:rPr>
                <w:szCs w:val="17"/>
                <w:lang w:eastAsia="en-AU"/>
              </w:rPr>
            </w:pPr>
            <w:r w:rsidRPr="00C06100">
              <w:rPr>
                <w:szCs w:val="17"/>
                <w:lang w:eastAsia="en-AU"/>
              </w:rPr>
              <w:t>H</w:t>
            </w:r>
          </w:p>
        </w:tc>
      </w:tr>
      <w:tr w:rsidR="0035143A" w:rsidRPr="00277F8F" w14:paraId="1203303D" w14:textId="77777777" w:rsidTr="0012134E">
        <w:trPr>
          <w:gridAfter w:val="1"/>
          <w:wAfter w:w="345" w:type="pct"/>
          <w:trHeight w:val="20"/>
        </w:trPr>
        <w:tc>
          <w:tcPr>
            <w:tcW w:w="1030" w:type="pct"/>
            <w:tcBorders>
              <w:top w:val="single" w:sz="4" w:space="0" w:color="auto"/>
            </w:tcBorders>
            <w:shd w:val="clear" w:color="auto" w:fill="auto"/>
          </w:tcPr>
          <w:p w14:paraId="2E3673FA" w14:textId="77777777" w:rsidR="0035143A" w:rsidRPr="00277F8F" w:rsidRDefault="0035143A" w:rsidP="0012134E">
            <w:pPr>
              <w:spacing w:after="0" w:line="80" w:lineRule="exact"/>
              <w:jc w:val="left"/>
              <w:rPr>
                <w:rFonts w:eastAsia="Times New Roman"/>
                <w:szCs w:val="17"/>
                <w:lang w:eastAsia="en-AU"/>
              </w:rPr>
            </w:pPr>
          </w:p>
        </w:tc>
        <w:tc>
          <w:tcPr>
            <w:tcW w:w="626" w:type="pct"/>
            <w:gridSpan w:val="2"/>
            <w:tcBorders>
              <w:top w:val="single" w:sz="4" w:space="0" w:color="auto"/>
            </w:tcBorders>
            <w:shd w:val="clear" w:color="auto" w:fill="auto"/>
            <w:vAlign w:val="center"/>
          </w:tcPr>
          <w:p w14:paraId="7A0C14F5" w14:textId="77777777" w:rsidR="0035143A" w:rsidRPr="00277F8F" w:rsidRDefault="0035143A" w:rsidP="0012134E">
            <w:pPr>
              <w:spacing w:after="0" w:line="80" w:lineRule="exact"/>
              <w:jc w:val="center"/>
              <w:rPr>
                <w:rFonts w:eastAsia="Times New Roman"/>
                <w:szCs w:val="17"/>
                <w:lang w:eastAsia="en-AU"/>
              </w:rPr>
            </w:pPr>
          </w:p>
        </w:tc>
        <w:tc>
          <w:tcPr>
            <w:tcW w:w="1214" w:type="pct"/>
            <w:gridSpan w:val="2"/>
            <w:tcBorders>
              <w:top w:val="single" w:sz="4" w:space="0" w:color="auto"/>
            </w:tcBorders>
            <w:shd w:val="clear" w:color="auto" w:fill="auto"/>
            <w:vAlign w:val="center"/>
          </w:tcPr>
          <w:p w14:paraId="3C8D04B9" w14:textId="77777777" w:rsidR="0035143A" w:rsidRPr="00277F8F" w:rsidRDefault="0035143A" w:rsidP="0012134E">
            <w:pPr>
              <w:spacing w:after="0" w:line="80" w:lineRule="exact"/>
              <w:ind w:left="148"/>
              <w:jc w:val="left"/>
              <w:rPr>
                <w:rFonts w:eastAsia="Times New Roman"/>
                <w:szCs w:val="17"/>
                <w:lang w:eastAsia="en-AU"/>
              </w:rPr>
            </w:pPr>
          </w:p>
        </w:tc>
        <w:tc>
          <w:tcPr>
            <w:tcW w:w="566" w:type="pct"/>
            <w:gridSpan w:val="2"/>
            <w:tcBorders>
              <w:top w:val="single" w:sz="4" w:space="0" w:color="auto"/>
            </w:tcBorders>
            <w:shd w:val="clear" w:color="auto" w:fill="auto"/>
            <w:vAlign w:val="center"/>
          </w:tcPr>
          <w:p w14:paraId="08FB01A8" w14:textId="77777777" w:rsidR="0035143A" w:rsidRPr="00277F8F" w:rsidRDefault="0035143A" w:rsidP="0012134E">
            <w:pPr>
              <w:spacing w:after="0" w:line="80" w:lineRule="exact"/>
              <w:jc w:val="center"/>
              <w:rPr>
                <w:rFonts w:eastAsia="Times New Roman"/>
                <w:szCs w:val="17"/>
                <w:lang w:eastAsia="en-AU"/>
              </w:rPr>
            </w:pPr>
          </w:p>
        </w:tc>
        <w:tc>
          <w:tcPr>
            <w:tcW w:w="636" w:type="pct"/>
            <w:gridSpan w:val="2"/>
            <w:tcBorders>
              <w:top w:val="single" w:sz="4" w:space="0" w:color="auto"/>
            </w:tcBorders>
            <w:shd w:val="clear" w:color="auto" w:fill="auto"/>
            <w:vAlign w:val="center"/>
          </w:tcPr>
          <w:p w14:paraId="207B3258" w14:textId="77777777" w:rsidR="0035143A" w:rsidRPr="00277F8F" w:rsidRDefault="0035143A" w:rsidP="0012134E">
            <w:pPr>
              <w:spacing w:after="0" w:line="80" w:lineRule="exact"/>
              <w:jc w:val="center"/>
              <w:rPr>
                <w:rFonts w:eastAsia="Times New Roman"/>
                <w:szCs w:val="17"/>
                <w:lang w:eastAsia="en-AU"/>
              </w:rPr>
            </w:pPr>
          </w:p>
        </w:tc>
        <w:tc>
          <w:tcPr>
            <w:tcW w:w="583" w:type="pct"/>
            <w:gridSpan w:val="2"/>
            <w:tcBorders>
              <w:top w:val="single" w:sz="4" w:space="0" w:color="auto"/>
            </w:tcBorders>
            <w:shd w:val="clear" w:color="auto" w:fill="auto"/>
            <w:vAlign w:val="center"/>
          </w:tcPr>
          <w:p w14:paraId="3147292B" w14:textId="77777777" w:rsidR="0035143A" w:rsidRPr="00277F8F" w:rsidRDefault="0035143A" w:rsidP="0012134E">
            <w:pPr>
              <w:spacing w:after="0" w:line="80" w:lineRule="exact"/>
              <w:jc w:val="center"/>
              <w:rPr>
                <w:rFonts w:eastAsia="Times New Roman"/>
                <w:szCs w:val="17"/>
                <w:lang w:eastAsia="en-AU"/>
              </w:rPr>
            </w:pPr>
          </w:p>
        </w:tc>
      </w:tr>
    </w:tbl>
    <w:p w14:paraId="1F5E50EE" w14:textId="77777777" w:rsidR="0035143A" w:rsidRDefault="0035143A" w:rsidP="0035143A">
      <w:pPr>
        <w:pStyle w:val="GG-SDated"/>
      </w:pPr>
      <w:r>
        <w:t>Dated: 22 December 2022</w:t>
      </w:r>
    </w:p>
    <w:p w14:paraId="005379DB" w14:textId="77777777" w:rsidR="0035143A" w:rsidRDefault="0035143A" w:rsidP="0035143A">
      <w:pPr>
        <w:pStyle w:val="GG-SName"/>
      </w:pPr>
      <w:r>
        <w:t>John Evangelista</w:t>
      </w:r>
    </w:p>
    <w:p w14:paraId="1D766D4D" w14:textId="77777777" w:rsidR="0035143A" w:rsidRDefault="0035143A" w:rsidP="0035143A">
      <w:pPr>
        <w:pStyle w:val="GG-Signature"/>
      </w:pPr>
      <w:r>
        <w:t>Director, Traineeship and Apprenticeship Services</w:t>
      </w:r>
    </w:p>
    <w:p w14:paraId="4BBA4A7A" w14:textId="2E7F380A" w:rsidR="0035143A" w:rsidRDefault="0035143A" w:rsidP="0035143A">
      <w:pPr>
        <w:pStyle w:val="GG-Signature"/>
      </w:pPr>
      <w:r>
        <w:t>Department for Education</w:t>
      </w:r>
    </w:p>
    <w:p w14:paraId="6195AC00" w14:textId="45F46A12" w:rsidR="0035143A" w:rsidRDefault="0035143A" w:rsidP="0035143A">
      <w:pPr>
        <w:pStyle w:val="GG-Signature"/>
        <w:pBdr>
          <w:bottom w:val="single" w:sz="4" w:space="1" w:color="auto"/>
        </w:pBdr>
        <w:spacing w:line="52" w:lineRule="exact"/>
        <w:jc w:val="center"/>
      </w:pPr>
    </w:p>
    <w:p w14:paraId="4C9607DC" w14:textId="32B85C2A" w:rsidR="0035143A" w:rsidRDefault="0035143A" w:rsidP="0035143A">
      <w:pPr>
        <w:pStyle w:val="GG-Signature"/>
        <w:pBdr>
          <w:top w:val="single" w:sz="4" w:space="1" w:color="auto"/>
        </w:pBdr>
        <w:spacing w:before="34" w:line="14" w:lineRule="exact"/>
        <w:jc w:val="center"/>
      </w:pPr>
    </w:p>
    <w:p w14:paraId="4528EA33" w14:textId="3B72E624" w:rsidR="00567B0D" w:rsidRDefault="00567B0D" w:rsidP="00965F17">
      <w:pPr>
        <w:pStyle w:val="GG-body"/>
        <w:spacing w:after="0"/>
        <w:rPr>
          <w:lang w:val="en-US"/>
        </w:rPr>
      </w:pPr>
    </w:p>
    <w:p w14:paraId="29261D37" w14:textId="77777777" w:rsidR="0035143A" w:rsidRPr="0035143A" w:rsidRDefault="0035143A" w:rsidP="00392842">
      <w:pPr>
        <w:pStyle w:val="Heading2"/>
      </w:pPr>
      <w:bookmarkStart w:id="69" w:name="_Toc122600849"/>
      <w:r w:rsidRPr="0035143A">
        <w:t>The Remuneration Tribunal</w:t>
      </w:r>
      <w:bookmarkEnd w:id="69"/>
    </w:p>
    <w:p w14:paraId="363B8433" w14:textId="77777777" w:rsidR="0035143A" w:rsidRPr="0035143A" w:rsidRDefault="0035143A" w:rsidP="0035143A">
      <w:pPr>
        <w:jc w:val="center"/>
        <w:rPr>
          <w:smallCaps/>
          <w:szCs w:val="17"/>
        </w:rPr>
      </w:pPr>
      <w:r w:rsidRPr="0035143A">
        <w:rPr>
          <w:smallCaps/>
          <w:szCs w:val="17"/>
        </w:rPr>
        <w:t>Report—No. 6 of 2022</w:t>
      </w:r>
    </w:p>
    <w:p w14:paraId="244B5B5E" w14:textId="77777777" w:rsidR="0035143A" w:rsidRPr="0035143A" w:rsidRDefault="0035143A" w:rsidP="0035143A">
      <w:pPr>
        <w:jc w:val="center"/>
        <w:rPr>
          <w:i/>
          <w:szCs w:val="17"/>
        </w:rPr>
      </w:pPr>
      <w:r w:rsidRPr="0035143A">
        <w:rPr>
          <w:i/>
          <w:szCs w:val="17"/>
        </w:rPr>
        <w:t xml:space="preserve">2022 Review of Remuneration of Auditor-General, Electoral Commissioner, </w:t>
      </w:r>
      <w:r w:rsidRPr="0035143A">
        <w:rPr>
          <w:i/>
          <w:szCs w:val="17"/>
        </w:rPr>
        <w:br/>
        <w:t>Deputy Electoral Commissioner &amp; Health and Community Services Complaints Commissioner</w:t>
      </w:r>
    </w:p>
    <w:p w14:paraId="79FCD985" w14:textId="77777777" w:rsidR="0035143A" w:rsidRPr="0035143A" w:rsidRDefault="0035143A" w:rsidP="0035143A">
      <w:pPr>
        <w:rPr>
          <w:rFonts w:eastAsia="Times New Roman"/>
          <w:b/>
          <w:bCs/>
          <w:smallCaps/>
          <w:szCs w:val="17"/>
        </w:rPr>
      </w:pPr>
      <w:r w:rsidRPr="0035143A">
        <w:rPr>
          <w:rFonts w:eastAsia="Times New Roman"/>
          <w:b/>
          <w:bCs/>
          <w:smallCaps/>
          <w:szCs w:val="17"/>
        </w:rPr>
        <w:t>Report</w:t>
      </w:r>
    </w:p>
    <w:p w14:paraId="7431C23E" w14:textId="77777777" w:rsidR="0035143A" w:rsidRPr="0035143A" w:rsidRDefault="0035143A" w:rsidP="0035143A">
      <w:pPr>
        <w:jc w:val="left"/>
        <w:rPr>
          <w:b/>
          <w:bCs/>
          <w:szCs w:val="17"/>
        </w:rPr>
      </w:pPr>
      <w:r w:rsidRPr="0035143A">
        <w:rPr>
          <w:b/>
          <w:bCs/>
          <w:szCs w:val="17"/>
        </w:rPr>
        <w:t>INTRODUCTION</w:t>
      </w:r>
    </w:p>
    <w:p w14:paraId="33F5B95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Remuneration Tribunal (</w:t>
      </w:r>
      <w:r w:rsidRPr="0035143A">
        <w:rPr>
          <w:rFonts w:eastAsia="Times New Roman"/>
          <w:b/>
          <w:bCs/>
          <w:szCs w:val="17"/>
        </w:rPr>
        <w:t>Tribunal</w:t>
      </w:r>
      <w:r w:rsidRPr="0035143A">
        <w:rPr>
          <w:rFonts w:eastAsia="Times New Roman"/>
          <w:szCs w:val="17"/>
        </w:rPr>
        <w:t>) has conducted a review of Determination 4 of 2021</w:t>
      </w:r>
      <w:r w:rsidRPr="0035143A">
        <w:rPr>
          <w:rFonts w:eastAsia="Times New Roman"/>
          <w:szCs w:val="17"/>
          <w:vertAlign w:val="superscript"/>
        </w:rPr>
        <w:t>1</w:t>
      </w:r>
      <w:r w:rsidRPr="0035143A">
        <w:rPr>
          <w:rFonts w:eastAsia="Times New Roman"/>
          <w:szCs w:val="17"/>
        </w:rPr>
        <w:t xml:space="preserve"> which sets salaries payable to the following statutory offices as conferred under section 14 of the </w:t>
      </w:r>
      <w:r w:rsidRPr="0035143A">
        <w:rPr>
          <w:rFonts w:eastAsia="Times New Roman"/>
          <w:i/>
          <w:iCs/>
          <w:szCs w:val="17"/>
        </w:rPr>
        <w:t>Remuneration Act 1990</w:t>
      </w:r>
      <w:r w:rsidRPr="0035143A">
        <w:rPr>
          <w:rFonts w:eastAsia="Times New Roman"/>
          <w:szCs w:val="17"/>
        </w:rPr>
        <w:t xml:space="preserve"> (</w:t>
      </w:r>
      <w:r w:rsidRPr="0035143A">
        <w:rPr>
          <w:rFonts w:eastAsia="Times New Roman"/>
          <w:b/>
          <w:bCs/>
          <w:szCs w:val="17"/>
        </w:rPr>
        <w:t>Act</w:t>
      </w:r>
      <w:r w:rsidRPr="0035143A">
        <w:rPr>
          <w:rFonts w:eastAsia="Times New Roman"/>
          <w:szCs w:val="17"/>
        </w:rPr>
        <w:t>).</w:t>
      </w:r>
    </w:p>
    <w:p w14:paraId="74D3F8F9" w14:textId="77777777" w:rsidR="0035143A" w:rsidRPr="0035143A" w:rsidRDefault="0035143A" w:rsidP="009B29CF">
      <w:pPr>
        <w:numPr>
          <w:ilvl w:val="1"/>
          <w:numId w:val="87"/>
        </w:numPr>
        <w:spacing w:after="0"/>
        <w:ind w:left="714" w:hanging="357"/>
        <w:jc w:val="left"/>
        <w:rPr>
          <w:szCs w:val="17"/>
        </w:rPr>
      </w:pPr>
      <w:r w:rsidRPr="0035143A">
        <w:rPr>
          <w:szCs w:val="17"/>
        </w:rPr>
        <w:t>the Auditor-General</w:t>
      </w:r>
    </w:p>
    <w:p w14:paraId="03035568" w14:textId="77777777" w:rsidR="0035143A" w:rsidRPr="0035143A" w:rsidRDefault="0035143A" w:rsidP="009B29CF">
      <w:pPr>
        <w:numPr>
          <w:ilvl w:val="1"/>
          <w:numId w:val="87"/>
        </w:numPr>
        <w:spacing w:after="0"/>
        <w:ind w:left="714" w:hanging="357"/>
        <w:jc w:val="left"/>
        <w:rPr>
          <w:szCs w:val="17"/>
        </w:rPr>
      </w:pPr>
      <w:r w:rsidRPr="0035143A">
        <w:rPr>
          <w:szCs w:val="17"/>
        </w:rPr>
        <w:t>the Electoral Commissioner</w:t>
      </w:r>
    </w:p>
    <w:p w14:paraId="31F02E74" w14:textId="77777777" w:rsidR="0035143A" w:rsidRPr="0035143A" w:rsidRDefault="0035143A" w:rsidP="009B29CF">
      <w:pPr>
        <w:numPr>
          <w:ilvl w:val="1"/>
          <w:numId w:val="87"/>
        </w:numPr>
        <w:spacing w:after="0"/>
        <w:ind w:left="714" w:hanging="357"/>
        <w:jc w:val="left"/>
        <w:rPr>
          <w:szCs w:val="17"/>
        </w:rPr>
      </w:pPr>
      <w:r w:rsidRPr="0035143A">
        <w:rPr>
          <w:szCs w:val="17"/>
        </w:rPr>
        <w:t>the Deputy Electoral Commissioner</w:t>
      </w:r>
    </w:p>
    <w:p w14:paraId="6632F068" w14:textId="77777777" w:rsidR="0035143A" w:rsidRPr="0035143A" w:rsidRDefault="0035143A" w:rsidP="009B29CF">
      <w:pPr>
        <w:numPr>
          <w:ilvl w:val="1"/>
          <w:numId w:val="87"/>
        </w:numPr>
        <w:jc w:val="left"/>
        <w:rPr>
          <w:szCs w:val="17"/>
        </w:rPr>
      </w:pPr>
      <w:r w:rsidRPr="0035143A">
        <w:rPr>
          <w:szCs w:val="17"/>
        </w:rPr>
        <w:t>the Health and Community Services Complaints Commissioner.</w:t>
      </w:r>
    </w:p>
    <w:p w14:paraId="4B3DB593"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has decided to increase salaries for these offices as detailed in this report, with work value based increases applying to the first three office holders. The Tribunal has issued an accompanying determination which gives effect to its decision.</w:t>
      </w:r>
    </w:p>
    <w:p w14:paraId="196BA28B" w14:textId="77777777" w:rsidR="0035143A" w:rsidRPr="0035143A" w:rsidRDefault="0035143A" w:rsidP="0035143A">
      <w:pPr>
        <w:rPr>
          <w:rFonts w:eastAsia="Times New Roman"/>
          <w:szCs w:val="17"/>
        </w:rPr>
      </w:pPr>
      <w:r w:rsidRPr="0035143A">
        <w:rPr>
          <w:rFonts w:eastAsia="Times New Roman"/>
          <w:noProof/>
          <w:szCs w:val="17"/>
        </w:rPr>
        <mc:AlternateContent>
          <mc:Choice Requires="wps">
            <w:drawing>
              <wp:anchor distT="0" distB="0" distL="114300" distR="114300" simplePos="0" relativeHeight="251661312" behindDoc="0" locked="0" layoutInCell="1" allowOverlap="1" wp14:anchorId="1D498849" wp14:editId="28FE19DC">
                <wp:simplePos x="0" y="0"/>
                <wp:positionH relativeFrom="column">
                  <wp:posOffset>9839</wp:posOffset>
                </wp:positionH>
                <wp:positionV relativeFrom="paragraph">
                  <wp:posOffset>55914</wp:posOffset>
                </wp:positionV>
                <wp:extent cx="170822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17082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6F5B1A6"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" strokecolor="windowText" strokeweight=".5pt">
                <v:stroke joinstyle="miter"/>
              </v:line>
            </w:pict>
          </mc:Fallback>
        </mc:AlternateContent>
      </w:r>
    </w:p>
    <w:p w14:paraId="514775AD" w14:textId="77777777" w:rsidR="0035143A" w:rsidRPr="0035143A" w:rsidRDefault="0035143A" w:rsidP="0035143A">
      <w:pPr>
        <w:pBdr>
          <w:top w:val="nil"/>
          <w:left w:val="nil"/>
          <w:bottom w:val="nil"/>
          <w:right w:val="nil"/>
          <w:between w:val="nil"/>
          <w:bar w:val="nil"/>
        </w:pBdr>
        <w:spacing w:line="160" w:lineRule="exact"/>
        <w:ind w:left="142" w:hanging="142"/>
        <w:jc w:val="left"/>
        <w:rPr>
          <w:color w:val="000000"/>
          <w:sz w:val="16"/>
          <w:szCs w:val="16"/>
          <w:u w:color="000000"/>
          <w:bdr w:val="nil"/>
          <w:lang w:eastAsia="en-AU"/>
        </w:rPr>
      </w:pPr>
      <w:r w:rsidRPr="0035143A">
        <w:rPr>
          <w:color w:val="000000"/>
          <w:sz w:val="16"/>
          <w:szCs w:val="16"/>
          <w:u w:color="000000"/>
          <w:bdr w:val="nil"/>
          <w:vertAlign w:val="superscript"/>
          <w:lang w:val="en-US" w:eastAsia="en-AU"/>
        </w:rPr>
        <w:footnoteRef/>
      </w:r>
      <w:r w:rsidRPr="0035143A">
        <w:rPr>
          <w:color w:val="000000"/>
          <w:sz w:val="16"/>
          <w:szCs w:val="16"/>
          <w:u w:color="000000"/>
          <w:bdr w:val="nil"/>
          <w:lang w:val="en-US" w:eastAsia="en-AU"/>
        </w:rPr>
        <w:t xml:space="preserve"> </w:t>
      </w:r>
      <w:r w:rsidRPr="0035143A">
        <w:rPr>
          <w:color w:val="000000"/>
          <w:sz w:val="16"/>
          <w:szCs w:val="16"/>
          <w:u w:color="000000"/>
          <w:bdr w:val="nil"/>
          <w:lang w:val="en-US" w:eastAsia="en-AU"/>
        </w:rPr>
        <w:tab/>
      </w:r>
      <w:r w:rsidRPr="0035143A">
        <w:rPr>
          <w:color w:val="000000"/>
          <w:sz w:val="16"/>
          <w:szCs w:val="16"/>
          <w:u w:color="000000"/>
          <w:bdr w:val="nil"/>
          <w:lang w:eastAsia="en-AU"/>
        </w:rPr>
        <w:t>Remuneration of Auditor-General, Electoral Commissioner, Deputy Electoral Commissioner, Health and Community Services Complaints Commissioner.</w:t>
      </w:r>
    </w:p>
    <w:p w14:paraId="3D7A5D1E" w14:textId="77777777" w:rsidR="0035143A" w:rsidRPr="0035143A" w:rsidRDefault="0035143A" w:rsidP="0035143A">
      <w:pPr>
        <w:jc w:val="left"/>
        <w:rPr>
          <w:b/>
          <w:bCs/>
          <w:szCs w:val="17"/>
        </w:rPr>
      </w:pPr>
      <w:r w:rsidRPr="0035143A">
        <w:rPr>
          <w:b/>
          <w:bCs/>
          <w:szCs w:val="17"/>
        </w:rPr>
        <w:t>THE REVIEW PROCESS</w:t>
      </w:r>
    </w:p>
    <w:p w14:paraId="1A5317A0"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On 22 June 2022, and in accordance with sections 10(2) and 10(4) of the Act, the Tribunal wrote to and invited submissions by 25 July 2022 in respect of this review from:</w:t>
      </w:r>
    </w:p>
    <w:p w14:paraId="00BE12CC" w14:textId="77777777" w:rsidR="0035143A" w:rsidRPr="0035143A" w:rsidRDefault="0035143A" w:rsidP="009B29CF">
      <w:pPr>
        <w:numPr>
          <w:ilvl w:val="1"/>
          <w:numId w:val="89"/>
        </w:numPr>
        <w:spacing w:after="0"/>
        <w:jc w:val="left"/>
        <w:rPr>
          <w:szCs w:val="17"/>
        </w:rPr>
      </w:pPr>
      <w:r w:rsidRPr="0035143A">
        <w:rPr>
          <w:szCs w:val="17"/>
        </w:rPr>
        <w:t>the Honourable Premier of South Australia – as the Minister responsible for the Act who may make submissions or introduce evidence in the public interest</w:t>
      </w:r>
    </w:p>
    <w:p w14:paraId="16E3BC08" w14:textId="77777777" w:rsidR="0035143A" w:rsidRPr="0035143A" w:rsidRDefault="0035143A" w:rsidP="009B29CF">
      <w:pPr>
        <w:numPr>
          <w:ilvl w:val="1"/>
          <w:numId w:val="87"/>
        </w:numPr>
        <w:ind w:left="714" w:hanging="357"/>
        <w:jc w:val="left"/>
        <w:rPr>
          <w:szCs w:val="17"/>
        </w:rPr>
      </w:pPr>
      <w:r w:rsidRPr="0035143A">
        <w:rPr>
          <w:szCs w:val="17"/>
        </w:rPr>
        <w:t>the above mentioned office holders</w:t>
      </w:r>
    </w:p>
    <w:p w14:paraId="39B140EC"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In seeking these submissions, the Tribunal noted its indication in its 2021 report that it was minded to consider conducting a work value assessment of these roles. Accordingly, the Tribunal invited submissions on this topic.</w:t>
      </w:r>
    </w:p>
    <w:p w14:paraId="60145DAF"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also placed a notice on its website from 22 June 2022 calling for submissions from affected persons by 25 July 2022.</w:t>
      </w:r>
    </w:p>
    <w:p w14:paraId="085AF0B9"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received a joint submission from the Electoral Commissioner and Deputy Electoral Commissioner on 25 July 2022. It also received a submission from the Premier’s representative on 1 August 2022. No other written submissions were received.</w:t>
      </w:r>
    </w:p>
    <w:p w14:paraId="23D19D22"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submissions and other information received from the Electoral Commissioner and Deputy Electoral Commissioner are dealt with later in this report. It is useful however to briefly summarise the initial submissions received from the Premier’s representative. In summary, they provided information on wage movements in the public sector, economic data, and background to this review, and submitted that:</w:t>
      </w:r>
    </w:p>
    <w:p w14:paraId="3B85F678" w14:textId="77777777" w:rsidR="0035143A" w:rsidRPr="0035143A" w:rsidRDefault="0035143A" w:rsidP="009B29CF">
      <w:pPr>
        <w:numPr>
          <w:ilvl w:val="1"/>
          <w:numId w:val="90"/>
        </w:numPr>
        <w:spacing w:after="0"/>
        <w:ind w:left="714" w:hanging="357"/>
        <w:jc w:val="left"/>
        <w:rPr>
          <w:szCs w:val="17"/>
        </w:rPr>
      </w:pPr>
      <w:r w:rsidRPr="0035143A">
        <w:rPr>
          <w:szCs w:val="17"/>
        </w:rPr>
        <w:t>while the Tribunal retains a broad discretion in conducting its annual reviews, it should be cautious in approaching a work value-based assessment as presently there is insufficient indicative evidence of significant work value increases to justify this</w:t>
      </w:r>
    </w:p>
    <w:p w14:paraId="1D4D409F" w14:textId="77777777" w:rsidR="0035143A" w:rsidRPr="0035143A" w:rsidRDefault="0035143A" w:rsidP="009B29CF">
      <w:pPr>
        <w:numPr>
          <w:ilvl w:val="1"/>
          <w:numId w:val="87"/>
        </w:numPr>
        <w:ind w:left="714" w:hanging="357"/>
        <w:jc w:val="left"/>
        <w:rPr>
          <w:szCs w:val="17"/>
        </w:rPr>
      </w:pPr>
      <w:r w:rsidRPr="0035143A">
        <w:rPr>
          <w:szCs w:val="17"/>
        </w:rPr>
        <w:t>an increase of 1.5% from 1 January 2022 would be consistent with the Tribunal’s past approach of maintaining increases within a reasonable range when compared with public sector executives.</w:t>
      </w:r>
    </w:p>
    <w:p w14:paraId="37B4E43C"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On 30 August 2022, the Tribunal wrote to the Auditor-General and invited him to attend before the Tribunal to provide information on the responsibilities of his office as compared with other jurisdictions and on the salary differences. This invitation was extended, in circumstances where the Auditor-General had chosen not to provide a submission, but the Tribunal noted that the last work value review for the Auditor-General occurred over 20 years ago.</w:t>
      </w:r>
    </w:p>
    <w:p w14:paraId="31A4AEC9"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On 30 August 2022, the Tribunal wrote to the Electoral Commissioner and invited him and the Deputy Electoral Commissioner to attend before the Tribunal to provide information on the responsibilities of both offices as compared with other jurisdictions and on the salary differences.</w:t>
      </w:r>
    </w:p>
    <w:p w14:paraId="15D21875"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On 30 August 2022, the Tribunal wrote to the Premier to notify him of the proposed meetings, and that it intended to inform the Premier of its proposed approach to the review together with an opportunity to comment on that approach before any final conclusion is reached.</w:t>
      </w:r>
    </w:p>
    <w:p w14:paraId="38010643"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subsequently met with the Auditor-General on 26 September 2022, and then with the Electoral Commissioner and Deputy Electoral Commissioner.</w:t>
      </w:r>
    </w:p>
    <w:p w14:paraId="1A5A164D"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On 17 October 2022, the Tribunal wrote to the Premier and provided him with an indication of the Tribunal’s preliminary conclusions. The Premier was asked whether he wished to make any further submissions, and if so, to nominate a date by which submissions would be provided. </w:t>
      </w:r>
    </w:p>
    <w:p w14:paraId="0D16594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lastRenderedPageBreak/>
        <w:t>The Premier’s representative has since confirmed that the Premier does not wish to make any further submissions. The Tribunal has taken the Premier’s position to simply confirm that the establishment of an appropriate level of remuneration is entirely a matter for the Tribunal.</w:t>
      </w:r>
    </w:p>
    <w:p w14:paraId="2D6B88FB" w14:textId="77777777" w:rsidR="0035143A" w:rsidRPr="0035143A" w:rsidRDefault="0035143A" w:rsidP="0035143A">
      <w:pPr>
        <w:jc w:val="left"/>
        <w:rPr>
          <w:b/>
          <w:bCs/>
          <w:szCs w:val="17"/>
        </w:rPr>
      </w:pPr>
      <w:r w:rsidRPr="0035143A">
        <w:rPr>
          <w:b/>
          <w:bCs/>
          <w:szCs w:val="17"/>
        </w:rPr>
        <w:t>CONSIDERATION AND CONCLUSION</w:t>
      </w:r>
    </w:p>
    <w:p w14:paraId="1172C1A7" w14:textId="77777777" w:rsidR="0035143A" w:rsidRPr="0035143A" w:rsidRDefault="0035143A" w:rsidP="0035143A">
      <w:pPr>
        <w:jc w:val="left"/>
        <w:rPr>
          <w:b/>
          <w:bCs/>
          <w:szCs w:val="17"/>
        </w:rPr>
      </w:pPr>
      <w:r w:rsidRPr="0035143A">
        <w:rPr>
          <w:b/>
          <w:bCs/>
          <w:szCs w:val="17"/>
        </w:rPr>
        <w:t xml:space="preserve">The Auditor-General </w:t>
      </w:r>
    </w:p>
    <w:p w14:paraId="7A7BED8B"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Notwithstanding that the Auditor-General did not request an increase, or review of his remuneration, the Tribunal was concerned that this remuneration had not been reviewed against work value principles for many years. The Tribunal also noted very substantial discrepancies between remuneration levels for Auditors-General in every State and Territory when compared to the South Australian Auditor-General’s remuneration.</w:t>
      </w:r>
    </w:p>
    <w:p w14:paraId="7F54F171"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These differences are shown in the table below:</w:t>
      </w:r>
    </w:p>
    <w:tbl>
      <w:tblPr>
        <w:tblW w:w="6917" w:type="dxa"/>
        <w:tblInd w:w="454" w:type="dxa"/>
        <w:tblCellMar>
          <w:left w:w="0" w:type="dxa"/>
          <w:right w:w="0" w:type="dxa"/>
        </w:tblCellMar>
        <w:tblLook w:val="04A0" w:firstRow="1" w:lastRow="0" w:firstColumn="1" w:lastColumn="0" w:noHBand="0" w:noVBand="1"/>
      </w:tblPr>
      <w:tblGrid>
        <w:gridCol w:w="1980"/>
        <w:gridCol w:w="81"/>
        <w:gridCol w:w="3612"/>
        <w:gridCol w:w="576"/>
        <w:gridCol w:w="668"/>
      </w:tblGrid>
      <w:tr w:rsidR="0035143A" w:rsidRPr="0035143A" w14:paraId="78ED8AAC" w14:textId="77777777" w:rsidTr="0035143A">
        <w:tc>
          <w:tcPr>
            <w:tcW w:w="1980" w:type="dxa"/>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6450E3E5" w14:textId="77777777" w:rsidR="0035143A" w:rsidRPr="0035143A" w:rsidRDefault="0035143A" w:rsidP="0035143A">
            <w:pPr>
              <w:spacing w:before="40" w:after="40"/>
              <w:jc w:val="center"/>
              <w:rPr>
                <w:b/>
                <w:bCs/>
                <w:color w:val="000000"/>
                <w:szCs w:val="17"/>
              </w:rPr>
            </w:pPr>
            <w:r w:rsidRPr="0035143A">
              <w:rPr>
                <w:b/>
                <w:bCs/>
                <w:color w:val="000000"/>
                <w:szCs w:val="17"/>
              </w:rPr>
              <w:t>Jurisdiction</w:t>
            </w:r>
          </w:p>
        </w:tc>
        <w:tc>
          <w:tcPr>
            <w:tcW w:w="81" w:type="dxa"/>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0E43AC13" w14:textId="77777777" w:rsidR="0035143A" w:rsidRPr="0035143A" w:rsidRDefault="0035143A" w:rsidP="0035143A">
            <w:pPr>
              <w:spacing w:before="40" w:after="40"/>
              <w:jc w:val="center"/>
              <w:rPr>
                <w:color w:val="000000"/>
                <w:szCs w:val="17"/>
              </w:rPr>
            </w:pPr>
          </w:p>
        </w:tc>
        <w:tc>
          <w:tcPr>
            <w:tcW w:w="3612" w:type="dxa"/>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552D0D3F" w14:textId="77777777" w:rsidR="0035143A" w:rsidRPr="0035143A" w:rsidRDefault="0035143A" w:rsidP="0035143A">
            <w:pPr>
              <w:spacing w:before="40" w:after="40"/>
              <w:jc w:val="center"/>
              <w:rPr>
                <w:b/>
                <w:bCs/>
                <w:color w:val="000000"/>
                <w:szCs w:val="17"/>
              </w:rPr>
            </w:pPr>
            <w:r w:rsidRPr="0035143A">
              <w:rPr>
                <w:b/>
                <w:bCs/>
                <w:color w:val="000000"/>
                <w:szCs w:val="17"/>
              </w:rPr>
              <w:t>2021</w:t>
            </w:r>
          </w:p>
        </w:tc>
        <w:tc>
          <w:tcPr>
            <w:tcW w:w="576" w:type="dxa"/>
            <w:tcBorders>
              <w:top w:val="single" w:sz="4" w:space="0" w:color="auto"/>
              <w:bottom w:val="single" w:sz="4" w:space="0" w:color="auto"/>
            </w:tcBorders>
            <w:shd w:val="clear" w:color="auto" w:fill="FFFFFF" w:themeFill="background1"/>
            <w:vAlign w:val="center"/>
          </w:tcPr>
          <w:p w14:paraId="3C621A81" w14:textId="77777777" w:rsidR="0035143A" w:rsidRPr="0035143A" w:rsidRDefault="0035143A" w:rsidP="0035143A">
            <w:pPr>
              <w:spacing w:before="40" w:after="40"/>
              <w:jc w:val="center"/>
              <w:rPr>
                <w:b/>
                <w:bCs/>
                <w:color w:val="000000"/>
                <w:szCs w:val="17"/>
              </w:rPr>
            </w:pPr>
          </w:p>
        </w:tc>
        <w:tc>
          <w:tcPr>
            <w:tcW w:w="668" w:type="dxa"/>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1A9FA0EE" w14:textId="77777777" w:rsidR="0035143A" w:rsidRPr="0035143A" w:rsidRDefault="0035143A" w:rsidP="0035143A">
            <w:pPr>
              <w:spacing w:before="40" w:after="40"/>
              <w:jc w:val="center"/>
              <w:rPr>
                <w:b/>
                <w:bCs/>
                <w:color w:val="000000"/>
                <w:szCs w:val="17"/>
              </w:rPr>
            </w:pPr>
            <w:r w:rsidRPr="0035143A">
              <w:rPr>
                <w:b/>
                <w:bCs/>
                <w:color w:val="000000"/>
                <w:szCs w:val="17"/>
              </w:rPr>
              <w:t>2022</w:t>
            </w:r>
          </w:p>
        </w:tc>
      </w:tr>
      <w:tr w:rsidR="0035143A" w:rsidRPr="0035143A" w14:paraId="44907151" w14:textId="77777777" w:rsidTr="0035143A">
        <w:tc>
          <w:tcPr>
            <w:tcW w:w="1980" w:type="dxa"/>
            <w:tcBorders>
              <w:top w:val="single" w:sz="4" w:space="0" w:color="auto"/>
            </w:tcBorders>
            <w:shd w:val="clear" w:color="auto" w:fill="auto"/>
            <w:noWrap/>
            <w:tcMar>
              <w:top w:w="15" w:type="dxa"/>
              <w:left w:w="15" w:type="dxa"/>
              <w:bottom w:w="0" w:type="dxa"/>
              <w:right w:w="15" w:type="dxa"/>
            </w:tcMar>
            <w:vAlign w:val="center"/>
            <w:hideMark/>
          </w:tcPr>
          <w:p w14:paraId="4BEDDBE0" w14:textId="77777777" w:rsidR="0035143A" w:rsidRPr="0035143A" w:rsidRDefault="0035143A" w:rsidP="0035143A">
            <w:pPr>
              <w:spacing w:before="20" w:after="20"/>
              <w:rPr>
                <w:color w:val="000000"/>
                <w:szCs w:val="17"/>
              </w:rPr>
            </w:pPr>
            <w:r w:rsidRPr="0035143A">
              <w:rPr>
                <w:color w:val="000000"/>
                <w:szCs w:val="17"/>
              </w:rPr>
              <w:t>Victoria</w:t>
            </w:r>
          </w:p>
        </w:tc>
        <w:tc>
          <w:tcPr>
            <w:tcW w:w="81" w:type="dxa"/>
            <w:tcBorders>
              <w:top w:val="single" w:sz="4" w:space="0" w:color="auto"/>
            </w:tcBorders>
            <w:shd w:val="clear" w:color="auto" w:fill="auto"/>
            <w:noWrap/>
            <w:tcMar>
              <w:top w:w="15" w:type="dxa"/>
              <w:left w:w="15" w:type="dxa"/>
              <w:bottom w:w="0" w:type="dxa"/>
              <w:right w:w="15" w:type="dxa"/>
            </w:tcMar>
            <w:vAlign w:val="center"/>
            <w:hideMark/>
          </w:tcPr>
          <w:p w14:paraId="7F18EFB8" w14:textId="77777777" w:rsidR="0035143A" w:rsidRPr="0035143A" w:rsidRDefault="0035143A" w:rsidP="0035143A">
            <w:pPr>
              <w:spacing w:before="20" w:after="20"/>
              <w:rPr>
                <w:color w:val="000000"/>
                <w:szCs w:val="17"/>
              </w:rPr>
            </w:pPr>
          </w:p>
        </w:tc>
        <w:tc>
          <w:tcPr>
            <w:tcW w:w="3612" w:type="dxa"/>
            <w:tcBorders>
              <w:top w:val="single" w:sz="4" w:space="0" w:color="auto"/>
            </w:tcBorders>
            <w:shd w:val="clear" w:color="auto" w:fill="auto"/>
            <w:tcMar>
              <w:top w:w="15" w:type="dxa"/>
              <w:left w:w="15" w:type="dxa"/>
              <w:bottom w:w="0" w:type="dxa"/>
              <w:right w:w="15" w:type="dxa"/>
            </w:tcMar>
            <w:vAlign w:val="center"/>
            <w:hideMark/>
          </w:tcPr>
          <w:p w14:paraId="7AB173C1" w14:textId="77777777" w:rsidR="0035143A" w:rsidRPr="0035143A" w:rsidRDefault="0035143A" w:rsidP="0035143A">
            <w:pPr>
              <w:spacing w:before="20" w:after="20"/>
              <w:jc w:val="center"/>
              <w:rPr>
                <w:b/>
                <w:bCs/>
                <w:color w:val="000000"/>
                <w:szCs w:val="17"/>
              </w:rPr>
            </w:pPr>
            <w:r w:rsidRPr="0035143A">
              <w:rPr>
                <w:b/>
                <w:bCs/>
                <w:color w:val="000000"/>
                <w:szCs w:val="17"/>
              </w:rPr>
              <w:t xml:space="preserve">$540,000–$549,999 </w:t>
            </w:r>
          </w:p>
          <w:p w14:paraId="04B2B485" w14:textId="77777777" w:rsidR="0035143A" w:rsidRPr="0035143A" w:rsidRDefault="0035143A" w:rsidP="0035143A">
            <w:pPr>
              <w:spacing w:before="20" w:after="20"/>
              <w:jc w:val="center"/>
              <w:rPr>
                <w:color w:val="000000"/>
                <w:szCs w:val="17"/>
              </w:rPr>
            </w:pPr>
            <w:r w:rsidRPr="0035143A">
              <w:rPr>
                <w:color w:val="000000"/>
                <w:szCs w:val="17"/>
              </w:rPr>
              <w:t>(presume total package)</w:t>
            </w:r>
          </w:p>
        </w:tc>
        <w:tc>
          <w:tcPr>
            <w:tcW w:w="576" w:type="dxa"/>
            <w:tcBorders>
              <w:top w:val="single" w:sz="4" w:space="0" w:color="auto"/>
            </w:tcBorders>
            <w:vAlign w:val="center"/>
          </w:tcPr>
          <w:p w14:paraId="56C3FA1A" w14:textId="77777777" w:rsidR="0035143A" w:rsidRPr="0035143A" w:rsidRDefault="0035143A" w:rsidP="0035143A">
            <w:pPr>
              <w:spacing w:before="20" w:after="20"/>
              <w:jc w:val="center"/>
              <w:rPr>
                <w:b/>
                <w:bCs/>
                <w:color w:val="000000"/>
                <w:szCs w:val="17"/>
              </w:rPr>
            </w:pPr>
          </w:p>
        </w:tc>
        <w:tc>
          <w:tcPr>
            <w:tcW w:w="668" w:type="dxa"/>
            <w:tcBorders>
              <w:top w:val="single" w:sz="4" w:space="0" w:color="auto"/>
            </w:tcBorders>
            <w:shd w:val="clear" w:color="auto" w:fill="auto"/>
            <w:noWrap/>
            <w:tcMar>
              <w:top w:w="15" w:type="dxa"/>
              <w:left w:w="15" w:type="dxa"/>
              <w:bottom w:w="0" w:type="dxa"/>
              <w:right w:w="15" w:type="dxa"/>
            </w:tcMar>
            <w:vAlign w:val="center"/>
            <w:hideMark/>
          </w:tcPr>
          <w:p w14:paraId="375EA298" w14:textId="77777777" w:rsidR="0035143A" w:rsidRPr="0035143A" w:rsidRDefault="0035143A" w:rsidP="0035143A">
            <w:pPr>
              <w:spacing w:before="20" w:after="20"/>
              <w:jc w:val="center"/>
              <w:rPr>
                <w:b/>
                <w:bCs/>
                <w:color w:val="000000"/>
                <w:szCs w:val="17"/>
              </w:rPr>
            </w:pPr>
          </w:p>
        </w:tc>
      </w:tr>
      <w:tr w:rsidR="0035143A" w:rsidRPr="0035143A" w14:paraId="15BF79BB" w14:textId="77777777" w:rsidTr="0035143A">
        <w:tc>
          <w:tcPr>
            <w:tcW w:w="1980" w:type="dxa"/>
            <w:shd w:val="clear" w:color="auto" w:fill="auto"/>
            <w:noWrap/>
            <w:tcMar>
              <w:top w:w="15" w:type="dxa"/>
              <w:left w:w="15" w:type="dxa"/>
              <w:bottom w:w="0" w:type="dxa"/>
              <w:right w:w="15" w:type="dxa"/>
            </w:tcMar>
            <w:vAlign w:val="center"/>
            <w:hideMark/>
          </w:tcPr>
          <w:p w14:paraId="745810EE" w14:textId="77777777" w:rsidR="0035143A" w:rsidRPr="0035143A" w:rsidRDefault="0035143A" w:rsidP="0035143A">
            <w:pPr>
              <w:spacing w:before="20" w:after="20"/>
              <w:rPr>
                <w:color w:val="000000"/>
                <w:szCs w:val="17"/>
              </w:rPr>
            </w:pPr>
            <w:r w:rsidRPr="0035143A">
              <w:rPr>
                <w:color w:val="000000"/>
                <w:szCs w:val="17"/>
              </w:rPr>
              <w:t>NSW</w:t>
            </w:r>
          </w:p>
        </w:tc>
        <w:tc>
          <w:tcPr>
            <w:tcW w:w="81" w:type="dxa"/>
            <w:shd w:val="clear" w:color="auto" w:fill="auto"/>
            <w:noWrap/>
            <w:tcMar>
              <w:top w:w="15" w:type="dxa"/>
              <w:left w:w="15" w:type="dxa"/>
              <w:bottom w:w="0" w:type="dxa"/>
              <w:right w:w="15" w:type="dxa"/>
            </w:tcMar>
            <w:vAlign w:val="center"/>
            <w:hideMark/>
          </w:tcPr>
          <w:p w14:paraId="718E78DD" w14:textId="77777777" w:rsidR="0035143A" w:rsidRPr="0035143A" w:rsidRDefault="0035143A" w:rsidP="0035143A">
            <w:pPr>
              <w:spacing w:before="20" w:after="20"/>
              <w:rPr>
                <w:color w:val="000000"/>
                <w:szCs w:val="17"/>
              </w:rPr>
            </w:pPr>
          </w:p>
        </w:tc>
        <w:tc>
          <w:tcPr>
            <w:tcW w:w="3612" w:type="dxa"/>
            <w:shd w:val="clear" w:color="auto" w:fill="auto"/>
            <w:noWrap/>
            <w:tcMar>
              <w:top w:w="15" w:type="dxa"/>
              <w:left w:w="15" w:type="dxa"/>
              <w:bottom w:w="0" w:type="dxa"/>
              <w:right w:w="15" w:type="dxa"/>
            </w:tcMar>
            <w:vAlign w:val="center"/>
            <w:hideMark/>
          </w:tcPr>
          <w:p w14:paraId="01BFA09D" w14:textId="77777777" w:rsidR="0035143A" w:rsidRPr="0035143A" w:rsidRDefault="0035143A" w:rsidP="0035143A">
            <w:pPr>
              <w:spacing w:before="20" w:after="20"/>
              <w:jc w:val="center"/>
              <w:rPr>
                <w:b/>
                <w:bCs/>
                <w:color w:val="000000"/>
                <w:szCs w:val="17"/>
              </w:rPr>
            </w:pPr>
            <w:r w:rsidRPr="0035143A">
              <w:rPr>
                <w:b/>
                <w:bCs/>
                <w:color w:val="000000"/>
                <w:szCs w:val="17"/>
              </w:rPr>
              <w:t>$513,880</w:t>
            </w:r>
          </w:p>
        </w:tc>
        <w:tc>
          <w:tcPr>
            <w:tcW w:w="576" w:type="dxa"/>
            <w:vAlign w:val="center"/>
          </w:tcPr>
          <w:p w14:paraId="2F8150EC" w14:textId="77777777" w:rsidR="0035143A" w:rsidRPr="0035143A" w:rsidRDefault="0035143A" w:rsidP="0035143A">
            <w:pPr>
              <w:spacing w:before="20" w:after="20"/>
              <w:jc w:val="center"/>
              <w:rPr>
                <w:b/>
                <w:bCs/>
                <w:color w:val="000000"/>
                <w:szCs w:val="17"/>
              </w:rPr>
            </w:pPr>
          </w:p>
        </w:tc>
        <w:tc>
          <w:tcPr>
            <w:tcW w:w="668" w:type="dxa"/>
            <w:shd w:val="clear" w:color="auto" w:fill="auto"/>
            <w:noWrap/>
            <w:tcMar>
              <w:top w:w="15" w:type="dxa"/>
              <w:left w:w="15" w:type="dxa"/>
              <w:bottom w:w="0" w:type="dxa"/>
              <w:right w:w="15" w:type="dxa"/>
            </w:tcMar>
            <w:vAlign w:val="center"/>
            <w:hideMark/>
          </w:tcPr>
          <w:p w14:paraId="0F0A35D2" w14:textId="77777777" w:rsidR="0035143A" w:rsidRPr="0035143A" w:rsidRDefault="0035143A" w:rsidP="0035143A">
            <w:pPr>
              <w:spacing w:before="20" w:after="20"/>
              <w:jc w:val="center"/>
              <w:rPr>
                <w:b/>
                <w:bCs/>
                <w:color w:val="000000"/>
                <w:szCs w:val="17"/>
              </w:rPr>
            </w:pPr>
            <w:r w:rsidRPr="0035143A">
              <w:rPr>
                <w:b/>
                <w:bCs/>
                <w:color w:val="000000"/>
                <w:szCs w:val="17"/>
              </w:rPr>
              <w:t>$521,740</w:t>
            </w:r>
          </w:p>
        </w:tc>
      </w:tr>
      <w:tr w:rsidR="0035143A" w:rsidRPr="0035143A" w14:paraId="39566283" w14:textId="77777777" w:rsidTr="0035143A">
        <w:tc>
          <w:tcPr>
            <w:tcW w:w="1980" w:type="dxa"/>
            <w:shd w:val="clear" w:color="auto" w:fill="auto"/>
            <w:noWrap/>
            <w:tcMar>
              <w:top w:w="15" w:type="dxa"/>
              <w:left w:w="15" w:type="dxa"/>
              <w:bottom w:w="0" w:type="dxa"/>
              <w:right w:w="15" w:type="dxa"/>
            </w:tcMar>
            <w:vAlign w:val="center"/>
            <w:hideMark/>
          </w:tcPr>
          <w:p w14:paraId="6DADB680" w14:textId="77777777" w:rsidR="0035143A" w:rsidRPr="0035143A" w:rsidRDefault="0035143A" w:rsidP="0035143A">
            <w:pPr>
              <w:spacing w:before="20" w:after="20"/>
              <w:rPr>
                <w:color w:val="000000"/>
                <w:szCs w:val="17"/>
              </w:rPr>
            </w:pPr>
            <w:r w:rsidRPr="0035143A">
              <w:rPr>
                <w:color w:val="000000"/>
                <w:szCs w:val="17"/>
              </w:rPr>
              <w:t>Queensland</w:t>
            </w:r>
          </w:p>
        </w:tc>
        <w:tc>
          <w:tcPr>
            <w:tcW w:w="81" w:type="dxa"/>
            <w:shd w:val="clear" w:color="auto" w:fill="auto"/>
            <w:noWrap/>
            <w:tcMar>
              <w:top w:w="15" w:type="dxa"/>
              <w:left w:w="15" w:type="dxa"/>
              <w:bottom w:w="0" w:type="dxa"/>
              <w:right w:w="15" w:type="dxa"/>
            </w:tcMar>
            <w:vAlign w:val="center"/>
            <w:hideMark/>
          </w:tcPr>
          <w:p w14:paraId="3C3F35DA" w14:textId="77777777" w:rsidR="0035143A" w:rsidRPr="0035143A" w:rsidRDefault="0035143A" w:rsidP="0035143A">
            <w:pPr>
              <w:spacing w:before="20" w:after="20"/>
              <w:rPr>
                <w:color w:val="000000"/>
                <w:szCs w:val="17"/>
              </w:rPr>
            </w:pPr>
          </w:p>
        </w:tc>
        <w:tc>
          <w:tcPr>
            <w:tcW w:w="3612" w:type="dxa"/>
            <w:shd w:val="clear" w:color="auto" w:fill="auto"/>
            <w:noWrap/>
            <w:tcMar>
              <w:top w:w="15" w:type="dxa"/>
              <w:left w:w="15" w:type="dxa"/>
              <w:bottom w:w="0" w:type="dxa"/>
              <w:right w:w="15" w:type="dxa"/>
            </w:tcMar>
            <w:vAlign w:val="center"/>
            <w:hideMark/>
          </w:tcPr>
          <w:p w14:paraId="6001AEA8" w14:textId="77777777" w:rsidR="0035143A" w:rsidRPr="0035143A" w:rsidRDefault="0035143A" w:rsidP="0035143A">
            <w:pPr>
              <w:spacing w:before="20" w:after="20"/>
              <w:jc w:val="center"/>
              <w:rPr>
                <w:b/>
                <w:bCs/>
                <w:color w:val="000000"/>
                <w:szCs w:val="17"/>
              </w:rPr>
            </w:pPr>
            <w:r w:rsidRPr="0035143A">
              <w:rPr>
                <w:b/>
                <w:bCs/>
                <w:color w:val="000000"/>
                <w:szCs w:val="17"/>
              </w:rPr>
              <w:t>$467,000</w:t>
            </w:r>
          </w:p>
        </w:tc>
        <w:tc>
          <w:tcPr>
            <w:tcW w:w="576" w:type="dxa"/>
            <w:vAlign w:val="center"/>
          </w:tcPr>
          <w:p w14:paraId="3B96414B" w14:textId="77777777" w:rsidR="0035143A" w:rsidRPr="0035143A" w:rsidRDefault="0035143A" w:rsidP="0035143A">
            <w:pPr>
              <w:spacing w:before="20" w:after="20"/>
              <w:jc w:val="center"/>
              <w:rPr>
                <w:b/>
                <w:bCs/>
                <w:color w:val="000000"/>
                <w:szCs w:val="17"/>
              </w:rPr>
            </w:pPr>
          </w:p>
        </w:tc>
        <w:tc>
          <w:tcPr>
            <w:tcW w:w="668" w:type="dxa"/>
            <w:shd w:val="clear" w:color="auto" w:fill="auto"/>
            <w:noWrap/>
            <w:tcMar>
              <w:top w:w="15" w:type="dxa"/>
              <w:left w:w="15" w:type="dxa"/>
              <w:bottom w:w="0" w:type="dxa"/>
              <w:right w:w="15" w:type="dxa"/>
            </w:tcMar>
            <w:vAlign w:val="center"/>
            <w:hideMark/>
          </w:tcPr>
          <w:p w14:paraId="0E53A10F" w14:textId="77777777" w:rsidR="0035143A" w:rsidRPr="0035143A" w:rsidRDefault="0035143A" w:rsidP="0035143A">
            <w:pPr>
              <w:spacing w:before="20" w:after="20"/>
              <w:jc w:val="center"/>
              <w:rPr>
                <w:b/>
                <w:bCs/>
                <w:color w:val="000000"/>
                <w:szCs w:val="17"/>
              </w:rPr>
            </w:pPr>
          </w:p>
        </w:tc>
      </w:tr>
      <w:tr w:rsidR="0035143A" w:rsidRPr="0035143A" w14:paraId="0D28D72A" w14:textId="77777777" w:rsidTr="0035143A">
        <w:tc>
          <w:tcPr>
            <w:tcW w:w="1980" w:type="dxa"/>
            <w:shd w:val="clear" w:color="auto" w:fill="auto"/>
            <w:noWrap/>
            <w:tcMar>
              <w:top w:w="15" w:type="dxa"/>
              <w:left w:w="15" w:type="dxa"/>
              <w:bottom w:w="0" w:type="dxa"/>
              <w:right w:w="15" w:type="dxa"/>
            </w:tcMar>
            <w:vAlign w:val="center"/>
            <w:hideMark/>
          </w:tcPr>
          <w:p w14:paraId="420E1FEB" w14:textId="77777777" w:rsidR="0035143A" w:rsidRPr="0035143A" w:rsidRDefault="0035143A" w:rsidP="0035143A">
            <w:pPr>
              <w:spacing w:before="20" w:after="20"/>
              <w:rPr>
                <w:color w:val="000000"/>
                <w:szCs w:val="17"/>
              </w:rPr>
            </w:pPr>
            <w:r w:rsidRPr="0035143A">
              <w:rPr>
                <w:color w:val="000000"/>
                <w:szCs w:val="17"/>
              </w:rPr>
              <w:t>Western Australia</w:t>
            </w:r>
          </w:p>
        </w:tc>
        <w:tc>
          <w:tcPr>
            <w:tcW w:w="3693" w:type="dxa"/>
            <w:gridSpan w:val="2"/>
            <w:shd w:val="clear" w:color="auto" w:fill="auto"/>
            <w:noWrap/>
            <w:tcMar>
              <w:top w:w="15" w:type="dxa"/>
              <w:left w:w="15" w:type="dxa"/>
              <w:bottom w:w="0" w:type="dxa"/>
              <w:right w:w="15" w:type="dxa"/>
            </w:tcMar>
            <w:vAlign w:val="center"/>
            <w:hideMark/>
          </w:tcPr>
          <w:p w14:paraId="32EB5C87" w14:textId="77777777" w:rsidR="0035143A" w:rsidRPr="0035143A" w:rsidRDefault="0035143A" w:rsidP="0035143A">
            <w:pPr>
              <w:spacing w:before="20" w:after="20"/>
              <w:jc w:val="center"/>
              <w:rPr>
                <w:b/>
                <w:bCs/>
                <w:color w:val="000000"/>
                <w:szCs w:val="17"/>
              </w:rPr>
            </w:pPr>
            <w:r w:rsidRPr="0035143A">
              <w:rPr>
                <w:b/>
                <w:bCs/>
                <w:color w:val="000000"/>
                <w:szCs w:val="17"/>
              </w:rPr>
              <w:t xml:space="preserve">  $403,288</w:t>
            </w:r>
          </w:p>
        </w:tc>
        <w:tc>
          <w:tcPr>
            <w:tcW w:w="576" w:type="dxa"/>
            <w:vAlign w:val="center"/>
          </w:tcPr>
          <w:p w14:paraId="0A497EF0" w14:textId="77777777" w:rsidR="0035143A" w:rsidRPr="0035143A" w:rsidRDefault="0035143A" w:rsidP="0035143A">
            <w:pPr>
              <w:spacing w:before="20" w:after="20"/>
              <w:jc w:val="center"/>
              <w:rPr>
                <w:b/>
                <w:bCs/>
                <w:color w:val="000000"/>
                <w:szCs w:val="17"/>
              </w:rPr>
            </w:pPr>
          </w:p>
        </w:tc>
        <w:tc>
          <w:tcPr>
            <w:tcW w:w="668" w:type="dxa"/>
            <w:shd w:val="clear" w:color="auto" w:fill="auto"/>
            <w:noWrap/>
            <w:tcMar>
              <w:top w:w="15" w:type="dxa"/>
              <w:left w:w="15" w:type="dxa"/>
              <w:bottom w:w="0" w:type="dxa"/>
              <w:right w:w="15" w:type="dxa"/>
            </w:tcMar>
            <w:vAlign w:val="center"/>
            <w:hideMark/>
          </w:tcPr>
          <w:p w14:paraId="40977323" w14:textId="77777777" w:rsidR="0035143A" w:rsidRPr="0035143A" w:rsidRDefault="0035143A" w:rsidP="0035143A">
            <w:pPr>
              <w:spacing w:before="20" w:after="20"/>
              <w:jc w:val="center"/>
              <w:rPr>
                <w:b/>
                <w:bCs/>
                <w:color w:val="000000"/>
                <w:szCs w:val="17"/>
              </w:rPr>
            </w:pPr>
            <w:r w:rsidRPr="0035143A">
              <w:rPr>
                <w:b/>
                <w:bCs/>
                <w:color w:val="000000"/>
                <w:szCs w:val="17"/>
              </w:rPr>
              <w:t>$414,481</w:t>
            </w:r>
          </w:p>
        </w:tc>
      </w:tr>
      <w:tr w:rsidR="0035143A" w:rsidRPr="0035143A" w14:paraId="21727C18" w14:textId="77777777" w:rsidTr="0035143A">
        <w:tc>
          <w:tcPr>
            <w:tcW w:w="1980" w:type="dxa"/>
            <w:shd w:val="clear" w:color="auto" w:fill="auto"/>
            <w:noWrap/>
            <w:tcMar>
              <w:top w:w="15" w:type="dxa"/>
              <w:left w:w="15" w:type="dxa"/>
              <w:bottom w:w="0" w:type="dxa"/>
              <w:right w:w="15" w:type="dxa"/>
            </w:tcMar>
            <w:vAlign w:val="center"/>
            <w:hideMark/>
          </w:tcPr>
          <w:p w14:paraId="72D32ABD" w14:textId="77777777" w:rsidR="0035143A" w:rsidRPr="0035143A" w:rsidRDefault="0035143A" w:rsidP="0035143A">
            <w:pPr>
              <w:spacing w:before="20" w:after="20"/>
              <w:rPr>
                <w:color w:val="000000"/>
                <w:szCs w:val="17"/>
              </w:rPr>
            </w:pPr>
            <w:r w:rsidRPr="0035143A">
              <w:rPr>
                <w:color w:val="000000"/>
                <w:szCs w:val="17"/>
              </w:rPr>
              <w:t>Tasmania</w:t>
            </w:r>
          </w:p>
        </w:tc>
        <w:tc>
          <w:tcPr>
            <w:tcW w:w="81" w:type="dxa"/>
            <w:shd w:val="clear" w:color="auto" w:fill="auto"/>
            <w:noWrap/>
            <w:tcMar>
              <w:top w:w="15" w:type="dxa"/>
              <w:left w:w="15" w:type="dxa"/>
              <w:bottom w:w="0" w:type="dxa"/>
              <w:right w:w="15" w:type="dxa"/>
            </w:tcMar>
            <w:vAlign w:val="center"/>
            <w:hideMark/>
          </w:tcPr>
          <w:p w14:paraId="2A1B959D" w14:textId="77777777" w:rsidR="0035143A" w:rsidRPr="0035143A" w:rsidRDefault="0035143A" w:rsidP="0035143A">
            <w:pPr>
              <w:spacing w:before="20" w:after="20"/>
              <w:rPr>
                <w:color w:val="000000"/>
                <w:szCs w:val="17"/>
              </w:rPr>
            </w:pPr>
          </w:p>
        </w:tc>
        <w:tc>
          <w:tcPr>
            <w:tcW w:w="3612" w:type="dxa"/>
            <w:shd w:val="clear" w:color="auto" w:fill="auto"/>
            <w:noWrap/>
            <w:tcMar>
              <w:top w:w="15" w:type="dxa"/>
              <w:left w:w="15" w:type="dxa"/>
              <w:bottom w:w="0" w:type="dxa"/>
              <w:right w:w="15" w:type="dxa"/>
            </w:tcMar>
            <w:vAlign w:val="center"/>
            <w:hideMark/>
          </w:tcPr>
          <w:p w14:paraId="7F4772BC" w14:textId="77777777" w:rsidR="0035143A" w:rsidRPr="0035143A" w:rsidRDefault="0035143A" w:rsidP="0035143A">
            <w:pPr>
              <w:spacing w:before="20" w:after="20"/>
              <w:jc w:val="center"/>
              <w:rPr>
                <w:b/>
                <w:bCs/>
                <w:color w:val="000000"/>
                <w:szCs w:val="17"/>
              </w:rPr>
            </w:pPr>
            <w:r w:rsidRPr="0035143A">
              <w:rPr>
                <w:b/>
                <w:bCs/>
                <w:color w:val="000000"/>
                <w:szCs w:val="17"/>
              </w:rPr>
              <w:t>$371,000</w:t>
            </w:r>
          </w:p>
        </w:tc>
        <w:tc>
          <w:tcPr>
            <w:tcW w:w="576" w:type="dxa"/>
            <w:vAlign w:val="center"/>
          </w:tcPr>
          <w:p w14:paraId="73099A2B" w14:textId="77777777" w:rsidR="0035143A" w:rsidRPr="0035143A" w:rsidRDefault="0035143A" w:rsidP="0035143A">
            <w:pPr>
              <w:spacing w:before="20" w:after="20"/>
              <w:jc w:val="center"/>
              <w:rPr>
                <w:b/>
                <w:bCs/>
                <w:color w:val="000000"/>
                <w:szCs w:val="17"/>
              </w:rPr>
            </w:pPr>
          </w:p>
        </w:tc>
        <w:tc>
          <w:tcPr>
            <w:tcW w:w="668" w:type="dxa"/>
            <w:shd w:val="clear" w:color="auto" w:fill="auto"/>
            <w:noWrap/>
            <w:tcMar>
              <w:top w:w="15" w:type="dxa"/>
              <w:left w:w="15" w:type="dxa"/>
              <w:bottom w:w="0" w:type="dxa"/>
              <w:right w:w="15" w:type="dxa"/>
            </w:tcMar>
            <w:vAlign w:val="center"/>
            <w:hideMark/>
          </w:tcPr>
          <w:p w14:paraId="526C57D6" w14:textId="77777777" w:rsidR="0035143A" w:rsidRPr="0035143A" w:rsidRDefault="0035143A" w:rsidP="0035143A">
            <w:pPr>
              <w:spacing w:before="20" w:after="20"/>
              <w:jc w:val="center"/>
              <w:rPr>
                <w:b/>
                <w:bCs/>
                <w:color w:val="000000"/>
                <w:szCs w:val="17"/>
              </w:rPr>
            </w:pPr>
          </w:p>
        </w:tc>
      </w:tr>
      <w:tr w:rsidR="0035143A" w:rsidRPr="0035143A" w14:paraId="556B2752" w14:textId="77777777" w:rsidTr="0035143A">
        <w:tc>
          <w:tcPr>
            <w:tcW w:w="1980" w:type="dxa"/>
            <w:shd w:val="clear" w:color="auto" w:fill="auto"/>
            <w:noWrap/>
            <w:tcMar>
              <w:top w:w="15" w:type="dxa"/>
              <w:left w:w="15" w:type="dxa"/>
              <w:bottom w:w="0" w:type="dxa"/>
              <w:right w:w="15" w:type="dxa"/>
            </w:tcMar>
            <w:vAlign w:val="center"/>
            <w:hideMark/>
          </w:tcPr>
          <w:p w14:paraId="400F65E8" w14:textId="77777777" w:rsidR="0035143A" w:rsidRPr="0035143A" w:rsidRDefault="0035143A" w:rsidP="0035143A">
            <w:pPr>
              <w:spacing w:before="20" w:after="20"/>
              <w:rPr>
                <w:color w:val="000000"/>
                <w:szCs w:val="17"/>
              </w:rPr>
            </w:pPr>
            <w:r w:rsidRPr="0035143A">
              <w:rPr>
                <w:color w:val="000000"/>
                <w:szCs w:val="17"/>
              </w:rPr>
              <w:t>South Australia</w:t>
            </w:r>
          </w:p>
        </w:tc>
        <w:tc>
          <w:tcPr>
            <w:tcW w:w="81" w:type="dxa"/>
            <w:shd w:val="clear" w:color="auto" w:fill="auto"/>
            <w:noWrap/>
            <w:tcMar>
              <w:top w:w="15" w:type="dxa"/>
              <w:left w:w="15" w:type="dxa"/>
              <w:bottom w:w="0" w:type="dxa"/>
              <w:right w:w="15" w:type="dxa"/>
            </w:tcMar>
            <w:vAlign w:val="center"/>
            <w:hideMark/>
          </w:tcPr>
          <w:p w14:paraId="29C5502C" w14:textId="77777777" w:rsidR="0035143A" w:rsidRPr="0035143A" w:rsidRDefault="0035143A" w:rsidP="0035143A">
            <w:pPr>
              <w:spacing w:before="20" w:after="20"/>
              <w:rPr>
                <w:b/>
                <w:bCs/>
                <w:color w:val="000000"/>
                <w:szCs w:val="17"/>
              </w:rPr>
            </w:pPr>
            <w:r w:rsidRPr="0035143A">
              <w:rPr>
                <w:b/>
                <w:bCs/>
                <w:color w:val="000000"/>
                <w:szCs w:val="17"/>
              </w:rPr>
              <w:t> </w:t>
            </w:r>
          </w:p>
        </w:tc>
        <w:tc>
          <w:tcPr>
            <w:tcW w:w="3612" w:type="dxa"/>
            <w:shd w:val="clear" w:color="auto" w:fill="auto"/>
            <w:noWrap/>
            <w:tcMar>
              <w:top w:w="15" w:type="dxa"/>
              <w:left w:w="15" w:type="dxa"/>
              <w:bottom w:w="0" w:type="dxa"/>
              <w:right w:w="15" w:type="dxa"/>
            </w:tcMar>
            <w:vAlign w:val="center"/>
            <w:hideMark/>
          </w:tcPr>
          <w:p w14:paraId="11A16820" w14:textId="77777777" w:rsidR="0035143A" w:rsidRPr="0035143A" w:rsidRDefault="0035143A" w:rsidP="0035143A">
            <w:pPr>
              <w:spacing w:before="20" w:after="20"/>
              <w:jc w:val="center"/>
              <w:rPr>
                <w:b/>
                <w:bCs/>
                <w:color w:val="000000"/>
                <w:szCs w:val="17"/>
              </w:rPr>
            </w:pPr>
            <w:r w:rsidRPr="0035143A">
              <w:rPr>
                <w:b/>
                <w:bCs/>
                <w:color w:val="000000"/>
                <w:szCs w:val="17"/>
              </w:rPr>
              <w:t>$336,951</w:t>
            </w:r>
          </w:p>
        </w:tc>
        <w:tc>
          <w:tcPr>
            <w:tcW w:w="576" w:type="dxa"/>
            <w:shd w:val="clear" w:color="auto" w:fill="auto"/>
            <w:vAlign w:val="center"/>
          </w:tcPr>
          <w:p w14:paraId="782459AE" w14:textId="77777777" w:rsidR="0035143A" w:rsidRPr="0035143A" w:rsidRDefault="0035143A" w:rsidP="0035143A">
            <w:pPr>
              <w:spacing w:before="20" w:after="20"/>
              <w:jc w:val="center"/>
              <w:rPr>
                <w:b/>
                <w:bCs/>
                <w:color w:val="000000"/>
                <w:szCs w:val="17"/>
              </w:rPr>
            </w:pPr>
          </w:p>
        </w:tc>
        <w:tc>
          <w:tcPr>
            <w:tcW w:w="668" w:type="dxa"/>
            <w:shd w:val="clear" w:color="auto" w:fill="auto"/>
            <w:noWrap/>
            <w:tcMar>
              <w:top w:w="15" w:type="dxa"/>
              <w:left w:w="15" w:type="dxa"/>
              <w:bottom w:w="0" w:type="dxa"/>
              <w:right w:w="15" w:type="dxa"/>
            </w:tcMar>
            <w:vAlign w:val="center"/>
            <w:hideMark/>
          </w:tcPr>
          <w:p w14:paraId="2591620C" w14:textId="77777777" w:rsidR="0035143A" w:rsidRPr="0035143A" w:rsidRDefault="0035143A" w:rsidP="0035143A">
            <w:pPr>
              <w:spacing w:before="20" w:after="20"/>
              <w:jc w:val="center"/>
              <w:rPr>
                <w:b/>
                <w:bCs/>
                <w:color w:val="000000"/>
                <w:szCs w:val="17"/>
              </w:rPr>
            </w:pPr>
            <w:r w:rsidRPr="0035143A">
              <w:rPr>
                <w:b/>
                <w:bCs/>
                <w:color w:val="000000"/>
                <w:szCs w:val="17"/>
              </w:rPr>
              <w:t> </w:t>
            </w:r>
          </w:p>
        </w:tc>
      </w:tr>
      <w:tr w:rsidR="0035143A" w:rsidRPr="0035143A" w14:paraId="070B89F3" w14:textId="77777777" w:rsidTr="0035143A">
        <w:tc>
          <w:tcPr>
            <w:tcW w:w="1980" w:type="dxa"/>
            <w:shd w:val="clear" w:color="auto" w:fill="auto"/>
            <w:noWrap/>
            <w:tcMar>
              <w:top w:w="15" w:type="dxa"/>
              <w:left w:w="15" w:type="dxa"/>
              <w:bottom w:w="0" w:type="dxa"/>
              <w:right w:w="15" w:type="dxa"/>
            </w:tcMar>
            <w:vAlign w:val="center"/>
            <w:hideMark/>
          </w:tcPr>
          <w:p w14:paraId="0AD06124" w14:textId="77777777" w:rsidR="0035143A" w:rsidRPr="0035143A" w:rsidRDefault="0035143A" w:rsidP="0035143A">
            <w:pPr>
              <w:spacing w:before="20" w:after="20"/>
              <w:rPr>
                <w:color w:val="000000"/>
                <w:szCs w:val="17"/>
              </w:rPr>
            </w:pPr>
            <w:r w:rsidRPr="0035143A">
              <w:rPr>
                <w:color w:val="000000"/>
                <w:szCs w:val="17"/>
              </w:rPr>
              <w:t>ACT</w:t>
            </w:r>
          </w:p>
        </w:tc>
        <w:tc>
          <w:tcPr>
            <w:tcW w:w="81" w:type="dxa"/>
            <w:shd w:val="clear" w:color="auto" w:fill="auto"/>
            <w:noWrap/>
            <w:tcMar>
              <w:top w:w="15" w:type="dxa"/>
              <w:left w:w="15" w:type="dxa"/>
              <w:bottom w:w="0" w:type="dxa"/>
              <w:right w:w="15" w:type="dxa"/>
            </w:tcMar>
            <w:vAlign w:val="center"/>
            <w:hideMark/>
          </w:tcPr>
          <w:p w14:paraId="772B4837" w14:textId="77777777" w:rsidR="0035143A" w:rsidRPr="0035143A" w:rsidRDefault="0035143A" w:rsidP="0035143A">
            <w:pPr>
              <w:spacing w:before="20" w:after="20"/>
              <w:rPr>
                <w:color w:val="000000"/>
                <w:szCs w:val="17"/>
              </w:rPr>
            </w:pPr>
          </w:p>
        </w:tc>
        <w:tc>
          <w:tcPr>
            <w:tcW w:w="3612" w:type="dxa"/>
            <w:shd w:val="clear" w:color="auto" w:fill="auto"/>
            <w:noWrap/>
            <w:tcMar>
              <w:top w:w="15" w:type="dxa"/>
              <w:left w:w="15" w:type="dxa"/>
              <w:bottom w:w="0" w:type="dxa"/>
              <w:right w:w="15" w:type="dxa"/>
            </w:tcMar>
            <w:vAlign w:val="center"/>
            <w:hideMark/>
          </w:tcPr>
          <w:p w14:paraId="527E5147" w14:textId="77777777" w:rsidR="0035143A" w:rsidRPr="0035143A" w:rsidRDefault="0035143A" w:rsidP="0035143A">
            <w:pPr>
              <w:spacing w:before="20" w:after="20"/>
              <w:jc w:val="center"/>
              <w:rPr>
                <w:b/>
                <w:bCs/>
                <w:szCs w:val="17"/>
              </w:rPr>
            </w:pPr>
            <w:r w:rsidRPr="0035143A">
              <w:rPr>
                <w:b/>
                <w:bCs/>
                <w:szCs w:val="17"/>
              </w:rPr>
              <w:t>$317,704</w:t>
            </w:r>
          </w:p>
        </w:tc>
        <w:tc>
          <w:tcPr>
            <w:tcW w:w="576" w:type="dxa"/>
            <w:vAlign w:val="center"/>
          </w:tcPr>
          <w:p w14:paraId="5300EED4" w14:textId="77777777" w:rsidR="0035143A" w:rsidRPr="0035143A" w:rsidRDefault="0035143A" w:rsidP="0035143A">
            <w:pPr>
              <w:spacing w:before="20" w:after="20"/>
              <w:jc w:val="center"/>
              <w:rPr>
                <w:b/>
                <w:bCs/>
                <w:szCs w:val="17"/>
              </w:rPr>
            </w:pPr>
          </w:p>
        </w:tc>
        <w:tc>
          <w:tcPr>
            <w:tcW w:w="668" w:type="dxa"/>
            <w:shd w:val="clear" w:color="auto" w:fill="auto"/>
            <w:noWrap/>
            <w:tcMar>
              <w:top w:w="15" w:type="dxa"/>
              <w:left w:w="15" w:type="dxa"/>
              <w:bottom w:w="0" w:type="dxa"/>
              <w:right w:w="15" w:type="dxa"/>
            </w:tcMar>
            <w:vAlign w:val="center"/>
            <w:hideMark/>
          </w:tcPr>
          <w:p w14:paraId="65D71347" w14:textId="77777777" w:rsidR="0035143A" w:rsidRPr="0035143A" w:rsidRDefault="0035143A" w:rsidP="0035143A">
            <w:pPr>
              <w:spacing w:before="20" w:after="20"/>
              <w:jc w:val="center"/>
              <w:rPr>
                <w:b/>
                <w:bCs/>
                <w:szCs w:val="17"/>
              </w:rPr>
            </w:pPr>
            <w:r w:rsidRPr="0035143A">
              <w:rPr>
                <w:b/>
                <w:bCs/>
                <w:szCs w:val="17"/>
              </w:rPr>
              <w:t>$328,029</w:t>
            </w:r>
          </w:p>
        </w:tc>
      </w:tr>
      <w:tr w:rsidR="0035143A" w:rsidRPr="0035143A" w14:paraId="1FD93E64" w14:textId="77777777" w:rsidTr="0035143A">
        <w:tc>
          <w:tcPr>
            <w:tcW w:w="1980" w:type="dxa"/>
            <w:tcBorders>
              <w:bottom w:val="single" w:sz="4" w:space="0" w:color="auto"/>
            </w:tcBorders>
            <w:shd w:val="clear" w:color="auto" w:fill="auto"/>
            <w:noWrap/>
            <w:tcMar>
              <w:top w:w="15" w:type="dxa"/>
              <w:left w:w="15" w:type="dxa"/>
              <w:bottom w:w="0" w:type="dxa"/>
              <w:right w:w="15" w:type="dxa"/>
            </w:tcMar>
            <w:vAlign w:val="center"/>
            <w:hideMark/>
          </w:tcPr>
          <w:p w14:paraId="60B7EC1E" w14:textId="77777777" w:rsidR="0035143A" w:rsidRPr="0035143A" w:rsidRDefault="0035143A" w:rsidP="0035143A">
            <w:pPr>
              <w:spacing w:before="20" w:after="20"/>
              <w:rPr>
                <w:color w:val="000000"/>
                <w:szCs w:val="17"/>
              </w:rPr>
            </w:pPr>
            <w:r w:rsidRPr="0035143A">
              <w:rPr>
                <w:color w:val="000000"/>
                <w:szCs w:val="17"/>
              </w:rPr>
              <w:t>Northern Territory</w:t>
            </w:r>
          </w:p>
        </w:tc>
        <w:tc>
          <w:tcPr>
            <w:tcW w:w="3693" w:type="dxa"/>
            <w:gridSpan w:val="2"/>
            <w:tcBorders>
              <w:bottom w:val="single" w:sz="4" w:space="0" w:color="auto"/>
            </w:tcBorders>
            <w:shd w:val="clear" w:color="auto" w:fill="auto"/>
            <w:noWrap/>
            <w:tcMar>
              <w:top w:w="15" w:type="dxa"/>
              <w:left w:w="15" w:type="dxa"/>
              <w:bottom w:w="0" w:type="dxa"/>
              <w:right w:w="15" w:type="dxa"/>
            </w:tcMar>
            <w:vAlign w:val="center"/>
            <w:hideMark/>
          </w:tcPr>
          <w:p w14:paraId="0AEA279F" w14:textId="77777777" w:rsidR="0035143A" w:rsidRPr="0035143A" w:rsidRDefault="0035143A" w:rsidP="0035143A">
            <w:pPr>
              <w:spacing w:before="20" w:after="20"/>
              <w:jc w:val="center"/>
              <w:rPr>
                <w:b/>
                <w:bCs/>
                <w:color w:val="000000"/>
                <w:szCs w:val="17"/>
              </w:rPr>
            </w:pPr>
            <w:r w:rsidRPr="0035143A">
              <w:rPr>
                <w:b/>
                <w:bCs/>
                <w:color w:val="000000"/>
                <w:szCs w:val="17"/>
              </w:rPr>
              <w:t xml:space="preserve"> $299,000</w:t>
            </w:r>
          </w:p>
        </w:tc>
        <w:tc>
          <w:tcPr>
            <w:tcW w:w="576" w:type="dxa"/>
            <w:tcBorders>
              <w:bottom w:val="single" w:sz="4" w:space="0" w:color="auto"/>
            </w:tcBorders>
            <w:vAlign w:val="center"/>
          </w:tcPr>
          <w:p w14:paraId="53FEC7BE" w14:textId="77777777" w:rsidR="0035143A" w:rsidRPr="0035143A" w:rsidRDefault="0035143A" w:rsidP="0035143A">
            <w:pPr>
              <w:spacing w:before="20" w:after="20"/>
              <w:jc w:val="center"/>
              <w:rPr>
                <w:b/>
                <w:bCs/>
                <w:color w:val="000000"/>
                <w:szCs w:val="17"/>
              </w:rPr>
            </w:pPr>
          </w:p>
        </w:tc>
        <w:tc>
          <w:tcPr>
            <w:tcW w:w="668" w:type="dxa"/>
            <w:tcBorders>
              <w:bottom w:val="single" w:sz="4" w:space="0" w:color="auto"/>
            </w:tcBorders>
            <w:shd w:val="clear" w:color="auto" w:fill="auto"/>
            <w:noWrap/>
            <w:tcMar>
              <w:top w:w="15" w:type="dxa"/>
              <w:left w:w="15" w:type="dxa"/>
              <w:bottom w:w="0" w:type="dxa"/>
              <w:right w:w="15" w:type="dxa"/>
            </w:tcMar>
            <w:vAlign w:val="center"/>
            <w:hideMark/>
          </w:tcPr>
          <w:p w14:paraId="70419AB6" w14:textId="77777777" w:rsidR="0035143A" w:rsidRPr="0035143A" w:rsidRDefault="0035143A" w:rsidP="0035143A">
            <w:pPr>
              <w:spacing w:before="20" w:after="20"/>
              <w:jc w:val="center"/>
              <w:rPr>
                <w:b/>
                <w:bCs/>
                <w:color w:val="000000"/>
                <w:szCs w:val="17"/>
              </w:rPr>
            </w:pPr>
          </w:p>
        </w:tc>
      </w:tr>
    </w:tbl>
    <w:p w14:paraId="6C3B48FC" w14:textId="77777777" w:rsidR="0035143A" w:rsidRPr="0035143A" w:rsidRDefault="0035143A" w:rsidP="0035143A">
      <w:pPr>
        <w:rPr>
          <w:rFonts w:eastAsia="Times New Roman"/>
          <w:b/>
          <w:bCs/>
          <w:szCs w:val="17"/>
        </w:rPr>
      </w:pPr>
    </w:p>
    <w:p w14:paraId="396BD067"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notes that the figures for Victoria, Queensland, and the Northern Territory have been ascertained from detailed Annual Reports from each jurisdiction. As indicated, the remuneration for Victoria is presumed to be a total package inclusive of superannuation, however the salary component of that package would still sit at or towards the top of the above list. The salaries for New South Wales, Western Australia, and the Australian Capital Territory are set by respective Tribunals. The salary for Tasmania is set by a statutory formula, being the average salary paid to the Auditors-General in South Australia and Western Australia.</w:t>
      </w:r>
    </w:p>
    <w:p w14:paraId="7826C5C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As indicated, the Tribunal asked the Auditor-General to meet to discuss his role and changes to the functions undertaken. In the course of these discussions, the Auditor-General noted substantial changes to his function and significant changes to the expectations of the function. The Auditor-General also remarked on staffing retention issues and rapidly changing remuneration expectations which created pressure within his department.</w:t>
      </w:r>
    </w:p>
    <w:p w14:paraId="027E2C47"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has adopted the position that a comparison of remuneration differentials provides a useful insight into possible remuneration issues, but does not, of itself, justify a change in remuneration. A fundamental requirement is that the Tribunal is satisfied that there have been significant changes in work value since the remuneration was last assessed. </w:t>
      </w:r>
    </w:p>
    <w:p w14:paraId="3D75504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It is well established that work value changes which provide a sustainable basis for reviewing remuneration include:</w:t>
      </w:r>
    </w:p>
    <w:p w14:paraId="589554EA" w14:textId="77777777" w:rsidR="0035143A" w:rsidRPr="0035143A" w:rsidRDefault="0035143A" w:rsidP="009B29CF">
      <w:pPr>
        <w:numPr>
          <w:ilvl w:val="1"/>
          <w:numId w:val="91"/>
        </w:numPr>
        <w:spacing w:after="0"/>
        <w:rPr>
          <w:szCs w:val="17"/>
        </w:rPr>
      </w:pPr>
      <w:r w:rsidRPr="0035143A">
        <w:rPr>
          <w:szCs w:val="17"/>
        </w:rPr>
        <w:t>changes in the nature of the work</w:t>
      </w:r>
    </w:p>
    <w:p w14:paraId="73E76A6C" w14:textId="77777777" w:rsidR="0035143A" w:rsidRPr="0035143A" w:rsidRDefault="0035143A" w:rsidP="009B29CF">
      <w:pPr>
        <w:numPr>
          <w:ilvl w:val="1"/>
          <w:numId w:val="87"/>
        </w:numPr>
        <w:spacing w:after="0"/>
        <w:rPr>
          <w:szCs w:val="17"/>
        </w:rPr>
      </w:pPr>
      <w:r w:rsidRPr="0035143A">
        <w:rPr>
          <w:szCs w:val="17"/>
        </w:rPr>
        <w:t>the level of skill and responsibility involved in doing the work, and/or</w:t>
      </w:r>
    </w:p>
    <w:p w14:paraId="0FEAB423" w14:textId="77777777" w:rsidR="0035143A" w:rsidRPr="0035143A" w:rsidRDefault="0035143A" w:rsidP="009B29CF">
      <w:pPr>
        <w:numPr>
          <w:ilvl w:val="1"/>
          <w:numId w:val="87"/>
        </w:numPr>
        <w:rPr>
          <w:szCs w:val="17"/>
        </w:rPr>
      </w:pPr>
      <w:r w:rsidRPr="0035143A">
        <w:rPr>
          <w:szCs w:val="17"/>
        </w:rPr>
        <w:t>the conditions under which the work is performed.</w:t>
      </w:r>
    </w:p>
    <w:p w14:paraId="3A0D62C7"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If changes within one or more of these factors are identified the Tribunal may then consider comparable remuneration levels.</w:t>
      </w:r>
    </w:p>
    <w:p w14:paraId="2E9351BF"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last conducted a detailed assessment of the Auditor-General’s function over 20 years ago. The Tribunal’s discussions with the Auditor-General and its own investigations into the expectations of this function are indicative of significant changes in the financial reporting environment. These changes go to accounting practices and expectations. Further, technological changes have both enabled and demanded that public sector auditors apply more advanced technology to interact with client bodies. There is an increased need for specialisation which brings with it differing managerial expectations. Performance reporting requirements and on-line reporting systems have required different audit management and organizational approaches. The Tribunal has not and is not required to consider if these changes alter the role of more junior auditing staff, but they have imposed significant change expectations on the functions undertaken and the oversight role of the Auditor-General. </w:t>
      </w:r>
    </w:p>
    <w:p w14:paraId="64B3E3FA"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In addition to the work value changes to the Auditor-General’s function, the Tribunal has also noted that the responsibilities of this role in relation to public sector management requirements have also increased.</w:t>
      </w:r>
    </w:p>
    <w:p w14:paraId="643DD49F"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has concluded that these work value changes require a substantial revision of the remuneration for this office. A failure to do so is highly likely to limit the Government’s capacity to recruit essential highly skilled Auditor-General office holder functions in the near future and ultimately impact on the credibility of the functions undertaken.</w:t>
      </w:r>
    </w:p>
    <w:p w14:paraId="3312B9B2"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In assessing remuneration levels, the Tribunal has taken total remuneration into account. This includes current motor vehicle arrangements, based on the costing arrangements provided by Fleet SA. The Tribunal has recognised that the current Auditor-General is a member of a defined benefit superannuation fund, but has considered superannuation arrangements on the basis of standard accumulation scheme arrangements.</w:t>
      </w:r>
    </w:p>
    <w:p w14:paraId="706AA4A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Given its conclusions about these work value changes, the Tribunal has reviewed remuneration levels for Auditor-General functions in other States and Territories. While these roles are inherently similar, the Tribunal has noted some relatively minor differences in relation to the extent of local government work. Differences between South Australia and the mainland Eastern seaboard States in terms of the relative size of public sector functions have also been considered by the Tribunal. The Tribunal has also noted information from the Auditor-General that in his time, he has built the capability of his office (and statutory responsibilities) to be doing the same range of work which other jurisdictions are undertaking.</w:t>
      </w:r>
    </w:p>
    <w:p w14:paraId="463B5CFB"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total remuneration for the South Australian Auditor-General is in the order of $70,000 per annum less than the overall average remuneration for Auditors-General for all of the States and Territories and is in the order of $110,000 less than the average remuneration level for these positions taking into account the States alone.</w:t>
      </w:r>
    </w:p>
    <w:p w14:paraId="6E6AD994"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considers that the remuneration for the Auditor-General should be increased in two tranches. The first increase of $55,000 will operate from 1 January 2023, with the second tranche of $55,000 to operate from 1 November 2023. The Tribunal stresses that this substantial increase does not represent a basis for more general increases in general auditing remuneration levels as each function needs to be considered separately. </w:t>
      </w:r>
    </w:p>
    <w:p w14:paraId="1429FF2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lastRenderedPageBreak/>
        <w:t>The effective date of these salary increases was also taken into account in deciding on the quantum of the increases, noting that the last salary increase for the Auditor-General was on 1 January 2021.</w:t>
      </w:r>
    </w:p>
    <w:p w14:paraId="2A2E1C5D" w14:textId="77777777" w:rsidR="0035143A" w:rsidRPr="0035143A" w:rsidRDefault="0035143A" w:rsidP="0035143A">
      <w:pPr>
        <w:jc w:val="left"/>
        <w:rPr>
          <w:rFonts w:eastAsiaTheme="minorHAnsi"/>
          <w:b/>
          <w:bCs/>
          <w:szCs w:val="17"/>
        </w:rPr>
      </w:pPr>
      <w:r w:rsidRPr="0035143A">
        <w:rPr>
          <w:rFonts w:eastAsiaTheme="minorHAnsi"/>
          <w:b/>
          <w:bCs/>
          <w:szCs w:val="17"/>
        </w:rPr>
        <w:t>THE ELECTORAL COMMISSIONER AND DEPUTY ELECTORAL COMMISSIONER</w:t>
      </w:r>
    </w:p>
    <w:p w14:paraId="4602E12B"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Electoral Commissioner and Deputy Electoral Commissioner provided a submission where they requested that the Tribunal recognise significant changes to the work complexity associated with these functions since 2010, notwithstanding that the Tribunal reviewed the remuneration for these positions in 2016 and 2017 respectively. The Electoral Commissioner and Deputy Electoral Commissioner referred to substantial changes to electoral security arrangements throughout Australia, which required national co-operation, to additional workload imposts associated with Local Government elections and to increased complexity associated with the monitoring of social media and misleading advertising actions.</w:t>
      </w:r>
    </w:p>
    <w:p w14:paraId="7785101A"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has noted that the remuneration levels for these functions have been regularly reviewed and that the last review of the Electoral Commissioner’s position involved a position assessment undertaken by an external remuneration expert. </w:t>
      </w:r>
    </w:p>
    <w:p w14:paraId="46C79B59"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acknowledges that a comparison of remuneration levels for comparable functions in other States and Territories indicates that these South Australian functions are paid substantially less than average remuneration levels.</w:t>
      </w:r>
    </w:p>
    <w:p w14:paraId="729F805E"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By itself, these discrepancies do not form a basis for remuneration adjustments. The Tribunal has adopted the same approach as it has applied to reviewing the Auditor-General’s remuneration level. The Tribunal firstly needs to be satisfied that there have been significant changes to work value before it will have regard to comparable remuneration levels.</w:t>
      </w:r>
    </w:p>
    <w:p w14:paraId="6C0C8A96"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As a starting point, the Tribunal intends to confine its consideration of the current remuneration levels to changes which have occurred since the last reviews in 2016 and 2017. The Tribunal is not satisfied that errors in earlier Tribunal determinations have been made out so as to warrant revisiting those conclusions.</w:t>
      </w:r>
    </w:p>
    <w:p w14:paraId="382D80D2"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Consistent with its approach to the Auditor-General’s remuneration review, work value changes which provide a sustainable basis for reviewing remuneration for the Electoral Commissioner and Deputy Electoral Commissioner include:</w:t>
      </w:r>
    </w:p>
    <w:p w14:paraId="44B3DA85" w14:textId="77777777" w:rsidR="0035143A" w:rsidRPr="0035143A" w:rsidRDefault="0035143A" w:rsidP="009B29CF">
      <w:pPr>
        <w:numPr>
          <w:ilvl w:val="1"/>
          <w:numId w:val="92"/>
        </w:numPr>
        <w:spacing w:after="0"/>
        <w:rPr>
          <w:szCs w:val="17"/>
        </w:rPr>
      </w:pPr>
      <w:r w:rsidRPr="0035143A">
        <w:rPr>
          <w:szCs w:val="17"/>
        </w:rPr>
        <w:t>changes in the nature of the work</w:t>
      </w:r>
    </w:p>
    <w:p w14:paraId="42D2FF2D" w14:textId="77777777" w:rsidR="0035143A" w:rsidRPr="0035143A" w:rsidRDefault="0035143A" w:rsidP="009B29CF">
      <w:pPr>
        <w:numPr>
          <w:ilvl w:val="1"/>
          <w:numId w:val="87"/>
        </w:numPr>
        <w:spacing w:after="0"/>
        <w:rPr>
          <w:szCs w:val="17"/>
        </w:rPr>
      </w:pPr>
      <w:r w:rsidRPr="0035143A">
        <w:rPr>
          <w:szCs w:val="17"/>
        </w:rPr>
        <w:t>the level of skill and responsibility involved in doing the work, and/or</w:t>
      </w:r>
    </w:p>
    <w:p w14:paraId="3394398A" w14:textId="77777777" w:rsidR="0035143A" w:rsidRPr="0035143A" w:rsidRDefault="0035143A" w:rsidP="009B29CF">
      <w:pPr>
        <w:numPr>
          <w:ilvl w:val="1"/>
          <w:numId w:val="87"/>
        </w:numPr>
        <w:rPr>
          <w:szCs w:val="17"/>
        </w:rPr>
      </w:pPr>
      <w:r w:rsidRPr="0035143A">
        <w:rPr>
          <w:szCs w:val="17"/>
        </w:rPr>
        <w:t>the conditions under which the work is performed.</w:t>
      </w:r>
    </w:p>
    <w:p w14:paraId="587034F4"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If significant changes to one or more of these factors are identified the Tribunal may then consider comparable remuneration levels.</w:t>
      </w:r>
    </w:p>
    <w:p w14:paraId="63AC5BF7"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has reviewed all the information provided. It is somewhat restricted in undertaking this review because demonstrable performance criteria associated with these roles are not clear. This is a matter the Electoral Commissioner may wish to consider in the future. </w:t>
      </w:r>
    </w:p>
    <w:p w14:paraId="6650FF13"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is satisfied that progressive changes impacting on the Electoral Commissioner functions have increased the complexity of these functions since 2017. These changes include demands for increased cyber security protections, increases in national co-operation requirements, although future reliance on changes that are most likely generated by the Australian Government represents a flawed basis for assertions of work value change unless the South Australian impact of those changes can be identified. Notwithstanding this, the continuing growth in challenges relating to social media and misleading advertising represent demonstrable changes in work value. </w:t>
      </w:r>
    </w:p>
    <w:p w14:paraId="4C566EC4"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Having reached this conclusion, the Tribunal has reviewed comparable remuneration levels for other State and Territory electoral commissioner functions. These comparisons are shown below:</w:t>
      </w:r>
    </w:p>
    <w:tbl>
      <w:tblPr>
        <w:tblW w:w="7740" w:type="dxa"/>
        <w:tblInd w:w="454" w:type="dxa"/>
        <w:tblCellMar>
          <w:left w:w="0" w:type="dxa"/>
          <w:right w:w="0" w:type="dxa"/>
        </w:tblCellMar>
        <w:tblLook w:val="04A0" w:firstRow="1" w:lastRow="0" w:firstColumn="1" w:lastColumn="0" w:noHBand="0" w:noVBand="1"/>
      </w:tblPr>
      <w:tblGrid>
        <w:gridCol w:w="2034"/>
        <w:gridCol w:w="114"/>
        <w:gridCol w:w="3032"/>
        <w:gridCol w:w="2560"/>
      </w:tblGrid>
      <w:tr w:rsidR="0035143A" w:rsidRPr="0035143A" w14:paraId="2803FC09" w14:textId="77777777" w:rsidTr="0012134E">
        <w:trPr>
          <w:trHeight w:val="300"/>
        </w:trPr>
        <w:tc>
          <w:tcPr>
            <w:tcW w:w="5180" w:type="dxa"/>
            <w:gridSpan w:val="3"/>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2AE44081" w14:textId="77777777" w:rsidR="0035143A" w:rsidRPr="0035143A" w:rsidRDefault="0035143A" w:rsidP="0035143A">
            <w:pPr>
              <w:spacing w:before="40" w:after="40"/>
              <w:jc w:val="left"/>
              <w:rPr>
                <w:b/>
                <w:bCs/>
                <w:color w:val="000000"/>
                <w:szCs w:val="17"/>
              </w:rPr>
            </w:pPr>
            <w:r w:rsidRPr="0035143A">
              <w:rPr>
                <w:b/>
                <w:bCs/>
                <w:color w:val="000000"/>
                <w:szCs w:val="17"/>
              </w:rPr>
              <w:t>Electoral Commissioner</w:t>
            </w:r>
          </w:p>
        </w:tc>
        <w:tc>
          <w:tcPr>
            <w:tcW w:w="2560" w:type="dxa"/>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118B4C8A" w14:textId="77777777" w:rsidR="0035143A" w:rsidRPr="0035143A" w:rsidRDefault="0035143A" w:rsidP="0035143A">
            <w:pPr>
              <w:spacing w:before="40" w:after="40"/>
              <w:jc w:val="left"/>
              <w:rPr>
                <w:b/>
                <w:bCs/>
                <w:color w:val="000000"/>
                <w:szCs w:val="17"/>
              </w:rPr>
            </w:pPr>
          </w:p>
        </w:tc>
      </w:tr>
      <w:tr w:rsidR="0035143A" w:rsidRPr="0035143A" w14:paraId="62F3B143" w14:textId="77777777" w:rsidTr="0012134E">
        <w:trPr>
          <w:trHeight w:val="300"/>
        </w:trPr>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3BE8BE0F" w14:textId="77777777" w:rsidR="0035143A" w:rsidRPr="0035143A" w:rsidRDefault="0035143A" w:rsidP="0035143A">
            <w:pPr>
              <w:spacing w:before="40" w:after="40"/>
              <w:jc w:val="center"/>
              <w:rPr>
                <w:b/>
                <w:bCs/>
                <w:color w:val="000000"/>
                <w:szCs w:val="17"/>
              </w:rPr>
            </w:pPr>
            <w:r w:rsidRPr="0035143A">
              <w:rPr>
                <w:b/>
                <w:bCs/>
                <w:color w:val="000000"/>
                <w:szCs w:val="17"/>
              </w:rPr>
              <w:t>Jurisdiction</w:t>
            </w: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6AD028A7" w14:textId="77777777" w:rsidR="0035143A" w:rsidRPr="0035143A" w:rsidRDefault="0035143A" w:rsidP="0035143A">
            <w:pPr>
              <w:spacing w:before="40" w:after="40"/>
              <w:jc w:val="center"/>
              <w:rPr>
                <w:color w:val="000000"/>
                <w:szCs w:val="17"/>
              </w:rPr>
            </w:pP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4EB47B63" w14:textId="77777777" w:rsidR="0035143A" w:rsidRPr="0035143A" w:rsidRDefault="0035143A" w:rsidP="0035143A">
            <w:pPr>
              <w:spacing w:before="40" w:after="40"/>
              <w:jc w:val="center"/>
              <w:rPr>
                <w:b/>
                <w:bCs/>
                <w:color w:val="000000"/>
                <w:szCs w:val="17"/>
              </w:rPr>
            </w:pPr>
            <w:r w:rsidRPr="0035143A">
              <w:rPr>
                <w:b/>
                <w:bCs/>
                <w:color w:val="000000"/>
                <w:szCs w:val="17"/>
              </w:rPr>
              <w:t>2021</w:t>
            </w:r>
          </w:p>
        </w:tc>
        <w:tc>
          <w:tcPr>
            <w:tcW w:w="0" w:type="auto"/>
            <w:tcBorders>
              <w:top w:val="single" w:sz="4" w:space="0" w:color="auto"/>
              <w:bottom w:val="single" w:sz="4" w:space="0" w:color="auto"/>
            </w:tcBorders>
            <w:shd w:val="clear" w:color="auto" w:fill="FFFFFF" w:themeFill="background1"/>
            <w:noWrap/>
            <w:tcMar>
              <w:top w:w="15" w:type="dxa"/>
              <w:left w:w="15" w:type="dxa"/>
              <w:bottom w:w="0" w:type="dxa"/>
              <w:right w:w="15" w:type="dxa"/>
            </w:tcMar>
            <w:vAlign w:val="center"/>
            <w:hideMark/>
          </w:tcPr>
          <w:p w14:paraId="7CEE7461" w14:textId="77777777" w:rsidR="0035143A" w:rsidRPr="0035143A" w:rsidRDefault="0035143A" w:rsidP="0035143A">
            <w:pPr>
              <w:spacing w:before="40" w:after="40"/>
              <w:jc w:val="center"/>
              <w:rPr>
                <w:b/>
                <w:bCs/>
                <w:color w:val="000000"/>
                <w:szCs w:val="17"/>
              </w:rPr>
            </w:pPr>
            <w:r w:rsidRPr="0035143A">
              <w:rPr>
                <w:b/>
                <w:bCs/>
                <w:color w:val="000000"/>
                <w:szCs w:val="17"/>
              </w:rPr>
              <w:t>2022</w:t>
            </w:r>
          </w:p>
        </w:tc>
      </w:tr>
      <w:tr w:rsidR="0035143A" w:rsidRPr="0035143A" w14:paraId="79C19C96" w14:textId="77777777" w:rsidTr="0012134E">
        <w:tc>
          <w:tcPr>
            <w:tcW w:w="0" w:type="auto"/>
            <w:tcBorders>
              <w:top w:val="single" w:sz="4" w:space="0" w:color="auto"/>
            </w:tcBorders>
            <w:shd w:val="clear" w:color="auto" w:fill="auto"/>
            <w:noWrap/>
            <w:tcMar>
              <w:top w:w="15" w:type="dxa"/>
              <w:left w:w="15" w:type="dxa"/>
              <w:bottom w:w="0" w:type="dxa"/>
              <w:right w:w="15" w:type="dxa"/>
            </w:tcMar>
            <w:vAlign w:val="center"/>
            <w:hideMark/>
          </w:tcPr>
          <w:p w14:paraId="39E43347" w14:textId="77777777" w:rsidR="0035143A" w:rsidRPr="0035143A" w:rsidRDefault="0035143A" w:rsidP="0035143A">
            <w:pPr>
              <w:spacing w:before="20" w:after="20"/>
              <w:jc w:val="left"/>
              <w:rPr>
                <w:color w:val="000000"/>
                <w:szCs w:val="17"/>
              </w:rPr>
            </w:pPr>
            <w:r w:rsidRPr="0035143A">
              <w:rPr>
                <w:color w:val="000000"/>
                <w:szCs w:val="17"/>
              </w:rPr>
              <w:t>New South Wales</w:t>
            </w:r>
          </w:p>
        </w:tc>
        <w:tc>
          <w:tcPr>
            <w:tcW w:w="0" w:type="auto"/>
            <w:tcBorders>
              <w:top w:val="single" w:sz="4" w:space="0" w:color="auto"/>
            </w:tcBorders>
            <w:shd w:val="clear" w:color="auto" w:fill="auto"/>
            <w:noWrap/>
            <w:tcMar>
              <w:top w:w="15" w:type="dxa"/>
              <w:left w:w="15" w:type="dxa"/>
              <w:bottom w:w="0" w:type="dxa"/>
              <w:right w:w="15" w:type="dxa"/>
            </w:tcMar>
            <w:vAlign w:val="bottom"/>
            <w:hideMark/>
          </w:tcPr>
          <w:p w14:paraId="028FFFC4" w14:textId="77777777" w:rsidR="0035143A" w:rsidRPr="0035143A" w:rsidRDefault="0035143A" w:rsidP="0035143A">
            <w:pPr>
              <w:spacing w:before="20" w:after="20"/>
              <w:jc w:val="left"/>
              <w:rPr>
                <w:color w:val="000000"/>
                <w:szCs w:val="17"/>
              </w:rPr>
            </w:pPr>
          </w:p>
        </w:tc>
        <w:tc>
          <w:tcPr>
            <w:tcW w:w="0" w:type="auto"/>
            <w:tcBorders>
              <w:top w:val="single" w:sz="4" w:space="0" w:color="auto"/>
            </w:tcBorders>
            <w:shd w:val="clear" w:color="auto" w:fill="auto"/>
            <w:noWrap/>
            <w:tcMar>
              <w:top w:w="15" w:type="dxa"/>
              <w:left w:w="15" w:type="dxa"/>
              <w:bottom w:w="0" w:type="dxa"/>
              <w:right w:w="15" w:type="dxa"/>
            </w:tcMar>
            <w:vAlign w:val="center"/>
            <w:hideMark/>
          </w:tcPr>
          <w:p w14:paraId="6953B4ED" w14:textId="77777777" w:rsidR="0035143A" w:rsidRPr="0035143A" w:rsidRDefault="0035143A" w:rsidP="0035143A">
            <w:pPr>
              <w:spacing w:before="20" w:after="20"/>
              <w:jc w:val="center"/>
              <w:rPr>
                <w:b/>
                <w:bCs/>
                <w:color w:val="000000"/>
                <w:szCs w:val="17"/>
              </w:rPr>
            </w:pPr>
            <w:r w:rsidRPr="0035143A">
              <w:rPr>
                <w:b/>
                <w:bCs/>
                <w:color w:val="000000"/>
                <w:szCs w:val="17"/>
              </w:rPr>
              <w:t>$399,990</w:t>
            </w:r>
          </w:p>
        </w:tc>
        <w:tc>
          <w:tcPr>
            <w:tcW w:w="0" w:type="auto"/>
            <w:tcBorders>
              <w:top w:val="single" w:sz="4" w:space="0" w:color="auto"/>
            </w:tcBorders>
            <w:shd w:val="clear" w:color="auto" w:fill="auto"/>
            <w:noWrap/>
            <w:tcMar>
              <w:top w:w="15" w:type="dxa"/>
              <w:left w:w="15" w:type="dxa"/>
              <w:bottom w:w="0" w:type="dxa"/>
              <w:right w:w="15" w:type="dxa"/>
            </w:tcMar>
            <w:vAlign w:val="center"/>
            <w:hideMark/>
          </w:tcPr>
          <w:p w14:paraId="4B50E72E" w14:textId="77777777" w:rsidR="0035143A" w:rsidRPr="0035143A" w:rsidRDefault="0035143A" w:rsidP="0035143A">
            <w:pPr>
              <w:spacing w:before="20" w:after="20"/>
              <w:jc w:val="center"/>
              <w:rPr>
                <w:b/>
                <w:bCs/>
                <w:color w:val="000000"/>
                <w:szCs w:val="17"/>
              </w:rPr>
            </w:pPr>
            <w:r w:rsidRPr="0035143A">
              <w:rPr>
                <w:b/>
                <w:bCs/>
                <w:color w:val="000000"/>
                <w:szCs w:val="17"/>
              </w:rPr>
              <w:t>$406,110</w:t>
            </w:r>
          </w:p>
        </w:tc>
      </w:tr>
      <w:tr w:rsidR="0035143A" w:rsidRPr="0035143A" w14:paraId="6F3091ED" w14:textId="77777777" w:rsidTr="0012134E">
        <w:tc>
          <w:tcPr>
            <w:tcW w:w="0" w:type="auto"/>
            <w:shd w:val="clear" w:color="auto" w:fill="auto"/>
            <w:noWrap/>
            <w:tcMar>
              <w:top w:w="15" w:type="dxa"/>
              <w:left w:w="15" w:type="dxa"/>
              <w:bottom w:w="0" w:type="dxa"/>
              <w:right w:w="15" w:type="dxa"/>
            </w:tcMar>
            <w:vAlign w:val="center"/>
            <w:hideMark/>
          </w:tcPr>
          <w:p w14:paraId="13A10E45" w14:textId="77777777" w:rsidR="0035143A" w:rsidRPr="0035143A" w:rsidRDefault="0035143A" w:rsidP="0035143A">
            <w:pPr>
              <w:spacing w:before="20" w:after="20"/>
              <w:jc w:val="left"/>
              <w:rPr>
                <w:color w:val="000000"/>
                <w:szCs w:val="17"/>
              </w:rPr>
            </w:pPr>
            <w:r w:rsidRPr="0035143A">
              <w:rPr>
                <w:color w:val="000000"/>
                <w:szCs w:val="17"/>
              </w:rPr>
              <w:t>Victoria</w:t>
            </w:r>
          </w:p>
        </w:tc>
        <w:tc>
          <w:tcPr>
            <w:tcW w:w="0" w:type="auto"/>
            <w:shd w:val="clear" w:color="auto" w:fill="auto"/>
            <w:noWrap/>
            <w:tcMar>
              <w:top w:w="15" w:type="dxa"/>
              <w:left w:w="15" w:type="dxa"/>
              <w:bottom w:w="0" w:type="dxa"/>
              <w:right w:w="15" w:type="dxa"/>
            </w:tcMar>
            <w:vAlign w:val="bottom"/>
            <w:hideMark/>
          </w:tcPr>
          <w:p w14:paraId="24AD3693" w14:textId="77777777" w:rsidR="0035143A" w:rsidRPr="0035143A" w:rsidRDefault="0035143A" w:rsidP="0035143A">
            <w:pPr>
              <w:spacing w:before="20" w:after="20"/>
              <w:jc w:val="left"/>
              <w:rPr>
                <w:color w:val="000000"/>
                <w:szCs w:val="17"/>
              </w:rPr>
            </w:pPr>
          </w:p>
        </w:tc>
        <w:tc>
          <w:tcPr>
            <w:tcW w:w="0" w:type="auto"/>
            <w:shd w:val="clear" w:color="auto" w:fill="auto"/>
            <w:noWrap/>
            <w:tcMar>
              <w:top w:w="15" w:type="dxa"/>
              <w:left w:w="15" w:type="dxa"/>
              <w:bottom w:w="0" w:type="dxa"/>
              <w:right w:w="15" w:type="dxa"/>
            </w:tcMar>
            <w:vAlign w:val="center"/>
            <w:hideMark/>
          </w:tcPr>
          <w:p w14:paraId="24136026" w14:textId="77777777" w:rsidR="0035143A" w:rsidRPr="0035143A" w:rsidRDefault="0035143A" w:rsidP="0035143A">
            <w:pPr>
              <w:spacing w:before="20" w:after="20"/>
              <w:jc w:val="center"/>
              <w:rPr>
                <w:b/>
                <w:bCs/>
                <w:color w:val="000000"/>
                <w:szCs w:val="17"/>
              </w:rPr>
            </w:pPr>
            <w:r w:rsidRPr="0035143A">
              <w:rPr>
                <w:b/>
                <w:bCs/>
                <w:color w:val="000000"/>
                <w:szCs w:val="17"/>
              </w:rPr>
              <w:t>$333,000</w:t>
            </w:r>
          </w:p>
        </w:tc>
        <w:tc>
          <w:tcPr>
            <w:tcW w:w="0" w:type="auto"/>
            <w:shd w:val="clear" w:color="auto" w:fill="auto"/>
            <w:noWrap/>
            <w:tcMar>
              <w:top w:w="15" w:type="dxa"/>
              <w:left w:w="15" w:type="dxa"/>
              <w:bottom w:w="0" w:type="dxa"/>
              <w:right w:w="15" w:type="dxa"/>
            </w:tcMar>
            <w:vAlign w:val="center"/>
            <w:hideMark/>
          </w:tcPr>
          <w:p w14:paraId="165C54DE" w14:textId="77777777" w:rsidR="0035143A" w:rsidRPr="0035143A" w:rsidRDefault="0035143A" w:rsidP="0035143A">
            <w:pPr>
              <w:spacing w:before="20" w:after="20"/>
              <w:jc w:val="center"/>
              <w:rPr>
                <w:b/>
                <w:bCs/>
                <w:color w:val="000000"/>
                <w:szCs w:val="17"/>
              </w:rPr>
            </w:pPr>
          </w:p>
        </w:tc>
      </w:tr>
      <w:tr w:rsidR="0035143A" w:rsidRPr="0035143A" w14:paraId="35B0BCAF" w14:textId="77777777" w:rsidTr="0012134E">
        <w:tc>
          <w:tcPr>
            <w:tcW w:w="0" w:type="auto"/>
            <w:shd w:val="clear" w:color="auto" w:fill="auto"/>
            <w:noWrap/>
            <w:tcMar>
              <w:top w:w="15" w:type="dxa"/>
              <w:left w:w="15" w:type="dxa"/>
              <w:bottom w:w="0" w:type="dxa"/>
              <w:right w:w="15" w:type="dxa"/>
            </w:tcMar>
            <w:vAlign w:val="center"/>
            <w:hideMark/>
          </w:tcPr>
          <w:p w14:paraId="355B23AA" w14:textId="77777777" w:rsidR="0035143A" w:rsidRPr="0035143A" w:rsidRDefault="0035143A" w:rsidP="0035143A">
            <w:pPr>
              <w:spacing w:before="20" w:after="20"/>
              <w:jc w:val="left"/>
              <w:rPr>
                <w:color w:val="000000"/>
                <w:szCs w:val="17"/>
              </w:rPr>
            </w:pPr>
            <w:r w:rsidRPr="0035143A">
              <w:rPr>
                <w:color w:val="000000"/>
                <w:szCs w:val="17"/>
              </w:rPr>
              <w:t>Queensland</w:t>
            </w:r>
          </w:p>
        </w:tc>
        <w:tc>
          <w:tcPr>
            <w:tcW w:w="0" w:type="auto"/>
            <w:shd w:val="clear" w:color="auto" w:fill="auto"/>
            <w:noWrap/>
            <w:tcMar>
              <w:top w:w="15" w:type="dxa"/>
              <w:left w:w="15" w:type="dxa"/>
              <w:bottom w:w="0" w:type="dxa"/>
              <w:right w:w="15" w:type="dxa"/>
            </w:tcMar>
            <w:vAlign w:val="bottom"/>
            <w:hideMark/>
          </w:tcPr>
          <w:p w14:paraId="04740043" w14:textId="77777777" w:rsidR="0035143A" w:rsidRPr="0035143A" w:rsidRDefault="0035143A" w:rsidP="0035143A">
            <w:pPr>
              <w:spacing w:before="20" w:after="20"/>
              <w:jc w:val="left"/>
              <w:rPr>
                <w:color w:val="000000"/>
                <w:szCs w:val="17"/>
              </w:rPr>
            </w:pPr>
          </w:p>
        </w:tc>
        <w:tc>
          <w:tcPr>
            <w:tcW w:w="0" w:type="auto"/>
            <w:shd w:val="clear" w:color="auto" w:fill="auto"/>
            <w:noWrap/>
            <w:tcMar>
              <w:top w:w="15" w:type="dxa"/>
              <w:left w:w="15" w:type="dxa"/>
              <w:bottom w:w="0" w:type="dxa"/>
              <w:right w:w="15" w:type="dxa"/>
            </w:tcMar>
            <w:vAlign w:val="center"/>
            <w:hideMark/>
          </w:tcPr>
          <w:p w14:paraId="713AB319" w14:textId="77777777" w:rsidR="0035143A" w:rsidRPr="0035143A" w:rsidRDefault="0035143A" w:rsidP="0035143A">
            <w:pPr>
              <w:spacing w:before="20" w:after="20"/>
              <w:jc w:val="center"/>
              <w:rPr>
                <w:b/>
                <w:bCs/>
                <w:color w:val="000000"/>
                <w:szCs w:val="17"/>
              </w:rPr>
            </w:pPr>
            <w:r w:rsidRPr="0035143A">
              <w:rPr>
                <w:b/>
                <w:bCs/>
                <w:color w:val="000000"/>
                <w:szCs w:val="17"/>
              </w:rPr>
              <w:t>$304,626 – $367,177</w:t>
            </w:r>
          </w:p>
        </w:tc>
        <w:tc>
          <w:tcPr>
            <w:tcW w:w="0" w:type="auto"/>
            <w:shd w:val="clear" w:color="auto" w:fill="auto"/>
            <w:noWrap/>
            <w:tcMar>
              <w:top w:w="15" w:type="dxa"/>
              <w:left w:w="15" w:type="dxa"/>
              <w:bottom w:w="0" w:type="dxa"/>
              <w:right w:w="15" w:type="dxa"/>
            </w:tcMar>
            <w:vAlign w:val="center"/>
            <w:hideMark/>
          </w:tcPr>
          <w:p w14:paraId="73F5BF17" w14:textId="77777777" w:rsidR="0035143A" w:rsidRPr="0035143A" w:rsidRDefault="0035143A" w:rsidP="0035143A">
            <w:pPr>
              <w:spacing w:before="20" w:after="20"/>
              <w:jc w:val="center"/>
              <w:rPr>
                <w:b/>
                <w:bCs/>
                <w:color w:val="000000"/>
                <w:szCs w:val="17"/>
              </w:rPr>
            </w:pPr>
          </w:p>
        </w:tc>
      </w:tr>
      <w:tr w:rsidR="0035143A" w:rsidRPr="0035143A" w14:paraId="071AC0D3" w14:textId="77777777" w:rsidTr="0012134E">
        <w:tc>
          <w:tcPr>
            <w:tcW w:w="0" w:type="auto"/>
            <w:shd w:val="clear" w:color="auto" w:fill="auto"/>
            <w:noWrap/>
            <w:tcMar>
              <w:top w:w="15" w:type="dxa"/>
              <w:left w:w="15" w:type="dxa"/>
              <w:bottom w:w="0" w:type="dxa"/>
              <w:right w:w="15" w:type="dxa"/>
            </w:tcMar>
            <w:vAlign w:val="center"/>
            <w:hideMark/>
          </w:tcPr>
          <w:p w14:paraId="58434BA2" w14:textId="77777777" w:rsidR="0035143A" w:rsidRPr="0035143A" w:rsidRDefault="0035143A" w:rsidP="0035143A">
            <w:pPr>
              <w:spacing w:before="20" w:after="20"/>
              <w:jc w:val="left"/>
              <w:rPr>
                <w:color w:val="000000"/>
                <w:szCs w:val="17"/>
              </w:rPr>
            </w:pPr>
            <w:r w:rsidRPr="0035143A">
              <w:rPr>
                <w:color w:val="000000"/>
                <w:szCs w:val="17"/>
              </w:rPr>
              <w:t>Western Australia</w:t>
            </w:r>
          </w:p>
        </w:tc>
        <w:tc>
          <w:tcPr>
            <w:tcW w:w="0" w:type="auto"/>
            <w:shd w:val="clear" w:color="auto" w:fill="auto"/>
            <w:noWrap/>
            <w:tcMar>
              <w:top w:w="15" w:type="dxa"/>
              <w:left w:w="15" w:type="dxa"/>
              <w:bottom w:w="0" w:type="dxa"/>
              <w:right w:w="15" w:type="dxa"/>
            </w:tcMar>
            <w:vAlign w:val="bottom"/>
            <w:hideMark/>
          </w:tcPr>
          <w:p w14:paraId="28B95953" w14:textId="77777777" w:rsidR="0035143A" w:rsidRPr="0035143A" w:rsidRDefault="0035143A" w:rsidP="0035143A">
            <w:pPr>
              <w:spacing w:before="20" w:after="20"/>
              <w:jc w:val="left"/>
              <w:rPr>
                <w:color w:val="000000"/>
                <w:szCs w:val="17"/>
              </w:rPr>
            </w:pPr>
          </w:p>
        </w:tc>
        <w:tc>
          <w:tcPr>
            <w:tcW w:w="0" w:type="auto"/>
            <w:shd w:val="clear" w:color="auto" w:fill="auto"/>
            <w:noWrap/>
            <w:tcMar>
              <w:top w:w="15" w:type="dxa"/>
              <w:left w:w="15" w:type="dxa"/>
              <w:bottom w:w="0" w:type="dxa"/>
              <w:right w:w="15" w:type="dxa"/>
            </w:tcMar>
            <w:vAlign w:val="center"/>
            <w:hideMark/>
          </w:tcPr>
          <w:p w14:paraId="69A485F7" w14:textId="77777777" w:rsidR="0035143A" w:rsidRPr="0035143A" w:rsidRDefault="0035143A" w:rsidP="0035143A">
            <w:pPr>
              <w:spacing w:before="20" w:after="20"/>
              <w:jc w:val="center"/>
              <w:rPr>
                <w:b/>
                <w:bCs/>
                <w:color w:val="000000"/>
                <w:szCs w:val="17"/>
              </w:rPr>
            </w:pPr>
            <w:r w:rsidRPr="0035143A">
              <w:rPr>
                <w:b/>
                <w:bCs/>
                <w:color w:val="000000"/>
                <w:szCs w:val="17"/>
              </w:rPr>
              <w:t>$253,020</w:t>
            </w:r>
          </w:p>
        </w:tc>
        <w:tc>
          <w:tcPr>
            <w:tcW w:w="0" w:type="auto"/>
            <w:shd w:val="clear" w:color="auto" w:fill="auto"/>
            <w:noWrap/>
            <w:tcMar>
              <w:top w:w="15" w:type="dxa"/>
              <w:left w:w="15" w:type="dxa"/>
              <w:bottom w:w="0" w:type="dxa"/>
              <w:right w:w="15" w:type="dxa"/>
            </w:tcMar>
            <w:vAlign w:val="center"/>
            <w:hideMark/>
          </w:tcPr>
          <w:p w14:paraId="67B43323" w14:textId="77777777" w:rsidR="0035143A" w:rsidRPr="0035143A" w:rsidRDefault="0035143A" w:rsidP="0035143A">
            <w:pPr>
              <w:spacing w:before="20" w:after="20"/>
              <w:jc w:val="center"/>
              <w:rPr>
                <w:b/>
                <w:bCs/>
                <w:color w:val="000000"/>
                <w:szCs w:val="17"/>
              </w:rPr>
            </w:pPr>
            <w:r w:rsidRPr="0035143A">
              <w:rPr>
                <w:b/>
                <w:bCs/>
                <w:color w:val="000000"/>
                <w:szCs w:val="17"/>
              </w:rPr>
              <w:t>$259,978</w:t>
            </w:r>
          </w:p>
        </w:tc>
      </w:tr>
      <w:tr w:rsidR="0035143A" w:rsidRPr="0035143A" w14:paraId="100DFDEE" w14:textId="77777777" w:rsidTr="0012134E">
        <w:tc>
          <w:tcPr>
            <w:tcW w:w="0" w:type="auto"/>
            <w:shd w:val="clear" w:color="auto" w:fill="auto"/>
            <w:noWrap/>
            <w:tcMar>
              <w:top w:w="15" w:type="dxa"/>
              <w:left w:w="15" w:type="dxa"/>
              <w:bottom w:w="0" w:type="dxa"/>
              <w:right w:w="15" w:type="dxa"/>
            </w:tcMar>
            <w:vAlign w:val="center"/>
            <w:hideMark/>
          </w:tcPr>
          <w:p w14:paraId="286422D7" w14:textId="77777777" w:rsidR="0035143A" w:rsidRPr="0035143A" w:rsidRDefault="0035143A" w:rsidP="0035143A">
            <w:pPr>
              <w:spacing w:before="20" w:after="20"/>
              <w:jc w:val="left"/>
              <w:rPr>
                <w:color w:val="000000"/>
                <w:szCs w:val="17"/>
              </w:rPr>
            </w:pPr>
            <w:r w:rsidRPr="0035143A">
              <w:rPr>
                <w:color w:val="000000"/>
                <w:szCs w:val="17"/>
              </w:rPr>
              <w:t>Northern Territory</w:t>
            </w:r>
          </w:p>
        </w:tc>
        <w:tc>
          <w:tcPr>
            <w:tcW w:w="0" w:type="auto"/>
            <w:shd w:val="clear" w:color="auto" w:fill="auto"/>
            <w:noWrap/>
            <w:tcMar>
              <w:top w:w="15" w:type="dxa"/>
              <w:left w:w="15" w:type="dxa"/>
              <w:bottom w:w="0" w:type="dxa"/>
              <w:right w:w="15" w:type="dxa"/>
            </w:tcMar>
            <w:vAlign w:val="bottom"/>
            <w:hideMark/>
          </w:tcPr>
          <w:p w14:paraId="249950D3" w14:textId="77777777" w:rsidR="0035143A" w:rsidRPr="0035143A" w:rsidRDefault="0035143A" w:rsidP="0035143A">
            <w:pPr>
              <w:spacing w:before="20" w:after="20"/>
              <w:jc w:val="left"/>
              <w:rPr>
                <w:color w:val="000000"/>
                <w:szCs w:val="17"/>
              </w:rPr>
            </w:pPr>
          </w:p>
        </w:tc>
        <w:tc>
          <w:tcPr>
            <w:tcW w:w="0" w:type="auto"/>
            <w:shd w:val="clear" w:color="auto" w:fill="auto"/>
            <w:noWrap/>
            <w:tcMar>
              <w:top w:w="15" w:type="dxa"/>
              <w:left w:w="15" w:type="dxa"/>
              <w:bottom w:w="0" w:type="dxa"/>
              <w:right w:w="15" w:type="dxa"/>
            </w:tcMar>
            <w:vAlign w:val="center"/>
            <w:hideMark/>
          </w:tcPr>
          <w:p w14:paraId="28BE6367" w14:textId="77777777" w:rsidR="0035143A" w:rsidRPr="0035143A" w:rsidRDefault="0035143A" w:rsidP="0035143A">
            <w:pPr>
              <w:spacing w:before="20" w:after="20"/>
              <w:jc w:val="center"/>
              <w:rPr>
                <w:b/>
                <w:bCs/>
                <w:color w:val="000000"/>
                <w:szCs w:val="17"/>
              </w:rPr>
            </w:pPr>
            <w:r w:rsidRPr="0035143A">
              <w:rPr>
                <w:b/>
                <w:bCs/>
                <w:color w:val="000000"/>
                <w:szCs w:val="17"/>
              </w:rPr>
              <w:t>$244,000</w:t>
            </w:r>
          </w:p>
        </w:tc>
        <w:tc>
          <w:tcPr>
            <w:tcW w:w="0" w:type="auto"/>
            <w:shd w:val="clear" w:color="auto" w:fill="auto"/>
            <w:noWrap/>
            <w:tcMar>
              <w:top w:w="15" w:type="dxa"/>
              <w:left w:w="15" w:type="dxa"/>
              <w:bottom w:w="0" w:type="dxa"/>
              <w:right w:w="15" w:type="dxa"/>
            </w:tcMar>
            <w:vAlign w:val="center"/>
            <w:hideMark/>
          </w:tcPr>
          <w:p w14:paraId="2AF83B77" w14:textId="77777777" w:rsidR="0035143A" w:rsidRPr="0035143A" w:rsidRDefault="0035143A" w:rsidP="0035143A">
            <w:pPr>
              <w:spacing w:before="20" w:after="20"/>
              <w:jc w:val="center"/>
              <w:rPr>
                <w:b/>
                <w:bCs/>
                <w:color w:val="000000"/>
                <w:szCs w:val="17"/>
              </w:rPr>
            </w:pPr>
          </w:p>
        </w:tc>
      </w:tr>
      <w:tr w:rsidR="0035143A" w:rsidRPr="0035143A" w14:paraId="4760E4CE" w14:textId="77777777" w:rsidTr="0012134E">
        <w:tc>
          <w:tcPr>
            <w:tcW w:w="0" w:type="auto"/>
            <w:shd w:val="clear" w:color="auto" w:fill="auto"/>
            <w:noWrap/>
            <w:tcMar>
              <w:top w:w="15" w:type="dxa"/>
              <w:left w:w="15" w:type="dxa"/>
              <w:bottom w:w="0" w:type="dxa"/>
              <w:right w:w="15" w:type="dxa"/>
            </w:tcMar>
            <w:vAlign w:val="center"/>
            <w:hideMark/>
          </w:tcPr>
          <w:p w14:paraId="03D341B2" w14:textId="77777777" w:rsidR="0035143A" w:rsidRPr="0035143A" w:rsidRDefault="0035143A" w:rsidP="0035143A">
            <w:pPr>
              <w:spacing w:before="20" w:after="20"/>
              <w:jc w:val="left"/>
              <w:rPr>
                <w:color w:val="000000"/>
                <w:szCs w:val="17"/>
              </w:rPr>
            </w:pPr>
            <w:r w:rsidRPr="0035143A">
              <w:rPr>
                <w:color w:val="000000"/>
                <w:szCs w:val="17"/>
              </w:rPr>
              <w:t>South Australia</w:t>
            </w:r>
          </w:p>
        </w:tc>
        <w:tc>
          <w:tcPr>
            <w:tcW w:w="0" w:type="auto"/>
            <w:shd w:val="clear" w:color="auto" w:fill="auto"/>
            <w:noWrap/>
            <w:tcMar>
              <w:top w:w="15" w:type="dxa"/>
              <w:left w:w="15" w:type="dxa"/>
              <w:bottom w:w="0" w:type="dxa"/>
              <w:right w:w="15" w:type="dxa"/>
            </w:tcMar>
            <w:vAlign w:val="bottom"/>
            <w:hideMark/>
          </w:tcPr>
          <w:p w14:paraId="5A8BFFE9" w14:textId="77777777" w:rsidR="0035143A" w:rsidRPr="0035143A" w:rsidRDefault="0035143A" w:rsidP="0035143A">
            <w:pPr>
              <w:spacing w:before="20" w:after="20"/>
              <w:jc w:val="left"/>
              <w:rPr>
                <w:color w:val="000000"/>
                <w:szCs w:val="17"/>
              </w:rPr>
            </w:pPr>
            <w:r w:rsidRPr="0035143A">
              <w:rPr>
                <w:color w:val="000000"/>
                <w:szCs w:val="17"/>
              </w:rPr>
              <w:t> </w:t>
            </w:r>
          </w:p>
        </w:tc>
        <w:tc>
          <w:tcPr>
            <w:tcW w:w="0" w:type="auto"/>
            <w:shd w:val="clear" w:color="auto" w:fill="auto"/>
            <w:noWrap/>
            <w:tcMar>
              <w:top w:w="15" w:type="dxa"/>
              <w:left w:w="15" w:type="dxa"/>
              <w:bottom w:w="0" w:type="dxa"/>
              <w:right w:w="15" w:type="dxa"/>
            </w:tcMar>
            <w:vAlign w:val="center"/>
            <w:hideMark/>
          </w:tcPr>
          <w:p w14:paraId="47E57AF7" w14:textId="77777777" w:rsidR="0035143A" w:rsidRPr="0035143A" w:rsidRDefault="0035143A" w:rsidP="0035143A">
            <w:pPr>
              <w:spacing w:before="20" w:after="20"/>
              <w:jc w:val="center"/>
              <w:rPr>
                <w:b/>
                <w:bCs/>
                <w:color w:val="000000"/>
                <w:szCs w:val="17"/>
              </w:rPr>
            </w:pPr>
            <w:r w:rsidRPr="0035143A">
              <w:rPr>
                <w:b/>
                <w:bCs/>
                <w:color w:val="000000"/>
                <w:szCs w:val="17"/>
              </w:rPr>
              <w:t>$239,737</w:t>
            </w:r>
          </w:p>
        </w:tc>
        <w:tc>
          <w:tcPr>
            <w:tcW w:w="0" w:type="auto"/>
            <w:shd w:val="clear" w:color="auto" w:fill="auto"/>
            <w:noWrap/>
            <w:tcMar>
              <w:top w:w="15" w:type="dxa"/>
              <w:left w:w="15" w:type="dxa"/>
              <w:bottom w:w="0" w:type="dxa"/>
              <w:right w:w="15" w:type="dxa"/>
            </w:tcMar>
            <w:vAlign w:val="center"/>
            <w:hideMark/>
          </w:tcPr>
          <w:p w14:paraId="49AB3018" w14:textId="77777777" w:rsidR="0035143A" w:rsidRPr="0035143A" w:rsidRDefault="0035143A" w:rsidP="0035143A">
            <w:pPr>
              <w:spacing w:before="20" w:after="20"/>
              <w:jc w:val="center"/>
              <w:rPr>
                <w:color w:val="000000"/>
                <w:szCs w:val="17"/>
              </w:rPr>
            </w:pPr>
            <w:r w:rsidRPr="0035143A">
              <w:rPr>
                <w:color w:val="000000"/>
                <w:szCs w:val="17"/>
              </w:rPr>
              <w:t> </w:t>
            </w:r>
          </w:p>
        </w:tc>
      </w:tr>
      <w:tr w:rsidR="0035143A" w:rsidRPr="0035143A" w14:paraId="4EE2F87A" w14:textId="77777777" w:rsidTr="0012134E">
        <w:tc>
          <w:tcPr>
            <w:tcW w:w="0" w:type="auto"/>
            <w:shd w:val="clear" w:color="auto" w:fill="auto"/>
            <w:noWrap/>
            <w:tcMar>
              <w:top w:w="15" w:type="dxa"/>
              <w:left w:w="15" w:type="dxa"/>
              <w:bottom w:w="0" w:type="dxa"/>
              <w:right w:w="15" w:type="dxa"/>
            </w:tcMar>
            <w:vAlign w:val="center"/>
            <w:hideMark/>
          </w:tcPr>
          <w:p w14:paraId="6B3695BD" w14:textId="77777777" w:rsidR="0035143A" w:rsidRPr="0035143A" w:rsidRDefault="0035143A" w:rsidP="0035143A">
            <w:pPr>
              <w:spacing w:before="20" w:after="20"/>
              <w:jc w:val="left"/>
              <w:rPr>
                <w:color w:val="000000"/>
                <w:szCs w:val="17"/>
              </w:rPr>
            </w:pPr>
            <w:r w:rsidRPr="0035143A">
              <w:rPr>
                <w:color w:val="000000"/>
                <w:szCs w:val="17"/>
              </w:rPr>
              <w:t>ACT</w:t>
            </w:r>
          </w:p>
        </w:tc>
        <w:tc>
          <w:tcPr>
            <w:tcW w:w="0" w:type="auto"/>
            <w:shd w:val="clear" w:color="auto" w:fill="auto"/>
            <w:noWrap/>
            <w:tcMar>
              <w:top w:w="15" w:type="dxa"/>
              <w:left w:w="15" w:type="dxa"/>
              <w:bottom w:w="0" w:type="dxa"/>
              <w:right w:w="15" w:type="dxa"/>
            </w:tcMar>
            <w:vAlign w:val="bottom"/>
            <w:hideMark/>
          </w:tcPr>
          <w:p w14:paraId="281B6ADF" w14:textId="77777777" w:rsidR="0035143A" w:rsidRPr="0035143A" w:rsidRDefault="0035143A" w:rsidP="0035143A">
            <w:pPr>
              <w:spacing w:before="20" w:after="20"/>
              <w:jc w:val="left"/>
              <w:rPr>
                <w:color w:val="000000"/>
                <w:szCs w:val="17"/>
              </w:rPr>
            </w:pPr>
          </w:p>
        </w:tc>
        <w:tc>
          <w:tcPr>
            <w:tcW w:w="0" w:type="auto"/>
            <w:shd w:val="clear" w:color="auto" w:fill="auto"/>
            <w:noWrap/>
            <w:tcMar>
              <w:top w:w="15" w:type="dxa"/>
              <w:left w:w="15" w:type="dxa"/>
              <w:bottom w:w="0" w:type="dxa"/>
              <w:right w:w="15" w:type="dxa"/>
            </w:tcMar>
            <w:vAlign w:val="center"/>
            <w:hideMark/>
          </w:tcPr>
          <w:p w14:paraId="3EDFC68D" w14:textId="77777777" w:rsidR="0035143A" w:rsidRPr="0035143A" w:rsidRDefault="0035143A" w:rsidP="0035143A">
            <w:pPr>
              <w:spacing w:before="20" w:after="20"/>
              <w:jc w:val="center"/>
              <w:rPr>
                <w:b/>
                <w:bCs/>
                <w:color w:val="000000"/>
                <w:szCs w:val="17"/>
              </w:rPr>
            </w:pPr>
            <w:r w:rsidRPr="0035143A">
              <w:rPr>
                <w:b/>
                <w:bCs/>
                <w:color w:val="000000"/>
                <w:szCs w:val="17"/>
              </w:rPr>
              <w:t>$232,532</w:t>
            </w:r>
          </w:p>
        </w:tc>
        <w:tc>
          <w:tcPr>
            <w:tcW w:w="0" w:type="auto"/>
            <w:shd w:val="clear" w:color="auto" w:fill="auto"/>
            <w:noWrap/>
            <w:tcMar>
              <w:top w:w="15" w:type="dxa"/>
              <w:left w:w="15" w:type="dxa"/>
              <w:bottom w:w="0" w:type="dxa"/>
              <w:right w:w="15" w:type="dxa"/>
            </w:tcMar>
            <w:vAlign w:val="center"/>
            <w:hideMark/>
          </w:tcPr>
          <w:p w14:paraId="29D0EB63" w14:textId="77777777" w:rsidR="0035143A" w:rsidRPr="0035143A" w:rsidRDefault="0035143A" w:rsidP="0035143A">
            <w:pPr>
              <w:spacing w:before="20" w:after="20"/>
              <w:jc w:val="center"/>
              <w:rPr>
                <w:b/>
                <w:bCs/>
                <w:color w:val="000000"/>
                <w:szCs w:val="17"/>
              </w:rPr>
            </w:pPr>
            <w:r w:rsidRPr="0035143A">
              <w:rPr>
                <w:b/>
                <w:bCs/>
                <w:color w:val="000000"/>
                <w:szCs w:val="17"/>
              </w:rPr>
              <w:t>$240,089</w:t>
            </w:r>
          </w:p>
        </w:tc>
      </w:tr>
      <w:tr w:rsidR="0035143A" w:rsidRPr="0035143A" w14:paraId="6F838296" w14:textId="77777777" w:rsidTr="0012134E">
        <w:tc>
          <w:tcPr>
            <w:tcW w:w="0" w:type="auto"/>
            <w:tcBorders>
              <w:bottom w:val="single" w:sz="4" w:space="0" w:color="auto"/>
            </w:tcBorders>
            <w:shd w:val="clear" w:color="auto" w:fill="auto"/>
            <w:noWrap/>
            <w:tcMar>
              <w:top w:w="15" w:type="dxa"/>
              <w:left w:w="15" w:type="dxa"/>
              <w:bottom w:w="0" w:type="dxa"/>
              <w:right w:w="15" w:type="dxa"/>
            </w:tcMar>
            <w:vAlign w:val="center"/>
            <w:hideMark/>
          </w:tcPr>
          <w:p w14:paraId="74632D0B" w14:textId="77777777" w:rsidR="0035143A" w:rsidRPr="0035143A" w:rsidRDefault="0035143A" w:rsidP="0035143A">
            <w:pPr>
              <w:spacing w:before="20" w:after="20"/>
              <w:jc w:val="left"/>
              <w:rPr>
                <w:color w:val="000000"/>
                <w:szCs w:val="17"/>
              </w:rPr>
            </w:pPr>
            <w:r w:rsidRPr="0035143A">
              <w:rPr>
                <w:color w:val="000000"/>
                <w:szCs w:val="17"/>
              </w:rPr>
              <w:t>Tasmania</w:t>
            </w:r>
          </w:p>
        </w:tc>
        <w:tc>
          <w:tcPr>
            <w:tcW w:w="0" w:type="auto"/>
            <w:tcBorders>
              <w:bottom w:val="single" w:sz="4" w:space="0" w:color="auto"/>
            </w:tcBorders>
            <w:shd w:val="clear" w:color="auto" w:fill="auto"/>
            <w:noWrap/>
            <w:tcMar>
              <w:top w:w="15" w:type="dxa"/>
              <w:left w:w="15" w:type="dxa"/>
              <w:bottom w:w="0" w:type="dxa"/>
              <w:right w:w="15" w:type="dxa"/>
            </w:tcMar>
            <w:vAlign w:val="bottom"/>
            <w:hideMark/>
          </w:tcPr>
          <w:p w14:paraId="1BC3FF33" w14:textId="77777777" w:rsidR="0035143A" w:rsidRPr="0035143A" w:rsidRDefault="0035143A" w:rsidP="0035143A">
            <w:pPr>
              <w:spacing w:before="20" w:after="20"/>
              <w:jc w:val="left"/>
              <w:rPr>
                <w:color w:val="000000"/>
                <w:szCs w:val="17"/>
              </w:rPr>
            </w:pPr>
          </w:p>
        </w:tc>
        <w:tc>
          <w:tcPr>
            <w:tcW w:w="2400" w:type="dxa"/>
            <w:tcBorders>
              <w:bottom w:val="single" w:sz="4" w:space="0" w:color="auto"/>
            </w:tcBorders>
            <w:shd w:val="clear" w:color="auto" w:fill="auto"/>
            <w:tcMar>
              <w:top w:w="15" w:type="dxa"/>
              <w:left w:w="15" w:type="dxa"/>
              <w:bottom w:w="0" w:type="dxa"/>
              <w:right w:w="15" w:type="dxa"/>
            </w:tcMar>
            <w:vAlign w:val="center"/>
            <w:hideMark/>
          </w:tcPr>
          <w:p w14:paraId="49221946" w14:textId="77777777" w:rsidR="0035143A" w:rsidRPr="0035143A" w:rsidRDefault="0035143A" w:rsidP="0035143A">
            <w:pPr>
              <w:spacing w:before="20" w:after="20"/>
              <w:jc w:val="center"/>
              <w:rPr>
                <w:color w:val="000000"/>
                <w:szCs w:val="17"/>
              </w:rPr>
            </w:pPr>
            <w:r w:rsidRPr="0035143A">
              <w:rPr>
                <w:b/>
                <w:bCs/>
                <w:color w:val="000000"/>
                <w:szCs w:val="17"/>
              </w:rPr>
              <w:t xml:space="preserve">$196,319 – $215,952 </w:t>
            </w:r>
            <w:r w:rsidRPr="0035143A">
              <w:rPr>
                <w:b/>
                <w:bCs/>
                <w:color w:val="000000"/>
                <w:szCs w:val="17"/>
              </w:rPr>
              <w:br/>
              <w:t xml:space="preserve"> $225,768 </w:t>
            </w:r>
            <w:r w:rsidRPr="0035143A">
              <w:rPr>
                <w:color w:val="000000"/>
                <w:szCs w:val="17"/>
              </w:rPr>
              <w:t xml:space="preserve">(with approval of </w:t>
            </w:r>
          </w:p>
          <w:p w14:paraId="3C3072CA" w14:textId="77777777" w:rsidR="0035143A" w:rsidRPr="0035143A" w:rsidRDefault="0035143A" w:rsidP="0035143A">
            <w:pPr>
              <w:spacing w:before="20" w:after="20"/>
              <w:jc w:val="center"/>
              <w:rPr>
                <w:b/>
                <w:bCs/>
                <w:color w:val="000000"/>
                <w:szCs w:val="17"/>
              </w:rPr>
            </w:pPr>
            <w:r w:rsidRPr="0035143A">
              <w:rPr>
                <w:color w:val="000000"/>
                <w:szCs w:val="17"/>
              </w:rPr>
              <w:t>Head of State Service)</w:t>
            </w:r>
          </w:p>
        </w:tc>
        <w:tc>
          <w:tcPr>
            <w:tcW w:w="2560" w:type="dxa"/>
            <w:tcBorders>
              <w:bottom w:val="single" w:sz="4" w:space="0" w:color="auto"/>
            </w:tcBorders>
            <w:shd w:val="clear" w:color="auto" w:fill="auto"/>
            <w:tcMar>
              <w:top w:w="15" w:type="dxa"/>
              <w:left w:w="15" w:type="dxa"/>
              <w:bottom w:w="0" w:type="dxa"/>
              <w:right w:w="15" w:type="dxa"/>
            </w:tcMar>
            <w:vAlign w:val="center"/>
            <w:hideMark/>
          </w:tcPr>
          <w:p w14:paraId="29B0797D" w14:textId="77777777" w:rsidR="0035143A" w:rsidRPr="0035143A" w:rsidRDefault="0035143A" w:rsidP="0035143A">
            <w:pPr>
              <w:spacing w:before="20" w:after="20"/>
              <w:jc w:val="center"/>
              <w:rPr>
                <w:color w:val="000000"/>
                <w:szCs w:val="17"/>
              </w:rPr>
            </w:pPr>
            <w:r w:rsidRPr="0035143A">
              <w:rPr>
                <w:b/>
                <w:bCs/>
                <w:color w:val="000000"/>
                <w:szCs w:val="17"/>
              </w:rPr>
              <w:t>$200,933 – $221,027</w:t>
            </w:r>
            <w:r w:rsidRPr="0035143A">
              <w:rPr>
                <w:b/>
                <w:bCs/>
                <w:color w:val="000000"/>
                <w:szCs w:val="17"/>
              </w:rPr>
              <w:br/>
              <w:t xml:space="preserve">$231,073 </w:t>
            </w:r>
            <w:r w:rsidRPr="0035143A">
              <w:rPr>
                <w:color w:val="000000"/>
                <w:szCs w:val="17"/>
              </w:rPr>
              <w:t xml:space="preserve">(with approval of </w:t>
            </w:r>
          </w:p>
          <w:p w14:paraId="72317C89" w14:textId="77777777" w:rsidR="0035143A" w:rsidRPr="0035143A" w:rsidRDefault="0035143A" w:rsidP="0035143A">
            <w:pPr>
              <w:spacing w:before="20" w:after="20"/>
              <w:jc w:val="center"/>
              <w:rPr>
                <w:b/>
                <w:bCs/>
                <w:color w:val="000000"/>
                <w:szCs w:val="17"/>
              </w:rPr>
            </w:pPr>
            <w:r w:rsidRPr="0035143A">
              <w:rPr>
                <w:color w:val="000000"/>
                <w:szCs w:val="17"/>
              </w:rPr>
              <w:t>Head of State Service)</w:t>
            </w:r>
          </w:p>
        </w:tc>
      </w:tr>
    </w:tbl>
    <w:p w14:paraId="2335A736" w14:textId="77777777" w:rsidR="0035143A" w:rsidRPr="0035143A" w:rsidRDefault="0035143A" w:rsidP="0035143A">
      <w:pPr>
        <w:rPr>
          <w:rFonts w:eastAsia="Times New Roman"/>
          <w:szCs w:val="17"/>
        </w:rPr>
      </w:pPr>
    </w:p>
    <w:p w14:paraId="5C5C79B0"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notes that the figures for Victoria, Queensland, and the Northern Territory have been ascertained (or estimated in the case of Victoria) from detailed Annual Reports from each jurisdiction, and from the submission of the Electoral Commissioner. The salaries for New South Wales, Western Australia, and the Australian Capital Territory are set by respective Tribunals. The salary for Tasmania is set under an Employment Direction, with the role being a Senior Executive Level 3.</w:t>
      </w:r>
    </w:p>
    <w:tbl>
      <w:tblPr>
        <w:tblW w:w="7768" w:type="dxa"/>
        <w:tblInd w:w="454" w:type="dxa"/>
        <w:tblLook w:val="04A0" w:firstRow="1" w:lastRow="0" w:firstColumn="1" w:lastColumn="0" w:noHBand="0" w:noVBand="1"/>
      </w:tblPr>
      <w:tblGrid>
        <w:gridCol w:w="2310"/>
        <w:gridCol w:w="267"/>
        <w:gridCol w:w="2498"/>
        <w:gridCol w:w="2693"/>
      </w:tblGrid>
      <w:tr w:rsidR="0035143A" w:rsidRPr="0035143A" w14:paraId="745553CC" w14:textId="77777777" w:rsidTr="0012134E">
        <w:tc>
          <w:tcPr>
            <w:tcW w:w="5075" w:type="dxa"/>
            <w:gridSpan w:val="3"/>
            <w:tcBorders>
              <w:top w:val="single" w:sz="4" w:space="0" w:color="auto"/>
              <w:bottom w:val="single" w:sz="4" w:space="0" w:color="auto"/>
            </w:tcBorders>
            <w:shd w:val="clear" w:color="auto" w:fill="FFFFFF" w:themeFill="background1"/>
            <w:noWrap/>
            <w:vAlign w:val="center"/>
            <w:hideMark/>
          </w:tcPr>
          <w:p w14:paraId="62B5422E" w14:textId="77777777" w:rsidR="0035143A" w:rsidRPr="0035143A" w:rsidRDefault="0035143A" w:rsidP="0035143A">
            <w:pPr>
              <w:spacing w:before="40" w:after="40"/>
              <w:jc w:val="left"/>
              <w:rPr>
                <w:b/>
                <w:bCs/>
                <w:color w:val="000000"/>
                <w:szCs w:val="17"/>
              </w:rPr>
            </w:pPr>
            <w:r w:rsidRPr="0035143A">
              <w:rPr>
                <w:b/>
                <w:bCs/>
                <w:color w:val="000000"/>
                <w:szCs w:val="17"/>
              </w:rPr>
              <w:t>Deputy Electoral Commissioner</w:t>
            </w:r>
          </w:p>
        </w:tc>
        <w:tc>
          <w:tcPr>
            <w:tcW w:w="2693" w:type="dxa"/>
            <w:tcBorders>
              <w:top w:val="single" w:sz="4" w:space="0" w:color="auto"/>
              <w:bottom w:val="single" w:sz="4" w:space="0" w:color="auto"/>
            </w:tcBorders>
            <w:shd w:val="clear" w:color="auto" w:fill="FFFFFF" w:themeFill="background1"/>
            <w:noWrap/>
            <w:vAlign w:val="center"/>
            <w:hideMark/>
          </w:tcPr>
          <w:p w14:paraId="5EB8D878" w14:textId="77777777" w:rsidR="0035143A" w:rsidRPr="0035143A" w:rsidRDefault="0035143A" w:rsidP="0035143A">
            <w:pPr>
              <w:spacing w:before="40" w:after="40"/>
              <w:jc w:val="left"/>
              <w:rPr>
                <w:b/>
                <w:bCs/>
                <w:color w:val="000000"/>
                <w:szCs w:val="17"/>
              </w:rPr>
            </w:pPr>
          </w:p>
        </w:tc>
      </w:tr>
      <w:tr w:rsidR="0035143A" w:rsidRPr="0035143A" w14:paraId="12E4B005" w14:textId="77777777" w:rsidTr="0012134E">
        <w:tc>
          <w:tcPr>
            <w:tcW w:w="2310" w:type="dxa"/>
            <w:tcBorders>
              <w:top w:val="single" w:sz="4" w:space="0" w:color="auto"/>
              <w:bottom w:val="single" w:sz="4" w:space="0" w:color="auto"/>
            </w:tcBorders>
            <w:shd w:val="clear" w:color="auto" w:fill="FFFFFF" w:themeFill="background1"/>
            <w:noWrap/>
            <w:vAlign w:val="center"/>
            <w:hideMark/>
          </w:tcPr>
          <w:p w14:paraId="087CC202" w14:textId="77777777" w:rsidR="0035143A" w:rsidRPr="0035143A" w:rsidRDefault="0035143A" w:rsidP="0035143A">
            <w:pPr>
              <w:spacing w:before="40" w:after="40"/>
              <w:jc w:val="center"/>
              <w:rPr>
                <w:rFonts w:eastAsia="Times New Roman"/>
                <w:b/>
                <w:bCs/>
                <w:color w:val="000000"/>
                <w:szCs w:val="17"/>
                <w:lang w:eastAsia="en-AU"/>
              </w:rPr>
            </w:pPr>
            <w:r w:rsidRPr="0035143A">
              <w:rPr>
                <w:b/>
                <w:bCs/>
                <w:szCs w:val="17"/>
              </w:rPr>
              <w:t>Jurisdiction</w:t>
            </w:r>
          </w:p>
        </w:tc>
        <w:tc>
          <w:tcPr>
            <w:tcW w:w="267" w:type="dxa"/>
            <w:tcBorders>
              <w:top w:val="single" w:sz="4" w:space="0" w:color="auto"/>
              <w:bottom w:val="single" w:sz="4" w:space="0" w:color="auto"/>
            </w:tcBorders>
            <w:shd w:val="clear" w:color="auto" w:fill="FFFFFF" w:themeFill="background1"/>
            <w:noWrap/>
            <w:vAlign w:val="center"/>
            <w:hideMark/>
          </w:tcPr>
          <w:p w14:paraId="352B74CF" w14:textId="77777777" w:rsidR="0035143A" w:rsidRPr="0035143A" w:rsidRDefault="0035143A" w:rsidP="0035143A">
            <w:pPr>
              <w:spacing w:before="40" w:after="40"/>
              <w:jc w:val="center"/>
              <w:rPr>
                <w:rFonts w:eastAsia="Times New Roman"/>
                <w:b/>
                <w:bCs/>
                <w:color w:val="000000"/>
                <w:szCs w:val="17"/>
                <w:lang w:eastAsia="en-AU"/>
              </w:rPr>
            </w:pPr>
          </w:p>
        </w:tc>
        <w:tc>
          <w:tcPr>
            <w:tcW w:w="2498" w:type="dxa"/>
            <w:tcBorders>
              <w:top w:val="single" w:sz="4" w:space="0" w:color="auto"/>
              <w:bottom w:val="single" w:sz="4" w:space="0" w:color="auto"/>
            </w:tcBorders>
            <w:shd w:val="clear" w:color="auto" w:fill="FFFFFF" w:themeFill="background1"/>
            <w:noWrap/>
            <w:vAlign w:val="center"/>
            <w:hideMark/>
          </w:tcPr>
          <w:p w14:paraId="5F2CF7DF" w14:textId="77777777" w:rsidR="0035143A" w:rsidRPr="0035143A" w:rsidRDefault="0035143A" w:rsidP="0035143A">
            <w:pPr>
              <w:spacing w:before="40" w:after="40"/>
              <w:jc w:val="center"/>
              <w:rPr>
                <w:rFonts w:eastAsia="Times New Roman"/>
                <w:b/>
                <w:bCs/>
                <w:color w:val="000000"/>
                <w:szCs w:val="17"/>
                <w:lang w:eastAsia="en-AU"/>
              </w:rPr>
            </w:pPr>
            <w:r w:rsidRPr="0035143A">
              <w:rPr>
                <w:b/>
                <w:bCs/>
                <w:szCs w:val="17"/>
              </w:rPr>
              <w:t>2021</w:t>
            </w:r>
          </w:p>
        </w:tc>
        <w:tc>
          <w:tcPr>
            <w:tcW w:w="2693" w:type="dxa"/>
            <w:tcBorders>
              <w:top w:val="single" w:sz="4" w:space="0" w:color="auto"/>
              <w:bottom w:val="single" w:sz="4" w:space="0" w:color="auto"/>
            </w:tcBorders>
            <w:shd w:val="clear" w:color="auto" w:fill="FFFFFF" w:themeFill="background1"/>
            <w:noWrap/>
            <w:vAlign w:val="center"/>
            <w:hideMark/>
          </w:tcPr>
          <w:p w14:paraId="5B2E1B93" w14:textId="77777777" w:rsidR="0035143A" w:rsidRPr="0035143A" w:rsidRDefault="0035143A" w:rsidP="0035143A">
            <w:pPr>
              <w:spacing w:before="40" w:after="40"/>
              <w:jc w:val="center"/>
              <w:rPr>
                <w:rFonts w:eastAsia="Times New Roman"/>
                <w:b/>
                <w:bCs/>
                <w:color w:val="000000"/>
                <w:szCs w:val="17"/>
                <w:lang w:eastAsia="en-AU"/>
              </w:rPr>
            </w:pPr>
            <w:r w:rsidRPr="0035143A">
              <w:rPr>
                <w:b/>
                <w:bCs/>
                <w:szCs w:val="17"/>
              </w:rPr>
              <w:t>2022</w:t>
            </w:r>
          </w:p>
        </w:tc>
      </w:tr>
      <w:tr w:rsidR="0035143A" w:rsidRPr="0035143A" w14:paraId="7B74BDA0" w14:textId="77777777" w:rsidTr="0012134E">
        <w:tc>
          <w:tcPr>
            <w:tcW w:w="2310" w:type="dxa"/>
            <w:tcBorders>
              <w:top w:val="single" w:sz="4" w:space="0" w:color="auto"/>
            </w:tcBorders>
            <w:shd w:val="clear" w:color="auto" w:fill="auto"/>
            <w:noWrap/>
            <w:vAlign w:val="center"/>
            <w:hideMark/>
          </w:tcPr>
          <w:p w14:paraId="6A416C95"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Victoria</w:t>
            </w:r>
          </w:p>
        </w:tc>
        <w:tc>
          <w:tcPr>
            <w:tcW w:w="267" w:type="dxa"/>
            <w:tcBorders>
              <w:top w:val="single" w:sz="4" w:space="0" w:color="auto"/>
            </w:tcBorders>
            <w:shd w:val="clear" w:color="auto" w:fill="auto"/>
            <w:noWrap/>
            <w:vAlign w:val="center"/>
            <w:hideMark/>
          </w:tcPr>
          <w:p w14:paraId="6AEF75E1" w14:textId="77777777" w:rsidR="0035143A" w:rsidRPr="0035143A" w:rsidRDefault="0035143A" w:rsidP="0035143A">
            <w:pPr>
              <w:spacing w:before="20" w:after="20"/>
              <w:jc w:val="left"/>
              <w:rPr>
                <w:rFonts w:eastAsia="Times New Roman"/>
                <w:color w:val="000000"/>
                <w:szCs w:val="17"/>
                <w:lang w:eastAsia="en-AU"/>
              </w:rPr>
            </w:pPr>
          </w:p>
        </w:tc>
        <w:tc>
          <w:tcPr>
            <w:tcW w:w="2498" w:type="dxa"/>
            <w:tcBorders>
              <w:top w:val="single" w:sz="4" w:space="0" w:color="auto"/>
            </w:tcBorders>
            <w:shd w:val="clear" w:color="auto" w:fill="auto"/>
            <w:noWrap/>
            <w:vAlign w:val="center"/>
            <w:hideMark/>
          </w:tcPr>
          <w:p w14:paraId="7F8A2C33"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$244,000</w:t>
            </w:r>
          </w:p>
        </w:tc>
        <w:tc>
          <w:tcPr>
            <w:tcW w:w="2693" w:type="dxa"/>
            <w:tcBorders>
              <w:top w:val="single" w:sz="4" w:space="0" w:color="auto"/>
            </w:tcBorders>
            <w:shd w:val="clear" w:color="auto" w:fill="auto"/>
            <w:noWrap/>
            <w:vAlign w:val="center"/>
            <w:hideMark/>
          </w:tcPr>
          <w:p w14:paraId="72CE9D48" w14:textId="77777777" w:rsidR="0035143A" w:rsidRPr="0035143A" w:rsidRDefault="0035143A" w:rsidP="0035143A">
            <w:pPr>
              <w:spacing w:before="20" w:after="20"/>
              <w:jc w:val="center"/>
              <w:rPr>
                <w:rFonts w:eastAsia="Times New Roman"/>
                <w:b/>
                <w:bCs/>
                <w:color w:val="000000"/>
                <w:szCs w:val="17"/>
                <w:lang w:eastAsia="en-AU"/>
              </w:rPr>
            </w:pPr>
          </w:p>
        </w:tc>
      </w:tr>
      <w:tr w:rsidR="0035143A" w:rsidRPr="0035143A" w14:paraId="7E588DE1" w14:textId="77777777" w:rsidTr="0012134E">
        <w:tc>
          <w:tcPr>
            <w:tcW w:w="2310" w:type="dxa"/>
            <w:shd w:val="clear" w:color="auto" w:fill="auto"/>
            <w:noWrap/>
            <w:vAlign w:val="center"/>
            <w:hideMark/>
          </w:tcPr>
          <w:p w14:paraId="489BA7AC" w14:textId="77777777" w:rsidR="0035143A" w:rsidRPr="0035143A" w:rsidRDefault="0035143A" w:rsidP="0035143A">
            <w:pPr>
              <w:spacing w:before="20" w:after="20"/>
              <w:ind w:left="364" w:hanging="360"/>
              <w:rPr>
                <w:rFonts w:eastAsia="Times New Roman"/>
                <w:color w:val="000000"/>
                <w:szCs w:val="17"/>
                <w:lang w:eastAsia="en-AU"/>
              </w:rPr>
            </w:pPr>
            <w:r w:rsidRPr="0035143A">
              <w:rPr>
                <w:rFonts w:eastAsia="Times New Roman"/>
                <w:color w:val="000000"/>
                <w:szCs w:val="17"/>
                <w:lang w:eastAsia="en-AU"/>
              </w:rPr>
              <w:t>ACT</w:t>
            </w:r>
          </w:p>
        </w:tc>
        <w:tc>
          <w:tcPr>
            <w:tcW w:w="267" w:type="dxa"/>
            <w:shd w:val="clear" w:color="auto" w:fill="auto"/>
            <w:noWrap/>
            <w:vAlign w:val="center"/>
            <w:hideMark/>
          </w:tcPr>
          <w:p w14:paraId="167C57C4" w14:textId="77777777" w:rsidR="0035143A" w:rsidRPr="0035143A" w:rsidRDefault="0035143A" w:rsidP="0035143A">
            <w:pPr>
              <w:spacing w:before="20" w:after="20"/>
              <w:jc w:val="left"/>
              <w:rPr>
                <w:rFonts w:eastAsia="Times New Roman"/>
                <w:color w:val="000000"/>
                <w:szCs w:val="17"/>
                <w:lang w:eastAsia="en-AU"/>
              </w:rPr>
            </w:pPr>
          </w:p>
        </w:tc>
        <w:tc>
          <w:tcPr>
            <w:tcW w:w="2498" w:type="dxa"/>
            <w:shd w:val="clear" w:color="auto" w:fill="auto"/>
            <w:noWrap/>
            <w:vAlign w:val="center"/>
            <w:hideMark/>
          </w:tcPr>
          <w:p w14:paraId="3B3FAB5B"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$193,171</w:t>
            </w:r>
          </w:p>
        </w:tc>
        <w:tc>
          <w:tcPr>
            <w:tcW w:w="2693" w:type="dxa"/>
            <w:shd w:val="clear" w:color="auto" w:fill="auto"/>
            <w:noWrap/>
            <w:vAlign w:val="center"/>
            <w:hideMark/>
          </w:tcPr>
          <w:p w14:paraId="149DA1E5" w14:textId="77777777" w:rsidR="0035143A" w:rsidRPr="0035143A" w:rsidRDefault="0035143A" w:rsidP="0035143A">
            <w:pPr>
              <w:spacing w:before="20" w:after="20"/>
              <w:jc w:val="center"/>
              <w:rPr>
                <w:rFonts w:eastAsia="Times New Roman"/>
                <w:b/>
                <w:bCs/>
                <w:color w:val="000000"/>
                <w:szCs w:val="17"/>
                <w:lang w:eastAsia="en-AU"/>
              </w:rPr>
            </w:pPr>
          </w:p>
        </w:tc>
      </w:tr>
      <w:tr w:rsidR="0035143A" w:rsidRPr="0035143A" w14:paraId="7E287E56" w14:textId="77777777" w:rsidTr="0012134E">
        <w:tc>
          <w:tcPr>
            <w:tcW w:w="2310" w:type="dxa"/>
            <w:shd w:val="clear" w:color="auto" w:fill="auto"/>
            <w:noWrap/>
            <w:vAlign w:val="center"/>
            <w:hideMark/>
          </w:tcPr>
          <w:p w14:paraId="2647D9B7"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Western Australia</w:t>
            </w:r>
          </w:p>
        </w:tc>
        <w:tc>
          <w:tcPr>
            <w:tcW w:w="267" w:type="dxa"/>
            <w:shd w:val="clear" w:color="auto" w:fill="auto"/>
            <w:noWrap/>
            <w:vAlign w:val="center"/>
            <w:hideMark/>
          </w:tcPr>
          <w:p w14:paraId="2D780764" w14:textId="77777777" w:rsidR="0035143A" w:rsidRPr="0035143A" w:rsidRDefault="0035143A" w:rsidP="0035143A">
            <w:pPr>
              <w:spacing w:before="20" w:after="20"/>
              <w:jc w:val="left"/>
              <w:rPr>
                <w:rFonts w:eastAsia="Times New Roman"/>
                <w:color w:val="000000"/>
                <w:szCs w:val="17"/>
                <w:lang w:eastAsia="en-AU"/>
              </w:rPr>
            </w:pPr>
          </w:p>
        </w:tc>
        <w:tc>
          <w:tcPr>
            <w:tcW w:w="2498" w:type="dxa"/>
            <w:shd w:val="clear" w:color="auto" w:fill="auto"/>
            <w:noWrap/>
            <w:vAlign w:val="center"/>
            <w:hideMark/>
          </w:tcPr>
          <w:p w14:paraId="70C04CDC"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$191,776</w:t>
            </w:r>
          </w:p>
        </w:tc>
        <w:tc>
          <w:tcPr>
            <w:tcW w:w="2693" w:type="dxa"/>
            <w:shd w:val="clear" w:color="auto" w:fill="auto"/>
            <w:noWrap/>
            <w:vAlign w:val="center"/>
            <w:hideMark/>
          </w:tcPr>
          <w:p w14:paraId="1C518358"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$197,050</w:t>
            </w:r>
          </w:p>
        </w:tc>
      </w:tr>
      <w:tr w:rsidR="0035143A" w:rsidRPr="0035143A" w14:paraId="37E1A9FA" w14:textId="77777777" w:rsidTr="0012134E">
        <w:tc>
          <w:tcPr>
            <w:tcW w:w="2310" w:type="dxa"/>
            <w:shd w:val="clear" w:color="auto" w:fill="auto"/>
            <w:noWrap/>
            <w:vAlign w:val="center"/>
            <w:hideMark/>
          </w:tcPr>
          <w:p w14:paraId="7283B25C"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Queensland</w:t>
            </w:r>
          </w:p>
        </w:tc>
        <w:tc>
          <w:tcPr>
            <w:tcW w:w="267" w:type="dxa"/>
            <w:shd w:val="clear" w:color="auto" w:fill="auto"/>
            <w:noWrap/>
            <w:vAlign w:val="center"/>
            <w:hideMark/>
          </w:tcPr>
          <w:p w14:paraId="415E5CD9" w14:textId="77777777" w:rsidR="0035143A" w:rsidRPr="0035143A" w:rsidRDefault="0035143A" w:rsidP="0035143A">
            <w:pPr>
              <w:spacing w:before="20" w:after="20"/>
              <w:jc w:val="left"/>
              <w:rPr>
                <w:rFonts w:eastAsia="Times New Roman"/>
                <w:color w:val="000000"/>
                <w:szCs w:val="17"/>
                <w:lang w:eastAsia="en-AU"/>
              </w:rPr>
            </w:pPr>
          </w:p>
        </w:tc>
        <w:tc>
          <w:tcPr>
            <w:tcW w:w="2498" w:type="dxa"/>
            <w:shd w:val="clear" w:color="auto" w:fill="auto"/>
            <w:noWrap/>
            <w:vAlign w:val="center"/>
            <w:hideMark/>
          </w:tcPr>
          <w:p w14:paraId="5C1CBA2F"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$179,329 – $186,828</w:t>
            </w:r>
          </w:p>
        </w:tc>
        <w:tc>
          <w:tcPr>
            <w:tcW w:w="2693" w:type="dxa"/>
            <w:shd w:val="clear" w:color="auto" w:fill="auto"/>
            <w:noWrap/>
            <w:vAlign w:val="center"/>
            <w:hideMark/>
          </w:tcPr>
          <w:p w14:paraId="551F969B" w14:textId="77777777" w:rsidR="0035143A" w:rsidRPr="0035143A" w:rsidRDefault="0035143A" w:rsidP="0035143A">
            <w:pPr>
              <w:spacing w:before="20" w:after="20"/>
              <w:jc w:val="center"/>
              <w:rPr>
                <w:rFonts w:eastAsia="Times New Roman"/>
                <w:b/>
                <w:bCs/>
                <w:color w:val="000000"/>
                <w:szCs w:val="17"/>
                <w:lang w:eastAsia="en-AU"/>
              </w:rPr>
            </w:pPr>
          </w:p>
        </w:tc>
      </w:tr>
      <w:tr w:rsidR="0035143A" w:rsidRPr="0035143A" w14:paraId="2B5F5D70" w14:textId="77777777" w:rsidTr="0012134E">
        <w:tc>
          <w:tcPr>
            <w:tcW w:w="2310" w:type="dxa"/>
            <w:shd w:val="clear" w:color="auto" w:fill="auto"/>
            <w:noWrap/>
            <w:vAlign w:val="center"/>
            <w:hideMark/>
          </w:tcPr>
          <w:p w14:paraId="6742A459"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South Australia</w:t>
            </w:r>
          </w:p>
        </w:tc>
        <w:tc>
          <w:tcPr>
            <w:tcW w:w="267" w:type="dxa"/>
            <w:shd w:val="clear" w:color="auto" w:fill="auto"/>
            <w:noWrap/>
            <w:vAlign w:val="center"/>
            <w:hideMark/>
          </w:tcPr>
          <w:p w14:paraId="02A7E3F2" w14:textId="77777777" w:rsidR="0035143A" w:rsidRPr="0035143A" w:rsidRDefault="0035143A" w:rsidP="0035143A">
            <w:pPr>
              <w:spacing w:before="20" w:after="20"/>
              <w:jc w:val="left"/>
              <w:rPr>
                <w:rFonts w:eastAsia="Times New Roman"/>
                <w:b/>
                <w:bCs/>
                <w:color w:val="000000"/>
                <w:szCs w:val="17"/>
                <w:lang w:eastAsia="en-AU"/>
              </w:rPr>
            </w:pPr>
            <w:r w:rsidRPr="0035143A">
              <w:rPr>
                <w:rFonts w:eastAsia="Times New Roman"/>
                <w:b/>
                <w:bCs/>
                <w:color w:val="000000"/>
                <w:szCs w:val="17"/>
                <w:lang w:eastAsia="en-AU"/>
              </w:rPr>
              <w:t> </w:t>
            </w:r>
          </w:p>
        </w:tc>
        <w:tc>
          <w:tcPr>
            <w:tcW w:w="2498" w:type="dxa"/>
            <w:shd w:val="clear" w:color="auto" w:fill="auto"/>
            <w:noWrap/>
            <w:vAlign w:val="center"/>
            <w:hideMark/>
          </w:tcPr>
          <w:p w14:paraId="7DE066D2"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$179,539</w:t>
            </w:r>
          </w:p>
        </w:tc>
        <w:tc>
          <w:tcPr>
            <w:tcW w:w="2693" w:type="dxa"/>
            <w:shd w:val="clear" w:color="auto" w:fill="auto"/>
            <w:noWrap/>
            <w:vAlign w:val="center"/>
            <w:hideMark/>
          </w:tcPr>
          <w:p w14:paraId="24D57111"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 </w:t>
            </w:r>
          </w:p>
        </w:tc>
      </w:tr>
      <w:tr w:rsidR="0035143A" w:rsidRPr="0035143A" w14:paraId="5ADD1AA7" w14:textId="77777777" w:rsidTr="0012134E">
        <w:tc>
          <w:tcPr>
            <w:tcW w:w="2310" w:type="dxa"/>
            <w:shd w:val="clear" w:color="auto" w:fill="auto"/>
            <w:noWrap/>
            <w:vAlign w:val="center"/>
            <w:hideMark/>
          </w:tcPr>
          <w:p w14:paraId="04905760"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Northern Territory</w:t>
            </w:r>
          </w:p>
        </w:tc>
        <w:tc>
          <w:tcPr>
            <w:tcW w:w="267" w:type="dxa"/>
            <w:shd w:val="clear" w:color="auto" w:fill="auto"/>
            <w:noWrap/>
            <w:vAlign w:val="center"/>
            <w:hideMark/>
          </w:tcPr>
          <w:p w14:paraId="3074AE81" w14:textId="77777777" w:rsidR="0035143A" w:rsidRPr="0035143A" w:rsidRDefault="0035143A" w:rsidP="0035143A">
            <w:pPr>
              <w:spacing w:before="20" w:after="20"/>
              <w:jc w:val="left"/>
              <w:rPr>
                <w:rFonts w:eastAsia="Times New Roman"/>
                <w:color w:val="000000"/>
                <w:szCs w:val="17"/>
                <w:lang w:eastAsia="en-AU"/>
              </w:rPr>
            </w:pPr>
          </w:p>
        </w:tc>
        <w:tc>
          <w:tcPr>
            <w:tcW w:w="2498" w:type="dxa"/>
            <w:shd w:val="clear" w:color="auto" w:fill="auto"/>
            <w:noWrap/>
            <w:vAlign w:val="center"/>
            <w:hideMark/>
          </w:tcPr>
          <w:p w14:paraId="07576049"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$149,000 – $155,000</w:t>
            </w:r>
          </w:p>
        </w:tc>
        <w:tc>
          <w:tcPr>
            <w:tcW w:w="2693" w:type="dxa"/>
            <w:shd w:val="clear" w:color="auto" w:fill="auto"/>
            <w:noWrap/>
            <w:vAlign w:val="center"/>
            <w:hideMark/>
          </w:tcPr>
          <w:p w14:paraId="3E1586B1" w14:textId="77777777" w:rsidR="0035143A" w:rsidRPr="0035143A" w:rsidRDefault="0035143A" w:rsidP="0035143A">
            <w:pPr>
              <w:spacing w:before="20" w:after="20"/>
              <w:jc w:val="center"/>
              <w:rPr>
                <w:rFonts w:eastAsia="Times New Roman"/>
                <w:b/>
                <w:bCs/>
                <w:color w:val="000000"/>
                <w:szCs w:val="17"/>
                <w:lang w:eastAsia="en-AU"/>
              </w:rPr>
            </w:pPr>
          </w:p>
        </w:tc>
      </w:tr>
      <w:tr w:rsidR="0035143A" w:rsidRPr="0035143A" w14:paraId="4D9221B5" w14:textId="77777777" w:rsidTr="0012134E">
        <w:tc>
          <w:tcPr>
            <w:tcW w:w="2310" w:type="dxa"/>
            <w:tcBorders>
              <w:bottom w:val="single" w:sz="4" w:space="0" w:color="auto"/>
            </w:tcBorders>
            <w:shd w:val="clear" w:color="auto" w:fill="auto"/>
            <w:noWrap/>
            <w:vAlign w:val="center"/>
            <w:hideMark/>
          </w:tcPr>
          <w:p w14:paraId="6F545726" w14:textId="77777777" w:rsidR="0035143A" w:rsidRPr="0035143A" w:rsidRDefault="0035143A" w:rsidP="0035143A">
            <w:pPr>
              <w:spacing w:before="20" w:after="20"/>
              <w:jc w:val="left"/>
              <w:rPr>
                <w:rFonts w:eastAsia="Times New Roman"/>
                <w:color w:val="000000"/>
                <w:szCs w:val="17"/>
                <w:lang w:eastAsia="en-AU"/>
              </w:rPr>
            </w:pPr>
            <w:r w:rsidRPr="0035143A">
              <w:rPr>
                <w:rFonts w:eastAsia="Times New Roman"/>
                <w:color w:val="000000"/>
                <w:szCs w:val="17"/>
                <w:lang w:eastAsia="en-AU"/>
              </w:rPr>
              <w:t>Tasmania</w:t>
            </w:r>
          </w:p>
        </w:tc>
        <w:tc>
          <w:tcPr>
            <w:tcW w:w="267" w:type="dxa"/>
            <w:tcBorders>
              <w:bottom w:val="single" w:sz="4" w:space="0" w:color="auto"/>
            </w:tcBorders>
            <w:shd w:val="clear" w:color="auto" w:fill="auto"/>
            <w:noWrap/>
            <w:vAlign w:val="center"/>
            <w:hideMark/>
          </w:tcPr>
          <w:p w14:paraId="11A04EE2" w14:textId="77777777" w:rsidR="0035143A" w:rsidRPr="0035143A" w:rsidRDefault="0035143A" w:rsidP="0035143A">
            <w:pPr>
              <w:spacing w:before="20" w:after="20"/>
              <w:jc w:val="left"/>
              <w:rPr>
                <w:rFonts w:eastAsia="Times New Roman"/>
                <w:color w:val="000000"/>
                <w:szCs w:val="17"/>
                <w:lang w:eastAsia="en-AU"/>
              </w:rPr>
            </w:pPr>
          </w:p>
        </w:tc>
        <w:tc>
          <w:tcPr>
            <w:tcW w:w="2498" w:type="dxa"/>
            <w:tcBorders>
              <w:bottom w:val="single" w:sz="4" w:space="0" w:color="auto"/>
            </w:tcBorders>
            <w:shd w:val="clear" w:color="auto" w:fill="auto"/>
            <w:noWrap/>
            <w:vAlign w:val="center"/>
            <w:hideMark/>
          </w:tcPr>
          <w:p w14:paraId="4DFEF42A" w14:textId="77777777" w:rsidR="0035143A" w:rsidRPr="0035143A" w:rsidRDefault="0035143A" w:rsidP="0035143A">
            <w:pPr>
              <w:spacing w:before="20" w:after="20"/>
              <w:jc w:val="center"/>
              <w:rPr>
                <w:rFonts w:eastAsia="Times New Roman"/>
                <w:b/>
                <w:bCs/>
                <w:color w:val="000000"/>
                <w:szCs w:val="17"/>
                <w:lang w:eastAsia="en-AU"/>
              </w:rPr>
            </w:pPr>
            <w:r w:rsidRPr="0035143A">
              <w:rPr>
                <w:rFonts w:eastAsia="Times New Roman"/>
                <w:b/>
                <w:bCs/>
                <w:color w:val="000000"/>
                <w:szCs w:val="17"/>
                <w:lang w:eastAsia="en-AU"/>
              </w:rPr>
              <w:t>$127,141 – $135,790</w:t>
            </w:r>
          </w:p>
        </w:tc>
        <w:tc>
          <w:tcPr>
            <w:tcW w:w="2693" w:type="dxa"/>
            <w:tcBorders>
              <w:bottom w:val="single" w:sz="4" w:space="0" w:color="auto"/>
            </w:tcBorders>
            <w:shd w:val="clear" w:color="auto" w:fill="auto"/>
            <w:noWrap/>
            <w:vAlign w:val="center"/>
            <w:hideMark/>
          </w:tcPr>
          <w:p w14:paraId="48E9D4B6" w14:textId="77777777" w:rsidR="0035143A" w:rsidRPr="0035143A" w:rsidRDefault="0035143A" w:rsidP="0035143A">
            <w:pPr>
              <w:spacing w:before="20" w:after="20"/>
              <w:jc w:val="center"/>
              <w:rPr>
                <w:rFonts w:eastAsia="Times New Roman"/>
                <w:b/>
                <w:bCs/>
                <w:color w:val="000000"/>
                <w:szCs w:val="17"/>
                <w:lang w:eastAsia="en-AU"/>
              </w:rPr>
            </w:pPr>
          </w:p>
        </w:tc>
      </w:tr>
    </w:tbl>
    <w:p w14:paraId="7A24038D" w14:textId="77777777" w:rsidR="0035143A" w:rsidRPr="0035143A" w:rsidRDefault="0035143A" w:rsidP="0035143A">
      <w:pPr>
        <w:rPr>
          <w:rFonts w:eastAsia="Times New Roman"/>
          <w:szCs w:val="17"/>
        </w:rPr>
      </w:pPr>
    </w:p>
    <w:p w14:paraId="52A94084"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notes that the figures for Victoria, Queensland, and the Northern Territory have been ascertained (or estimated in the case of Victoria) from detailed Annual Reports from each jurisdiction. The salaries for Western Australia and the Australian Capital Territory are set by respective Tribunals. There is no deputy in New South Wales. The salary for Tasmania is set by an enterprise agreement, with the role being a Band 8.</w:t>
      </w:r>
    </w:p>
    <w:p w14:paraId="421CF161"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lastRenderedPageBreak/>
        <w:t>The Tribunal has noted that the electoral commissioner function is inherently more demanding in Victoria and New South Wales, because of increased population demands. The Tribunal does not agree with the Electoral Commissioner and Deputy Electoral Commissioner positions that there is a significant difference in the value of percentage wage increases for executives on total remuneration package arrangements in contrast to wage and salary earners. However, the Tribunal considers that this comparison demonstrates a significant shortfall in the Electoral Commissioner remuneration level.</w:t>
      </w:r>
    </w:p>
    <w:p w14:paraId="6B64DF84"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The Tribunal considers that the Electoral Commissioner’s remuneration should increase by $25,000 per annum, with effect from 1 January 2023 to recognise the changes in work value. A similar increase should apply to the Deputy Electoral Commissioner role. </w:t>
      </w:r>
    </w:p>
    <w:p w14:paraId="17DFBD85"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Accordingly the new salaries from 1 January 2023 will be: $264,737 and $195,000 respectively.</w:t>
      </w:r>
    </w:p>
    <w:p w14:paraId="7D7666D0"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effective date of these salary increases was taken into account in deciding on the quantum of the increases, noting that the last salary increases for these offices was 1 January 2021.</w:t>
      </w:r>
    </w:p>
    <w:p w14:paraId="42532F0D"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Again, the Tribunal notes that its conclusions in this respect are underpinned by the changes in work value such that they cannot form a basis for more generally applied remuneration increases.</w:t>
      </w:r>
    </w:p>
    <w:p w14:paraId="0C40D85F" w14:textId="77777777" w:rsidR="0035143A" w:rsidRPr="00CD7E9E" w:rsidRDefault="0035143A" w:rsidP="00CD7E9E">
      <w:pPr>
        <w:pStyle w:val="GG-body"/>
        <w:rPr>
          <w:b/>
          <w:bCs/>
        </w:rPr>
      </w:pPr>
      <w:bookmarkStart w:id="70" w:name="_Toc122600850"/>
      <w:r w:rsidRPr="00CD7E9E">
        <w:rPr>
          <w:b/>
          <w:bCs/>
        </w:rPr>
        <w:t>THE HEALTH AND COMMUNITY SERVICES COMPLAINTS COMMISSIONER</w:t>
      </w:r>
      <w:bookmarkEnd w:id="70"/>
    </w:p>
    <w:p w14:paraId="2EB97567"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Health and Community Services Complaints (</w:t>
      </w:r>
      <w:r w:rsidRPr="0035143A">
        <w:rPr>
          <w:rFonts w:eastAsia="Times New Roman"/>
          <w:b/>
          <w:bCs/>
          <w:szCs w:val="17"/>
        </w:rPr>
        <w:t>HCSC Commissioner</w:t>
      </w:r>
      <w:r w:rsidRPr="0035143A">
        <w:rPr>
          <w:rFonts w:eastAsia="Times New Roman"/>
          <w:szCs w:val="17"/>
        </w:rPr>
        <w:t>)</w:t>
      </w:r>
      <w:r w:rsidRPr="0035143A" w:rsidDel="009C1579">
        <w:rPr>
          <w:rFonts w:eastAsia="Times New Roman"/>
          <w:szCs w:val="17"/>
        </w:rPr>
        <w:t xml:space="preserve"> </w:t>
      </w:r>
      <w:r w:rsidRPr="0035143A">
        <w:rPr>
          <w:rFonts w:eastAsia="Times New Roman"/>
          <w:szCs w:val="17"/>
        </w:rPr>
        <w:t>did not request a salary increase. Nevertheless the Tribunal considered this role in the context of other functions.</w:t>
      </w:r>
    </w:p>
    <w:p w14:paraId="1BD9AF6F"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concluded that there are significant variations in the roles of health system complaint executives, so that direct comparisons with interstate roles are difficult. No substantial shortfall in remuneration levels could be discerned on the information available to the Tribunal. As there was no request to review work value changes, the Tribunal has concluded that the remuneration change for this position should take account of general economic data including public sector wage movements. Should the HCSC Commissioner</w:t>
      </w:r>
      <w:r w:rsidRPr="0035143A" w:rsidDel="009C1579">
        <w:rPr>
          <w:rFonts w:eastAsia="Times New Roman"/>
          <w:szCs w:val="17"/>
        </w:rPr>
        <w:t xml:space="preserve"> </w:t>
      </w:r>
      <w:r w:rsidRPr="0035143A">
        <w:rPr>
          <w:rFonts w:eastAsia="Times New Roman"/>
          <w:szCs w:val="17"/>
        </w:rPr>
        <w:t>seek to pursue increases on the basis of asserted work value changes, these will need to be established in the future.</w:t>
      </w:r>
    </w:p>
    <w:p w14:paraId="092C05F3"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has taken the following economic data into account:</w:t>
      </w:r>
    </w:p>
    <w:p w14:paraId="78ECFFD5" w14:textId="77777777" w:rsidR="0035143A" w:rsidRPr="0035143A" w:rsidRDefault="0035143A" w:rsidP="009B29CF">
      <w:pPr>
        <w:numPr>
          <w:ilvl w:val="1"/>
          <w:numId w:val="93"/>
        </w:numPr>
        <w:rPr>
          <w:szCs w:val="17"/>
        </w:rPr>
      </w:pPr>
      <w:r w:rsidRPr="0035143A">
        <w:rPr>
          <w:szCs w:val="17"/>
        </w:rPr>
        <w:t xml:space="preserve">The Consumer Price Index (All groups Adelaide) shows the following percentage changes from the corresponding quarters of previous years: </w:t>
      </w:r>
    </w:p>
    <w:p w14:paraId="371F964D" w14:textId="77777777" w:rsidR="0035143A" w:rsidRPr="0035143A" w:rsidRDefault="0035143A" w:rsidP="009B29CF">
      <w:pPr>
        <w:numPr>
          <w:ilvl w:val="2"/>
          <w:numId w:val="87"/>
        </w:numPr>
        <w:spacing w:after="0"/>
        <w:ind w:left="1077" w:hanging="357"/>
        <w:rPr>
          <w:szCs w:val="17"/>
        </w:rPr>
      </w:pPr>
      <w:r w:rsidRPr="0035143A">
        <w:rPr>
          <w:szCs w:val="17"/>
        </w:rPr>
        <w:t xml:space="preserve">3.3% for December 2021 </w:t>
      </w:r>
    </w:p>
    <w:p w14:paraId="51D5CEA1" w14:textId="77777777" w:rsidR="0035143A" w:rsidRPr="0035143A" w:rsidRDefault="0035143A" w:rsidP="009B29CF">
      <w:pPr>
        <w:numPr>
          <w:ilvl w:val="2"/>
          <w:numId w:val="87"/>
        </w:numPr>
        <w:spacing w:after="0"/>
        <w:ind w:left="1077" w:hanging="357"/>
        <w:rPr>
          <w:szCs w:val="17"/>
        </w:rPr>
      </w:pPr>
      <w:r w:rsidRPr="0035143A">
        <w:rPr>
          <w:szCs w:val="17"/>
        </w:rPr>
        <w:t>4.7% for March 2022</w:t>
      </w:r>
    </w:p>
    <w:p w14:paraId="1264DB58" w14:textId="77777777" w:rsidR="0035143A" w:rsidRPr="0035143A" w:rsidRDefault="0035143A" w:rsidP="009B29CF">
      <w:pPr>
        <w:numPr>
          <w:ilvl w:val="2"/>
          <w:numId w:val="87"/>
        </w:numPr>
        <w:spacing w:after="0"/>
        <w:ind w:left="1077" w:hanging="357"/>
        <w:rPr>
          <w:szCs w:val="17"/>
        </w:rPr>
      </w:pPr>
      <w:r w:rsidRPr="0035143A">
        <w:rPr>
          <w:szCs w:val="17"/>
        </w:rPr>
        <w:t xml:space="preserve">6.4% for June 2022 </w:t>
      </w:r>
    </w:p>
    <w:p w14:paraId="423F852D" w14:textId="77777777" w:rsidR="0035143A" w:rsidRPr="0035143A" w:rsidRDefault="0035143A" w:rsidP="009B29CF">
      <w:pPr>
        <w:numPr>
          <w:ilvl w:val="2"/>
          <w:numId w:val="87"/>
        </w:numPr>
        <w:rPr>
          <w:szCs w:val="17"/>
        </w:rPr>
      </w:pPr>
      <w:r w:rsidRPr="0035143A">
        <w:rPr>
          <w:szCs w:val="17"/>
        </w:rPr>
        <w:t>8.4% for September 2022.</w:t>
      </w:r>
    </w:p>
    <w:p w14:paraId="19E4F0C2" w14:textId="77777777" w:rsidR="0035143A" w:rsidRPr="0035143A" w:rsidRDefault="0035143A" w:rsidP="009B29CF">
      <w:pPr>
        <w:numPr>
          <w:ilvl w:val="1"/>
          <w:numId w:val="87"/>
        </w:numPr>
        <w:rPr>
          <w:szCs w:val="17"/>
        </w:rPr>
      </w:pPr>
      <w:r w:rsidRPr="0035143A">
        <w:rPr>
          <w:szCs w:val="17"/>
        </w:rPr>
        <w:t xml:space="preserve">The Australian Bureau of Statistics Wage Price Index (Public Sector in South Australia) shows the following percentage changes from the corresponding quarters of previous years: </w:t>
      </w:r>
    </w:p>
    <w:p w14:paraId="7EF4FB0B" w14:textId="77777777" w:rsidR="0035143A" w:rsidRPr="0035143A" w:rsidRDefault="0035143A" w:rsidP="009B29CF">
      <w:pPr>
        <w:numPr>
          <w:ilvl w:val="2"/>
          <w:numId w:val="87"/>
        </w:numPr>
        <w:spacing w:after="0"/>
        <w:ind w:left="1077" w:hanging="357"/>
        <w:rPr>
          <w:szCs w:val="17"/>
        </w:rPr>
      </w:pPr>
      <w:r w:rsidRPr="0035143A">
        <w:rPr>
          <w:szCs w:val="17"/>
        </w:rPr>
        <w:t>1.2% for September 2021</w:t>
      </w:r>
    </w:p>
    <w:p w14:paraId="174FDA85" w14:textId="77777777" w:rsidR="0035143A" w:rsidRPr="0035143A" w:rsidRDefault="0035143A" w:rsidP="009B29CF">
      <w:pPr>
        <w:numPr>
          <w:ilvl w:val="2"/>
          <w:numId w:val="87"/>
        </w:numPr>
        <w:spacing w:after="0"/>
        <w:ind w:left="1077" w:hanging="357"/>
        <w:rPr>
          <w:szCs w:val="17"/>
        </w:rPr>
      </w:pPr>
      <w:r w:rsidRPr="0035143A">
        <w:rPr>
          <w:szCs w:val="17"/>
        </w:rPr>
        <w:t xml:space="preserve">1.4% for December 2021 </w:t>
      </w:r>
    </w:p>
    <w:p w14:paraId="6D7EEE2A" w14:textId="77777777" w:rsidR="0035143A" w:rsidRPr="0035143A" w:rsidRDefault="0035143A" w:rsidP="009B29CF">
      <w:pPr>
        <w:numPr>
          <w:ilvl w:val="2"/>
          <w:numId w:val="87"/>
        </w:numPr>
        <w:spacing w:after="0"/>
        <w:ind w:left="1077" w:hanging="357"/>
        <w:rPr>
          <w:szCs w:val="17"/>
        </w:rPr>
      </w:pPr>
      <w:r w:rsidRPr="0035143A">
        <w:rPr>
          <w:szCs w:val="17"/>
        </w:rPr>
        <w:t>2.0% for March 2022</w:t>
      </w:r>
    </w:p>
    <w:p w14:paraId="3983B6E5" w14:textId="77777777" w:rsidR="0035143A" w:rsidRPr="0035143A" w:rsidRDefault="0035143A" w:rsidP="009B29CF">
      <w:pPr>
        <w:numPr>
          <w:ilvl w:val="2"/>
          <w:numId w:val="87"/>
        </w:numPr>
        <w:spacing w:after="0"/>
        <w:ind w:left="1077" w:hanging="357"/>
        <w:rPr>
          <w:szCs w:val="17"/>
        </w:rPr>
      </w:pPr>
      <w:r w:rsidRPr="0035143A">
        <w:rPr>
          <w:szCs w:val="17"/>
        </w:rPr>
        <w:t xml:space="preserve">1.7% for June 2022 </w:t>
      </w:r>
    </w:p>
    <w:p w14:paraId="0D0C4FED" w14:textId="77777777" w:rsidR="0035143A" w:rsidRPr="0035143A" w:rsidRDefault="0035143A" w:rsidP="009B29CF">
      <w:pPr>
        <w:numPr>
          <w:ilvl w:val="2"/>
          <w:numId w:val="87"/>
        </w:numPr>
        <w:rPr>
          <w:szCs w:val="17"/>
        </w:rPr>
      </w:pPr>
      <w:r w:rsidRPr="0035143A">
        <w:rPr>
          <w:szCs w:val="17"/>
        </w:rPr>
        <w:t>2.7% for September 2022.</w:t>
      </w:r>
    </w:p>
    <w:p w14:paraId="2C62FDAE" w14:textId="77777777" w:rsidR="0035143A" w:rsidRPr="0035143A" w:rsidRDefault="0035143A" w:rsidP="009B29CF">
      <w:pPr>
        <w:numPr>
          <w:ilvl w:val="1"/>
          <w:numId w:val="87"/>
        </w:numPr>
        <w:rPr>
          <w:szCs w:val="17"/>
        </w:rPr>
      </w:pPr>
      <w:r w:rsidRPr="0035143A">
        <w:rPr>
          <w:szCs w:val="17"/>
        </w:rPr>
        <w:t xml:space="preserve">As at November 2022 the Reserve Bank of Australia forecast of the Consumer Price Index is: </w:t>
      </w:r>
    </w:p>
    <w:p w14:paraId="6CAADA18" w14:textId="77777777" w:rsidR="0035143A" w:rsidRPr="0035143A" w:rsidRDefault="0035143A" w:rsidP="009B29CF">
      <w:pPr>
        <w:numPr>
          <w:ilvl w:val="2"/>
          <w:numId w:val="87"/>
        </w:numPr>
        <w:spacing w:after="0"/>
        <w:ind w:left="1077" w:hanging="357"/>
        <w:rPr>
          <w:szCs w:val="17"/>
        </w:rPr>
      </w:pPr>
      <w:r w:rsidRPr="0035143A">
        <w:rPr>
          <w:szCs w:val="17"/>
        </w:rPr>
        <w:t xml:space="preserve">8% for December 2022 quarter </w:t>
      </w:r>
    </w:p>
    <w:p w14:paraId="717DBB69" w14:textId="77777777" w:rsidR="0035143A" w:rsidRPr="0035143A" w:rsidRDefault="0035143A" w:rsidP="009B29CF">
      <w:pPr>
        <w:numPr>
          <w:ilvl w:val="2"/>
          <w:numId w:val="87"/>
        </w:numPr>
        <w:spacing w:after="0"/>
        <w:ind w:left="1077" w:hanging="357"/>
        <w:rPr>
          <w:szCs w:val="17"/>
        </w:rPr>
      </w:pPr>
      <w:r w:rsidRPr="0035143A">
        <w:rPr>
          <w:szCs w:val="17"/>
        </w:rPr>
        <w:t xml:space="preserve">6.3% for June 2023 </w:t>
      </w:r>
    </w:p>
    <w:p w14:paraId="7F8B8C2C" w14:textId="77777777" w:rsidR="0035143A" w:rsidRPr="0035143A" w:rsidRDefault="0035143A" w:rsidP="009B29CF">
      <w:pPr>
        <w:numPr>
          <w:ilvl w:val="2"/>
          <w:numId w:val="87"/>
        </w:numPr>
        <w:spacing w:after="0"/>
        <w:ind w:left="1077" w:hanging="357"/>
        <w:rPr>
          <w:szCs w:val="17"/>
        </w:rPr>
      </w:pPr>
      <w:r w:rsidRPr="0035143A">
        <w:rPr>
          <w:szCs w:val="17"/>
        </w:rPr>
        <w:t xml:space="preserve">4.7% for December 2023 </w:t>
      </w:r>
    </w:p>
    <w:p w14:paraId="278D7CE1" w14:textId="77777777" w:rsidR="0035143A" w:rsidRPr="0035143A" w:rsidRDefault="0035143A" w:rsidP="009B29CF">
      <w:pPr>
        <w:numPr>
          <w:ilvl w:val="2"/>
          <w:numId w:val="87"/>
        </w:numPr>
        <w:spacing w:after="0"/>
        <w:ind w:left="1077" w:hanging="357"/>
        <w:rPr>
          <w:szCs w:val="17"/>
        </w:rPr>
      </w:pPr>
      <w:r w:rsidRPr="0035143A">
        <w:rPr>
          <w:szCs w:val="17"/>
        </w:rPr>
        <w:t xml:space="preserve">4.2% for June 2024 </w:t>
      </w:r>
    </w:p>
    <w:p w14:paraId="79FC982E" w14:textId="77777777" w:rsidR="0035143A" w:rsidRPr="0035143A" w:rsidRDefault="0035143A" w:rsidP="009B29CF">
      <w:pPr>
        <w:numPr>
          <w:ilvl w:val="2"/>
          <w:numId w:val="87"/>
        </w:numPr>
        <w:rPr>
          <w:szCs w:val="17"/>
        </w:rPr>
      </w:pPr>
      <w:r w:rsidRPr="0035143A">
        <w:rPr>
          <w:szCs w:val="17"/>
        </w:rPr>
        <w:t>3.2% for December 2024.</w:t>
      </w:r>
    </w:p>
    <w:p w14:paraId="6A6711BF"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has noted the steps being taken to reduce the current inflationary trend and has adopted a cautionary approach to recognition of inflationary movements.</w:t>
      </w:r>
    </w:p>
    <w:p w14:paraId="0F20C21A"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has concluded that an annual remuneration increase of 2.75% is applicable to this position, with effect from 1 January 2022. This effective date has been chosen, noting that this review commenced in June 2022 and the last salary increase for this position applied from 1 January 2021.</w:t>
      </w:r>
    </w:p>
    <w:p w14:paraId="76C320A1" w14:textId="77777777" w:rsidR="0035143A" w:rsidRPr="0035143A" w:rsidRDefault="0035143A" w:rsidP="0035143A">
      <w:pPr>
        <w:keepNext/>
        <w:jc w:val="left"/>
        <w:rPr>
          <w:rFonts w:eastAsiaTheme="minorHAnsi"/>
          <w:b/>
          <w:bCs/>
          <w:szCs w:val="17"/>
        </w:rPr>
      </w:pPr>
      <w:r w:rsidRPr="0035143A">
        <w:rPr>
          <w:rFonts w:eastAsiaTheme="minorHAnsi"/>
          <w:b/>
          <w:bCs/>
          <w:szCs w:val="17"/>
        </w:rPr>
        <w:t>COMMUNICATION ALLOWANCE</w:t>
      </w:r>
    </w:p>
    <w:p w14:paraId="36C7C1BE"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 xml:space="preserve">A communication allowance of $800 per annum is paid to all four office holders in respect of their expenditure on mobile and landline telephones and internet usage, connected with their duties. While this rate was originally set in 2013, the Tribunal has generally reviewed the rate of the allowance each year. </w:t>
      </w:r>
    </w:p>
    <w:p w14:paraId="2860563D"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This year, the Tribunal does not believe any increase is warranted, as the information generally available to the Tribunal does not demonstrate significant increases in communication costs.</w:t>
      </w:r>
    </w:p>
    <w:p w14:paraId="12D92F31" w14:textId="77777777" w:rsidR="0035143A" w:rsidRPr="0035143A" w:rsidRDefault="0035143A" w:rsidP="009B29CF">
      <w:pPr>
        <w:numPr>
          <w:ilvl w:val="0"/>
          <w:numId w:val="88"/>
        </w:numPr>
        <w:ind w:left="364"/>
        <w:rPr>
          <w:rFonts w:eastAsia="Times New Roman"/>
          <w:szCs w:val="17"/>
        </w:rPr>
      </w:pPr>
      <w:r w:rsidRPr="0035143A">
        <w:rPr>
          <w:rFonts w:eastAsia="Times New Roman"/>
          <w:szCs w:val="17"/>
        </w:rPr>
        <w:t>The Tribunal also notes that when this rate was set in 2013, it excluded costs associated with mobile telephones on the understanding that these office holders may already be issued with mobile phones for business purposes. The Tribunal also explained the following in its report</w:t>
      </w:r>
      <w:r w:rsidRPr="0035143A">
        <w:rPr>
          <w:rFonts w:eastAsia="Times New Roman"/>
          <w:szCs w:val="17"/>
          <w:vertAlign w:val="superscript"/>
        </w:rPr>
        <w:t>2</w:t>
      </w:r>
      <w:r w:rsidRPr="0035143A">
        <w:rPr>
          <w:rFonts w:eastAsia="Times New Roman"/>
          <w:szCs w:val="17"/>
        </w:rPr>
        <w:t xml:space="preserve">: </w:t>
      </w:r>
    </w:p>
    <w:p w14:paraId="30F413CA" w14:textId="77777777" w:rsidR="0035143A" w:rsidRPr="0035143A" w:rsidRDefault="0035143A" w:rsidP="0035143A">
      <w:pPr>
        <w:spacing w:line="240" w:lineRule="auto"/>
        <w:ind w:left="357"/>
        <w:rPr>
          <w:szCs w:val="17"/>
        </w:rPr>
      </w:pPr>
      <w:r w:rsidRPr="0035143A">
        <w:rPr>
          <w:noProof/>
          <w:szCs w:val="17"/>
        </w:rPr>
        <w:drawing>
          <wp:inline distT="0" distB="0" distL="0" distR="0" wp14:anchorId="3732CF62" wp14:editId="334AC0DD">
            <wp:extent cx="3619500" cy="442001"/>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52"/>
                    <a:srcRect b="15148"/>
                    <a:stretch/>
                  </pic:blipFill>
                  <pic:spPr bwMode="auto">
                    <a:xfrm>
                      <a:off x="0" y="0"/>
                      <a:ext cx="3818582" cy="466312"/>
                    </a:xfrm>
                    <a:prstGeom prst="rect">
                      <a:avLst/>
                    </a:prstGeom>
                    <a:ln>
                      <a:noFill/>
                    </a:ln>
                    <a:extLst>
                      <a:ext uri="{53640926-AAD7-44D8-BBD7-CCE9431645EC}">
                        <a14:shadowObscured xmlns:a14="http://schemas.microsoft.com/office/drawing/2010/main"/>
                      </a:ext>
                    </a:extLst>
                  </pic:spPr>
                </pic:pic>
              </a:graphicData>
            </a:graphic>
          </wp:inline>
        </w:drawing>
      </w:r>
    </w:p>
    <w:p w14:paraId="1EA7ED93" w14:textId="77777777" w:rsidR="0035143A" w:rsidRPr="0035143A" w:rsidRDefault="0035143A" w:rsidP="009B29CF">
      <w:pPr>
        <w:numPr>
          <w:ilvl w:val="0"/>
          <w:numId w:val="94"/>
        </w:numPr>
        <w:rPr>
          <w:szCs w:val="17"/>
        </w:rPr>
      </w:pPr>
      <w:r w:rsidRPr="0035143A">
        <w:rPr>
          <w:rFonts w:eastAsia="Times New Roman"/>
          <w:szCs w:val="17"/>
        </w:rPr>
        <w:t>Since 2019, reports and determinations of this Tribunal have stated that the $800 communication allowance also covers expenditure on mobile telephones by all four office holders. Despite this, the rate of the allowance has not increased for this purpose, on the</w:t>
      </w:r>
      <w:r w:rsidRPr="0035143A">
        <w:rPr>
          <w:szCs w:val="17"/>
        </w:rPr>
        <w:t xml:space="preserve"> continuing understanding of the Tribunal that the office holders are issued (or eligible to be issued) with mobile telephones for work purposes.</w:t>
      </w:r>
    </w:p>
    <w:p w14:paraId="2B51D4EE" w14:textId="77777777" w:rsidR="0035143A" w:rsidRPr="0035143A" w:rsidRDefault="0035143A" w:rsidP="0035143A">
      <w:pPr>
        <w:rPr>
          <w:szCs w:val="17"/>
        </w:rPr>
      </w:pPr>
      <w:r w:rsidRPr="0035143A">
        <w:rPr>
          <w:noProof/>
        </w:rPr>
        <mc:AlternateContent>
          <mc:Choice Requires="wps">
            <w:drawing>
              <wp:anchor distT="0" distB="0" distL="114300" distR="114300" simplePos="0" relativeHeight="251662336" behindDoc="0" locked="0" layoutInCell="1" allowOverlap="1" wp14:anchorId="55D5A517" wp14:editId="002B5626">
                <wp:simplePos x="0" y="0"/>
                <wp:positionH relativeFrom="column">
                  <wp:posOffset>0</wp:posOffset>
                </wp:positionH>
                <wp:positionV relativeFrom="paragraph">
                  <wp:posOffset>107315</wp:posOffset>
                </wp:positionV>
                <wp:extent cx="170815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08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4E9C7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8.45pt" to="13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" strokecolor="windowText" strokeweight=".5pt">
                <v:stroke joinstyle="miter"/>
              </v:line>
            </w:pict>
          </mc:Fallback>
        </mc:AlternateContent>
      </w:r>
    </w:p>
    <w:p w14:paraId="7D626E99" w14:textId="5A44EC14" w:rsidR="0035143A" w:rsidRDefault="0035143A" w:rsidP="0035143A">
      <w:pPr>
        <w:pBdr>
          <w:top w:val="nil"/>
          <w:left w:val="nil"/>
          <w:bottom w:val="nil"/>
          <w:right w:val="nil"/>
          <w:between w:val="nil"/>
          <w:bar w:val="nil"/>
        </w:pBdr>
        <w:spacing w:line="160" w:lineRule="exact"/>
        <w:ind w:left="142" w:hanging="142"/>
        <w:jc w:val="left"/>
        <w:rPr>
          <w:color w:val="000000"/>
          <w:sz w:val="16"/>
          <w:szCs w:val="16"/>
          <w:u w:color="000000"/>
          <w:bdr w:val="nil"/>
          <w:lang w:eastAsia="en-AU"/>
        </w:rPr>
      </w:pPr>
      <w:r w:rsidRPr="0035143A">
        <w:rPr>
          <w:color w:val="000000"/>
          <w:sz w:val="16"/>
          <w:szCs w:val="16"/>
          <w:u w:color="000000"/>
          <w:bdr w:val="nil"/>
          <w:vertAlign w:val="superscript"/>
          <w:lang w:val="en-US" w:eastAsia="en-AU"/>
        </w:rPr>
        <w:t>2</w:t>
      </w:r>
      <w:r w:rsidRPr="0035143A">
        <w:rPr>
          <w:color w:val="000000"/>
          <w:sz w:val="16"/>
          <w:szCs w:val="16"/>
          <w:u w:color="000000"/>
          <w:bdr w:val="nil"/>
          <w:lang w:val="en-US" w:eastAsia="en-AU"/>
        </w:rPr>
        <w:t xml:space="preserve"> </w:t>
      </w:r>
      <w:r w:rsidRPr="0035143A">
        <w:rPr>
          <w:color w:val="000000"/>
          <w:sz w:val="16"/>
          <w:szCs w:val="16"/>
          <w:u w:color="000000"/>
          <w:bdr w:val="nil"/>
          <w:lang w:val="en-US" w:eastAsia="en-AU"/>
        </w:rPr>
        <w:tab/>
      </w:r>
      <w:r w:rsidRPr="0035143A">
        <w:rPr>
          <w:color w:val="000000"/>
          <w:sz w:val="16"/>
          <w:szCs w:val="16"/>
          <w:u w:color="000000"/>
          <w:bdr w:val="nil"/>
          <w:lang w:eastAsia="en-AU"/>
        </w:rPr>
        <w:t>Remuneration Tribunal – Report Relating to Determination No 1 of 2013.</w:t>
      </w:r>
    </w:p>
    <w:p w14:paraId="2121A30B" w14:textId="77777777" w:rsidR="0035143A" w:rsidRDefault="0035143A">
      <w:pPr>
        <w:spacing w:after="0" w:line="240" w:lineRule="auto"/>
        <w:jc w:val="left"/>
        <w:rPr>
          <w:color w:val="000000"/>
          <w:sz w:val="16"/>
          <w:szCs w:val="16"/>
          <w:u w:color="000000"/>
          <w:bdr w:val="nil"/>
          <w:lang w:eastAsia="en-AU"/>
        </w:rPr>
      </w:pPr>
      <w:r>
        <w:rPr>
          <w:color w:val="000000"/>
          <w:sz w:val="16"/>
          <w:szCs w:val="16"/>
          <w:u w:color="000000"/>
          <w:bdr w:val="nil"/>
          <w:lang w:eastAsia="en-AU"/>
        </w:rPr>
        <w:br w:type="page"/>
      </w:r>
    </w:p>
    <w:p w14:paraId="4439D001" w14:textId="77777777" w:rsidR="0035143A" w:rsidRPr="0035143A" w:rsidRDefault="0035143A" w:rsidP="0035143A">
      <w:pPr>
        <w:rPr>
          <w:b/>
          <w:bCs/>
          <w:szCs w:val="17"/>
        </w:rPr>
      </w:pPr>
      <w:r w:rsidRPr="0035143A">
        <w:rPr>
          <w:b/>
          <w:bCs/>
          <w:szCs w:val="17"/>
        </w:rPr>
        <w:lastRenderedPageBreak/>
        <w:t>Other determinations</w:t>
      </w:r>
    </w:p>
    <w:p w14:paraId="78ED89E8" w14:textId="77777777" w:rsidR="0035143A" w:rsidRPr="0035143A" w:rsidRDefault="0035143A" w:rsidP="0035143A">
      <w:pPr>
        <w:ind w:left="357" w:hanging="357"/>
        <w:rPr>
          <w:szCs w:val="17"/>
        </w:rPr>
      </w:pPr>
      <w:r w:rsidRPr="0035143A">
        <w:rPr>
          <w:szCs w:val="17"/>
        </w:rPr>
        <w:t>The Tribunal notes that all four office holders are covered by other determinations of the Tribunal which set conveyance allowances, accommodation and meal allowances, and salary sacrifice arrangements for judges, court officers, and statutory officers.</w:t>
      </w:r>
    </w:p>
    <w:p w14:paraId="4BD0776D" w14:textId="77777777" w:rsidR="0035143A" w:rsidRPr="0035143A" w:rsidRDefault="0035143A" w:rsidP="0035143A">
      <w:pPr>
        <w:spacing w:after="0"/>
        <w:rPr>
          <w:rFonts w:eastAsia="Times New Roman"/>
          <w:szCs w:val="17"/>
        </w:rPr>
      </w:pPr>
      <w:r w:rsidRPr="0035143A">
        <w:rPr>
          <w:rFonts w:eastAsia="Times New Roman"/>
          <w:szCs w:val="17"/>
        </w:rPr>
        <w:t>Dated: 14 December 2022</w:t>
      </w:r>
    </w:p>
    <w:p w14:paraId="17826B0A"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Matthew O’Callaghan</w:t>
      </w:r>
    </w:p>
    <w:p w14:paraId="01511B54" w14:textId="77777777" w:rsidR="0035143A" w:rsidRPr="0035143A" w:rsidRDefault="0035143A" w:rsidP="0035143A">
      <w:pPr>
        <w:jc w:val="right"/>
        <w:rPr>
          <w:rFonts w:eastAsia="Times New Roman"/>
          <w:szCs w:val="17"/>
        </w:rPr>
      </w:pPr>
      <w:r w:rsidRPr="0035143A">
        <w:rPr>
          <w:rFonts w:eastAsia="Times New Roman"/>
          <w:szCs w:val="17"/>
        </w:rPr>
        <w:t>President</w:t>
      </w:r>
    </w:p>
    <w:p w14:paraId="1F921DF0"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Deborah Black</w:t>
      </w:r>
    </w:p>
    <w:p w14:paraId="43935169" w14:textId="77777777" w:rsidR="0035143A" w:rsidRPr="0035143A" w:rsidRDefault="0035143A" w:rsidP="0035143A">
      <w:pPr>
        <w:jc w:val="right"/>
        <w:rPr>
          <w:rFonts w:eastAsia="Times New Roman"/>
          <w:szCs w:val="17"/>
        </w:rPr>
      </w:pPr>
      <w:r w:rsidRPr="0035143A">
        <w:rPr>
          <w:rFonts w:eastAsia="Times New Roman"/>
          <w:szCs w:val="17"/>
        </w:rPr>
        <w:t>Member</w:t>
      </w:r>
    </w:p>
    <w:p w14:paraId="05A70A98"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Peter de Cure AM</w:t>
      </w:r>
    </w:p>
    <w:p w14:paraId="744E1220" w14:textId="77777777" w:rsidR="0035143A" w:rsidRPr="0035143A" w:rsidRDefault="0035143A" w:rsidP="0035143A">
      <w:pPr>
        <w:jc w:val="right"/>
        <w:rPr>
          <w:rFonts w:eastAsia="Times New Roman"/>
          <w:szCs w:val="17"/>
        </w:rPr>
      </w:pPr>
      <w:r w:rsidRPr="0035143A">
        <w:rPr>
          <w:rFonts w:eastAsia="Times New Roman"/>
          <w:szCs w:val="17"/>
        </w:rPr>
        <w:t>Member</w:t>
      </w:r>
    </w:p>
    <w:p w14:paraId="721A5C91" w14:textId="77777777" w:rsidR="0035143A" w:rsidRPr="0035143A" w:rsidRDefault="0035143A" w:rsidP="0035143A">
      <w:pPr>
        <w:pBdr>
          <w:top w:val="single" w:sz="4" w:space="1" w:color="auto"/>
        </w:pBdr>
        <w:spacing w:before="100" w:line="14" w:lineRule="exact"/>
        <w:ind w:left="1080" w:right="1080"/>
        <w:jc w:val="center"/>
        <w:rPr>
          <w:rFonts w:eastAsia="Times New Roman"/>
          <w:szCs w:val="17"/>
        </w:rPr>
      </w:pPr>
    </w:p>
    <w:p w14:paraId="4FCF8E6E" w14:textId="77777777" w:rsidR="0035143A" w:rsidRPr="0035143A" w:rsidRDefault="0035143A" w:rsidP="0035143A">
      <w:pPr>
        <w:jc w:val="center"/>
        <w:rPr>
          <w:caps/>
          <w:szCs w:val="17"/>
        </w:rPr>
      </w:pPr>
      <w:r w:rsidRPr="0035143A">
        <w:rPr>
          <w:caps/>
          <w:szCs w:val="17"/>
        </w:rPr>
        <w:t>The Remuneration Tribunal</w:t>
      </w:r>
    </w:p>
    <w:p w14:paraId="689804D3" w14:textId="77777777" w:rsidR="0035143A" w:rsidRPr="0035143A" w:rsidRDefault="0035143A" w:rsidP="0035143A">
      <w:pPr>
        <w:jc w:val="center"/>
        <w:rPr>
          <w:smallCaps/>
          <w:szCs w:val="17"/>
        </w:rPr>
      </w:pPr>
      <w:r w:rsidRPr="0035143A">
        <w:rPr>
          <w:smallCaps/>
          <w:szCs w:val="17"/>
        </w:rPr>
        <w:t>Determination—No. 6 of 2022</w:t>
      </w:r>
    </w:p>
    <w:p w14:paraId="2AFDFDF4" w14:textId="77777777" w:rsidR="0035143A" w:rsidRPr="0035143A" w:rsidRDefault="0035143A" w:rsidP="0035143A">
      <w:pPr>
        <w:jc w:val="center"/>
        <w:rPr>
          <w:i/>
          <w:szCs w:val="17"/>
        </w:rPr>
      </w:pPr>
      <w:r w:rsidRPr="0035143A">
        <w:rPr>
          <w:i/>
          <w:szCs w:val="17"/>
        </w:rPr>
        <w:t xml:space="preserve">Remuneration of Auditor-General, Electoral Commissioner, </w:t>
      </w:r>
      <w:r w:rsidRPr="0035143A">
        <w:rPr>
          <w:i/>
          <w:szCs w:val="17"/>
        </w:rPr>
        <w:br/>
        <w:t>Deputy Electoral Commissioner, and Health and Community Services Complaints Commissioner</w:t>
      </w:r>
    </w:p>
    <w:p w14:paraId="6D04314F" w14:textId="77777777" w:rsidR="0035143A" w:rsidRPr="0035143A" w:rsidRDefault="0035143A" w:rsidP="0035143A">
      <w:pPr>
        <w:jc w:val="left"/>
        <w:rPr>
          <w:b/>
          <w:bCs/>
          <w:smallCaps/>
          <w:szCs w:val="17"/>
        </w:rPr>
      </w:pPr>
      <w:r w:rsidRPr="0035143A">
        <w:rPr>
          <w:b/>
          <w:bCs/>
          <w:smallCaps/>
          <w:szCs w:val="17"/>
        </w:rPr>
        <w:t>Determination</w:t>
      </w:r>
    </w:p>
    <w:p w14:paraId="54E4A254" w14:textId="77777777" w:rsidR="0035143A" w:rsidRPr="0035143A" w:rsidRDefault="0035143A" w:rsidP="0035143A">
      <w:pPr>
        <w:rPr>
          <w:rFonts w:eastAsia="Times New Roman"/>
          <w:b/>
          <w:bCs/>
          <w:szCs w:val="17"/>
        </w:rPr>
      </w:pPr>
      <w:r w:rsidRPr="0035143A">
        <w:rPr>
          <w:rFonts w:eastAsia="Times New Roman"/>
          <w:b/>
          <w:bCs/>
          <w:szCs w:val="17"/>
        </w:rPr>
        <w:t>SCOPE OF DETERMINATION</w:t>
      </w:r>
    </w:p>
    <w:p w14:paraId="62344974" w14:textId="77777777" w:rsidR="0035143A" w:rsidRPr="0035143A" w:rsidRDefault="0035143A" w:rsidP="009B29CF">
      <w:pPr>
        <w:numPr>
          <w:ilvl w:val="0"/>
          <w:numId w:val="95"/>
        </w:numPr>
        <w:rPr>
          <w:rFonts w:eastAsia="Times New Roman"/>
          <w:szCs w:val="17"/>
        </w:rPr>
      </w:pPr>
      <w:r w:rsidRPr="0035143A">
        <w:rPr>
          <w:rFonts w:eastAsia="Times New Roman"/>
          <w:szCs w:val="17"/>
        </w:rPr>
        <w:t>The Remuneration Tribunal (</w:t>
      </w:r>
      <w:r w:rsidRPr="0035143A">
        <w:rPr>
          <w:rFonts w:eastAsia="Times New Roman"/>
          <w:b/>
          <w:bCs/>
          <w:szCs w:val="17"/>
        </w:rPr>
        <w:t>Tribunal</w:t>
      </w:r>
      <w:r w:rsidRPr="0035143A">
        <w:rPr>
          <w:rFonts w:eastAsia="Times New Roman"/>
          <w:szCs w:val="17"/>
        </w:rPr>
        <w:t xml:space="preserve">) has jurisdiction under section 14 of the </w:t>
      </w:r>
      <w:r w:rsidRPr="0035143A">
        <w:rPr>
          <w:rFonts w:eastAsia="Times New Roman"/>
          <w:i/>
          <w:szCs w:val="17"/>
        </w:rPr>
        <w:t>Remuneration Act 1990</w:t>
      </w:r>
      <w:r w:rsidRPr="0035143A">
        <w:rPr>
          <w:rFonts w:eastAsia="Times New Roman"/>
          <w:szCs w:val="17"/>
        </w:rPr>
        <w:t xml:space="preserve"> to determine the remuneration, or a specified part of remuneration, of certain statutory office holders, as conferred by other Acts or by proclamation by the Governor.</w:t>
      </w:r>
    </w:p>
    <w:p w14:paraId="0AF2D849" w14:textId="77777777" w:rsidR="0035143A" w:rsidRPr="0035143A" w:rsidRDefault="0035143A" w:rsidP="009B29CF">
      <w:pPr>
        <w:numPr>
          <w:ilvl w:val="0"/>
          <w:numId w:val="95"/>
        </w:numPr>
        <w:rPr>
          <w:rFonts w:eastAsia="Times New Roman"/>
          <w:szCs w:val="17"/>
        </w:rPr>
      </w:pPr>
      <w:r w:rsidRPr="0035143A">
        <w:rPr>
          <w:rFonts w:eastAsia="Times New Roman"/>
          <w:szCs w:val="17"/>
        </w:rPr>
        <w:t>This Determination is applicable to the following statutory office holders:</w:t>
      </w:r>
    </w:p>
    <w:p w14:paraId="216026A3" w14:textId="77777777" w:rsidR="0035143A" w:rsidRPr="0035143A" w:rsidRDefault="0035143A" w:rsidP="009B29CF">
      <w:pPr>
        <w:numPr>
          <w:ilvl w:val="1"/>
          <w:numId w:val="95"/>
        </w:numPr>
        <w:spacing w:after="0"/>
        <w:rPr>
          <w:rFonts w:eastAsia="Times New Roman"/>
          <w:szCs w:val="17"/>
        </w:rPr>
      </w:pPr>
      <w:r w:rsidRPr="0035143A">
        <w:rPr>
          <w:rFonts w:eastAsia="Times New Roman"/>
          <w:szCs w:val="17"/>
        </w:rPr>
        <w:t>the Auditor-General</w:t>
      </w:r>
    </w:p>
    <w:p w14:paraId="00B704F3" w14:textId="77777777" w:rsidR="0035143A" w:rsidRPr="0035143A" w:rsidRDefault="0035143A" w:rsidP="009B29CF">
      <w:pPr>
        <w:numPr>
          <w:ilvl w:val="1"/>
          <w:numId w:val="95"/>
        </w:numPr>
        <w:spacing w:after="0"/>
        <w:rPr>
          <w:rFonts w:eastAsia="Times New Roman"/>
          <w:szCs w:val="17"/>
        </w:rPr>
      </w:pPr>
      <w:r w:rsidRPr="0035143A">
        <w:rPr>
          <w:rFonts w:eastAsia="Times New Roman"/>
          <w:szCs w:val="17"/>
        </w:rPr>
        <w:t>the Electoral Commissioner</w:t>
      </w:r>
    </w:p>
    <w:p w14:paraId="08458791" w14:textId="77777777" w:rsidR="0035143A" w:rsidRPr="0035143A" w:rsidRDefault="0035143A" w:rsidP="009B29CF">
      <w:pPr>
        <w:numPr>
          <w:ilvl w:val="1"/>
          <w:numId w:val="95"/>
        </w:numPr>
        <w:spacing w:after="0"/>
        <w:rPr>
          <w:rFonts w:eastAsia="Times New Roman"/>
          <w:szCs w:val="17"/>
        </w:rPr>
      </w:pPr>
      <w:r w:rsidRPr="0035143A">
        <w:rPr>
          <w:rFonts w:eastAsia="Times New Roman"/>
          <w:szCs w:val="17"/>
        </w:rPr>
        <w:t>the Deputy Electoral Commissioner</w:t>
      </w:r>
    </w:p>
    <w:p w14:paraId="6E6E7C5F" w14:textId="77777777" w:rsidR="0035143A" w:rsidRPr="0035143A" w:rsidRDefault="0035143A" w:rsidP="009B29CF">
      <w:pPr>
        <w:numPr>
          <w:ilvl w:val="1"/>
          <w:numId w:val="95"/>
        </w:numPr>
        <w:rPr>
          <w:rFonts w:eastAsia="Times New Roman"/>
          <w:szCs w:val="17"/>
        </w:rPr>
      </w:pPr>
      <w:r w:rsidRPr="0035143A">
        <w:rPr>
          <w:rFonts w:eastAsia="Times New Roman"/>
          <w:szCs w:val="17"/>
        </w:rPr>
        <w:t>the Health and Community Services Complaints Commissioner.</w:t>
      </w:r>
    </w:p>
    <w:p w14:paraId="1FA644C8" w14:textId="77777777" w:rsidR="0035143A" w:rsidRPr="0035143A" w:rsidRDefault="0035143A" w:rsidP="009B29CF">
      <w:pPr>
        <w:numPr>
          <w:ilvl w:val="0"/>
          <w:numId w:val="95"/>
        </w:numPr>
        <w:rPr>
          <w:rFonts w:eastAsia="Times New Roman"/>
          <w:szCs w:val="17"/>
        </w:rPr>
      </w:pPr>
      <w:r w:rsidRPr="0035143A">
        <w:rPr>
          <w:rFonts w:eastAsia="Times New Roman"/>
          <w:szCs w:val="17"/>
        </w:rPr>
        <w:t>The annual salaries for the following statutory office holders will be:</w:t>
      </w:r>
    </w:p>
    <w:p w14:paraId="48A97D0E" w14:textId="77777777" w:rsidR="0035143A" w:rsidRPr="0035143A" w:rsidRDefault="0035143A" w:rsidP="009B29CF">
      <w:pPr>
        <w:numPr>
          <w:ilvl w:val="1"/>
          <w:numId w:val="95"/>
        </w:numPr>
        <w:rPr>
          <w:rFonts w:eastAsia="Times New Roman"/>
          <w:b/>
          <w:bCs/>
          <w:szCs w:val="17"/>
        </w:rPr>
      </w:pPr>
      <w:r w:rsidRPr="0035143A">
        <w:rPr>
          <w:rFonts w:eastAsia="Times New Roman"/>
          <w:b/>
          <w:bCs/>
          <w:szCs w:val="17"/>
        </w:rPr>
        <w:t>Auditor-General</w:t>
      </w:r>
    </w:p>
    <w:p w14:paraId="292F581B" w14:textId="77777777" w:rsidR="0035143A" w:rsidRPr="0035143A" w:rsidRDefault="0035143A" w:rsidP="0035143A">
      <w:pPr>
        <w:ind w:left="812"/>
        <w:rPr>
          <w:rFonts w:eastAsia="Times New Roman"/>
          <w:szCs w:val="17"/>
        </w:rPr>
      </w:pPr>
      <w:r w:rsidRPr="0035143A">
        <w:rPr>
          <w:rFonts w:eastAsia="Times New Roman"/>
          <w:szCs w:val="17"/>
        </w:rPr>
        <w:t>$391,951 from 1 January 2023, and $446,951 from 1 November 2023.</w:t>
      </w:r>
    </w:p>
    <w:p w14:paraId="1853CB5E" w14:textId="77777777" w:rsidR="0035143A" w:rsidRPr="0035143A" w:rsidRDefault="0035143A" w:rsidP="009B29CF">
      <w:pPr>
        <w:numPr>
          <w:ilvl w:val="1"/>
          <w:numId w:val="95"/>
        </w:numPr>
        <w:rPr>
          <w:rFonts w:eastAsia="Times New Roman"/>
          <w:b/>
          <w:bCs/>
          <w:szCs w:val="17"/>
        </w:rPr>
      </w:pPr>
      <w:r w:rsidRPr="0035143A">
        <w:rPr>
          <w:rFonts w:eastAsia="Times New Roman"/>
          <w:b/>
          <w:bCs/>
          <w:szCs w:val="17"/>
        </w:rPr>
        <w:t>Electoral Commissioner</w:t>
      </w:r>
    </w:p>
    <w:p w14:paraId="61AD9A88" w14:textId="77777777" w:rsidR="0035143A" w:rsidRPr="0035143A" w:rsidRDefault="0035143A" w:rsidP="0035143A">
      <w:pPr>
        <w:ind w:left="812"/>
        <w:rPr>
          <w:rFonts w:eastAsia="Times New Roman"/>
          <w:szCs w:val="17"/>
        </w:rPr>
      </w:pPr>
      <w:r w:rsidRPr="0035143A">
        <w:rPr>
          <w:rFonts w:eastAsia="Times New Roman"/>
          <w:szCs w:val="17"/>
        </w:rPr>
        <w:t>$264,737 from 1 January 2023.</w:t>
      </w:r>
    </w:p>
    <w:p w14:paraId="5C0E34E3" w14:textId="77777777" w:rsidR="0035143A" w:rsidRPr="0035143A" w:rsidRDefault="0035143A" w:rsidP="009B29CF">
      <w:pPr>
        <w:numPr>
          <w:ilvl w:val="1"/>
          <w:numId w:val="95"/>
        </w:numPr>
        <w:rPr>
          <w:rFonts w:eastAsia="Times New Roman"/>
          <w:b/>
          <w:bCs/>
          <w:szCs w:val="17"/>
        </w:rPr>
      </w:pPr>
      <w:r w:rsidRPr="0035143A">
        <w:rPr>
          <w:rFonts w:eastAsia="Times New Roman"/>
          <w:b/>
          <w:bCs/>
          <w:szCs w:val="17"/>
        </w:rPr>
        <w:t>Deputy Electoral Commissioner</w:t>
      </w:r>
    </w:p>
    <w:p w14:paraId="280FCE5E" w14:textId="77777777" w:rsidR="0035143A" w:rsidRPr="0035143A" w:rsidRDefault="0035143A" w:rsidP="0035143A">
      <w:pPr>
        <w:ind w:left="812"/>
        <w:rPr>
          <w:rFonts w:eastAsia="Times New Roman"/>
          <w:szCs w:val="17"/>
        </w:rPr>
      </w:pPr>
      <w:r w:rsidRPr="0035143A">
        <w:rPr>
          <w:rFonts w:eastAsia="Times New Roman"/>
          <w:szCs w:val="17"/>
        </w:rPr>
        <w:t>$195,000 from 1 January 2023.</w:t>
      </w:r>
    </w:p>
    <w:p w14:paraId="016CC731" w14:textId="77777777" w:rsidR="0035143A" w:rsidRPr="0035143A" w:rsidRDefault="0035143A" w:rsidP="0035143A">
      <w:pPr>
        <w:ind w:left="812"/>
        <w:rPr>
          <w:rFonts w:eastAsia="Times New Roman"/>
          <w:szCs w:val="17"/>
        </w:rPr>
      </w:pPr>
      <w:r w:rsidRPr="0035143A">
        <w:rPr>
          <w:rFonts w:eastAsia="Times New Roman"/>
          <w:szCs w:val="17"/>
        </w:rPr>
        <w:t>When acting as Electoral Commissioner for a continuous period of more than one week, the Deputy Electoral Commissioner will be paid for the acting period at the rate of salary applicable to the office of the Electoral Commissioner.</w:t>
      </w:r>
    </w:p>
    <w:p w14:paraId="45224A83" w14:textId="77777777" w:rsidR="0035143A" w:rsidRPr="0035143A" w:rsidRDefault="0035143A" w:rsidP="009B29CF">
      <w:pPr>
        <w:numPr>
          <w:ilvl w:val="1"/>
          <w:numId w:val="95"/>
        </w:numPr>
        <w:rPr>
          <w:rFonts w:eastAsia="Times New Roman"/>
          <w:b/>
          <w:bCs/>
          <w:szCs w:val="17"/>
        </w:rPr>
      </w:pPr>
      <w:r w:rsidRPr="0035143A">
        <w:rPr>
          <w:rFonts w:eastAsia="Times New Roman"/>
          <w:b/>
          <w:bCs/>
          <w:szCs w:val="17"/>
        </w:rPr>
        <w:t>Health and Community Services Complaints Commissioner</w:t>
      </w:r>
    </w:p>
    <w:p w14:paraId="4F9167C5" w14:textId="77777777" w:rsidR="0035143A" w:rsidRPr="0035143A" w:rsidRDefault="0035143A" w:rsidP="0035143A">
      <w:pPr>
        <w:ind w:left="812"/>
        <w:rPr>
          <w:rFonts w:eastAsia="Times New Roman"/>
          <w:szCs w:val="17"/>
        </w:rPr>
      </w:pPr>
      <w:r w:rsidRPr="0035143A">
        <w:rPr>
          <w:rFonts w:eastAsia="Times New Roman"/>
          <w:szCs w:val="17"/>
        </w:rPr>
        <w:t>$255,150 per annum (backdated) from 1 January 2022.</w:t>
      </w:r>
    </w:p>
    <w:p w14:paraId="1846D041" w14:textId="77777777" w:rsidR="0035143A" w:rsidRPr="0035143A" w:rsidRDefault="0035143A" w:rsidP="009B29CF">
      <w:pPr>
        <w:numPr>
          <w:ilvl w:val="0"/>
          <w:numId w:val="95"/>
        </w:numPr>
        <w:rPr>
          <w:rFonts w:eastAsia="Times New Roman"/>
          <w:szCs w:val="17"/>
        </w:rPr>
      </w:pPr>
      <w:r w:rsidRPr="0035143A">
        <w:rPr>
          <w:rFonts w:eastAsia="Times New Roman"/>
          <w:szCs w:val="17"/>
        </w:rPr>
        <w:t>Where a statutory office holder listed at clause 2 of this Determination is appointed on a part-time basis, that person is entitled to be paid the applicable salary as a pro rata amount, based on the hours worked as a proportion of the full-time equivalent.</w:t>
      </w:r>
    </w:p>
    <w:p w14:paraId="6FAFFF5D" w14:textId="77777777" w:rsidR="0035143A" w:rsidRPr="0035143A" w:rsidRDefault="0035143A" w:rsidP="0035143A">
      <w:pPr>
        <w:rPr>
          <w:rFonts w:eastAsia="Times New Roman"/>
          <w:b/>
          <w:bCs/>
          <w:szCs w:val="17"/>
        </w:rPr>
      </w:pPr>
      <w:r w:rsidRPr="0035143A">
        <w:rPr>
          <w:rFonts w:eastAsia="Times New Roman"/>
          <w:b/>
          <w:bCs/>
          <w:szCs w:val="17"/>
        </w:rPr>
        <w:t>COMMUNICATION ALLOWANCE</w:t>
      </w:r>
    </w:p>
    <w:p w14:paraId="4DE48400" w14:textId="77777777" w:rsidR="0035143A" w:rsidRPr="0035143A" w:rsidRDefault="0035143A" w:rsidP="009B29CF">
      <w:pPr>
        <w:numPr>
          <w:ilvl w:val="0"/>
          <w:numId w:val="95"/>
        </w:numPr>
        <w:rPr>
          <w:rFonts w:eastAsia="Times New Roman"/>
          <w:szCs w:val="17"/>
        </w:rPr>
      </w:pPr>
      <w:r w:rsidRPr="0035143A">
        <w:rPr>
          <w:rFonts w:eastAsia="Times New Roman"/>
          <w:szCs w:val="17"/>
        </w:rPr>
        <w:t>Each of the statutory office holders listed at clause 2 of this Determination are entitled to be paid a communication allowance at the rate of $800 per annum, for expenditures for the purpose of mobile telephone, landline telephone and internet usage incurred in relation to the conduct of their official duties.</w:t>
      </w:r>
    </w:p>
    <w:p w14:paraId="52A8DF85" w14:textId="77777777" w:rsidR="0035143A" w:rsidRPr="0035143A" w:rsidRDefault="0035143A" w:rsidP="009B29CF">
      <w:pPr>
        <w:numPr>
          <w:ilvl w:val="0"/>
          <w:numId w:val="95"/>
        </w:numPr>
        <w:rPr>
          <w:rFonts w:eastAsia="Times New Roman"/>
          <w:szCs w:val="17"/>
        </w:rPr>
      </w:pPr>
      <w:r w:rsidRPr="0035143A">
        <w:rPr>
          <w:rFonts w:eastAsia="Times New Roman"/>
          <w:szCs w:val="17"/>
        </w:rPr>
        <w:t>The allowance is payable fortnightly and at a fortnightly rate of the annual amount payable at clause 5 of this Determination.</w:t>
      </w:r>
    </w:p>
    <w:p w14:paraId="3393E442" w14:textId="77777777" w:rsidR="0035143A" w:rsidRPr="0035143A" w:rsidRDefault="0035143A" w:rsidP="009B29CF">
      <w:pPr>
        <w:numPr>
          <w:ilvl w:val="0"/>
          <w:numId w:val="95"/>
        </w:numPr>
        <w:rPr>
          <w:rFonts w:eastAsia="Times New Roman"/>
          <w:szCs w:val="17"/>
        </w:rPr>
      </w:pPr>
      <w:r w:rsidRPr="0035143A">
        <w:rPr>
          <w:rFonts w:eastAsia="Times New Roman"/>
          <w:szCs w:val="17"/>
        </w:rPr>
        <w:t>Where a statutory office holder listed at clause 2 of this Determination is appointed on a part-time basis, that person is entitled to be paid a communication allowance as a pro rata amount, based on the hours worked as a proportion of the full-time equivalent.</w:t>
      </w:r>
    </w:p>
    <w:p w14:paraId="4BA883E1" w14:textId="77777777" w:rsidR="0035143A" w:rsidRPr="0035143A" w:rsidRDefault="0035143A" w:rsidP="0035143A">
      <w:pPr>
        <w:rPr>
          <w:rFonts w:eastAsia="Times New Roman"/>
          <w:b/>
          <w:bCs/>
          <w:szCs w:val="17"/>
        </w:rPr>
      </w:pPr>
      <w:r w:rsidRPr="0035143A">
        <w:rPr>
          <w:rFonts w:eastAsia="Times New Roman"/>
          <w:b/>
          <w:bCs/>
          <w:szCs w:val="17"/>
        </w:rPr>
        <w:t>DATE OF OPERATION</w:t>
      </w:r>
    </w:p>
    <w:p w14:paraId="1AD828A8" w14:textId="77777777" w:rsidR="0035143A" w:rsidRPr="0035143A" w:rsidRDefault="0035143A" w:rsidP="0035143A">
      <w:pPr>
        <w:rPr>
          <w:rFonts w:eastAsia="Times New Roman"/>
          <w:szCs w:val="17"/>
        </w:rPr>
      </w:pPr>
      <w:r w:rsidRPr="0035143A">
        <w:rPr>
          <w:rFonts w:eastAsia="Times New Roman"/>
          <w:szCs w:val="17"/>
        </w:rPr>
        <w:t>This Determination operates from 1 January 2023, with the salaries operating from the dates specified in clause 3. It supersedes Determination 4 of 2021.</w:t>
      </w:r>
    </w:p>
    <w:p w14:paraId="719C674E" w14:textId="77777777" w:rsidR="0035143A" w:rsidRPr="0035143A" w:rsidRDefault="0035143A" w:rsidP="0035143A">
      <w:pPr>
        <w:spacing w:after="0"/>
        <w:rPr>
          <w:rFonts w:eastAsia="Times New Roman"/>
          <w:szCs w:val="17"/>
        </w:rPr>
      </w:pPr>
      <w:r w:rsidRPr="0035143A">
        <w:rPr>
          <w:rFonts w:eastAsia="Times New Roman"/>
          <w:szCs w:val="17"/>
        </w:rPr>
        <w:t>Dated: 14 December 2022</w:t>
      </w:r>
    </w:p>
    <w:p w14:paraId="183416F8"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Matthew O’Callaghan</w:t>
      </w:r>
    </w:p>
    <w:p w14:paraId="2161F6D8" w14:textId="77777777" w:rsidR="0035143A" w:rsidRPr="0035143A" w:rsidRDefault="0035143A" w:rsidP="0035143A">
      <w:pPr>
        <w:jc w:val="right"/>
        <w:rPr>
          <w:rFonts w:eastAsia="Times New Roman"/>
          <w:szCs w:val="17"/>
        </w:rPr>
      </w:pPr>
      <w:r w:rsidRPr="0035143A">
        <w:rPr>
          <w:rFonts w:eastAsia="Times New Roman"/>
          <w:szCs w:val="17"/>
        </w:rPr>
        <w:t>President</w:t>
      </w:r>
    </w:p>
    <w:p w14:paraId="464792A3"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Deborah Black</w:t>
      </w:r>
    </w:p>
    <w:p w14:paraId="42D14CB5" w14:textId="77777777" w:rsidR="0035143A" w:rsidRPr="0035143A" w:rsidRDefault="0035143A" w:rsidP="0035143A">
      <w:pPr>
        <w:jc w:val="right"/>
        <w:rPr>
          <w:rFonts w:eastAsia="Times New Roman"/>
          <w:szCs w:val="17"/>
        </w:rPr>
      </w:pPr>
      <w:r w:rsidRPr="0035143A">
        <w:rPr>
          <w:rFonts w:eastAsia="Times New Roman"/>
          <w:szCs w:val="17"/>
        </w:rPr>
        <w:t>Member</w:t>
      </w:r>
    </w:p>
    <w:p w14:paraId="72789F42" w14:textId="77777777" w:rsidR="0035143A" w:rsidRPr="0035143A" w:rsidRDefault="0035143A" w:rsidP="0035143A">
      <w:pPr>
        <w:spacing w:after="0"/>
        <w:jc w:val="right"/>
        <w:rPr>
          <w:rFonts w:eastAsia="Times New Roman"/>
          <w:smallCaps/>
          <w:szCs w:val="20"/>
        </w:rPr>
      </w:pPr>
      <w:r w:rsidRPr="0035143A">
        <w:rPr>
          <w:rFonts w:eastAsia="Times New Roman"/>
          <w:smallCaps/>
          <w:szCs w:val="20"/>
        </w:rPr>
        <w:t>Peter de Cure AM</w:t>
      </w:r>
    </w:p>
    <w:p w14:paraId="18828936" w14:textId="77777777" w:rsidR="0035143A" w:rsidRPr="0035143A" w:rsidRDefault="0035143A" w:rsidP="0035143A">
      <w:pPr>
        <w:jc w:val="right"/>
        <w:rPr>
          <w:rFonts w:eastAsia="Times New Roman"/>
          <w:szCs w:val="17"/>
        </w:rPr>
      </w:pPr>
      <w:r w:rsidRPr="0035143A">
        <w:rPr>
          <w:rFonts w:eastAsia="Times New Roman"/>
          <w:szCs w:val="17"/>
        </w:rPr>
        <w:t>Member</w:t>
      </w:r>
    </w:p>
    <w:p w14:paraId="62D69530" w14:textId="77777777" w:rsidR="0035143A" w:rsidRPr="0035143A" w:rsidRDefault="0035143A" w:rsidP="0035143A">
      <w:pPr>
        <w:pBdr>
          <w:top w:val="single" w:sz="4" w:space="1" w:color="auto"/>
        </w:pBdr>
        <w:spacing w:before="100" w:after="0" w:line="14" w:lineRule="exact"/>
        <w:jc w:val="center"/>
        <w:rPr>
          <w:rFonts w:eastAsia="Times New Roman"/>
          <w:szCs w:val="17"/>
        </w:rPr>
      </w:pPr>
    </w:p>
    <w:p w14:paraId="41F3BB62" w14:textId="07FB64BD" w:rsidR="0035143A" w:rsidRDefault="0035143A">
      <w:pPr>
        <w:spacing w:after="0" w:line="240" w:lineRule="auto"/>
        <w:jc w:val="left"/>
        <w:rPr>
          <w:rFonts w:eastAsia="Times New Roman"/>
          <w:szCs w:val="17"/>
          <w:lang w:val="en-US"/>
        </w:rPr>
      </w:pPr>
      <w:r>
        <w:rPr>
          <w:lang w:val="en-US"/>
        </w:rPr>
        <w:br w:type="page"/>
      </w:r>
    </w:p>
    <w:p w14:paraId="039FC465" w14:textId="77777777" w:rsidR="0035143A" w:rsidRPr="004F33B9" w:rsidRDefault="0035143A" w:rsidP="0035143A">
      <w:pPr>
        <w:pStyle w:val="GG-Title1"/>
      </w:pPr>
      <w:r w:rsidRPr="004F33B9">
        <w:lastRenderedPageBreak/>
        <w:t>The Remuneration Tribunal</w:t>
      </w:r>
    </w:p>
    <w:p w14:paraId="233DFCFB" w14:textId="77777777" w:rsidR="0035143A" w:rsidRPr="00A51192" w:rsidRDefault="0035143A" w:rsidP="0035143A">
      <w:pPr>
        <w:pStyle w:val="GG-Title2"/>
      </w:pPr>
      <w:r w:rsidRPr="00A51192">
        <w:t>Report</w:t>
      </w:r>
      <w:r>
        <w:t>—</w:t>
      </w:r>
      <w:r w:rsidRPr="00A51192">
        <w:t xml:space="preserve">No. </w:t>
      </w:r>
      <w:r>
        <w:t>7</w:t>
      </w:r>
      <w:r w:rsidRPr="00A51192">
        <w:t xml:space="preserve"> </w:t>
      </w:r>
      <w:r>
        <w:t>o</w:t>
      </w:r>
      <w:r w:rsidRPr="00A51192">
        <w:t>f 2022</w:t>
      </w:r>
    </w:p>
    <w:p w14:paraId="1C1EFC0F" w14:textId="77777777" w:rsidR="0035143A" w:rsidRPr="00892996" w:rsidRDefault="0035143A" w:rsidP="0035143A">
      <w:pPr>
        <w:pStyle w:val="GG-Title3"/>
      </w:pPr>
      <w:r w:rsidRPr="00892996">
        <w:t>2022 Review of Remuneration of Members of the Judiciary,</w:t>
      </w:r>
      <w:r w:rsidRPr="00892996">
        <w:br/>
        <w:t>Presidential Members of the SAET, Presidential Members of the SACAT, the State Coroner,</w:t>
      </w:r>
      <w:r w:rsidRPr="00892996">
        <w:br/>
        <w:t xml:space="preserve"> and Commissioners of the Environment, Resources and Development Court</w:t>
      </w:r>
    </w:p>
    <w:p w14:paraId="6BB87AE0" w14:textId="77777777" w:rsidR="0035143A" w:rsidRPr="00A51192" w:rsidRDefault="0035143A" w:rsidP="0035143A">
      <w:pPr>
        <w:pStyle w:val="GG-body"/>
        <w:rPr>
          <w:b/>
          <w:bCs/>
          <w:smallCaps/>
        </w:rPr>
      </w:pPr>
      <w:r w:rsidRPr="00A51192">
        <w:rPr>
          <w:b/>
          <w:bCs/>
          <w:smallCaps/>
        </w:rPr>
        <w:t>Report</w:t>
      </w:r>
    </w:p>
    <w:p w14:paraId="1F4EE2C1" w14:textId="77777777" w:rsidR="0035143A" w:rsidRPr="00E52685" w:rsidRDefault="0035143A" w:rsidP="0035143A">
      <w:pPr>
        <w:jc w:val="left"/>
        <w:rPr>
          <w:b/>
          <w:bCs/>
          <w:szCs w:val="17"/>
        </w:rPr>
      </w:pPr>
      <w:r w:rsidRPr="00E52685">
        <w:rPr>
          <w:b/>
          <w:bCs/>
          <w:szCs w:val="17"/>
        </w:rPr>
        <w:t>INTRODUCTION</w:t>
      </w:r>
    </w:p>
    <w:p w14:paraId="305DD7DD" w14:textId="77777777" w:rsidR="0035143A" w:rsidRPr="003040E3" w:rsidRDefault="0035143A" w:rsidP="009B29CF">
      <w:pPr>
        <w:pStyle w:val="GG-body"/>
        <w:numPr>
          <w:ilvl w:val="0"/>
          <w:numId w:val="96"/>
        </w:numPr>
        <w:ind w:left="392"/>
      </w:pPr>
      <w:r w:rsidRPr="003040E3">
        <w:t>The Remuneration Tribunal (</w:t>
      </w:r>
      <w:r w:rsidRPr="003040E3">
        <w:rPr>
          <w:b/>
          <w:bCs/>
        </w:rPr>
        <w:t>Tribunal</w:t>
      </w:r>
      <w:r w:rsidRPr="003040E3">
        <w:t xml:space="preserve">) has conducted a review of Determination </w:t>
      </w:r>
      <w:r>
        <w:t>13</w:t>
      </w:r>
      <w:r w:rsidRPr="003040E3">
        <w:t xml:space="preserve"> of 202</w:t>
      </w:r>
      <w:r>
        <w:t>1</w:t>
      </w:r>
      <w:r w:rsidRPr="003040E3">
        <w:rPr>
          <w:vertAlign w:val="superscript"/>
        </w:rPr>
        <w:t>1</w:t>
      </w:r>
      <w:r w:rsidRPr="003040E3">
        <w:t xml:space="preserve"> </w:t>
      </w:r>
      <w:r w:rsidRPr="00892996">
        <w:t xml:space="preserve">which sets salaries payable to the members of the judiciary and office holders listed in section 13 of the </w:t>
      </w:r>
      <w:r w:rsidRPr="00892996">
        <w:rPr>
          <w:i/>
          <w:iCs/>
        </w:rPr>
        <w:t>Remuneration Act 1990</w:t>
      </w:r>
      <w:r w:rsidRPr="00892996">
        <w:t xml:space="preserve"> (</w:t>
      </w:r>
      <w:r w:rsidRPr="00892996">
        <w:rPr>
          <w:b/>
          <w:bCs/>
        </w:rPr>
        <w:t>Act</w:t>
      </w:r>
      <w:r w:rsidRPr="00892996">
        <w:t>), and salaries payable to certain other office holders as conferred under section 14 of the Act. That determination also sets a communication allowance and security allowance which is payable to some of the above-mentioned office holders and judicial members</w:t>
      </w:r>
      <w:r w:rsidRPr="003040E3">
        <w:t>.</w:t>
      </w:r>
    </w:p>
    <w:p w14:paraId="1B2EF348" w14:textId="77777777" w:rsidR="0035143A" w:rsidRDefault="0035143A" w:rsidP="009B29CF">
      <w:pPr>
        <w:pStyle w:val="GG-body"/>
        <w:numPr>
          <w:ilvl w:val="0"/>
          <w:numId w:val="96"/>
        </w:numPr>
        <w:ind w:left="364"/>
      </w:pPr>
      <w:r w:rsidRPr="00892996">
        <w:t>As explained in this report, the Tribunal has decided to increase salaries by 2.75% and modify the application of the security allowance for part-time officers. The Tribunal has issued an accompanying determination, which applies from 1 September 2022</w:t>
      </w:r>
      <w:r w:rsidRPr="00E52685">
        <w:t>.</w:t>
      </w:r>
    </w:p>
    <w:p w14:paraId="7337DB42" w14:textId="77777777" w:rsidR="0035143A" w:rsidRDefault="0035143A" w:rsidP="0035143A">
      <w:pPr>
        <w:pStyle w:val="GG-body"/>
      </w:pPr>
      <w:r>
        <w:rPr>
          <w:noProof/>
        </w:rPr>
        <mc:AlternateContent>
          <mc:Choice Requires="wps">
            <w:drawing>
              <wp:anchor distT="0" distB="0" distL="114300" distR="114300" simplePos="0" relativeHeight="251664384" behindDoc="0" locked="0" layoutInCell="1" allowOverlap="1" wp14:anchorId="57C8A21D" wp14:editId="47000D0C">
                <wp:simplePos x="0" y="0"/>
                <wp:positionH relativeFrom="column">
                  <wp:posOffset>9839</wp:posOffset>
                </wp:positionH>
                <wp:positionV relativeFrom="paragraph">
                  <wp:posOffset>55914</wp:posOffset>
                </wp:positionV>
                <wp:extent cx="1708220"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41F37B"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40E36578" w14:textId="77777777" w:rsidR="0035143A" w:rsidRPr="00A51192" w:rsidRDefault="0035143A" w:rsidP="0035143A">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892996">
        <w:rPr>
          <w:rFonts w:ascii="Times New Roman" w:hAnsi="Times New Roman" w:cs="Times New Roman"/>
          <w:sz w:val="16"/>
          <w:szCs w:val="16"/>
          <w:lang w:val="en-AU"/>
        </w:rPr>
        <w:t>Remuneration of Members of the Judiciary, Presidential Members of the SAET, Presidential Members of the SACAT, the State Coroner, and Commissioners of the Environment, Resources and Development Court</w:t>
      </w:r>
      <w:r w:rsidRPr="00A51192">
        <w:rPr>
          <w:rFonts w:ascii="Times New Roman" w:hAnsi="Times New Roman" w:cs="Times New Roman"/>
          <w:sz w:val="16"/>
          <w:szCs w:val="16"/>
          <w:lang w:val="en-AU"/>
        </w:rPr>
        <w:t>.</w:t>
      </w:r>
    </w:p>
    <w:p w14:paraId="6EB8750C" w14:textId="77777777" w:rsidR="0035143A" w:rsidRPr="00E52685" w:rsidRDefault="0035143A" w:rsidP="0035143A">
      <w:pPr>
        <w:jc w:val="left"/>
        <w:rPr>
          <w:b/>
          <w:bCs/>
          <w:szCs w:val="17"/>
        </w:rPr>
      </w:pPr>
      <w:r w:rsidRPr="00E52685">
        <w:rPr>
          <w:b/>
          <w:bCs/>
          <w:szCs w:val="17"/>
        </w:rPr>
        <w:t>THE REVIEW PROCESS</w:t>
      </w:r>
    </w:p>
    <w:p w14:paraId="356F4000" w14:textId="77777777" w:rsidR="0035143A" w:rsidRPr="00892996" w:rsidRDefault="0035143A" w:rsidP="009B29CF">
      <w:pPr>
        <w:pStyle w:val="ListParagraph"/>
        <w:numPr>
          <w:ilvl w:val="0"/>
          <w:numId w:val="97"/>
        </w:numPr>
        <w:contextualSpacing w:val="0"/>
        <w:rPr>
          <w:szCs w:val="17"/>
        </w:rPr>
      </w:pPr>
      <w:r w:rsidRPr="00892996">
        <w:rPr>
          <w:szCs w:val="17"/>
        </w:rPr>
        <w:t>On 20 September 2022, in accordance with sections 10(2) and 10(4) of the Act, the Tribunal wrote to and invited submissions by 17 October 2022 in respect of this review from:</w:t>
      </w:r>
    </w:p>
    <w:p w14:paraId="07F7168C"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Honourable Premier of South Australia – as the Minister responsible for the Act who may make submissions or introduce evidence in the public interest</w:t>
      </w:r>
    </w:p>
    <w:p w14:paraId="2D28A478"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Judicial Remuneration Coordinating Committee (</w:t>
      </w:r>
      <w:r w:rsidRPr="00574916">
        <w:rPr>
          <w:b/>
          <w:bCs/>
          <w:szCs w:val="17"/>
        </w:rPr>
        <w:t>JRCC</w:t>
      </w:r>
      <w:r w:rsidRPr="00574916">
        <w:rPr>
          <w:szCs w:val="17"/>
        </w:rPr>
        <w:t>)</w:t>
      </w:r>
    </w:p>
    <w:p w14:paraId="0B3A5E7F" w14:textId="77777777" w:rsidR="0035143A" w:rsidRPr="00574916" w:rsidRDefault="0035143A" w:rsidP="009B29CF">
      <w:pPr>
        <w:pStyle w:val="ListParagraph"/>
        <w:numPr>
          <w:ilvl w:val="1"/>
          <w:numId w:val="97"/>
        </w:numPr>
        <w:contextualSpacing w:val="0"/>
        <w:rPr>
          <w:szCs w:val="17"/>
        </w:rPr>
      </w:pPr>
      <w:r w:rsidRPr="00574916">
        <w:rPr>
          <w:szCs w:val="17"/>
        </w:rPr>
        <w:t>members of the judiciary and relevant office holders</w:t>
      </w:r>
    </w:p>
    <w:p w14:paraId="5947EBE0" w14:textId="77777777" w:rsidR="0035143A" w:rsidRPr="00574916" w:rsidRDefault="0035143A" w:rsidP="009B29CF">
      <w:pPr>
        <w:pStyle w:val="ListParagraph"/>
        <w:numPr>
          <w:ilvl w:val="0"/>
          <w:numId w:val="97"/>
        </w:numPr>
        <w:contextualSpacing w:val="0"/>
        <w:rPr>
          <w:szCs w:val="17"/>
        </w:rPr>
      </w:pPr>
      <w:r w:rsidRPr="00574916">
        <w:rPr>
          <w:szCs w:val="17"/>
        </w:rPr>
        <w:t>The Tribunal also placed a notice on its website from 20 September 2022 calling for submissions from affected persons by 17 October 2022.</w:t>
      </w:r>
    </w:p>
    <w:p w14:paraId="3730E3FD" w14:textId="77777777" w:rsidR="0035143A" w:rsidRPr="00574916" w:rsidRDefault="0035143A" w:rsidP="009B29CF">
      <w:pPr>
        <w:pStyle w:val="ListParagraph"/>
        <w:numPr>
          <w:ilvl w:val="0"/>
          <w:numId w:val="97"/>
        </w:numPr>
        <w:contextualSpacing w:val="0"/>
        <w:rPr>
          <w:szCs w:val="17"/>
        </w:rPr>
      </w:pPr>
      <w:r w:rsidRPr="00574916">
        <w:rPr>
          <w:szCs w:val="17"/>
        </w:rPr>
        <w:t>The JRCC provided a written submission on 17 October 2022, on behalf of:</w:t>
      </w:r>
    </w:p>
    <w:p w14:paraId="69A74529"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 xml:space="preserve">the Chief Justice, Judges of Appeal, Judges and Masters of the Supreme Court </w:t>
      </w:r>
    </w:p>
    <w:p w14:paraId="51153772"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Chief Judge, Judges and Masters of the District Court</w:t>
      </w:r>
    </w:p>
    <w:p w14:paraId="35FCEC6D"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Judges and Magistrates of the South Australian Employment Tribunal (with respect to the security and communication allowance)</w:t>
      </w:r>
    </w:p>
    <w:p w14:paraId="4306ED89"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 xml:space="preserve">the Chief Magistrate and the Magistrates of the Magistrates Court </w:t>
      </w:r>
    </w:p>
    <w:p w14:paraId="7BD375BC"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State Coroner and Deputy Coroner</w:t>
      </w:r>
    </w:p>
    <w:p w14:paraId="7A58ACBF"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 xml:space="preserve">the Commissioners of the Environment, Resources and Development Court, and </w:t>
      </w:r>
    </w:p>
    <w:p w14:paraId="36E81A8A" w14:textId="77777777" w:rsidR="0035143A" w:rsidRPr="00574916" w:rsidRDefault="0035143A" w:rsidP="009B29CF">
      <w:pPr>
        <w:pStyle w:val="ListParagraph"/>
        <w:numPr>
          <w:ilvl w:val="1"/>
          <w:numId w:val="97"/>
        </w:numPr>
        <w:contextualSpacing w:val="0"/>
        <w:rPr>
          <w:szCs w:val="17"/>
        </w:rPr>
      </w:pPr>
      <w:r w:rsidRPr="00574916">
        <w:rPr>
          <w:szCs w:val="17"/>
        </w:rPr>
        <w:t>the President and Deputy Presidents of the South Australian Employment Tribunal.</w:t>
      </w:r>
    </w:p>
    <w:p w14:paraId="014F036B" w14:textId="77777777" w:rsidR="0035143A" w:rsidRPr="00574916" w:rsidRDefault="0035143A" w:rsidP="009B29CF">
      <w:pPr>
        <w:pStyle w:val="ListParagraph"/>
        <w:numPr>
          <w:ilvl w:val="0"/>
          <w:numId w:val="97"/>
        </w:numPr>
        <w:contextualSpacing w:val="0"/>
        <w:rPr>
          <w:szCs w:val="17"/>
        </w:rPr>
      </w:pPr>
      <w:r w:rsidRPr="00574916">
        <w:rPr>
          <w:szCs w:val="17"/>
        </w:rPr>
        <w:t>On 31 October 2022, after an extension was granted, the Premier’s representative confirmed that the Premier did not intend to make a submission.</w:t>
      </w:r>
    </w:p>
    <w:p w14:paraId="4F42C6D5" w14:textId="77777777" w:rsidR="0035143A" w:rsidRPr="00574916" w:rsidRDefault="0035143A" w:rsidP="009B29CF">
      <w:pPr>
        <w:pStyle w:val="ListParagraph"/>
        <w:numPr>
          <w:ilvl w:val="0"/>
          <w:numId w:val="97"/>
        </w:numPr>
        <w:contextualSpacing w:val="0"/>
        <w:rPr>
          <w:szCs w:val="17"/>
        </w:rPr>
      </w:pPr>
      <w:r w:rsidRPr="00574916">
        <w:rPr>
          <w:szCs w:val="17"/>
        </w:rPr>
        <w:t>No other submissions were received.</w:t>
      </w:r>
    </w:p>
    <w:p w14:paraId="4FD2C49A" w14:textId="77777777" w:rsidR="0035143A" w:rsidRPr="00574916" w:rsidRDefault="0035143A" w:rsidP="009B29CF">
      <w:pPr>
        <w:pStyle w:val="ListParagraph"/>
        <w:numPr>
          <w:ilvl w:val="0"/>
          <w:numId w:val="97"/>
        </w:numPr>
        <w:contextualSpacing w:val="0"/>
        <w:rPr>
          <w:szCs w:val="17"/>
        </w:rPr>
      </w:pPr>
      <w:r w:rsidRPr="00574916">
        <w:rPr>
          <w:szCs w:val="17"/>
        </w:rPr>
        <w:t>The Tribunal convened a hearing on this and related matters on 14 November 2022. This hearing was attended by the Honourable Justice Tim Stanley as chair of the JRCC, Magistrate Jay Pandya as President of the Magistrates Association of South Australia, and Ms Carly Cooper from the Crown Solicitor’s Office as representative of the Premier.</w:t>
      </w:r>
    </w:p>
    <w:p w14:paraId="63CD2A79" w14:textId="77777777" w:rsidR="0035143A" w:rsidRPr="00574916" w:rsidRDefault="0035143A" w:rsidP="009B29CF">
      <w:pPr>
        <w:pStyle w:val="ListParagraph"/>
        <w:numPr>
          <w:ilvl w:val="0"/>
          <w:numId w:val="97"/>
        </w:numPr>
        <w:contextualSpacing w:val="0"/>
        <w:rPr>
          <w:szCs w:val="17"/>
        </w:rPr>
      </w:pPr>
      <w:r w:rsidRPr="00574916">
        <w:rPr>
          <w:szCs w:val="17"/>
        </w:rPr>
        <w:t>Justice Stanley and Magistrate Pandya spoke to the written submissions received from the JRCC. Ms Cooper attended and confirmed the Premier’s instructions.</w:t>
      </w:r>
    </w:p>
    <w:p w14:paraId="50E35EB0" w14:textId="77777777" w:rsidR="0035143A" w:rsidRPr="00574916" w:rsidRDefault="0035143A" w:rsidP="009B29CF">
      <w:pPr>
        <w:pStyle w:val="ListParagraph"/>
        <w:numPr>
          <w:ilvl w:val="0"/>
          <w:numId w:val="97"/>
        </w:numPr>
        <w:contextualSpacing w:val="0"/>
        <w:rPr>
          <w:szCs w:val="17"/>
        </w:rPr>
      </w:pPr>
      <w:r w:rsidRPr="00574916">
        <w:rPr>
          <w:szCs w:val="17"/>
        </w:rPr>
        <w:t>In summary, the JRCC submitted that:</w:t>
      </w:r>
    </w:p>
    <w:p w14:paraId="3DB47402"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 xml:space="preserve">the Tribunal should continue to set judicial salaries in accordance with the established national framework </w:t>
      </w:r>
    </w:p>
    <w:p w14:paraId="4ED3440C"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salary of a puisne Judge of the Supreme Court of South Australia should be increased to $480,900 per annum – which would be a 2.75% increase on the current salary of a puisne Judge which has applied since 1 January 2020, and will match the annual salary of a Federal Court Judge</w:t>
      </w:r>
    </w:p>
    <w:p w14:paraId="19E6599A"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salary of the other judicial members and other officers should be increased by no less than 2.75%</w:t>
      </w:r>
    </w:p>
    <w:p w14:paraId="3508293C"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increase should operate from 1 October 2022, in order to maintain a coherent national framework. This date would be three months behind when salary increases take effect for Federal, Queensland, and Territory Judges, and around the same time as the increase for Victorian Judges</w:t>
      </w:r>
    </w:p>
    <w:p w14:paraId="1522B6CB" w14:textId="77777777" w:rsidR="0035143A" w:rsidRPr="00574916" w:rsidRDefault="0035143A" w:rsidP="009B29CF">
      <w:pPr>
        <w:pStyle w:val="ListParagraph"/>
        <w:numPr>
          <w:ilvl w:val="1"/>
          <w:numId w:val="97"/>
        </w:numPr>
        <w:spacing w:after="0"/>
        <w:ind w:left="714" w:hanging="357"/>
        <w:contextualSpacing w:val="0"/>
        <w:rPr>
          <w:szCs w:val="17"/>
        </w:rPr>
      </w:pPr>
      <w:r w:rsidRPr="00574916">
        <w:rPr>
          <w:szCs w:val="17"/>
        </w:rPr>
        <w:t>the security allowance should be reviewed in the usual way, but part-time office holders should receive the full amount of the allowance as the costs of securing their residences is the same as for full-time office holders</w:t>
      </w:r>
    </w:p>
    <w:p w14:paraId="6FCB54F9" w14:textId="77777777" w:rsidR="0035143A" w:rsidRPr="00892996" w:rsidRDefault="0035143A" w:rsidP="009B29CF">
      <w:pPr>
        <w:pStyle w:val="ListParagraph"/>
        <w:numPr>
          <w:ilvl w:val="1"/>
          <w:numId w:val="97"/>
        </w:numPr>
        <w:ind w:left="714" w:hanging="357"/>
        <w:contextualSpacing w:val="0"/>
        <w:rPr>
          <w:szCs w:val="17"/>
        </w:rPr>
      </w:pPr>
      <w:r w:rsidRPr="00574916">
        <w:rPr>
          <w:szCs w:val="17"/>
        </w:rPr>
        <w:t>the communication allowance should be increased to $1,500 per annum, as the current rate was set in 2013 and the Tribunal should have regard to cost increases since 2013.</w:t>
      </w:r>
    </w:p>
    <w:p w14:paraId="6687BC61" w14:textId="77777777" w:rsidR="0035143A" w:rsidRPr="00E52685" w:rsidRDefault="0035143A" w:rsidP="0035143A">
      <w:pPr>
        <w:jc w:val="left"/>
        <w:rPr>
          <w:b/>
          <w:bCs/>
          <w:szCs w:val="17"/>
        </w:rPr>
      </w:pPr>
      <w:r w:rsidRPr="00E52685">
        <w:rPr>
          <w:b/>
          <w:bCs/>
          <w:szCs w:val="17"/>
        </w:rPr>
        <w:t>CONSIDERATION AND CONCLUSION</w:t>
      </w:r>
    </w:p>
    <w:p w14:paraId="0052D30C" w14:textId="77777777" w:rsidR="0035143A" w:rsidRPr="00574916" w:rsidRDefault="0035143A" w:rsidP="009B29CF">
      <w:pPr>
        <w:pStyle w:val="ListParagraph"/>
        <w:numPr>
          <w:ilvl w:val="0"/>
          <w:numId w:val="97"/>
        </w:numPr>
        <w:ind w:left="357" w:hanging="357"/>
        <w:contextualSpacing w:val="0"/>
        <w:rPr>
          <w:szCs w:val="17"/>
        </w:rPr>
      </w:pPr>
      <w:r w:rsidRPr="00574916">
        <w:rPr>
          <w:szCs w:val="17"/>
        </w:rPr>
        <w:t>The Tribunal has considered the current judicial salaries across the Commonwealth and States and Territories, as set out below.</w:t>
      </w:r>
    </w:p>
    <w:tbl>
      <w:tblPr>
        <w:tblW w:w="0" w:type="auto"/>
        <w:jc w:val="center"/>
        <w:tblLook w:val="04A0" w:firstRow="1" w:lastRow="0" w:firstColumn="1" w:lastColumn="0" w:noHBand="0" w:noVBand="1"/>
      </w:tblPr>
      <w:tblGrid>
        <w:gridCol w:w="3397"/>
        <w:gridCol w:w="2781"/>
        <w:gridCol w:w="1614"/>
      </w:tblGrid>
      <w:tr w:rsidR="0035143A" w:rsidRPr="00574916" w14:paraId="6481785E" w14:textId="77777777" w:rsidTr="0012134E">
        <w:trPr>
          <w:jc w:val="center"/>
        </w:trPr>
        <w:tc>
          <w:tcPr>
            <w:tcW w:w="3397" w:type="dxa"/>
            <w:tcBorders>
              <w:top w:val="single" w:sz="4" w:space="0" w:color="auto"/>
              <w:bottom w:val="single" w:sz="4" w:space="0" w:color="auto"/>
            </w:tcBorders>
            <w:shd w:val="clear" w:color="auto" w:fill="FFFFFF" w:themeFill="background1"/>
            <w:vAlign w:val="center"/>
            <w:hideMark/>
          </w:tcPr>
          <w:p w14:paraId="047725DD" w14:textId="77777777" w:rsidR="0035143A" w:rsidRPr="00574916" w:rsidRDefault="0035143A" w:rsidP="0012134E">
            <w:pPr>
              <w:spacing w:before="40" w:after="40"/>
              <w:jc w:val="center"/>
              <w:rPr>
                <w:b/>
                <w:bCs/>
                <w:color w:val="000000"/>
                <w:szCs w:val="17"/>
                <w:lang w:eastAsia="en-AU"/>
              </w:rPr>
            </w:pPr>
            <w:r w:rsidRPr="00574916">
              <w:rPr>
                <w:b/>
                <w:bCs/>
                <w:color w:val="000000"/>
                <w:szCs w:val="17"/>
                <w:lang w:eastAsia="en-AU"/>
              </w:rPr>
              <w:t>Jurisdiction</w:t>
            </w:r>
          </w:p>
        </w:tc>
        <w:tc>
          <w:tcPr>
            <w:tcW w:w="2781" w:type="dxa"/>
            <w:tcBorders>
              <w:top w:val="single" w:sz="4" w:space="0" w:color="auto"/>
              <w:bottom w:val="single" w:sz="4" w:space="0" w:color="auto"/>
            </w:tcBorders>
            <w:shd w:val="clear" w:color="auto" w:fill="FFFFFF" w:themeFill="background1"/>
            <w:vAlign w:val="center"/>
            <w:hideMark/>
          </w:tcPr>
          <w:p w14:paraId="69F45318" w14:textId="77777777" w:rsidR="0035143A" w:rsidRPr="00574916" w:rsidRDefault="0035143A" w:rsidP="0012134E">
            <w:pPr>
              <w:spacing w:before="40" w:after="40"/>
              <w:jc w:val="center"/>
              <w:rPr>
                <w:b/>
                <w:bCs/>
                <w:color w:val="000000"/>
                <w:szCs w:val="17"/>
                <w:lang w:eastAsia="en-AU"/>
              </w:rPr>
            </w:pPr>
            <w:r w:rsidRPr="00574916">
              <w:rPr>
                <w:b/>
                <w:bCs/>
                <w:color w:val="000000"/>
                <w:szCs w:val="17"/>
                <w:lang w:eastAsia="en-AU"/>
              </w:rPr>
              <w:t>Supreme Court Judge Salary</w:t>
            </w:r>
          </w:p>
        </w:tc>
        <w:tc>
          <w:tcPr>
            <w:tcW w:w="1614" w:type="dxa"/>
            <w:tcBorders>
              <w:top w:val="single" w:sz="4" w:space="0" w:color="auto"/>
              <w:bottom w:val="single" w:sz="4" w:space="0" w:color="auto"/>
            </w:tcBorders>
            <w:shd w:val="clear" w:color="auto" w:fill="FFFFFF" w:themeFill="background1"/>
            <w:vAlign w:val="center"/>
            <w:hideMark/>
          </w:tcPr>
          <w:p w14:paraId="5D24B6B0" w14:textId="77777777" w:rsidR="0035143A" w:rsidRPr="00574916" w:rsidRDefault="0035143A" w:rsidP="0012134E">
            <w:pPr>
              <w:spacing w:before="40" w:after="40"/>
              <w:jc w:val="center"/>
              <w:rPr>
                <w:b/>
                <w:bCs/>
                <w:color w:val="000000"/>
                <w:szCs w:val="17"/>
                <w:lang w:eastAsia="en-AU"/>
              </w:rPr>
            </w:pPr>
            <w:r w:rsidRPr="00574916">
              <w:rPr>
                <w:b/>
                <w:bCs/>
                <w:color w:val="000000"/>
                <w:szCs w:val="17"/>
                <w:lang w:eastAsia="en-AU"/>
              </w:rPr>
              <w:t>Operative Date</w:t>
            </w:r>
          </w:p>
        </w:tc>
      </w:tr>
      <w:tr w:rsidR="0035143A" w:rsidRPr="00574916" w14:paraId="7FEBFEBF" w14:textId="77777777" w:rsidTr="0012134E">
        <w:trPr>
          <w:trHeight w:val="53"/>
          <w:jc w:val="center"/>
        </w:trPr>
        <w:tc>
          <w:tcPr>
            <w:tcW w:w="0" w:type="auto"/>
            <w:tcBorders>
              <w:top w:val="single" w:sz="4" w:space="0" w:color="auto"/>
            </w:tcBorders>
            <w:shd w:val="clear" w:color="auto" w:fill="auto"/>
            <w:vAlign w:val="center"/>
            <w:hideMark/>
          </w:tcPr>
          <w:p w14:paraId="55F3A6B5" w14:textId="77777777" w:rsidR="0035143A" w:rsidRPr="00574916" w:rsidRDefault="0035143A" w:rsidP="0012134E">
            <w:pPr>
              <w:spacing w:before="20" w:after="20"/>
              <w:rPr>
                <w:color w:val="000000"/>
                <w:szCs w:val="17"/>
                <w:lang w:eastAsia="en-AU"/>
              </w:rPr>
            </w:pPr>
            <w:r w:rsidRPr="00574916">
              <w:rPr>
                <w:color w:val="000000"/>
                <w:szCs w:val="17"/>
                <w:lang w:eastAsia="en-AU"/>
              </w:rPr>
              <w:t>New South Wales</w:t>
            </w:r>
          </w:p>
        </w:tc>
        <w:tc>
          <w:tcPr>
            <w:tcW w:w="0" w:type="auto"/>
            <w:tcBorders>
              <w:top w:val="single" w:sz="4" w:space="0" w:color="auto"/>
            </w:tcBorders>
            <w:shd w:val="clear" w:color="000000" w:fill="FFFFFF"/>
            <w:vAlign w:val="center"/>
            <w:hideMark/>
          </w:tcPr>
          <w:p w14:paraId="7F4F518E" w14:textId="77777777" w:rsidR="0035143A" w:rsidRPr="00574916" w:rsidRDefault="0035143A" w:rsidP="0012134E">
            <w:pPr>
              <w:spacing w:before="20" w:after="20"/>
              <w:rPr>
                <w:color w:val="000000"/>
                <w:szCs w:val="17"/>
                <w:lang w:eastAsia="en-AU"/>
              </w:rPr>
            </w:pPr>
            <w:r w:rsidRPr="00574916">
              <w:rPr>
                <w:color w:val="000000"/>
                <w:szCs w:val="17"/>
                <w:lang w:eastAsia="en-AU"/>
              </w:rPr>
              <w:t>$497,580</w:t>
            </w:r>
          </w:p>
        </w:tc>
        <w:tc>
          <w:tcPr>
            <w:tcW w:w="0" w:type="auto"/>
            <w:tcBorders>
              <w:top w:val="single" w:sz="4" w:space="0" w:color="auto"/>
            </w:tcBorders>
            <w:shd w:val="clear" w:color="000000" w:fill="FFFFFF"/>
            <w:vAlign w:val="center"/>
            <w:hideMark/>
          </w:tcPr>
          <w:p w14:paraId="20F8B2B1" w14:textId="77777777" w:rsidR="0035143A" w:rsidRPr="00574916" w:rsidRDefault="0035143A" w:rsidP="0012134E">
            <w:pPr>
              <w:spacing w:before="20" w:after="20"/>
              <w:rPr>
                <w:color w:val="000000"/>
                <w:szCs w:val="17"/>
                <w:lang w:eastAsia="en-AU"/>
              </w:rPr>
            </w:pPr>
            <w:r w:rsidRPr="00574916">
              <w:rPr>
                <w:color w:val="000000"/>
                <w:szCs w:val="17"/>
                <w:lang w:eastAsia="en-AU"/>
              </w:rPr>
              <w:t xml:space="preserve">1 July 2022 </w:t>
            </w:r>
          </w:p>
        </w:tc>
      </w:tr>
      <w:tr w:rsidR="0035143A" w:rsidRPr="00574916" w14:paraId="2BAA05C9" w14:textId="77777777" w:rsidTr="0012134E">
        <w:trPr>
          <w:trHeight w:val="20"/>
          <w:jc w:val="center"/>
        </w:trPr>
        <w:tc>
          <w:tcPr>
            <w:tcW w:w="0" w:type="auto"/>
            <w:shd w:val="clear" w:color="auto" w:fill="auto"/>
            <w:vAlign w:val="center"/>
          </w:tcPr>
          <w:p w14:paraId="1B98EC69" w14:textId="77777777" w:rsidR="0035143A" w:rsidRPr="00574916" w:rsidRDefault="0035143A" w:rsidP="0012134E">
            <w:pPr>
              <w:spacing w:before="20" w:after="20"/>
              <w:rPr>
                <w:color w:val="000000"/>
                <w:szCs w:val="17"/>
                <w:lang w:eastAsia="en-AU"/>
              </w:rPr>
            </w:pPr>
            <w:r w:rsidRPr="00574916">
              <w:rPr>
                <w:color w:val="000000"/>
                <w:szCs w:val="17"/>
                <w:lang w:eastAsia="en-AU"/>
              </w:rPr>
              <w:t>Commonwealth (Federal Court Judge used)</w:t>
            </w:r>
          </w:p>
        </w:tc>
        <w:tc>
          <w:tcPr>
            <w:tcW w:w="0" w:type="auto"/>
            <w:shd w:val="clear" w:color="000000" w:fill="FFFFFF"/>
            <w:vAlign w:val="center"/>
          </w:tcPr>
          <w:p w14:paraId="54B237E8" w14:textId="77777777" w:rsidR="0035143A" w:rsidRPr="00574916" w:rsidRDefault="0035143A" w:rsidP="0012134E">
            <w:pPr>
              <w:spacing w:before="20" w:after="20"/>
              <w:rPr>
                <w:color w:val="000000"/>
                <w:szCs w:val="17"/>
                <w:lang w:eastAsia="en-AU"/>
              </w:rPr>
            </w:pPr>
            <w:r w:rsidRPr="00574916">
              <w:rPr>
                <w:color w:val="000000"/>
                <w:szCs w:val="17"/>
                <w:lang w:eastAsia="en-AU"/>
              </w:rPr>
              <w:t>$480,900</w:t>
            </w:r>
          </w:p>
        </w:tc>
        <w:tc>
          <w:tcPr>
            <w:tcW w:w="0" w:type="auto"/>
            <w:shd w:val="clear" w:color="000000" w:fill="FFFFFF"/>
            <w:vAlign w:val="center"/>
          </w:tcPr>
          <w:p w14:paraId="5417AF39" w14:textId="77777777" w:rsidR="0035143A" w:rsidRPr="00574916" w:rsidRDefault="0035143A" w:rsidP="0012134E">
            <w:pPr>
              <w:spacing w:before="20" w:after="20"/>
              <w:rPr>
                <w:color w:val="000000"/>
                <w:szCs w:val="17"/>
                <w:lang w:eastAsia="en-AU"/>
              </w:rPr>
            </w:pPr>
            <w:r w:rsidRPr="00574916">
              <w:rPr>
                <w:color w:val="000000"/>
                <w:szCs w:val="17"/>
                <w:lang w:eastAsia="en-AU"/>
              </w:rPr>
              <w:t>1 July 2022</w:t>
            </w:r>
          </w:p>
        </w:tc>
      </w:tr>
      <w:tr w:rsidR="0035143A" w:rsidRPr="00574916" w14:paraId="6B90941A" w14:textId="77777777" w:rsidTr="0012134E">
        <w:trPr>
          <w:trHeight w:val="53"/>
          <w:jc w:val="center"/>
        </w:trPr>
        <w:tc>
          <w:tcPr>
            <w:tcW w:w="0" w:type="auto"/>
            <w:shd w:val="clear" w:color="auto" w:fill="auto"/>
            <w:vAlign w:val="center"/>
            <w:hideMark/>
          </w:tcPr>
          <w:p w14:paraId="34ACAEF6" w14:textId="77777777" w:rsidR="0035143A" w:rsidRPr="00574916" w:rsidRDefault="0035143A" w:rsidP="0012134E">
            <w:pPr>
              <w:spacing w:before="20" w:after="20"/>
              <w:rPr>
                <w:color w:val="000000"/>
                <w:szCs w:val="17"/>
                <w:lang w:eastAsia="en-AU"/>
              </w:rPr>
            </w:pPr>
            <w:r w:rsidRPr="00574916">
              <w:rPr>
                <w:color w:val="000000"/>
                <w:szCs w:val="17"/>
                <w:lang w:eastAsia="en-AU"/>
              </w:rPr>
              <w:t>Northern Territory</w:t>
            </w:r>
          </w:p>
        </w:tc>
        <w:tc>
          <w:tcPr>
            <w:tcW w:w="0" w:type="auto"/>
            <w:shd w:val="clear" w:color="000000" w:fill="FFFFFF"/>
            <w:vAlign w:val="center"/>
          </w:tcPr>
          <w:p w14:paraId="5FC0DD05" w14:textId="77777777" w:rsidR="0035143A" w:rsidRPr="00574916" w:rsidRDefault="0035143A" w:rsidP="0012134E">
            <w:pPr>
              <w:spacing w:before="20" w:after="20"/>
              <w:rPr>
                <w:color w:val="000000"/>
                <w:szCs w:val="17"/>
                <w:lang w:eastAsia="en-AU"/>
              </w:rPr>
            </w:pPr>
            <w:r w:rsidRPr="00574916">
              <w:rPr>
                <w:color w:val="000000"/>
                <w:szCs w:val="17"/>
                <w:lang w:eastAsia="en-AU"/>
              </w:rPr>
              <w:t>$480,900</w:t>
            </w:r>
          </w:p>
        </w:tc>
        <w:tc>
          <w:tcPr>
            <w:tcW w:w="0" w:type="auto"/>
            <w:shd w:val="clear" w:color="000000" w:fill="FFFFFF"/>
            <w:vAlign w:val="center"/>
          </w:tcPr>
          <w:p w14:paraId="04EBF7DD" w14:textId="77777777" w:rsidR="0035143A" w:rsidRPr="00574916" w:rsidRDefault="0035143A" w:rsidP="0012134E">
            <w:pPr>
              <w:spacing w:before="20" w:after="20"/>
              <w:rPr>
                <w:color w:val="000000"/>
                <w:szCs w:val="17"/>
                <w:lang w:eastAsia="en-AU"/>
              </w:rPr>
            </w:pPr>
            <w:r w:rsidRPr="00574916">
              <w:rPr>
                <w:color w:val="000000"/>
                <w:szCs w:val="17"/>
                <w:lang w:eastAsia="en-AU"/>
              </w:rPr>
              <w:t>1 July 2022</w:t>
            </w:r>
          </w:p>
        </w:tc>
      </w:tr>
      <w:tr w:rsidR="0035143A" w:rsidRPr="00574916" w14:paraId="656C210F" w14:textId="77777777" w:rsidTr="0012134E">
        <w:trPr>
          <w:trHeight w:val="53"/>
          <w:jc w:val="center"/>
        </w:trPr>
        <w:tc>
          <w:tcPr>
            <w:tcW w:w="0" w:type="auto"/>
            <w:shd w:val="clear" w:color="auto" w:fill="auto"/>
            <w:vAlign w:val="center"/>
          </w:tcPr>
          <w:p w14:paraId="248E99D7" w14:textId="77777777" w:rsidR="0035143A" w:rsidRPr="00574916" w:rsidRDefault="0035143A" w:rsidP="0012134E">
            <w:pPr>
              <w:spacing w:before="20" w:after="20"/>
              <w:rPr>
                <w:color w:val="000000"/>
                <w:szCs w:val="17"/>
                <w:lang w:eastAsia="en-AU"/>
              </w:rPr>
            </w:pPr>
            <w:r w:rsidRPr="00574916">
              <w:rPr>
                <w:color w:val="000000"/>
                <w:szCs w:val="17"/>
                <w:lang w:eastAsia="en-AU"/>
              </w:rPr>
              <w:t>Australian Capital Territory ±</w:t>
            </w:r>
          </w:p>
        </w:tc>
        <w:tc>
          <w:tcPr>
            <w:tcW w:w="0" w:type="auto"/>
            <w:shd w:val="clear" w:color="auto" w:fill="auto"/>
            <w:vAlign w:val="center"/>
          </w:tcPr>
          <w:p w14:paraId="0DB09245" w14:textId="77777777" w:rsidR="0035143A" w:rsidRPr="00574916" w:rsidRDefault="0035143A" w:rsidP="0012134E">
            <w:pPr>
              <w:spacing w:before="20" w:after="20"/>
              <w:rPr>
                <w:color w:val="000000"/>
                <w:szCs w:val="17"/>
                <w:lang w:eastAsia="en-AU"/>
              </w:rPr>
            </w:pPr>
            <w:r w:rsidRPr="00574916">
              <w:rPr>
                <w:color w:val="000000"/>
                <w:szCs w:val="17"/>
                <w:lang w:eastAsia="en-AU"/>
              </w:rPr>
              <w:t>$480,900</w:t>
            </w:r>
          </w:p>
        </w:tc>
        <w:tc>
          <w:tcPr>
            <w:tcW w:w="0" w:type="auto"/>
            <w:shd w:val="clear" w:color="000000" w:fill="FFFFFF"/>
            <w:vAlign w:val="center"/>
          </w:tcPr>
          <w:p w14:paraId="49E80748" w14:textId="77777777" w:rsidR="0035143A" w:rsidRPr="00574916" w:rsidRDefault="0035143A" w:rsidP="0012134E">
            <w:pPr>
              <w:spacing w:before="20" w:after="20"/>
              <w:rPr>
                <w:color w:val="000000"/>
                <w:szCs w:val="17"/>
                <w:lang w:eastAsia="en-AU"/>
              </w:rPr>
            </w:pPr>
            <w:r w:rsidRPr="00574916">
              <w:rPr>
                <w:color w:val="000000"/>
                <w:szCs w:val="17"/>
                <w:lang w:eastAsia="en-AU"/>
              </w:rPr>
              <w:t>1 July 2022</w:t>
            </w:r>
          </w:p>
        </w:tc>
      </w:tr>
      <w:tr w:rsidR="0035143A" w:rsidRPr="00574916" w14:paraId="6B12D9A2" w14:textId="77777777" w:rsidTr="0012134E">
        <w:trPr>
          <w:trHeight w:val="20"/>
          <w:jc w:val="center"/>
        </w:trPr>
        <w:tc>
          <w:tcPr>
            <w:tcW w:w="0" w:type="auto"/>
            <w:shd w:val="clear" w:color="auto" w:fill="auto"/>
            <w:vAlign w:val="center"/>
            <w:hideMark/>
          </w:tcPr>
          <w:p w14:paraId="003D165E" w14:textId="77777777" w:rsidR="0035143A" w:rsidRPr="00574916" w:rsidRDefault="0035143A" w:rsidP="0012134E">
            <w:pPr>
              <w:spacing w:before="20" w:after="20"/>
              <w:rPr>
                <w:color w:val="000000"/>
                <w:szCs w:val="17"/>
                <w:lang w:eastAsia="en-AU"/>
              </w:rPr>
            </w:pPr>
            <w:r w:rsidRPr="00574916">
              <w:rPr>
                <w:color w:val="000000"/>
                <w:szCs w:val="17"/>
                <w:lang w:eastAsia="en-AU"/>
              </w:rPr>
              <w:t>Victoria ±</w:t>
            </w:r>
          </w:p>
        </w:tc>
        <w:tc>
          <w:tcPr>
            <w:tcW w:w="0" w:type="auto"/>
            <w:shd w:val="clear" w:color="auto" w:fill="auto"/>
            <w:vAlign w:val="center"/>
            <w:hideMark/>
          </w:tcPr>
          <w:p w14:paraId="428FC66D" w14:textId="77777777" w:rsidR="0035143A" w:rsidRPr="00574916" w:rsidRDefault="0035143A" w:rsidP="0012134E">
            <w:pPr>
              <w:spacing w:before="20" w:after="20"/>
              <w:rPr>
                <w:color w:val="000000"/>
                <w:szCs w:val="17"/>
                <w:lang w:eastAsia="en-AU"/>
              </w:rPr>
            </w:pPr>
            <w:r w:rsidRPr="00574916">
              <w:rPr>
                <w:color w:val="000000"/>
                <w:szCs w:val="17"/>
                <w:lang w:eastAsia="en-AU"/>
              </w:rPr>
              <w:t>$480,900</w:t>
            </w:r>
          </w:p>
        </w:tc>
        <w:tc>
          <w:tcPr>
            <w:tcW w:w="0" w:type="auto"/>
            <w:shd w:val="clear" w:color="000000" w:fill="FFFFFF"/>
            <w:vAlign w:val="center"/>
            <w:hideMark/>
          </w:tcPr>
          <w:p w14:paraId="20BC18DF" w14:textId="77777777" w:rsidR="0035143A" w:rsidRPr="00574916" w:rsidRDefault="0035143A" w:rsidP="0012134E">
            <w:pPr>
              <w:spacing w:before="20" w:after="20"/>
              <w:rPr>
                <w:color w:val="000000"/>
                <w:szCs w:val="17"/>
                <w:lang w:eastAsia="en-AU"/>
              </w:rPr>
            </w:pPr>
            <w:r w:rsidRPr="00574916">
              <w:rPr>
                <w:color w:val="000000"/>
                <w:szCs w:val="17"/>
                <w:lang w:eastAsia="en-AU"/>
              </w:rPr>
              <w:t>Date to be fixed</w:t>
            </w:r>
          </w:p>
        </w:tc>
      </w:tr>
      <w:tr w:rsidR="0035143A" w:rsidRPr="00574916" w14:paraId="7B850B3E" w14:textId="77777777" w:rsidTr="0012134E">
        <w:trPr>
          <w:trHeight w:val="20"/>
          <w:jc w:val="center"/>
        </w:trPr>
        <w:tc>
          <w:tcPr>
            <w:tcW w:w="0" w:type="auto"/>
            <w:shd w:val="clear" w:color="auto" w:fill="auto"/>
            <w:vAlign w:val="center"/>
            <w:hideMark/>
          </w:tcPr>
          <w:p w14:paraId="4D3405A6" w14:textId="77777777" w:rsidR="0035143A" w:rsidRPr="00574916" w:rsidRDefault="0035143A" w:rsidP="0012134E">
            <w:pPr>
              <w:spacing w:before="20" w:after="20"/>
              <w:rPr>
                <w:color w:val="000000"/>
                <w:szCs w:val="17"/>
                <w:lang w:eastAsia="en-AU"/>
              </w:rPr>
            </w:pPr>
            <w:r w:rsidRPr="00574916">
              <w:rPr>
                <w:color w:val="000000"/>
                <w:szCs w:val="17"/>
                <w:lang w:eastAsia="en-AU"/>
              </w:rPr>
              <w:t>Queensland ±</w:t>
            </w:r>
          </w:p>
        </w:tc>
        <w:tc>
          <w:tcPr>
            <w:tcW w:w="0" w:type="auto"/>
            <w:shd w:val="clear" w:color="auto" w:fill="auto"/>
            <w:vAlign w:val="center"/>
            <w:hideMark/>
          </w:tcPr>
          <w:p w14:paraId="5FC99D6D" w14:textId="77777777" w:rsidR="0035143A" w:rsidRPr="00574916" w:rsidRDefault="0035143A" w:rsidP="0012134E">
            <w:pPr>
              <w:spacing w:before="20" w:after="20"/>
              <w:rPr>
                <w:color w:val="000000"/>
                <w:szCs w:val="17"/>
                <w:lang w:eastAsia="en-AU"/>
              </w:rPr>
            </w:pPr>
            <w:r w:rsidRPr="00574916">
              <w:rPr>
                <w:color w:val="000000"/>
                <w:szCs w:val="17"/>
                <w:lang w:eastAsia="en-AU"/>
              </w:rPr>
              <w:t>$480,900</w:t>
            </w:r>
          </w:p>
        </w:tc>
        <w:tc>
          <w:tcPr>
            <w:tcW w:w="0" w:type="auto"/>
            <w:shd w:val="clear" w:color="000000" w:fill="FFFFFF"/>
            <w:vAlign w:val="center"/>
            <w:hideMark/>
          </w:tcPr>
          <w:p w14:paraId="54A93C8F" w14:textId="77777777" w:rsidR="0035143A" w:rsidRPr="00574916" w:rsidRDefault="0035143A" w:rsidP="0012134E">
            <w:pPr>
              <w:spacing w:before="20" w:after="20"/>
              <w:rPr>
                <w:color w:val="000000"/>
                <w:szCs w:val="17"/>
                <w:lang w:eastAsia="en-AU"/>
              </w:rPr>
            </w:pPr>
            <w:r w:rsidRPr="00574916">
              <w:rPr>
                <w:color w:val="000000"/>
                <w:szCs w:val="17"/>
                <w:lang w:eastAsia="en-AU"/>
              </w:rPr>
              <w:t>1 July 2022</w:t>
            </w:r>
          </w:p>
        </w:tc>
      </w:tr>
      <w:tr w:rsidR="0035143A" w:rsidRPr="00574916" w14:paraId="5D8FD48B" w14:textId="77777777" w:rsidTr="0012134E">
        <w:trPr>
          <w:trHeight w:val="20"/>
          <w:jc w:val="center"/>
        </w:trPr>
        <w:tc>
          <w:tcPr>
            <w:tcW w:w="0" w:type="auto"/>
            <w:shd w:val="clear" w:color="auto" w:fill="auto"/>
            <w:vAlign w:val="center"/>
            <w:hideMark/>
          </w:tcPr>
          <w:p w14:paraId="3A0D4CCC" w14:textId="77777777" w:rsidR="0035143A" w:rsidRPr="00574916" w:rsidRDefault="0035143A" w:rsidP="0012134E">
            <w:pPr>
              <w:spacing w:before="20" w:after="20"/>
              <w:rPr>
                <w:color w:val="000000"/>
                <w:szCs w:val="17"/>
                <w:lang w:eastAsia="en-AU"/>
              </w:rPr>
            </w:pPr>
            <w:r w:rsidRPr="00574916">
              <w:rPr>
                <w:color w:val="000000"/>
                <w:szCs w:val="17"/>
                <w:lang w:eastAsia="en-AU"/>
              </w:rPr>
              <w:t>Tasmania §</w:t>
            </w:r>
          </w:p>
        </w:tc>
        <w:tc>
          <w:tcPr>
            <w:tcW w:w="0" w:type="auto"/>
            <w:shd w:val="clear" w:color="auto" w:fill="auto"/>
            <w:vAlign w:val="center"/>
            <w:hideMark/>
          </w:tcPr>
          <w:p w14:paraId="2B4810F1" w14:textId="77777777" w:rsidR="0035143A" w:rsidRPr="00574916" w:rsidRDefault="0035143A" w:rsidP="0012134E">
            <w:pPr>
              <w:spacing w:before="20" w:after="20"/>
              <w:rPr>
                <w:color w:val="000000"/>
                <w:szCs w:val="17"/>
                <w:lang w:eastAsia="en-AU"/>
              </w:rPr>
            </w:pPr>
            <w:r w:rsidRPr="00574916">
              <w:rPr>
                <w:color w:val="000000"/>
                <w:szCs w:val="17"/>
                <w:lang w:eastAsia="en-AU"/>
              </w:rPr>
              <w:t>$471,485</w:t>
            </w:r>
          </w:p>
        </w:tc>
        <w:tc>
          <w:tcPr>
            <w:tcW w:w="0" w:type="auto"/>
            <w:shd w:val="clear" w:color="000000" w:fill="FFFFFF"/>
            <w:vAlign w:val="center"/>
            <w:hideMark/>
          </w:tcPr>
          <w:p w14:paraId="06BEB76F" w14:textId="77777777" w:rsidR="0035143A" w:rsidRPr="00574916" w:rsidRDefault="0035143A" w:rsidP="0012134E">
            <w:pPr>
              <w:spacing w:before="20" w:after="20"/>
              <w:rPr>
                <w:color w:val="000000"/>
                <w:szCs w:val="17"/>
                <w:lang w:eastAsia="en-AU"/>
              </w:rPr>
            </w:pPr>
            <w:r w:rsidRPr="00574916">
              <w:rPr>
                <w:color w:val="000000"/>
                <w:szCs w:val="17"/>
                <w:lang w:eastAsia="en-AU"/>
              </w:rPr>
              <w:t>1 July 2022</w:t>
            </w:r>
          </w:p>
        </w:tc>
      </w:tr>
      <w:tr w:rsidR="0035143A" w:rsidRPr="00574916" w14:paraId="634D3161" w14:textId="77777777" w:rsidTr="0012134E">
        <w:trPr>
          <w:trHeight w:val="20"/>
          <w:jc w:val="center"/>
        </w:trPr>
        <w:tc>
          <w:tcPr>
            <w:tcW w:w="0" w:type="auto"/>
            <w:shd w:val="clear" w:color="auto" w:fill="auto"/>
            <w:vAlign w:val="center"/>
            <w:hideMark/>
          </w:tcPr>
          <w:p w14:paraId="71D9D3AD" w14:textId="77777777" w:rsidR="0035143A" w:rsidRPr="00574916" w:rsidRDefault="0035143A" w:rsidP="0012134E">
            <w:pPr>
              <w:spacing w:before="20" w:after="20"/>
              <w:rPr>
                <w:color w:val="000000"/>
                <w:szCs w:val="17"/>
                <w:lang w:eastAsia="en-AU"/>
              </w:rPr>
            </w:pPr>
            <w:r w:rsidRPr="00574916">
              <w:rPr>
                <w:color w:val="000000"/>
                <w:szCs w:val="17"/>
                <w:lang w:eastAsia="en-AU"/>
              </w:rPr>
              <w:t xml:space="preserve">Western Australia </w:t>
            </w:r>
          </w:p>
        </w:tc>
        <w:tc>
          <w:tcPr>
            <w:tcW w:w="0" w:type="auto"/>
            <w:shd w:val="clear" w:color="auto" w:fill="auto"/>
            <w:vAlign w:val="center"/>
            <w:hideMark/>
          </w:tcPr>
          <w:p w14:paraId="4C9A855D" w14:textId="77777777" w:rsidR="0035143A" w:rsidRPr="00574916" w:rsidRDefault="0035143A" w:rsidP="0012134E">
            <w:pPr>
              <w:spacing w:before="20" w:after="20"/>
              <w:rPr>
                <w:color w:val="000000"/>
                <w:szCs w:val="17"/>
                <w:lang w:eastAsia="en-AU"/>
              </w:rPr>
            </w:pPr>
            <w:r w:rsidRPr="00574916">
              <w:rPr>
                <w:color w:val="000000"/>
                <w:szCs w:val="17"/>
                <w:lang w:eastAsia="en-AU"/>
              </w:rPr>
              <w:t>$454,214</w:t>
            </w:r>
          </w:p>
        </w:tc>
        <w:tc>
          <w:tcPr>
            <w:tcW w:w="0" w:type="auto"/>
            <w:shd w:val="clear" w:color="000000" w:fill="FFFFFF"/>
            <w:vAlign w:val="center"/>
            <w:hideMark/>
          </w:tcPr>
          <w:p w14:paraId="5EFB21D1" w14:textId="77777777" w:rsidR="0035143A" w:rsidRPr="00574916" w:rsidRDefault="0035143A" w:rsidP="0012134E">
            <w:pPr>
              <w:spacing w:before="20" w:after="20"/>
              <w:rPr>
                <w:color w:val="000000"/>
                <w:szCs w:val="17"/>
                <w:lang w:eastAsia="en-AU"/>
              </w:rPr>
            </w:pPr>
            <w:r w:rsidRPr="00574916">
              <w:rPr>
                <w:color w:val="000000"/>
                <w:szCs w:val="17"/>
                <w:lang w:eastAsia="en-AU"/>
              </w:rPr>
              <w:t>1 January 2022</w:t>
            </w:r>
          </w:p>
        </w:tc>
      </w:tr>
      <w:tr w:rsidR="0035143A" w:rsidRPr="00574916" w14:paraId="127A3227" w14:textId="77777777" w:rsidTr="0012134E">
        <w:trPr>
          <w:trHeight w:val="20"/>
          <w:jc w:val="center"/>
        </w:trPr>
        <w:tc>
          <w:tcPr>
            <w:tcW w:w="0" w:type="auto"/>
            <w:tcBorders>
              <w:bottom w:val="single" w:sz="4" w:space="0" w:color="auto"/>
            </w:tcBorders>
            <w:shd w:val="clear" w:color="auto" w:fill="auto"/>
            <w:vAlign w:val="center"/>
            <w:hideMark/>
          </w:tcPr>
          <w:p w14:paraId="236C4A01" w14:textId="77777777" w:rsidR="0035143A" w:rsidRPr="00574916" w:rsidRDefault="0035143A" w:rsidP="0012134E">
            <w:pPr>
              <w:spacing w:before="20" w:after="20"/>
              <w:rPr>
                <w:color w:val="000000"/>
                <w:szCs w:val="17"/>
                <w:lang w:eastAsia="en-AU"/>
              </w:rPr>
            </w:pPr>
            <w:r w:rsidRPr="00574916">
              <w:rPr>
                <w:color w:val="000000"/>
                <w:szCs w:val="17"/>
                <w:lang w:eastAsia="en-AU"/>
              </w:rPr>
              <w:t>SA (salary prior to this Determination)</w:t>
            </w:r>
          </w:p>
        </w:tc>
        <w:tc>
          <w:tcPr>
            <w:tcW w:w="0" w:type="auto"/>
            <w:tcBorders>
              <w:bottom w:val="single" w:sz="4" w:space="0" w:color="auto"/>
            </w:tcBorders>
            <w:shd w:val="clear" w:color="000000" w:fill="FFFFFF"/>
            <w:vAlign w:val="center"/>
            <w:hideMark/>
          </w:tcPr>
          <w:p w14:paraId="0C5FD432" w14:textId="77777777" w:rsidR="0035143A" w:rsidRPr="00574916" w:rsidRDefault="0035143A" w:rsidP="0012134E">
            <w:pPr>
              <w:spacing w:before="20" w:after="20"/>
              <w:rPr>
                <w:color w:val="000000"/>
                <w:szCs w:val="17"/>
                <w:lang w:eastAsia="en-AU"/>
              </w:rPr>
            </w:pPr>
            <w:r w:rsidRPr="00574916">
              <w:rPr>
                <w:color w:val="000000"/>
                <w:szCs w:val="17"/>
                <w:lang w:eastAsia="en-AU"/>
              </w:rPr>
              <w:t>$468,020</w:t>
            </w:r>
          </w:p>
        </w:tc>
        <w:tc>
          <w:tcPr>
            <w:tcW w:w="0" w:type="auto"/>
            <w:tcBorders>
              <w:bottom w:val="single" w:sz="4" w:space="0" w:color="auto"/>
            </w:tcBorders>
            <w:shd w:val="clear" w:color="000000" w:fill="FFFFFF"/>
            <w:vAlign w:val="center"/>
            <w:hideMark/>
          </w:tcPr>
          <w:p w14:paraId="535C2EBF" w14:textId="77777777" w:rsidR="0035143A" w:rsidRPr="00574916" w:rsidRDefault="0035143A" w:rsidP="0012134E">
            <w:pPr>
              <w:spacing w:before="20" w:after="20"/>
              <w:rPr>
                <w:color w:val="000000"/>
                <w:szCs w:val="17"/>
                <w:lang w:eastAsia="en-AU"/>
              </w:rPr>
            </w:pPr>
            <w:r w:rsidRPr="00574916">
              <w:rPr>
                <w:color w:val="000000"/>
                <w:szCs w:val="17"/>
                <w:lang w:eastAsia="en-AU"/>
              </w:rPr>
              <w:t>1 January 2022</w:t>
            </w:r>
          </w:p>
        </w:tc>
      </w:tr>
    </w:tbl>
    <w:p w14:paraId="74E2B0B2" w14:textId="77777777" w:rsidR="0035143A" w:rsidRPr="00574916" w:rsidRDefault="0035143A" w:rsidP="0035143A">
      <w:pPr>
        <w:pStyle w:val="ListParagraph"/>
        <w:ind w:hanging="153"/>
        <w:rPr>
          <w:color w:val="000000"/>
          <w:szCs w:val="17"/>
          <w:lang w:eastAsia="en-AU"/>
        </w:rPr>
      </w:pPr>
      <w:r w:rsidRPr="00574916">
        <w:rPr>
          <w:color w:val="000000"/>
          <w:szCs w:val="17"/>
          <w:lang w:eastAsia="en-AU"/>
        </w:rPr>
        <w:lastRenderedPageBreak/>
        <w:t xml:space="preserve">± These salaries are directly linked by legislation to the salary of a Federal Court Judge, under section 37U of the </w:t>
      </w:r>
      <w:r w:rsidRPr="00574916">
        <w:rPr>
          <w:i/>
          <w:iCs/>
          <w:color w:val="000000"/>
          <w:szCs w:val="17"/>
          <w:lang w:eastAsia="en-AU"/>
        </w:rPr>
        <w:t xml:space="preserve">Supreme Court Act 1933 </w:t>
      </w:r>
      <w:r w:rsidRPr="00574916">
        <w:rPr>
          <w:color w:val="000000"/>
          <w:szCs w:val="17"/>
          <w:lang w:eastAsia="en-AU"/>
        </w:rPr>
        <w:t xml:space="preserve">(ACT), section 5 of the </w:t>
      </w:r>
      <w:r w:rsidRPr="00574916">
        <w:rPr>
          <w:i/>
          <w:iCs/>
          <w:color w:val="000000"/>
          <w:szCs w:val="17"/>
          <w:lang w:eastAsia="en-AU"/>
        </w:rPr>
        <w:t xml:space="preserve">Judicial Entitlements Act 2015 </w:t>
      </w:r>
      <w:r w:rsidRPr="00574916">
        <w:rPr>
          <w:color w:val="000000"/>
          <w:szCs w:val="17"/>
          <w:lang w:eastAsia="en-AU"/>
        </w:rPr>
        <w:t xml:space="preserve">(Vic) and section 5 of the </w:t>
      </w:r>
      <w:r w:rsidRPr="00574916">
        <w:rPr>
          <w:i/>
          <w:iCs/>
          <w:color w:val="000000"/>
          <w:szCs w:val="17"/>
          <w:lang w:eastAsia="en-AU"/>
        </w:rPr>
        <w:t xml:space="preserve">Judicial Remuneration Act 2007 </w:t>
      </w:r>
      <w:r w:rsidRPr="00574916">
        <w:rPr>
          <w:color w:val="000000"/>
          <w:szCs w:val="17"/>
          <w:lang w:eastAsia="en-AU"/>
        </w:rPr>
        <w:t xml:space="preserve">(Qld). The effective date of the increase for Victoria is yet to be fixed in accordance with the Victorian Act. </w:t>
      </w:r>
    </w:p>
    <w:p w14:paraId="37A19526" w14:textId="77777777" w:rsidR="0035143A" w:rsidRPr="00574916" w:rsidRDefault="0035143A" w:rsidP="0035143A">
      <w:pPr>
        <w:pStyle w:val="ListParagraph"/>
        <w:ind w:hanging="153"/>
        <w:rPr>
          <w:szCs w:val="17"/>
        </w:rPr>
      </w:pPr>
      <w:r w:rsidRPr="00574916">
        <w:rPr>
          <w:color w:val="000000"/>
          <w:szCs w:val="17"/>
          <w:lang w:eastAsia="en-AU"/>
        </w:rPr>
        <w:t xml:space="preserve">§ This salary is set by a statutory formula under section 7 of the </w:t>
      </w:r>
      <w:r w:rsidRPr="00574916">
        <w:rPr>
          <w:i/>
          <w:iCs/>
          <w:color w:val="000000"/>
          <w:szCs w:val="17"/>
          <w:lang w:eastAsia="en-AU"/>
        </w:rPr>
        <w:t>Supreme Court Act 1887</w:t>
      </w:r>
      <w:r w:rsidRPr="00574916">
        <w:rPr>
          <w:color w:val="000000"/>
          <w:szCs w:val="17"/>
          <w:lang w:eastAsia="en-AU"/>
        </w:rPr>
        <w:t xml:space="preserve"> (Vic), being 90% of the average of the salaries of the Chief Justices of South Australia and Western Australia.</w:t>
      </w:r>
    </w:p>
    <w:p w14:paraId="4CE3AFA4" w14:textId="77777777" w:rsidR="0035143A" w:rsidRPr="00574916" w:rsidRDefault="0035143A" w:rsidP="009B29CF">
      <w:pPr>
        <w:pStyle w:val="ListParagraph"/>
        <w:numPr>
          <w:ilvl w:val="0"/>
          <w:numId w:val="97"/>
        </w:numPr>
        <w:contextualSpacing w:val="0"/>
        <w:rPr>
          <w:szCs w:val="17"/>
        </w:rPr>
      </w:pPr>
      <w:r w:rsidRPr="00574916">
        <w:rPr>
          <w:szCs w:val="17"/>
        </w:rPr>
        <w:t xml:space="preserve">The Tribunal has had regard to the principles, guidelines, conditions, practices and procedures adopted by the South Australian Employment Tribunal under Part 4 of the </w:t>
      </w:r>
      <w:r w:rsidRPr="00574916">
        <w:rPr>
          <w:i/>
          <w:iCs/>
          <w:szCs w:val="17"/>
        </w:rPr>
        <w:t>Fair Work Act 2009</w:t>
      </w:r>
      <w:r w:rsidRPr="00574916">
        <w:rPr>
          <w:szCs w:val="17"/>
        </w:rPr>
        <w:t xml:space="preserve">, as required by section 101 of that Act. </w:t>
      </w:r>
    </w:p>
    <w:p w14:paraId="55D60270" w14:textId="77777777" w:rsidR="0035143A" w:rsidRPr="00574916" w:rsidRDefault="0035143A" w:rsidP="009B29CF">
      <w:pPr>
        <w:pStyle w:val="ListParagraph"/>
        <w:numPr>
          <w:ilvl w:val="0"/>
          <w:numId w:val="97"/>
        </w:numPr>
        <w:contextualSpacing w:val="0"/>
        <w:rPr>
          <w:szCs w:val="17"/>
        </w:rPr>
      </w:pPr>
      <w:r w:rsidRPr="00574916">
        <w:rPr>
          <w:szCs w:val="17"/>
        </w:rPr>
        <w:t>The Tribunal has taken the following economic data into account:</w:t>
      </w:r>
    </w:p>
    <w:p w14:paraId="0E28770E" w14:textId="77777777" w:rsidR="0035143A" w:rsidRPr="00574916" w:rsidRDefault="0035143A" w:rsidP="009B29CF">
      <w:pPr>
        <w:pStyle w:val="ListParagraph"/>
        <w:numPr>
          <w:ilvl w:val="1"/>
          <w:numId w:val="97"/>
        </w:numPr>
        <w:contextualSpacing w:val="0"/>
        <w:rPr>
          <w:szCs w:val="17"/>
        </w:rPr>
      </w:pPr>
      <w:r w:rsidRPr="00574916">
        <w:rPr>
          <w:szCs w:val="17"/>
        </w:rPr>
        <w:t xml:space="preserve">The Consumer Price Index (All groups Adelaide) shows the following  percentage changes from the corresponding quarters of previous years: </w:t>
      </w:r>
    </w:p>
    <w:p w14:paraId="416C0AEF"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3.3% for December 2021 </w:t>
      </w:r>
    </w:p>
    <w:p w14:paraId="68EC4B2A"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4.7% for March 2022</w:t>
      </w:r>
    </w:p>
    <w:p w14:paraId="4C0C6A04"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6.4% for June 2022 </w:t>
      </w:r>
    </w:p>
    <w:p w14:paraId="134BFA8A" w14:textId="77777777" w:rsidR="0035143A" w:rsidRPr="00574916" w:rsidRDefault="0035143A" w:rsidP="009B29CF">
      <w:pPr>
        <w:pStyle w:val="ListParagraph"/>
        <w:numPr>
          <w:ilvl w:val="2"/>
          <w:numId w:val="97"/>
        </w:numPr>
        <w:contextualSpacing w:val="0"/>
        <w:rPr>
          <w:szCs w:val="17"/>
        </w:rPr>
      </w:pPr>
      <w:r w:rsidRPr="00574916">
        <w:rPr>
          <w:szCs w:val="17"/>
        </w:rPr>
        <w:t>8.4% for September 2022.</w:t>
      </w:r>
    </w:p>
    <w:p w14:paraId="64D746DD" w14:textId="77777777" w:rsidR="0035143A" w:rsidRPr="00574916" w:rsidRDefault="0035143A" w:rsidP="009B29CF">
      <w:pPr>
        <w:pStyle w:val="ListParagraph"/>
        <w:numPr>
          <w:ilvl w:val="1"/>
          <w:numId w:val="97"/>
        </w:numPr>
        <w:contextualSpacing w:val="0"/>
        <w:rPr>
          <w:szCs w:val="17"/>
        </w:rPr>
      </w:pPr>
      <w:r w:rsidRPr="00574916">
        <w:rPr>
          <w:szCs w:val="17"/>
        </w:rPr>
        <w:t xml:space="preserve">The Australian Bureau of Statistics Wage Price Index (Public Sector in South Australia) shows the following  percentage changes from the corresponding quarters of previous years: </w:t>
      </w:r>
    </w:p>
    <w:p w14:paraId="31C6781C"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1.2% for September 2021</w:t>
      </w:r>
    </w:p>
    <w:p w14:paraId="25FA8C43"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1.4% for December 2021 </w:t>
      </w:r>
    </w:p>
    <w:p w14:paraId="17E3A1C3"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2.0% for March 2022</w:t>
      </w:r>
    </w:p>
    <w:p w14:paraId="12C16AE4"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1.7% for June 2022 </w:t>
      </w:r>
    </w:p>
    <w:p w14:paraId="212E7762" w14:textId="77777777" w:rsidR="0035143A" w:rsidRPr="00574916" w:rsidRDefault="0035143A" w:rsidP="009B29CF">
      <w:pPr>
        <w:pStyle w:val="ListParagraph"/>
        <w:numPr>
          <w:ilvl w:val="2"/>
          <w:numId w:val="97"/>
        </w:numPr>
        <w:contextualSpacing w:val="0"/>
        <w:rPr>
          <w:szCs w:val="17"/>
        </w:rPr>
      </w:pPr>
      <w:r w:rsidRPr="00574916">
        <w:rPr>
          <w:szCs w:val="17"/>
        </w:rPr>
        <w:t>2.7% for September 2022.</w:t>
      </w:r>
    </w:p>
    <w:p w14:paraId="0EA6BA2E" w14:textId="77777777" w:rsidR="0035143A" w:rsidRPr="00574916" w:rsidRDefault="0035143A" w:rsidP="009B29CF">
      <w:pPr>
        <w:pStyle w:val="ListParagraph"/>
        <w:numPr>
          <w:ilvl w:val="1"/>
          <w:numId w:val="97"/>
        </w:numPr>
        <w:contextualSpacing w:val="0"/>
        <w:rPr>
          <w:szCs w:val="17"/>
        </w:rPr>
      </w:pPr>
      <w:r w:rsidRPr="00574916">
        <w:rPr>
          <w:szCs w:val="17"/>
        </w:rPr>
        <w:t xml:space="preserve">As at November 2022 the Reserve Bank of Australia forecast of the Consumer Price Index is: </w:t>
      </w:r>
    </w:p>
    <w:p w14:paraId="2D412671"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8% for December 2022 quarter </w:t>
      </w:r>
    </w:p>
    <w:p w14:paraId="376C8B94"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6.3% for June 2023 </w:t>
      </w:r>
    </w:p>
    <w:p w14:paraId="5A336E07"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4.7% for December 2023 </w:t>
      </w:r>
    </w:p>
    <w:p w14:paraId="0210E467" w14:textId="77777777" w:rsidR="0035143A" w:rsidRPr="00574916" w:rsidRDefault="0035143A" w:rsidP="009B29CF">
      <w:pPr>
        <w:pStyle w:val="ListParagraph"/>
        <w:numPr>
          <w:ilvl w:val="2"/>
          <w:numId w:val="97"/>
        </w:numPr>
        <w:spacing w:after="0"/>
        <w:ind w:left="1077" w:hanging="357"/>
        <w:contextualSpacing w:val="0"/>
        <w:rPr>
          <w:szCs w:val="17"/>
        </w:rPr>
      </w:pPr>
      <w:r w:rsidRPr="00574916">
        <w:rPr>
          <w:szCs w:val="17"/>
        </w:rPr>
        <w:t xml:space="preserve">4.2% for June 2024 </w:t>
      </w:r>
    </w:p>
    <w:p w14:paraId="5D16FF6F" w14:textId="77777777" w:rsidR="0035143A" w:rsidRPr="00574916" w:rsidRDefault="0035143A" w:rsidP="009B29CF">
      <w:pPr>
        <w:pStyle w:val="ListParagraph"/>
        <w:numPr>
          <w:ilvl w:val="2"/>
          <w:numId w:val="97"/>
        </w:numPr>
        <w:contextualSpacing w:val="0"/>
        <w:rPr>
          <w:szCs w:val="17"/>
        </w:rPr>
      </w:pPr>
      <w:r w:rsidRPr="00574916">
        <w:rPr>
          <w:szCs w:val="17"/>
        </w:rPr>
        <w:t>3.2% for December 2024.</w:t>
      </w:r>
    </w:p>
    <w:p w14:paraId="5652321F" w14:textId="77777777" w:rsidR="0035143A" w:rsidRPr="00574916" w:rsidRDefault="0035143A" w:rsidP="009B29CF">
      <w:pPr>
        <w:pStyle w:val="ListParagraph"/>
        <w:numPr>
          <w:ilvl w:val="0"/>
          <w:numId w:val="97"/>
        </w:numPr>
        <w:contextualSpacing w:val="0"/>
        <w:rPr>
          <w:szCs w:val="17"/>
        </w:rPr>
      </w:pPr>
      <w:r w:rsidRPr="00574916">
        <w:rPr>
          <w:szCs w:val="17"/>
        </w:rPr>
        <w:t>The Tribunal has noted the steps being taken to reduce the current inflationary trend and has adopted a cautionary approach to recognition of inflationary movements.</w:t>
      </w:r>
    </w:p>
    <w:p w14:paraId="2A59B637" w14:textId="77777777" w:rsidR="0035143A" w:rsidRPr="00574916" w:rsidRDefault="0035143A" w:rsidP="009B29CF">
      <w:pPr>
        <w:pStyle w:val="ListParagraph"/>
        <w:numPr>
          <w:ilvl w:val="0"/>
          <w:numId w:val="97"/>
        </w:numPr>
        <w:contextualSpacing w:val="0"/>
        <w:rPr>
          <w:szCs w:val="17"/>
        </w:rPr>
      </w:pPr>
      <w:r w:rsidRPr="00574916">
        <w:rPr>
          <w:szCs w:val="17"/>
        </w:rPr>
        <w:t xml:space="preserve">The Tribunal has continued to apply the long-standing principle that judicial remuneration should be set within a national framework in the public interest, whilst preserving the discretion to adopt an independent position. This means that while the Tribunal has, since 2012, determined increases with the effect of aligning the salary of a puisne Judge of the Supreme Court to that of a Judge of the Federal Court, this should not be interpreted as a commitment to automatically link the salaries of these positions in the future. </w:t>
      </w:r>
    </w:p>
    <w:p w14:paraId="4EB0257C" w14:textId="77777777" w:rsidR="0035143A" w:rsidRPr="00574916" w:rsidRDefault="0035143A" w:rsidP="009B29CF">
      <w:pPr>
        <w:pStyle w:val="ListParagraph"/>
        <w:numPr>
          <w:ilvl w:val="0"/>
          <w:numId w:val="97"/>
        </w:numPr>
        <w:contextualSpacing w:val="0"/>
        <w:rPr>
          <w:szCs w:val="17"/>
        </w:rPr>
      </w:pPr>
      <w:r w:rsidRPr="00574916">
        <w:rPr>
          <w:szCs w:val="17"/>
        </w:rPr>
        <w:t>As the Tribunal has explained on previous occasions, determining salaries in a ‘national framework’ still requires the Tribunal to appropriately consider and have regard to all the differing factors in the different jurisdictions and, where appropriate, the value of the work of a particular judicial office. While setting remuneration in the national framework does not inherently require a strict nexus to be maintained between particular judicial offices, the Tribunal recognises the substantial benefits of maintaining a consistent national approach to judicial remuneration.</w:t>
      </w:r>
    </w:p>
    <w:p w14:paraId="569AE727" w14:textId="77777777" w:rsidR="0035143A" w:rsidRPr="00574916" w:rsidRDefault="0035143A" w:rsidP="009B29CF">
      <w:pPr>
        <w:pStyle w:val="ListParagraph"/>
        <w:numPr>
          <w:ilvl w:val="0"/>
          <w:numId w:val="97"/>
        </w:numPr>
        <w:contextualSpacing w:val="0"/>
        <w:rPr>
          <w:szCs w:val="17"/>
        </w:rPr>
      </w:pPr>
      <w:r w:rsidRPr="00574916">
        <w:rPr>
          <w:szCs w:val="17"/>
        </w:rPr>
        <w:t>Accordingly, the Tribunal has decided that it is appropriate to increase the salary of a puisne Judge of the Supreme Court to $480,900, which reflects the salary of a Judge of the Federal Court and also the median salary of Supreme Court Judges in all states and territories other than South Australia. This is a 2.75% increase, rounded up to the nearest $10. The Tribunal has decided to increase the other salaries within the scope of this review by the same rate.</w:t>
      </w:r>
    </w:p>
    <w:p w14:paraId="0FA2AC98" w14:textId="77777777" w:rsidR="0035143A" w:rsidRPr="00574916" w:rsidRDefault="0035143A" w:rsidP="0035143A">
      <w:pPr>
        <w:pStyle w:val="ListParagraph"/>
        <w:ind w:left="0"/>
        <w:rPr>
          <w:i/>
          <w:iCs/>
          <w:szCs w:val="17"/>
        </w:rPr>
      </w:pPr>
      <w:r w:rsidRPr="00574916">
        <w:rPr>
          <w:i/>
          <w:iCs/>
          <w:szCs w:val="17"/>
        </w:rPr>
        <w:t>Operative date</w:t>
      </w:r>
    </w:p>
    <w:p w14:paraId="6EC40C7F" w14:textId="77777777" w:rsidR="0035143A" w:rsidRPr="00574916" w:rsidRDefault="0035143A" w:rsidP="009B29CF">
      <w:pPr>
        <w:pStyle w:val="ListParagraph"/>
        <w:numPr>
          <w:ilvl w:val="0"/>
          <w:numId w:val="97"/>
        </w:numPr>
        <w:contextualSpacing w:val="0"/>
        <w:rPr>
          <w:szCs w:val="17"/>
        </w:rPr>
      </w:pPr>
      <w:r w:rsidRPr="00574916">
        <w:rPr>
          <w:szCs w:val="17"/>
        </w:rPr>
        <w:t>As illustrated below, in recent years the effective date of increases has moved around for a variety of reasons, which include the submissions received. At times, the effective date has been the same as that set for Federal Court Judges (1 January 2016, and 1 January 2017 being examples), but more commonly the Tribunal has set an effective date which is several months later.</w: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835"/>
        <w:gridCol w:w="2835"/>
      </w:tblGrid>
      <w:tr w:rsidR="0035143A" w:rsidRPr="00574916" w14:paraId="3CF06E28" w14:textId="77777777" w:rsidTr="0012134E">
        <w:tc>
          <w:tcPr>
            <w:tcW w:w="2552" w:type="dxa"/>
            <w:tcBorders>
              <w:top w:val="single" w:sz="4" w:space="0" w:color="auto"/>
              <w:bottom w:val="single" w:sz="4" w:space="0" w:color="auto"/>
            </w:tcBorders>
          </w:tcPr>
          <w:p w14:paraId="722056B3" w14:textId="77777777" w:rsidR="0035143A" w:rsidRPr="00574916" w:rsidRDefault="0035143A" w:rsidP="0012134E">
            <w:pPr>
              <w:pStyle w:val="ListParagraph"/>
              <w:spacing w:before="40" w:after="40"/>
              <w:ind w:left="0"/>
              <w:jc w:val="right"/>
              <w:rPr>
                <w:b/>
                <w:bCs/>
                <w:szCs w:val="17"/>
              </w:rPr>
            </w:pPr>
            <w:r w:rsidRPr="00574916">
              <w:rPr>
                <w:b/>
                <w:bCs/>
                <w:szCs w:val="17"/>
              </w:rPr>
              <w:t>Determination / Report No</w:t>
            </w:r>
          </w:p>
        </w:tc>
        <w:tc>
          <w:tcPr>
            <w:tcW w:w="2835" w:type="dxa"/>
            <w:tcBorders>
              <w:top w:val="single" w:sz="4" w:space="0" w:color="auto"/>
              <w:bottom w:val="single" w:sz="4" w:space="0" w:color="auto"/>
            </w:tcBorders>
          </w:tcPr>
          <w:p w14:paraId="5DAB06E3" w14:textId="77777777" w:rsidR="0035143A" w:rsidRPr="00574916" w:rsidRDefault="0035143A" w:rsidP="0012134E">
            <w:pPr>
              <w:pStyle w:val="ListParagraph"/>
              <w:spacing w:before="40" w:after="40"/>
              <w:ind w:left="0"/>
              <w:jc w:val="right"/>
              <w:rPr>
                <w:b/>
                <w:bCs/>
                <w:szCs w:val="17"/>
              </w:rPr>
            </w:pPr>
            <w:r w:rsidRPr="00574916">
              <w:rPr>
                <w:b/>
                <w:bCs/>
                <w:szCs w:val="17"/>
              </w:rPr>
              <w:t>Effective Date of Increase</w:t>
            </w:r>
          </w:p>
        </w:tc>
        <w:tc>
          <w:tcPr>
            <w:tcW w:w="2835" w:type="dxa"/>
            <w:tcBorders>
              <w:top w:val="single" w:sz="4" w:space="0" w:color="auto"/>
              <w:bottom w:val="single" w:sz="4" w:space="0" w:color="auto"/>
            </w:tcBorders>
          </w:tcPr>
          <w:p w14:paraId="05342808" w14:textId="77777777" w:rsidR="0035143A" w:rsidRPr="00574916" w:rsidRDefault="0035143A" w:rsidP="0012134E">
            <w:pPr>
              <w:pStyle w:val="ListParagraph"/>
              <w:spacing w:before="40" w:after="40"/>
              <w:ind w:left="0"/>
              <w:jc w:val="right"/>
              <w:rPr>
                <w:b/>
                <w:bCs/>
                <w:szCs w:val="17"/>
              </w:rPr>
            </w:pPr>
            <w:r w:rsidRPr="00574916">
              <w:rPr>
                <w:b/>
                <w:bCs/>
                <w:szCs w:val="17"/>
              </w:rPr>
              <w:t>Determination / Report Issued</w:t>
            </w:r>
          </w:p>
        </w:tc>
      </w:tr>
      <w:tr w:rsidR="0035143A" w:rsidRPr="00574916" w14:paraId="366B1457" w14:textId="77777777" w:rsidTr="0012134E">
        <w:tc>
          <w:tcPr>
            <w:tcW w:w="2552" w:type="dxa"/>
            <w:tcBorders>
              <w:top w:val="single" w:sz="4" w:space="0" w:color="auto"/>
            </w:tcBorders>
          </w:tcPr>
          <w:p w14:paraId="6EBED7A9" w14:textId="77777777" w:rsidR="0035143A" w:rsidRPr="00574916" w:rsidRDefault="0035143A" w:rsidP="0012134E">
            <w:pPr>
              <w:pStyle w:val="ListParagraph"/>
              <w:spacing w:before="20" w:after="20"/>
              <w:ind w:left="0"/>
              <w:jc w:val="right"/>
              <w:rPr>
                <w:szCs w:val="17"/>
              </w:rPr>
            </w:pPr>
            <w:r w:rsidRPr="00574916">
              <w:rPr>
                <w:szCs w:val="17"/>
              </w:rPr>
              <w:t>7 of 2012</w:t>
            </w:r>
          </w:p>
        </w:tc>
        <w:tc>
          <w:tcPr>
            <w:tcW w:w="2835" w:type="dxa"/>
            <w:tcBorders>
              <w:top w:val="single" w:sz="4" w:space="0" w:color="auto"/>
            </w:tcBorders>
          </w:tcPr>
          <w:p w14:paraId="2A645426" w14:textId="77777777" w:rsidR="0035143A" w:rsidRPr="00574916" w:rsidRDefault="0035143A" w:rsidP="0012134E">
            <w:pPr>
              <w:pStyle w:val="ListParagraph"/>
              <w:spacing w:before="20" w:after="20"/>
              <w:ind w:left="0"/>
              <w:jc w:val="right"/>
              <w:rPr>
                <w:szCs w:val="17"/>
              </w:rPr>
            </w:pPr>
            <w:r w:rsidRPr="00574916">
              <w:rPr>
                <w:szCs w:val="17"/>
              </w:rPr>
              <w:t>1 November 2012</w:t>
            </w:r>
          </w:p>
        </w:tc>
        <w:tc>
          <w:tcPr>
            <w:tcW w:w="2835" w:type="dxa"/>
            <w:tcBorders>
              <w:top w:val="single" w:sz="4" w:space="0" w:color="auto"/>
            </w:tcBorders>
          </w:tcPr>
          <w:p w14:paraId="65FD030E" w14:textId="77777777" w:rsidR="0035143A" w:rsidRPr="00574916" w:rsidRDefault="0035143A" w:rsidP="0012134E">
            <w:pPr>
              <w:pStyle w:val="ListParagraph"/>
              <w:spacing w:before="20" w:after="20"/>
              <w:ind w:left="0"/>
              <w:jc w:val="right"/>
              <w:rPr>
                <w:szCs w:val="17"/>
              </w:rPr>
            </w:pPr>
            <w:r w:rsidRPr="00574916">
              <w:rPr>
                <w:szCs w:val="17"/>
              </w:rPr>
              <w:t>15 December 2012</w:t>
            </w:r>
          </w:p>
        </w:tc>
      </w:tr>
      <w:tr w:rsidR="0035143A" w:rsidRPr="00574916" w14:paraId="242AB48E" w14:textId="77777777" w:rsidTr="0012134E">
        <w:tc>
          <w:tcPr>
            <w:tcW w:w="2552" w:type="dxa"/>
          </w:tcPr>
          <w:p w14:paraId="44F828CB" w14:textId="77777777" w:rsidR="0035143A" w:rsidRPr="00574916" w:rsidRDefault="0035143A" w:rsidP="0012134E">
            <w:pPr>
              <w:pStyle w:val="ListParagraph"/>
              <w:spacing w:before="20" w:after="20"/>
              <w:ind w:left="0"/>
              <w:jc w:val="right"/>
              <w:rPr>
                <w:szCs w:val="17"/>
              </w:rPr>
            </w:pPr>
            <w:r w:rsidRPr="00574916">
              <w:rPr>
                <w:szCs w:val="17"/>
              </w:rPr>
              <w:t>5 of 2013</w:t>
            </w:r>
          </w:p>
        </w:tc>
        <w:tc>
          <w:tcPr>
            <w:tcW w:w="2835" w:type="dxa"/>
          </w:tcPr>
          <w:p w14:paraId="7F41CFC1" w14:textId="77777777" w:rsidR="0035143A" w:rsidRPr="00574916" w:rsidRDefault="0035143A" w:rsidP="0012134E">
            <w:pPr>
              <w:pStyle w:val="ListParagraph"/>
              <w:spacing w:before="20" w:after="20"/>
              <w:ind w:left="0"/>
              <w:jc w:val="right"/>
              <w:rPr>
                <w:szCs w:val="17"/>
              </w:rPr>
            </w:pPr>
            <w:r w:rsidRPr="00574916">
              <w:rPr>
                <w:szCs w:val="17"/>
              </w:rPr>
              <w:t>1 November 2012</w:t>
            </w:r>
          </w:p>
        </w:tc>
        <w:tc>
          <w:tcPr>
            <w:tcW w:w="2835" w:type="dxa"/>
          </w:tcPr>
          <w:p w14:paraId="1ACC216B" w14:textId="77777777" w:rsidR="0035143A" w:rsidRPr="00574916" w:rsidRDefault="0035143A" w:rsidP="0012134E">
            <w:pPr>
              <w:pStyle w:val="ListParagraph"/>
              <w:spacing w:before="20" w:after="20"/>
              <w:ind w:left="0"/>
              <w:jc w:val="right"/>
              <w:rPr>
                <w:szCs w:val="17"/>
              </w:rPr>
            </w:pPr>
            <w:r w:rsidRPr="00574916">
              <w:rPr>
                <w:szCs w:val="17"/>
              </w:rPr>
              <w:t>25 November 2013</w:t>
            </w:r>
          </w:p>
        </w:tc>
      </w:tr>
      <w:tr w:rsidR="0035143A" w:rsidRPr="00574916" w14:paraId="5F3297BE" w14:textId="77777777" w:rsidTr="0012134E">
        <w:tc>
          <w:tcPr>
            <w:tcW w:w="2552" w:type="dxa"/>
          </w:tcPr>
          <w:p w14:paraId="155D6549" w14:textId="77777777" w:rsidR="0035143A" w:rsidRPr="00574916" w:rsidRDefault="0035143A" w:rsidP="0012134E">
            <w:pPr>
              <w:pStyle w:val="ListParagraph"/>
              <w:spacing w:before="20" w:after="20"/>
              <w:ind w:left="0"/>
              <w:jc w:val="right"/>
              <w:rPr>
                <w:szCs w:val="17"/>
              </w:rPr>
            </w:pPr>
            <w:r w:rsidRPr="00574916">
              <w:rPr>
                <w:szCs w:val="17"/>
              </w:rPr>
              <w:t>9 of 2014</w:t>
            </w:r>
          </w:p>
        </w:tc>
        <w:tc>
          <w:tcPr>
            <w:tcW w:w="2835" w:type="dxa"/>
          </w:tcPr>
          <w:p w14:paraId="3B034FC0" w14:textId="77777777" w:rsidR="0035143A" w:rsidRPr="00574916" w:rsidRDefault="0035143A" w:rsidP="0012134E">
            <w:pPr>
              <w:pStyle w:val="ListParagraph"/>
              <w:spacing w:before="20" w:after="20"/>
              <w:ind w:left="0"/>
              <w:jc w:val="right"/>
              <w:rPr>
                <w:szCs w:val="17"/>
              </w:rPr>
            </w:pPr>
            <w:r w:rsidRPr="00574916">
              <w:rPr>
                <w:szCs w:val="17"/>
              </w:rPr>
              <w:t>No increase</w:t>
            </w:r>
          </w:p>
        </w:tc>
        <w:tc>
          <w:tcPr>
            <w:tcW w:w="2835" w:type="dxa"/>
          </w:tcPr>
          <w:p w14:paraId="0917555D" w14:textId="77777777" w:rsidR="0035143A" w:rsidRPr="00574916" w:rsidRDefault="0035143A" w:rsidP="0012134E">
            <w:pPr>
              <w:pStyle w:val="ListParagraph"/>
              <w:spacing w:before="20" w:after="20"/>
              <w:ind w:left="0"/>
              <w:jc w:val="right"/>
              <w:rPr>
                <w:szCs w:val="17"/>
              </w:rPr>
            </w:pPr>
            <w:r w:rsidRPr="00574916">
              <w:rPr>
                <w:szCs w:val="17"/>
              </w:rPr>
              <w:t>12 December 2014</w:t>
            </w:r>
          </w:p>
        </w:tc>
      </w:tr>
      <w:tr w:rsidR="0035143A" w:rsidRPr="00574916" w14:paraId="5903FA56" w14:textId="77777777" w:rsidTr="0012134E">
        <w:tc>
          <w:tcPr>
            <w:tcW w:w="2552" w:type="dxa"/>
          </w:tcPr>
          <w:p w14:paraId="32F42E63" w14:textId="77777777" w:rsidR="0035143A" w:rsidRPr="00574916" w:rsidRDefault="0035143A" w:rsidP="0012134E">
            <w:pPr>
              <w:pStyle w:val="ListParagraph"/>
              <w:spacing w:before="20" w:after="20"/>
              <w:ind w:left="0"/>
              <w:jc w:val="right"/>
              <w:rPr>
                <w:szCs w:val="17"/>
              </w:rPr>
            </w:pPr>
            <w:r w:rsidRPr="00574916">
              <w:rPr>
                <w:szCs w:val="17"/>
              </w:rPr>
              <w:t>2015</w:t>
            </w:r>
          </w:p>
        </w:tc>
        <w:tc>
          <w:tcPr>
            <w:tcW w:w="2835" w:type="dxa"/>
          </w:tcPr>
          <w:p w14:paraId="5CA4680D" w14:textId="77777777" w:rsidR="0035143A" w:rsidRPr="00574916" w:rsidRDefault="0035143A" w:rsidP="0012134E">
            <w:pPr>
              <w:pStyle w:val="ListParagraph"/>
              <w:spacing w:before="20" w:after="20"/>
              <w:ind w:left="0"/>
              <w:jc w:val="right"/>
              <w:rPr>
                <w:szCs w:val="17"/>
              </w:rPr>
            </w:pPr>
            <w:r w:rsidRPr="00574916">
              <w:rPr>
                <w:szCs w:val="17"/>
              </w:rPr>
              <w:t>No increase</w:t>
            </w:r>
          </w:p>
        </w:tc>
        <w:tc>
          <w:tcPr>
            <w:tcW w:w="2835" w:type="dxa"/>
          </w:tcPr>
          <w:p w14:paraId="2A389DA1" w14:textId="77777777" w:rsidR="0035143A" w:rsidRPr="00574916" w:rsidRDefault="0035143A" w:rsidP="0012134E">
            <w:pPr>
              <w:pStyle w:val="ListParagraph"/>
              <w:spacing w:before="20" w:after="20"/>
              <w:ind w:left="0"/>
              <w:jc w:val="right"/>
              <w:rPr>
                <w:szCs w:val="17"/>
              </w:rPr>
            </w:pPr>
            <w:r w:rsidRPr="00574916">
              <w:rPr>
                <w:szCs w:val="17"/>
              </w:rPr>
              <w:t>3 December 2015</w:t>
            </w:r>
          </w:p>
        </w:tc>
      </w:tr>
      <w:tr w:rsidR="0035143A" w:rsidRPr="00574916" w14:paraId="430CDDFF" w14:textId="77777777" w:rsidTr="0012134E">
        <w:tc>
          <w:tcPr>
            <w:tcW w:w="2552" w:type="dxa"/>
          </w:tcPr>
          <w:p w14:paraId="08A78EB6" w14:textId="77777777" w:rsidR="0035143A" w:rsidRPr="00574916" w:rsidRDefault="0035143A" w:rsidP="0012134E">
            <w:pPr>
              <w:pStyle w:val="ListParagraph"/>
              <w:spacing w:before="20" w:after="20"/>
              <w:ind w:left="0"/>
              <w:jc w:val="right"/>
              <w:rPr>
                <w:szCs w:val="17"/>
              </w:rPr>
            </w:pPr>
            <w:r w:rsidRPr="00574916">
              <w:rPr>
                <w:szCs w:val="17"/>
              </w:rPr>
              <w:t>5 of 2016</w:t>
            </w:r>
          </w:p>
        </w:tc>
        <w:tc>
          <w:tcPr>
            <w:tcW w:w="2835" w:type="dxa"/>
          </w:tcPr>
          <w:p w14:paraId="1F1A8AF3" w14:textId="77777777" w:rsidR="0035143A" w:rsidRPr="00574916" w:rsidRDefault="0035143A" w:rsidP="0012134E">
            <w:pPr>
              <w:pStyle w:val="ListParagraph"/>
              <w:spacing w:before="20" w:after="20"/>
              <w:ind w:left="0"/>
              <w:jc w:val="right"/>
              <w:rPr>
                <w:szCs w:val="17"/>
              </w:rPr>
            </w:pPr>
            <w:r w:rsidRPr="00574916">
              <w:rPr>
                <w:szCs w:val="17"/>
              </w:rPr>
              <w:t>1 January 2016</w:t>
            </w:r>
          </w:p>
        </w:tc>
        <w:tc>
          <w:tcPr>
            <w:tcW w:w="2835" w:type="dxa"/>
          </w:tcPr>
          <w:p w14:paraId="585153E8" w14:textId="77777777" w:rsidR="0035143A" w:rsidRPr="00574916" w:rsidRDefault="0035143A" w:rsidP="0012134E">
            <w:pPr>
              <w:pStyle w:val="ListParagraph"/>
              <w:spacing w:before="20" w:after="20"/>
              <w:ind w:left="0"/>
              <w:jc w:val="right"/>
              <w:rPr>
                <w:szCs w:val="17"/>
              </w:rPr>
            </w:pPr>
            <w:r w:rsidRPr="00574916">
              <w:rPr>
                <w:szCs w:val="17"/>
              </w:rPr>
              <w:t>23 March 2016</w:t>
            </w:r>
          </w:p>
        </w:tc>
      </w:tr>
      <w:tr w:rsidR="0035143A" w:rsidRPr="00574916" w14:paraId="543FAB8D" w14:textId="77777777" w:rsidTr="0012134E">
        <w:tc>
          <w:tcPr>
            <w:tcW w:w="2552" w:type="dxa"/>
          </w:tcPr>
          <w:p w14:paraId="5FAD5CFF" w14:textId="77777777" w:rsidR="0035143A" w:rsidRPr="00574916" w:rsidRDefault="0035143A" w:rsidP="0012134E">
            <w:pPr>
              <w:pStyle w:val="ListParagraph"/>
              <w:spacing w:before="20" w:after="20"/>
              <w:ind w:left="0"/>
              <w:jc w:val="right"/>
              <w:rPr>
                <w:szCs w:val="17"/>
              </w:rPr>
            </w:pPr>
            <w:r w:rsidRPr="00574916">
              <w:rPr>
                <w:szCs w:val="17"/>
              </w:rPr>
              <w:t>4 of 2017</w:t>
            </w:r>
          </w:p>
        </w:tc>
        <w:tc>
          <w:tcPr>
            <w:tcW w:w="2835" w:type="dxa"/>
          </w:tcPr>
          <w:p w14:paraId="18D588EB" w14:textId="77777777" w:rsidR="0035143A" w:rsidRPr="00574916" w:rsidRDefault="0035143A" w:rsidP="0012134E">
            <w:pPr>
              <w:pStyle w:val="ListParagraph"/>
              <w:spacing w:before="20" w:after="20"/>
              <w:ind w:left="0"/>
              <w:jc w:val="right"/>
              <w:rPr>
                <w:szCs w:val="17"/>
              </w:rPr>
            </w:pPr>
            <w:r w:rsidRPr="00574916">
              <w:rPr>
                <w:szCs w:val="17"/>
              </w:rPr>
              <w:t xml:space="preserve">1 January 2017 &amp; </w:t>
            </w:r>
          </w:p>
          <w:p w14:paraId="52F25086" w14:textId="77777777" w:rsidR="0035143A" w:rsidRPr="00574916" w:rsidRDefault="0035143A" w:rsidP="0012134E">
            <w:pPr>
              <w:pStyle w:val="ListParagraph"/>
              <w:spacing w:before="20" w:after="20"/>
              <w:ind w:left="0"/>
              <w:jc w:val="right"/>
              <w:rPr>
                <w:szCs w:val="17"/>
              </w:rPr>
            </w:pPr>
            <w:r w:rsidRPr="00574916">
              <w:rPr>
                <w:szCs w:val="17"/>
              </w:rPr>
              <w:t>1 January 2018</w:t>
            </w:r>
          </w:p>
          <w:p w14:paraId="35080484" w14:textId="77777777" w:rsidR="0035143A" w:rsidRPr="00574916" w:rsidRDefault="0035143A" w:rsidP="0012134E">
            <w:pPr>
              <w:pStyle w:val="ListParagraph"/>
              <w:spacing w:before="20" w:after="20"/>
              <w:ind w:left="0"/>
              <w:jc w:val="right"/>
              <w:rPr>
                <w:szCs w:val="17"/>
              </w:rPr>
            </w:pPr>
          </w:p>
        </w:tc>
        <w:tc>
          <w:tcPr>
            <w:tcW w:w="2835" w:type="dxa"/>
          </w:tcPr>
          <w:p w14:paraId="0FA1FBA5" w14:textId="77777777" w:rsidR="0035143A" w:rsidRPr="00574916" w:rsidRDefault="0035143A" w:rsidP="0012134E">
            <w:pPr>
              <w:pStyle w:val="ListParagraph"/>
              <w:spacing w:before="20" w:after="20"/>
              <w:ind w:left="0"/>
              <w:jc w:val="right"/>
              <w:rPr>
                <w:szCs w:val="17"/>
              </w:rPr>
            </w:pPr>
            <w:r w:rsidRPr="00574916">
              <w:rPr>
                <w:szCs w:val="17"/>
              </w:rPr>
              <w:t>25 May 2017</w:t>
            </w:r>
          </w:p>
        </w:tc>
      </w:tr>
      <w:tr w:rsidR="0035143A" w:rsidRPr="00574916" w14:paraId="05FBFF98" w14:textId="77777777" w:rsidTr="0012134E">
        <w:tc>
          <w:tcPr>
            <w:tcW w:w="2552" w:type="dxa"/>
          </w:tcPr>
          <w:p w14:paraId="29A52C6C" w14:textId="77777777" w:rsidR="0035143A" w:rsidRPr="00574916" w:rsidRDefault="0035143A" w:rsidP="0012134E">
            <w:pPr>
              <w:pStyle w:val="ListParagraph"/>
              <w:spacing w:before="20" w:after="20"/>
              <w:ind w:left="0"/>
              <w:jc w:val="right"/>
              <w:rPr>
                <w:szCs w:val="17"/>
              </w:rPr>
            </w:pPr>
            <w:r w:rsidRPr="00574916">
              <w:rPr>
                <w:szCs w:val="17"/>
              </w:rPr>
              <w:t>2 of 2018</w:t>
            </w:r>
          </w:p>
        </w:tc>
        <w:tc>
          <w:tcPr>
            <w:tcW w:w="2835" w:type="dxa"/>
          </w:tcPr>
          <w:p w14:paraId="40A5E9CD" w14:textId="77777777" w:rsidR="0035143A" w:rsidRPr="00574916" w:rsidRDefault="0035143A" w:rsidP="0012134E">
            <w:pPr>
              <w:pStyle w:val="ListParagraph"/>
              <w:spacing w:before="20" w:after="20"/>
              <w:ind w:left="0"/>
              <w:jc w:val="right"/>
              <w:rPr>
                <w:szCs w:val="17"/>
              </w:rPr>
            </w:pPr>
            <w:r w:rsidRPr="00574916">
              <w:rPr>
                <w:szCs w:val="17"/>
              </w:rPr>
              <w:t>1 June 2018</w:t>
            </w:r>
          </w:p>
        </w:tc>
        <w:tc>
          <w:tcPr>
            <w:tcW w:w="2835" w:type="dxa"/>
          </w:tcPr>
          <w:p w14:paraId="38072AA6" w14:textId="77777777" w:rsidR="0035143A" w:rsidRPr="00574916" w:rsidRDefault="0035143A" w:rsidP="0012134E">
            <w:pPr>
              <w:pStyle w:val="ListParagraph"/>
              <w:spacing w:before="20" w:after="20"/>
              <w:ind w:left="0"/>
              <w:jc w:val="right"/>
              <w:rPr>
                <w:szCs w:val="17"/>
              </w:rPr>
            </w:pPr>
            <w:r w:rsidRPr="00574916">
              <w:rPr>
                <w:szCs w:val="17"/>
              </w:rPr>
              <w:t>3 May 2018</w:t>
            </w:r>
          </w:p>
        </w:tc>
      </w:tr>
      <w:tr w:rsidR="0035143A" w:rsidRPr="00574916" w14:paraId="2586BEE1" w14:textId="77777777" w:rsidTr="0012134E">
        <w:tc>
          <w:tcPr>
            <w:tcW w:w="2552" w:type="dxa"/>
          </w:tcPr>
          <w:p w14:paraId="2F89232A" w14:textId="77777777" w:rsidR="0035143A" w:rsidRPr="00574916" w:rsidRDefault="0035143A" w:rsidP="0012134E">
            <w:pPr>
              <w:pStyle w:val="ListParagraph"/>
              <w:spacing w:before="20" w:after="20"/>
              <w:ind w:left="0"/>
              <w:jc w:val="right"/>
              <w:rPr>
                <w:szCs w:val="17"/>
              </w:rPr>
            </w:pPr>
            <w:r w:rsidRPr="00574916">
              <w:rPr>
                <w:szCs w:val="17"/>
              </w:rPr>
              <w:t>2 of 2019</w:t>
            </w:r>
          </w:p>
        </w:tc>
        <w:tc>
          <w:tcPr>
            <w:tcW w:w="2835" w:type="dxa"/>
          </w:tcPr>
          <w:p w14:paraId="3B16DDE5" w14:textId="77777777" w:rsidR="0035143A" w:rsidRPr="00574916" w:rsidRDefault="0035143A" w:rsidP="0012134E">
            <w:pPr>
              <w:pStyle w:val="ListParagraph"/>
              <w:spacing w:before="20" w:after="20"/>
              <w:ind w:left="0"/>
              <w:jc w:val="right"/>
              <w:rPr>
                <w:szCs w:val="17"/>
              </w:rPr>
            </w:pPr>
            <w:r w:rsidRPr="00574916">
              <w:rPr>
                <w:szCs w:val="17"/>
              </w:rPr>
              <w:t>1 January 2019</w:t>
            </w:r>
          </w:p>
        </w:tc>
        <w:tc>
          <w:tcPr>
            <w:tcW w:w="2835" w:type="dxa"/>
          </w:tcPr>
          <w:p w14:paraId="774B79A6" w14:textId="77777777" w:rsidR="0035143A" w:rsidRPr="00574916" w:rsidRDefault="0035143A" w:rsidP="0012134E">
            <w:pPr>
              <w:pStyle w:val="ListParagraph"/>
              <w:spacing w:before="20" w:after="20"/>
              <w:ind w:left="0"/>
              <w:jc w:val="right"/>
              <w:rPr>
                <w:szCs w:val="17"/>
              </w:rPr>
            </w:pPr>
            <w:r w:rsidRPr="00574916">
              <w:rPr>
                <w:szCs w:val="17"/>
              </w:rPr>
              <w:t>14 March 2019</w:t>
            </w:r>
          </w:p>
        </w:tc>
      </w:tr>
      <w:tr w:rsidR="0035143A" w:rsidRPr="00574916" w14:paraId="561E2A98" w14:textId="77777777" w:rsidTr="0012134E">
        <w:tc>
          <w:tcPr>
            <w:tcW w:w="2552" w:type="dxa"/>
          </w:tcPr>
          <w:p w14:paraId="3D559508" w14:textId="77777777" w:rsidR="0035143A" w:rsidRPr="00574916" w:rsidRDefault="0035143A" w:rsidP="0012134E">
            <w:pPr>
              <w:pStyle w:val="ListParagraph"/>
              <w:spacing w:before="20" w:after="20"/>
              <w:ind w:left="0"/>
              <w:jc w:val="right"/>
              <w:rPr>
                <w:szCs w:val="17"/>
              </w:rPr>
            </w:pPr>
            <w:r w:rsidRPr="00574916">
              <w:rPr>
                <w:szCs w:val="17"/>
              </w:rPr>
              <w:t>12 of 2019</w:t>
            </w:r>
          </w:p>
        </w:tc>
        <w:tc>
          <w:tcPr>
            <w:tcW w:w="2835" w:type="dxa"/>
          </w:tcPr>
          <w:p w14:paraId="17431ED6" w14:textId="77777777" w:rsidR="0035143A" w:rsidRPr="00574916" w:rsidRDefault="0035143A" w:rsidP="0012134E">
            <w:pPr>
              <w:pStyle w:val="ListParagraph"/>
              <w:spacing w:before="20" w:after="20"/>
              <w:ind w:left="0"/>
              <w:jc w:val="right"/>
              <w:rPr>
                <w:szCs w:val="17"/>
              </w:rPr>
            </w:pPr>
            <w:r w:rsidRPr="00574916">
              <w:rPr>
                <w:szCs w:val="17"/>
              </w:rPr>
              <w:t>1 January 2020</w:t>
            </w:r>
          </w:p>
        </w:tc>
        <w:tc>
          <w:tcPr>
            <w:tcW w:w="2835" w:type="dxa"/>
          </w:tcPr>
          <w:p w14:paraId="0502C3CC" w14:textId="77777777" w:rsidR="0035143A" w:rsidRPr="00574916" w:rsidRDefault="0035143A" w:rsidP="0012134E">
            <w:pPr>
              <w:pStyle w:val="ListParagraph"/>
              <w:spacing w:before="20" w:after="20"/>
              <w:ind w:left="0"/>
              <w:jc w:val="right"/>
              <w:rPr>
                <w:szCs w:val="17"/>
              </w:rPr>
            </w:pPr>
            <w:r w:rsidRPr="00574916">
              <w:rPr>
                <w:szCs w:val="17"/>
              </w:rPr>
              <w:t>21 November 2019</w:t>
            </w:r>
          </w:p>
        </w:tc>
      </w:tr>
      <w:tr w:rsidR="0035143A" w:rsidRPr="00574916" w14:paraId="51A7513C" w14:textId="77777777" w:rsidTr="0012134E">
        <w:tc>
          <w:tcPr>
            <w:tcW w:w="2552" w:type="dxa"/>
          </w:tcPr>
          <w:p w14:paraId="5E54FFFB" w14:textId="77777777" w:rsidR="0035143A" w:rsidRPr="00574916" w:rsidRDefault="0035143A" w:rsidP="0012134E">
            <w:pPr>
              <w:pStyle w:val="ListParagraph"/>
              <w:spacing w:before="20" w:after="20"/>
              <w:ind w:left="0"/>
              <w:jc w:val="right"/>
              <w:rPr>
                <w:szCs w:val="17"/>
              </w:rPr>
            </w:pPr>
            <w:r w:rsidRPr="00574916">
              <w:rPr>
                <w:szCs w:val="17"/>
              </w:rPr>
              <w:t>10 of 2020</w:t>
            </w:r>
          </w:p>
        </w:tc>
        <w:tc>
          <w:tcPr>
            <w:tcW w:w="2835" w:type="dxa"/>
          </w:tcPr>
          <w:p w14:paraId="7DED1633" w14:textId="77777777" w:rsidR="0035143A" w:rsidRPr="00574916" w:rsidRDefault="0035143A" w:rsidP="0012134E">
            <w:pPr>
              <w:pStyle w:val="ListParagraph"/>
              <w:spacing w:before="20" w:after="20"/>
              <w:ind w:left="0"/>
              <w:jc w:val="right"/>
              <w:rPr>
                <w:szCs w:val="17"/>
              </w:rPr>
            </w:pPr>
            <w:r w:rsidRPr="00574916">
              <w:rPr>
                <w:szCs w:val="17"/>
              </w:rPr>
              <w:t>No increase</w:t>
            </w:r>
          </w:p>
        </w:tc>
        <w:tc>
          <w:tcPr>
            <w:tcW w:w="2835" w:type="dxa"/>
          </w:tcPr>
          <w:p w14:paraId="0B799073" w14:textId="77777777" w:rsidR="0035143A" w:rsidRPr="00574916" w:rsidRDefault="0035143A" w:rsidP="0012134E">
            <w:pPr>
              <w:pStyle w:val="ListParagraph"/>
              <w:spacing w:before="20" w:after="20"/>
              <w:ind w:left="0"/>
              <w:jc w:val="right"/>
              <w:rPr>
                <w:szCs w:val="17"/>
              </w:rPr>
            </w:pPr>
            <w:r w:rsidRPr="00574916">
              <w:rPr>
                <w:szCs w:val="17"/>
              </w:rPr>
              <w:t>7 December 2020</w:t>
            </w:r>
          </w:p>
        </w:tc>
      </w:tr>
      <w:tr w:rsidR="0035143A" w:rsidRPr="00574916" w14:paraId="6BBC0252" w14:textId="77777777" w:rsidTr="0012134E">
        <w:trPr>
          <w:trHeight w:val="243"/>
        </w:trPr>
        <w:tc>
          <w:tcPr>
            <w:tcW w:w="2552" w:type="dxa"/>
            <w:tcBorders>
              <w:bottom w:val="single" w:sz="4" w:space="0" w:color="auto"/>
            </w:tcBorders>
          </w:tcPr>
          <w:p w14:paraId="1AE45340" w14:textId="77777777" w:rsidR="0035143A" w:rsidRPr="00574916" w:rsidRDefault="0035143A" w:rsidP="0012134E">
            <w:pPr>
              <w:pStyle w:val="ListParagraph"/>
              <w:spacing w:before="20" w:after="20"/>
              <w:ind w:left="0"/>
              <w:jc w:val="right"/>
              <w:rPr>
                <w:szCs w:val="17"/>
              </w:rPr>
            </w:pPr>
            <w:r w:rsidRPr="00574916">
              <w:rPr>
                <w:szCs w:val="17"/>
              </w:rPr>
              <w:t>13 of 2021</w:t>
            </w:r>
          </w:p>
        </w:tc>
        <w:tc>
          <w:tcPr>
            <w:tcW w:w="2835" w:type="dxa"/>
            <w:tcBorders>
              <w:bottom w:val="single" w:sz="4" w:space="0" w:color="auto"/>
            </w:tcBorders>
          </w:tcPr>
          <w:p w14:paraId="445A79AB" w14:textId="77777777" w:rsidR="0035143A" w:rsidRPr="00574916" w:rsidRDefault="0035143A" w:rsidP="0012134E">
            <w:pPr>
              <w:pStyle w:val="ListParagraph"/>
              <w:spacing w:before="20" w:after="20"/>
              <w:ind w:left="0"/>
              <w:jc w:val="right"/>
              <w:rPr>
                <w:szCs w:val="17"/>
              </w:rPr>
            </w:pPr>
            <w:r w:rsidRPr="00574916">
              <w:rPr>
                <w:szCs w:val="17"/>
              </w:rPr>
              <w:t>No increase</w:t>
            </w:r>
          </w:p>
        </w:tc>
        <w:tc>
          <w:tcPr>
            <w:tcW w:w="2835" w:type="dxa"/>
            <w:tcBorders>
              <w:bottom w:val="single" w:sz="4" w:space="0" w:color="auto"/>
            </w:tcBorders>
          </w:tcPr>
          <w:p w14:paraId="5DFA7088" w14:textId="77777777" w:rsidR="0035143A" w:rsidRPr="00574916" w:rsidRDefault="0035143A" w:rsidP="0012134E">
            <w:pPr>
              <w:pStyle w:val="ListParagraph"/>
              <w:spacing w:before="20" w:after="20"/>
              <w:ind w:left="0"/>
              <w:jc w:val="right"/>
              <w:rPr>
                <w:szCs w:val="17"/>
              </w:rPr>
            </w:pPr>
            <w:r w:rsidRPr="00574916">
              <w:rPr>
                <w:szCs w:val="17"/>
              </w:rPr>
              <w:t>14 December 2021</w:t>
            </w:r>
          </w:p>
        </w:tc>
      </w:tr>
    </w:tbl>
    <w:p w14:paraId="26B1F9BA" w14:textId="77777777" w:rsidR="0035143A" w:rsidRPr="00574916" w:rsidRDefault="0035143A" w:rsidP="009B29CF">
      <w:pPr>
        <w:pStyle w:val="ListParagraph"/>
        <w:numPr>
          <w:ilvl w:val="0"/>
          <w:numId w:val="97"/>
        </w:numPr>
        <w:spacing w:before="80"/>
        <w:ind w:left="357" w:hanging="357"/>
        <w:contextualSpacing w:val="0"/>
        <w:rPr>
          <w:szCs w:val="17"/>
        </w:rPr>
      </w:pPr>
      <w:r w:rsidRPr="00574916">
        <w:rPr>
          <w:szCs w:val="17"/>
        </w:rPr>
        <w:t>The Tribunal is minded to establish a more consistent effective date having regard to the effective dates of salary increase for Commonwealth, State and Territory Judges. The Tribunal is nevertheless mindful that some of the above-mentioned changeability reflected changes in the effective date of salary increases for Commonwealth Judges, and the timings of the Tribunal’s own reviews. The Tribunal also does not purport to bind itself for future reviews. The Tribunal has also noted the potential for proposed increases in remuneration for Federal Court Judges to be disallowed by the Australian Parliament.</w:t>
      </w:r>
    </w:p>
    <w:p w14:paraId="14C62AD1" w14:textId="77777777" w:rsidR="0035143A" w:rsidRPr="00574916" w:rsidRDefault="0035143A" w:rsidP="009B29CF">
      <w:pPr>
        <w:pStyle w:val="ListParagraph"/>
        <w:numPr>
          <w:ilvl w:val="0"/>
          <w:numId w:val="97"/>
        </w:numPr>
        <w:contextualSpacing w:val="0"/>
        <w:rPr>
          <w:szCs w:val="17"/>
        </w:rPr>
      </w:pPr>
      <w:r w:rsidRPr="00574916">
        <w:rPr>
          <w:szCs w:val="17"/>
        </w:rPr>
        <w:t>While the JRCC has this year sought an effective date of 1 October 2022, the underlying submission is that there should not be a substantial (or perhaps any) difference in the effective date between the increase for Commonwealth Judges (and jurisdictions which adopt those increases). In some previous years, the JRCC has submitted that the increase should be backdated to occur on the same date as Commonwealth Judges.</w:t>
      </w:r>
    </w:p>
    <w:p w14:paraId="11654A07" w14:textId="77777777" w:rsidR="0035143A" w:rsidRPr="00574916" w:rsidRDefault="0035143A" w:rsidP="009B29CF">
      <w:pPr>
        <w:pStyle w:val="ListParagraph"/>
        <w:numPr>
          <w:ilvl w:val="0"/>
          <w:numId w:val="97"/>
        </w:numPr>
        <w:contextualSpacing w:val="0"/>
        <w:rPr>
          <w:szCs w:val="17"/>
        </w:rPr>
      </w:pPr>
      <w:r w:rsidRPr="00574916">
        <w:rPr>
          <w:szCs w:val="17"/>
        </w:rPr>
        <w:t>The Tribunal is traditionally cautious about making determinations with significant retrospective effect, but is also of the view that if a reasonable effective date is set this year, then the Tribunal can work towards conducting next year’s review with sufficient time to avoid or minimise retrospectivity should the same effective date be determined for that review.</w:t>
      </w:r>
    </w:p>
    <w:p w14:paraId="75D5A78F" w14:textId="77777777" w:rsidR="0035143A" w:rsidRDefault="0035143A" w:rsidP="009B29CF">
      <w:pPr>
        <w:pStyle w:val="ListParagraph"/>
        <w:numPr>
          <w:ilvl w:val="0"/>
          <w:numId w:val="97"/>
        </w:numPr>
        <w:contextualSpacing w:val="0"/>
        <w:rPr>
          <w:szCs w:val="17"/>
        </w:rPr>
      </w:pPr>
      <w:r w:rsidRPr="00574916">
        <w:rPr>
          <w:szCs w:val="17"/>
        </w:rPr>
        <w:lastRenderedPageBreak/>
        <w:t>For this year’s review, the Tribunal is of the view that 1 September 2022 strikes the right balance. Further, the Tribunal is strongly inclined to the view that if future remuneration increases maintain the national framework approach and the timing of the review for the Commonwealth Judges remains the same, 1 September represents an appropriate date for the application of that approach in South Australia.</w:t>
      </w:r>
    </w:p>
    <w:p w14:paraId="208A21EC" w14:textId="77777777" w:rsidR="0035143A" w:rsidRPr="00574916" w:rsidRDefault="0035143A" w:rsidP="0035143A">
      <w:pPr>
        <w:pStyle w:val="ListParagraph"/>
        <w:keepNext/>
        <w:ind w:left="0"/>
        <w:rPr>
          <w:b/>
          <w:bCs/>
          <w:szCs w:val="17"/>
        </w:rPr>
      </w:pPr>
      <w:r w:rsidRPr="00574916">
        <w:rPr>
          <w:b/>
          <w:bCs/>
          <w:szCs w:val="17"/>
        </w:rPr>
        <w:t>Communication Allowance</w:t>
      </w:r>
    </w:p>
    <w:p w14:paraId="6E440FB5" w14:textId="77777777" w:rsidR="0035143A" w:rsidRPr="00574916" w:rsidRDefault="0035143A" w:rsidP="009B29CF">
      <w:pPr>
        <w:pStyle w:val="ListParagraph"/>
        <w:keepNext/>
        <w:numPr>
          <w:ilvl w:val="0"/>
          <w:numId w:val="97"/>
        </w:numPr>
        <w:contextualSpacing w:val="0"/>
        <w:rPr>
          <w:szCs w:val="17"/>
        </w:rPr>
      </w:pPr>
      <w:r w:rsidRPr="00574916">
        <w:rPr>
          <w:szCs w:val="17"/>
        </w:rPr>
        <w:t>A communication allowance of $1,254 per annum is paid to eligible office holders in respect of their expenditure on mobile and landline telephones, and internet usage, connected with their duties. While this rate was originally set in 2013, the Tribunal has generally reviewed the rate of the allowance each year. This year, based on the information currently before it the Tribunal is not persuaded that an increase is warranted. The information generally available to the Tribunal, does not demonstrate significant increases in communication costs.</w:t>
      </w:r>
    </w:p>
    <w:p w14:paraId="441B7CB4" w14:textId="77777777" w:rsidR="0035143A" w:rsidRPr="00574916" w:rsidRDefault="0035143A" w:rsidP="009B29CF">
      <w:pPr>
        <w:pStyle w:val="ListParagraph"/>
        <w:numPr>
          <w:ilvl w:val="0"/>
          <w:numId w:val="97"/>
        </w:numPr>
        <w:contextualSpacing w:val="0"/>
        <w:rPr>
          <w:szCs w:val="17"/>
        </w:rPr>
      </w:pPr>
      <w:r w:rsidRPr="00574916">
        <w:rPr>
          <w:szCs w:val="17"/>
        </w:rPr>
        <w:t>The Tribunal would be aided, for next year’s review, by information on cost increases over recent years and information about the typical annual costs incurred by office holders on telephones and internet usage.</w:t>
      </w:r>
    </w:p>
    <w:p w14:paraId="6D8BD93C" w14:textId="77777777" w:rsidR="0035143A" w:rsidRPr="00574916" w:rsidRDefault="0035143A" w:rsidP="0035143A">
      <w:pPr>
        <w:pStyle w:val="ListParagraph"/>
        <w:ind w:left="0"/>
        <w:rPr>
          <w:b/>
          <w:bCs/>
          <w:szCs w:val="17"/>
        </w:rPr>
      </w:pPr>
      <w:r w:rsidRPr="00574916">
        <w:rPr>
          <w:b/>
          <w:bCs/>
          <w:szCs w:val="17"/>
        </w:rPr>
        <w:t>Security Allowance</w:t>
      </w:r>
    </w:p>
    <w:p w14:paraId="2919B674" w14:textId="77777777" w:rsidR="0035143A" w:rsidRPr="00574916" w:rsidRDefault="0035143A" w:rsidP="009B29CF">
      <w:pPr>
        <w:pStyle w:val="ListParagraph"/>
        <w:numPr>
          <w:ilvl w:val="0"/>
          <w:numId w:val="97"/>
        </w:numPr>
        <w:contextualSpacing w:val="0"/>
        <w:rPr>
          <w:szCs w:val="17"/>
        </w:rPr>
      </w:pPr>
      <w:r w:rsidRPr="00574916">
        <w:rPr>
          <w:szCs w:val="17"/>
        </w:rPr>
        <w:t>Based on the information available, the Tribunal is not prepared to increase the rate of this allowance. As with the Communication Allowance, the Tribunal would be aided if it had information on what the allowance is currently being spent on and whether the rate of the allowance is sufficient for its designated purpose – noting that it was never the intention for this allowance to cover all possible costs of this nature.</w:t>
      </w:r>
    </w:p>
    <w:p w14:paraId="5A794A18" w14:textId="77777777" w:rsidR="0035143A" w:rsidRPr="00574916" w:rsidRDefault="0035143A" w:rsidP="009B29CF">
      <w:pPr>
        <w:pStyle w:val="ListParagraph"/>
        <w:numPr>
          <w:ilvl w:val="0"/>
          <w:numId w:val="97"/>
        </w:numPr>
        <w:contextualSpacing w:val="0"/>
        <w:rPr>
          <w:szCs w:val="17"/>
        </w:rPr>
      </w:pPr>
      <w:r w:rsidRPr="00574916">
        <w:rPr>
          <w:szCs w:val="17"/>
        </w:rPr>
        <w:t>In recognition of the importance of this allowance, the Tribunal would be willing to review this allowance in the first half of next year if application/s were received with the above-mentioned information. Otherwise, the allowance will be reviewed at the usual time. The Tribunal is attracted to the proposition that payment of this allowance in the future should be contingent on demonstrated actual expenditure on security arrangements.</w:t>
      </w:r>
    </w:p>
    <w:p w14:paraId="7A1C5F45" w14:textId="77777777" w:rsidR="0035143A" w:rsidRPr="00574916" w:rsidRDefault="0035143A" w:rsidP="009B29CF">
      <w:pPr>
        <w:pStyle w:val="ListParagraph"/>
        <w:numPr>
          <w:ilvl w:val="0"/>
          <w:numId w:val="97"/>
        </w:numPr>
        <w:contextualSpacing w:val="0"/>
        <w:rPr>
          <w:szCs w:val="17"/>
        </w:rPr>
      </w:pPr>
      <w:bookmarkStart w:id="71" w:name="_Hlk121138438"/>
      <w:r w:rsidRPr="00574916">
        <w:rPr>
          <w:szCs w:val="17"/>
        </w:rPr>
        <w:t>The Tribunal has considered the submission by the JRCC that part-time office holders should receive the full amount of the allowance as the costs of securing their residences is the same as for full-time office holders. The Tribunal agrees with this submission from the JRCC, and has accordingly determined that part-time office holders will receive the full amount of the security allowance with effect from 1 September 2022.</w:t>
      </w:r>
      <w:bookmarkEnd w:id="71"/>
    </w:p>
    <w:p w14:paraId="2D7FD121" w14:textId="77777777" w:rsidR="0035143A" w:rsidRPr="00A51192" w:rsidRDefault="0035143A" w:rsidP="0035143A">
      <w:pPr>
        <w:pStyle w:val="GG-SDated"/>
      </w:pPr>
      <w:r>
        <w:t>Dated: 14 December 2022</w:t>
      </w:r>
    </w:p>
    <w:p w14:paraId="1B86AA98" w14:textId="77777777" w:rsidR="0035143A" w:rsidRDefault="0035143A" w:rsidP="0035143A">
      <w:pPr>
        <w:pStyle w:val="GG-SName"/>
      </w:pPr>
      <w:r w:rsidRPr="00A51192">
        <w:t>Matthew O’Callaghan</w:t>
      </w:r>
    </w:p>
    <w:p w14:paraId="184B4743" w14:textId="77777777" w:rsidR="0035143A" w:rsidRPr="00A51192" w:rsidRDefault="0035143A" w:rsidP="007F7570">
      <w:pPr>
        <w:pStyle w:val="GG-Signature"/>
        <w:spacing w:after="80"/>
      </w:pPr>
      <w:r w:rsidRPr="00A51192">
        <w:t>President</w:t>
      </w:r>
    </w:p>
    <w:p w14:paraId="1AF9981B" w14:textId="77777777" w:rsidR="0035143A" w:rsidRDefault="0035143A" w:rsidP="0035143A">
      <w:pPr>
        <w:pStyle w:val="GG-SName"/>
      </w:pPr>
      <w:r w:rsidRPr="00A51192">
        <w:t>Deborah Black</w:t>
      </w:r>
    </w:p>
    <w:p w14:paraId="744CF136" w14:textId="77777777" w:rsidR="0035143A" w:rsidRPr="00A51192" w:rsidRDefault="0035143A" w:rsidP="007F7570">
      <w:pPr>
        <w:pStyle w:val="GG-Signature"/>
        <w:spacing w:after="80"/>
      </w:pPr>
      <w:r w:rsidRPr="00A51192">
        <w:t>Member</w:t>
      </w:r>
    </w:p>
    <w:p w14:paraId="46CEA7AB" w14:textId="77777777" w:rsidR="0035143A" w:rsidRPr="00A51192" w:rsidRDefault="0035143A" w:rsidP="0035143A">
      <w:pPr>
        <w:pStyle w:val="GG-SName"/>
      </w:pPr>
      <w:r w:rsidRPr="00A51192">
        <w:t>Peter de Cure AM</w:t>
      </w:r>
    </w:p>
    <w:p w14:paraId="01031920" w14:textId="77777777" w:rsidR="0035143A" w:rsidRDefault="0035143A" w:rsidP="0035143A">
      <w:pPr>
        <w:pStyle w:val="GG-Signature"/>
      </w:pPr>
      <w:r w:rsidRPr="00A51192">
        <w:t>Member</w:t>
      </w:r>
    </w:p>
    <w:p w14:paraId="6EE79778" w14:textId="77777777" w:rsidR="0035143A" w:rsidRDefault="0035143A" w:rsidP="0035143A">
      <w:pPr>
        <w:pStyle w:val="GG-Signature"/>
        <w:pBdr>
          <w:top w:val="single" w:sz="4" w:space="1" w:color="auto"/>
        </w:pBdr>
        <w:spacing w:before="100" w:line="14" w:lineRule="exact"/>
        <w:ind w:left="1080" w:right="1080"/>
        <w:jc w:val="center"/>
      </w:pPr>
    </w:p>
    <w:p w14:paraId="45AAD54C" w14:textId="62E861C3" w:rsidR="0035143A" w:rsidRDefault="0035143A" w:rsidP="0035143A">
      <w:pPr>
        <w:spacing w:after="0" w:line="240" w:lineRule="auto"/>
        <w:jc w:val="left"/>
        <w:rPr>
          <w:rFonts w:eastAsia="Times New Roman"/>
          <w:szCs w:val="17"/>
        </w:rPr>
      </w:pPr>
    </w:p>
    <w:p w14:paraId="45C5AFFB" w14:textId="77777777" w:rsidR="0035143A" w:rsidRPr="004F33B9" w:rsidRDefault="0035143A" w:rsidP="0035143A">
      <w:pPr>
        <w:pStyle w:val="GG-Title1"/>
      </w:pPr>
      <w:r w:rsidRPr="004F33B9">
        <w:t>The Remuneration Tribunal</w:t>
      </w:r>
    </w:p>
    <w:p w14:paraId="4BFD1530" w14:textId="77777777" w:rsidR="0035143A" w:rsidRPr="00A51192" w:rsidRDefault="0035143A" w:rsidP="0035143A">
      <w:pPr>
        <w:pStyle w:val="GG-Title2"/>
      </w:pPr>
      <w:r>
        <w:t>Determination—</w:t>
      </w:r>
      <w:r w:rsidRPr="00A51192">
        <w:t xml:space="preserve">No. </w:t>
      </w:r>
      <w:r>
        <w:t>7</w:t>
      </w:r>
      <w:r w:rsidRPr="00A51192">
        <w:t xml:space="preserve"> </w:t>
      </w:r>
      <w:r>
        <w:t>o</w:t>
      </w:r>
      <w:r w:rsidRPr="00A51192">
        <w:t>f 2022</w:t>
      </w:r>
    </w:p>
    <w:p w14:paraId="4722A695" w14:textId="77777777" w:rsidR="0035143A" w:rsidRPr="003E4849" w:rsidRDefault="0035143A" w:rsidP="0035143A">
      <w:pPr>
        <w:pStyle w:val="GG-Title3"/>
      </w:pPr>
      <w:r w:rsidRPr="003E4849">
        <w:t>Remuneration of Members of the Judiciary,</w:t>
      </w:r>
      <w:r>
        <w:t xml:space="preserve"> </w:t>
      </w:r>
      <w:r w:rsidRPr="003E4849">
        <w:t xml:space="preserve">Presidential Members of the SAET, </w:t>
      </w:r>
      <w:r>
        <w:br/>
      </w:r>
      <w:r w:rsidRPr="003E4849">
        <w:t>Presidential Members of the SACAT, the State Coroner, and Commissioners of the Environment, Resources and Development Court</w:t>
      </w:r>
    </w:p>
    <w:p w14:paraId="175D7B4C" w14:textId="77777777" w:rsidR="0035143A" w:rsidRDefault="0035143A" w:rsidP="0035143A">
      <w:pPr>
        <w:pStyle w:val="GG-Title2"/>
        <w:jc w:val="left"/>
        <w:rPr>
          <w:b/>
          <w:bCs/>
        </w:rPr>
      </w:pPr>
      <w:r w:rsidRPr="004627E2">
        <w:rPr>
          <w:b/>
          <w:bCs/>
        </w:rPr>
        <w:t>Determination</w:t>
      </w:r>
    </w:p>
    <w:p w14:paraId="784FCBED" w14:textId="77777777" w:rsidR="0035143A" w:rsidRPr="004627E2" w:rsidRDefault="0035143A" w:rsidP="0035143A">
      <w:pPr>
        <w:pStyle w:val="GG-body"/>
        <w:rPr>
          <w:b/>
          <w:bCs/>
        </w:rPr>
      </w:pPr>
      <w:r w:rsidRPr="004627E2">
        <w:rPr>
          <w:b/>
          <w:bCs/>
        </w:rPr>
        <w:t>SCOPE OF DETERMINATION</w:t>
      </w:r>
    </w:p>
    <w:p w14:paraId="284F4194" w14:textId="77777777" w:rsidR="0035143A" w:rsidRPr="00F8767B" w:rsidRDefault="0035143A" w:rsidP="009B29CF">
      <w:pPr>
        <w:pStyle w:val="GG-body"/>
        <w:numPr>
          <w:ilvl w:val="0"/>
          <w:numId w:val="98"/>
        </w:numPr>
      </w:pPr>
      <w:r w:rsidRPr="00945232">
        <w:t xml:space="preserve">This Determination sets out the remuneration payable to the holders of public offices listed in section 13 of the </w:t>
      </w:r>
      <w:r w:rsidRPr="00945232">
        <w:rPr>
          <w:i/>
        </w:rPr>
        <w:t xml:space="preserve">Remuneration Act 1990 </w:t>
      </w:r>
      <w:r w:rsidRPr="00945232">
        <w:t>(</w:t>
      </w:r>
      <w:r w:rsidRPr="00945232">
        <w:rPr>
          <w:b/>
          <w:bCs/>
        </w:rPr>
        <w:t>Act</w:t>
      </w:r>
      <w:r w:rsidRPr="00945232">
        <w:t>), and the remuneration payable to certain specified statutory office holders where such jurisdiction is conferred under section 14 of the Act</w:t>
      </w:r>
      <w:r w:rsidRPr="00F8767B">
        <w:t>.</w:t>
      </w:r>
    </w:p>
    <w:p w14:paraId="0393959F" w14:textId="77777777" w:rsidR="0035143A" w:rsidRPr="003E4849" w:rsidRDefault="0035143A" w:rsidP="0035143A">
      <w:pPr>
        <w:pStyle w:val="GG-body"/>
        <w:rPr>
          <w:b/>
          <w:bCs/>
        </w:rPr>
      </w:pPr>
      <w:r w:rsidRPr="003E4849">
        <w:rPr>
          <w:b/>
          <w:bCs/>
        </w:rPr>
        <w:t>SALARY</w:t>
      </w:r>
    </w:p>
    <w:p w14:paraId="4FDFB9D8" w14:textId="77777777" w:rsidR="0035143A" w:rsidRPr="003E4849" w:rsidRDefault="0035143A" w:rsidP="009B29CF">
      <w:pPr>
        <w:pStyle w:val="GG-body"/>
        <w:numPr>
          <w:ilvl w:val="0"/>
          <w:numId w:val="98"/>
        </w:numPr>
      </w:pPr>
      <w:r w:rsidRPr="003E4849">
        <w:t>Members of the Judiciary</w:t>
      </w:r>
    </w:p>
    <w:p w14:paraId="54E97F71" w14:textId="77777777" w:rsidR="0035143A" w:rsidRPr="003E4849" w:rsidRDefault="0035143A" w:rsidP="009B29CF">
      <w:pPr>
        <w:pStyle w:val="GG-body"/>
        <w:numPr>
          <w:ilvl w:val="1"/>
          <w:numId w:val="98"/>
        </w:numPr>
      </w:pPr>
      <w:r w:rsidRPr="003E4849">
        <w:t>Annual salaries for the following members of the judiciary will be:</w:t>
      </w:r>
    </w:p>
    <w:tbl>
      <w:tblPr>
        <w:tblpPr w:leftFromText="180" w:rightFromText="180" w:vertAnchor="text" w:tblpX="710" w:tblpY="1"/>
        <w:tblOverlap w:val="never"/>
        <w:tblW w:w="8829" w:type="dxa"/>
        <w:tblLayout w:type="fixed"/>
        <w:tblLook w:val="04A0" w:firstRow="1" w:lastRow="0" w:firstColumn="1" w:lastColumn="0" w:noHBand="0" w:noVBand="1"/>
      </w:tblPr>
      <w:tblGrid>
        <w:gridCol w:w="6804"/>
        <w:gridCol w:w="2025"/>
      </w:tblGrid>
      <w:tr w:rsidR="0035143A" w:rsidRPr="003E4849" w14:paraId="31196A80" w14:textId="77777777" w:rsidTr="0012134E">
        <w:tc>
          <w:tcPr>
            <w:tcW w:w="6804" w:type="dxa"/>
          </w:tcPr>
          <w:p w14:paraId="1CCAE214" w14:textId="77777777" w:rsidR="0035143A" w:rsidRPr="003E4849" w:rsidRDefault="0035143A" w:rsidP="0012134E">
            <w:pPr>
              <w:pStyle w:val="GG-SDated"/>
            </w:pPr>
          </w:p>
        </w:tc>
        <w:tc>
          <w:tcPr>
            <w:tcW w:w="2025" w:type="dxa"/>
            <w:shd w:val="clear" w:color="auto" w:fill="auto"/>
          </w:tcPr>
          <w:p w14:paraId="2E4FCC71" w14:textId="77777777" w:rsidR="0035143A" w:rsidRPr="003E4849" w:rsidRDefault="0035143A" w:rsidP="0012134E">
            <w:pPr>
              <w:pStyle w:val="GG-SDated"/>
              <w:ind w:right="356"/>
              <w:jc w:val="right"/>
            </w:pPr>
            <w:r w:rsidRPr="003E4849">
              <w:t>per annum</w:t>
            </w:r>
          </w:p>
          <w:p w14:paraId="4662E736" w14:textId="77777777" w:rsidR="0035143A" w:rsidRPr="003E4849" w:rsidRDefault="0035143A" w:rsidP="0012134E">
            <w:pPr>
              <w:pStyle w:val="GG-SDated"/>
              <w:ind w:right="356"/>
              <w:jc w:val="right"/>
            </w:pPr>
            <w:r w:rsidRPr="003E4849">
              <w:t>operative</w:t>
            </w:r>
            <w:r w:rsidRPr="003E4849">
              <w:br/>
              <w:t>1 September 2022</w:t>
            </w:r>
          </w:p>
          <w:p w14:paraId="5B4CEC7D" w14:textId="77777777" w:rsidR="0035143A" w:rsidRPr="003E4849" w:rsidRDefault="0035143A" w:rsidP="0012134E">
            <w:pPr>
              <w:pStyle w:val="GG-SDated"/>
            </w:pPr>
          </w:p>
        </w:tc>
      </w:tr>
      <w:tr w:rsidR="0035143A" w:rsidRPr="003E4849" w14:paraId="625B662E" w14:textId="77777777" w:rsidTr="0012134E">
        <w:tc>
          <w:tcPr>
            <w:tcW w:w="6804" w:type="dxa"/>
            <w:hideMark/>
          </w:tcPr>
          <w:p w14:paraId="37178A57" w14:textId="77777777" w:rsidR="0035143A" w:rsidRPr="003E4849" w:rsidRDefault="0035143A" w:rsidP="0012134E">
            <w:pPr>
              <w:pStyle w:val="GG-SDated"/>
            </w:pPr>
            <w:r w:rsidRPr="003E4849">
              <w:t>Chief Justice of the Supreme Court………………………………</w:t>
            </w:r>
          </w:p>
        </w:tc>
        <w:tc>
          <w:tcPr>
            <w:tcW w:w="2025" w:type="dxa"/>
            <w:shd w:val="clear" w:color="auto" w:fill="auto"/>
            <w:vAlign w:val="bottom"/>
            <w:hideMark/>
          </w:tcPr>
          <w:p w14:paraId="1D22FD48" w14:textId="77777777" w:rsidR="0035143A" w:rsidRPr="003E4849" w:rsidRDefault="0035143A" w:rsidP="0012134E">
            <w:pPr>
              <w:pStyle w:val="GG-SDated"/>
            </w:pPr>
            <w:r w:rsidRPr="003E4849">
              <w:t>……………$538,560</w:t>
            </w:r>
          </w:p>
        </w:tc>
      </w:tr>
      <w:tr w:rsidR="0035143A" w:rsidRPr="003E4849" w14:paraId="45E0EB8C" w14:textId="77777777" w:rsidTr="0012134E">
        <w:tc>
          <w:tcPr>
            <w:tcW w:w="6804" w:type="dxa"/>
            <w:hideMark/>
          </w:tcPr>
          <w:p w14:paraId="676BE74C" w14:textId="77777777" w:rsidR="0035143A" w:rsidRPr="003E4849" w:rsidRDefault="0035143A" w:rsidP="0012134E">
            <w:pPr>
              <w:pStyle w:val="GG-SDated"/>
            </w:pPr>
            <w:r w:rsidRPr="003E4849">
              <w:t>President of the Court of Appeal………………………………….</w:t>
            </w:r>
          </w:p>
        </w:tc>
        <w:tc>
          <w:tcPr>
            <w:tcW w:w="2025" w:type="dxa"/>
            <w:shd w:val="clear" w:color="auto" w:fill="auto"/>
            <w:vAlign w:val="bottom"/>
            <w:hideMark/>
          </w:tcPr>
          <w:p w14:paraId="319540BA" w14:textId="77777777" w:rsidR="0035143A" w:rsidRPr="003E4849" w:rsidRDefault="0035143A" w:rsidP="0012134E">
            <w:pPr>
              <w:pStyle w:val="GG-SDated"/>
            </w:pPr>
            <w:r w:rsidRPr="003E4849">
              <w:t>……………$504,090</w:t>
            </w:r>
          </w:p>
        </w:tc>
      </w:tr>
      <w:tr w:rsidR="0035143A" w:rsidRPr="003E4849" w14:paraId="11D12D24" w14:textId="77777777" w:rsidTr="0012134E">
        <w:tc>
          <w:tcPr>
            <w:tcW w:w="6804" w:type="dxa"/>
          </w:tcPr>
          <w:p w14:paraId="60B93ABD" w14:textId="77777777" w:rsidR="0035143A" w:rsidRPr="003E4849" w:rsidRDefault="0035143A" w:rsidP="0012134E">
            <w:pPr>
              <w:pStyle w:val="GG-SDated"/>
            </w:pPr>
            <w:r w:rsidRPr="003E4849">
              <w:t>Puisne Judges of the Court of Appeal……………………………</w:t>
            </w:r>
          </w:p>
        </w:tc>
        <w:tc>
          <w:tcPr>
            <w:tcW w:w="2025" w:type="dxa"/>
            <w:shd w:val="clear" w:color="auto" w:fill="auto"/>
            <w:vAlign w:val="bottom"/>
          </w:tcPr>
          <w:p w14:paraId="3D0F5F8B" w14:textId="77777777" w:rsidR="0035143A" w:rsidRPr="003E4849" w:rsidRDefault="0035143A" w:rsidP="0012134E">
            <w:pPr>
              <w:pStyle w:val="GG-SDated"/>
            </w:pPr>
            <w:r w:rsidRPr="003E4849">
              <w:t>……………$495,320</w:t>
            </w:r>
          </w:p>
        </w:tc>
      </w:tr>
      <w:tr w:rsidR="0035143A" w:rsidRPr="003E4849" w14:paraId="16FED6EE" w14:textId="77777777" w:rsidTr="0012134E">
        <w:tc>
          <w:tcPr>
            <w:tcW w:w="6804" w:type="dxa"/>
          </w:tcPr>
          <w:p w14:paraId="20BD8929" w14:textId="77777777" w:rsidR="0035143A" w:rsidRPr="003E4849" w:rsidRDefault="0035143A" w:rsidP="0012134E">
            <w:pPr>
              <w:pStyle w:val="GG-SDated"/>
            </w:pPr>
            <w:r w:rsidRPr="003E4849">
              <w:t>Puisne Judges of the Supreme Court……………………………</w:t>
            </w:r>
          </w:p>
        </w:tc>
        <w:tc>
          <w:tcPr>
            <w:tcW w:w="2025" w:type="dxa"/>
            <w:shd w:val="clear" w:color="auto" w:fill="auto"/>
            <w:vAlign w:val="bottom"/>
          </w:tcPr>
          <w:p w14:paraId="22439D86" w14:textId="77777777" w:rsidR="0035143A" w:rsidRPr="003E4849" w:rsidRDefault="0035143A" w:rsidP="0012134E">
            <w:pPr>
              <w:pStyle w:val="GG-SDated"/>
            </w:pPr>
            <w:r w:rsidRPr="003E4849">
              <w:t>……………$480,900</w:t>
            </w:r>
          </w:p>
        </w:tc>
      </w:tr>
      <w:tr w:rsidR="0035143A" w:rsidRPr="003E4849" w14:paraId="1E7AB0FF" w14:textId="77777777" w:rsidTr="0012134E">
        <w:tc>
          <w:tcPr>
            <w:tcW w:w="6804" w:type="dxa"/>
            <w:hideMark/>
          </w:tcPr>
          <w:p w14:paraId="4988133F" w14:textId="77777777" w:rsidR="0035143A" w:rsidRPr="003E4849" w:rsidRDefault="0035143A" w:rsidP="0012134E">
            <w:pPr>
              <w:pStyle w:val="GG-SDated"/>
            </w:pPr>
            <w:r w:rsidRPr="003E4849">
              <w:t>Masters of the Supreme Court…………………………………….</w:t>
            </w:r>
          </w:p>
        </w:tc>
        <w:tc>
          <w:tcPr>
            <w:tcW w:w="2025" w:type="dxa"/>
            <w:shd w:val="clear" w:color="auto" w:fill="auto"/>
            <w:vAlign w:val="bottom"/>
            <w:hideMark/>
          </w:tcPr>
          <w:p w14:paraId="045726DD" w14:textId="77777777" w:rsidR="0035143A" w:rsidRPr="003E4849" w:rsidRDefault="0035143A" w:rsidP="0012134E">
            <w:pPr>
              <w:pStyle w:val="GG-SDated"/>
            </w:pPr>
            <w:r w:rsidRPr="003E4849">
              <w:t>……………$424,670</w:t>
            </w:r>
          </w:p>
        </w:tc>
      </w:tr>
      <w:tr w:rsidR="0035143A" w:rsidRPr="003E4849" w14:paraId="03ABC10D" w14:textId="77777777" w:rsidTr="0012134E">
        <w:tc>
          <w:tcPr>
            <w:tcW w:w="6804" w:type="dxa"/>
            <w:hideMark/>
          </w:tcPr>
          <w:p w14:paraId="63E4EFC4" w14:textId="77777777" w:rsidR="0035143A" w:rsidRPr="003E4849" w:rsidRDefault="0035143A" w:rsidP="0012134E">
            <w:pPr>
              <w:pStyle w:val="GG-SDated"/>
            </w:pPr>
            <w:r w:rsidRPr="003E4849">
              <w:t>Chief Judge of the District Court…………………………………..</w:t>
            </w:r>
          </w:p>
        </w:tc>
        <w:tc>
          <w:tcPr>
            <w:tcW w:w="2025" w:type="dxa"/>
            <w:shd w:val="clear" w:color="auto" w:fill="auto"/>
            <w:vAlign w:val="bottom"/>
            <w:hideMark/>
          </w:tcPr>
          <w:p w14:paraId="60CF16D5" w14:textId="77777777" w:rsidR="0035143A" w:rsidRPr="003E4849" w:rsidRDefault="0035143A" w:rsidP="0012134E">
            <w:pPr>
              <w:pStyle w:val="GG-SDated"/>
            </w:pPr>
            <w:r w:rsidRPr="003E4849">
              <w:t>……………$480,900</w:t>
            </w:r>
          </w:p>
        </w:tc>
      </w:tr>
      <w:tr w:rsidR="0035143A" w:rsidRPr="003E4849" w14:paraId="408EB5D0" w14:textId="77777777" w:rsidTr="0012134E">
        <w:tc>
          <w:tcPr>
            <w:tcW w:w="6804" w:type="dxa"/>
            <w:hideMark/>
          </w:tcPr>
          <w:p w14:paraId="6F19B0C3" w14:textId="77777777" w:rsidR="0035143A" w:rsidRPr="003E4849" w:rsidRDefault="0035143A" w:rsidP="0012134E">
            <w:pPr>
              <w:pStyle w:val="GG-SDated"/>
            </w:pPr>
            <w:r w:rsidRPr="003E4849">
              <w:t>Other District Court Judges……………………………………….</w:t>
            </w:r>
          </w:p>
        </w:tc>
        <w:tc>
          <w:tcPr>
            <w:tcW w:w="2025" w:type="dxa"/>
            <w:shd w:val="clear" w:color="auto" w:fill="auto"/>
            <w:vAlign w:val="bottom"/>
            <w:hideMark/>
          </w:tcPr>
          <w:p w14:paraId="479F2D03" w14:textId="77777777" w:rsidR="0035143A" w:rsidRPr="003E4849" w:rsidRDefault="0035143A" w:rsidP="0012134E">
            <w:pPr>
              <w:pStyle w:val="GG-SDated"/>
            </w:pPr>
            <w:r w:rsidRPr="003E4849">
              <w:t>……………$424,670</w:t>
            </w:r>
          </w:p>
        </w:tc>
      </w:tr>
      <w:tr w:rsidR="0035143A" w:rsidRPr="003E4849" w14:paraId="30F4D43C" w14:textId="77777777" w:rsidTr="0012134E">
        <w:tc>
          <w:tcPr>
            <w:tcW w:w="6804" w:type="dxa"/>
            <w:hideMark/>
          </w:tcPr>
          <w:p w14:paraId="3DE1D1B7" w14:textId="77777777" w:rsidR="0035143A" w:rsidRPr="003E4849" w:rsidRDefault="0035143A" w:rsidP="0012134E">
            <w:pPr>
              <w:pStyle w:val="GG-SDated"/>
            </w:pPr>
            <w:r w:rsidRPr="003E4849">
              <w:t>Masters of the District Court……………………………………….</w:t>
            </w:r>
          </w:p>
        </w:tc>
        <w:tc>
          <w:tcPr>
            <w:tcW w:w="2025" w:type="dxa"/>
            <w:shd w:val="clear" w:color="auto" w:fill="auto"/>
            <w:vAlign w:val="bottom"/>
            <w:hideMark/>
          </w:tcPr>
          <w:p w14:paraId="1B373B90" w14:textId="77777777" w:rsidR="0035143A" w:rsidRPr="003E4849" w:rsidRDefault="0035143A" w:rsidP="0012134E">
            <w:pPr>
              <w:pStyle w:val="GG-SDated"/>
            </w:pPr>
            <w:r w:rsidRPr="003E4849">
              <w:t>……………$375,050</w:t>
            </w:r>
          </w:p>
        </w:tc>
      </w:tr>
      <w:tr w:rsidR="0035143A" w:rsidRPr="003E4849" w14:paraId="2A67BD3C" w14:textId="77777777" w:rsidTr="0012134E">
        <w:tc>
          <w:tcPr>
            <w:tcW w:w="6804" w:type="dxa"/>
            <w:hideMark/>
          </w:tcPr>
          <w:p w14:paraId="3B7EE23B" w14:textId="77777777" w:rsidR="0035143A" w:rsidRPr="003E4849" w:rsidRDefault="0035143A" w:rsidP="0012134E">
            <w:pPr>
              <w:pStyle w:val="GG-SDated"/>
            </w:pPr>
            <w:r w:rsidRPr="003E4849">
              <w:t>Chief Magistrate</w:t>
            </w:r>
            <w:r w:rsidRPr="003E4849">
              <w:rPr>
                <w:vertAlign w:val="superscript"/>
              </w:rPr>
              <w:t></w:t>
            </w:r>
            <w:r w:rsidRPr="003E4849">
              <w:t>…………………………………………………..</w:t>
            </w:r>
          </w:p>
        </w:tc>
        <w:tc>
          <w:tcPr>
            <w:tcW w:w="2025" w:type="dxa"/>
            <w:shd w:val="clear" w:color="auto" w:fill="auto"/>
            <w:vAlign w:val="bottom"/>
            <w:hideMark/>
          </w:tcPr>
          <w:p w14:paraId="0DB9C282" w14:textId="77777777" w:rsidR="0035143A" w:rsidRPr="003E4849" w:rsidRDefault="0035143A" w:rsidP="0012134E">
            <w:pPr>
              <w:pStyle w:val="GG-SDated"/>
            </w:pPr>
            <w:r w:rsidRPr="003E4849">
              <w:t>……………$407,090</w:t>
            </w:r>
          </w:p>
        </w:tc>
      </w:tr>
      <w:tr w:rsidR="0035143A" w:rsidRPr="003E4849" w14:paraId="2A09FEAD" w14:textId="77777777" w:rsidTr="0012134E">
        <w:tc>
          <w:tcPr>
            <w:tcW w:w="6804" w:type="dxa"/>
            <w:hideMark/>
          </w:tcPr>
          <w:p w14:paraId="68D36FA0" w14:textId="77777777" w:rsidR="0035143A" w:rsidRPr="003E4849" w:rsidRDefault="0035143A" w:rsidP="0012134E">
            <w:pPr>
              <w:pStyle w:val="GG-SDated"/>
            </w:pPr>
            <w:r w:rsidRPr="003E4849">
              <w:t>Supervising Magistrates…………………………………………..</w:t>
            </w:r>
          </w:p>
        </w:tc>
        <w:tc>
          <w:tcPr>
            <w:tcW w:w="2025" w:type="dxa"/>
            <w:shd w:val="clear" w:color="auto" w:fill="auto"/>
            <w:vAlign w:val="bottom"/>
            <w:hideMark/>
          </w:tcPr>
          <w:p w14:paraId="126E3C3F" w14:textId="77777777" w:rsidR="0035143A" w:rsidRPr="003E4849" w:rsidRDefault="0035143A" w:rsidP="0012134E">
            <w:pPr>
              <w:pStyle w:val="GG-SDated"/>
            </w:pPr>
            <w:r w:rsidRPr="003E4849">
              <w:t>……………$370,070</w:t>
            </w:r>
          </w:p>
        </w:tc>
      </w:tr>
      <w:tr w:rsidR="0035143A" w:rsidRPr="003E4849" w14:paraId="5ABE6C25" w14:textId="77777777" w:rsidTr="0012134E">
        <w:tc>
          <w:tcPr>
            <w:tcW w:w="6804" w:type="dxa"/>
            <w:hideMark/>
          </w:tcPr>
          <w:p w14:paraId="5C7BF8C1" w14:textId="77777777" w:rsidR="0035143A" w:rsidRPr="003E4849" w:rsidRDefault="0035143A" w:rsidP="0012134E">
            <w:pPr>
              <w:pStyle w:val="GG-SDated"/>
              <w:jc w:val="left"/>
            </w:pPr>
            <w:r w:rsidRPr="003E4849">
              <w:t>Assistant Supervising Magistrate of the Adelaide Magistrates Court………………………………………………………………...</w:t>
            </w:r>
          </w:p>
        </w:tc>
        <w:tc>
          <w:tcPr>
            <w:tcW w:w="2025" w:type="dxa"/>
            <w:shd w:val="clear" w:color="auto" w:fill="auto"/>
            <w:vAlign w:val="bottom"/>
            <w:hideMark/>
          </w:tcPr>
          <w:p w14:paraId="1B02F003" w14:textId="77777777" w:rsidR="0035143A" w:rsidRPr="003E4849" w:rsidRDefault="0035143A" w:rsidP="0012134E">
            <w:pPr>
              <w:pStyle w:val="GG-SDated"/>
            </w:pPr>
            <w:r w:rsidRPr="003E4849">
              <w:t>……………$362,670</w:t>
            </w:r>
          </w:p>
        </w:tc>
      </w:tr>
      <w:tr w:rsidR="0035143A" w:rsidRPr="003E4849" w14:paraId="2AE36ED5" w14:textId="77777777" w:rsidTr="0012134E">
        <w:tc>
          <w:tcPr>
            <w:tcW w:w="6804" w:type="dxa"/>
            <w:hideMark/>
          </w:tcPr>
          <w:p w14:paraId="5647A51A" w14:textId="77777777" w:rsidR="0035143A" w:rsidRPr="003E4849" w:rsidRDefault="0035143A" w:rsidP="0012134E">
            <w:pPr>
              <w:pStyle w:val="GG-SDated"/>
            </w:pPr>
            <w:r w:rsidRPr="003E4849">
              <w:t>Magistrates…………………………………………………………</w:t>
            </w:r>
          </w:p>
        </w:tc>
        <w:tc>
          <w:tcPr>
            <w:tcW w:w="2025" w:type="dxa"/>
            <w:shd w:val="clear" w:color="auto" w:fill="auto"/>
            <w:vAlign w:val="bottom"/>
            <w:hideMark/>
          </w:tcPr>
          <w:p w14:paraId="1595B23C" w14:textId="77777777" w:rsidR="0035143A" w:rsidRPr="003E4849" w:rsidRDefault="0035143A" w:rsidP="0012134E">
            <w:pPr>
              <w:pStyle w:val="GG-SDated"/>
            </w:pPr>
            <w:r w:rsidRPr="003E4849">
              <w:t>……………$345,000</w:t>
            </w:r>
          </w:p>
        </w:tc>
      </w:tr>
      <w:tr w:rsidR="0035143A" w:rsidRPr="003E4849" w14:paraId="2B6C790A" w14:textId="77777777" w:rsidTr="0012134E">
        <w:tc>
          <w:tcPr>
            <w:tcW w:w="6804" w:type="dxa"/>
          </w:tcPr>
          <w:p w14:paraId="721F9C58" w14:textId="77777777" w:rsidR="0035143A" w:rsidRPr="003E4849" w:rsidRDefault="0035143A" w:rsidP="0012134E">
            <w:pPr>
              <w:pStyle w:val="GG-SDated"/>
            </w:pPr>
          </w:p>
        </w:tc>
        <w:tc>
          <w:tcPr>
            <w:tcW w:w="2025" w:type="dxa"/>
            <w:shd w:val="clear" w:color="auto" w:fill="auto"/>
            <w:vAlign w:val="bottom"/>
          </w:tcPr>
          <w:p w14:paraId="41BDDA4C" w14:textId="77777777" w:rsidR="0035143A" w:rsidRPr="003E4849" w:rsidRDefault="0035143A" w:rsidP="0012134E">
            <w:pPr>
              <w:pStyle w:val="GG-SDated"/>
            </w:pPr>
          </w:p>
        </w:tc>
      </w:tr>
      <w:tr w:rsidR="0035143A" w:rsidRPr="003E4849" w14:paraId="75011FAF" w14:textId="77777777" w:rsidTr="0012134E">
        <w:tc>
          <w:tcPr>
            <w:tcW w:w="6804" w:type="dxa"/>
          </w:tcPr>
          <w:p w14:paraId="7B6C4FE4" w14:textId="77777777" w:rsidR="0035143A" w:rsidRPr="003E4849" w:rsidRDefault="0035143A" w:rsidP="0012134E">
            <w:pPr>
              <w:pStyle w:val="GG-SDated"/>
            </w:pPr>
            <w:r w:rsidRPr="003E4849">
              <w:t xml:space="preserve">Magistrate appointed Warden under the </w:t>
            </w:r>
            <w:r w:rsidRPr="003E4849">
              <w:rPr>
                <w:i/>
              </w:rPr>
              <w:t>Mining Act 1971</w:t>
            </w:r>
            <w:r w:rsidRPr="003E4849">
              <w:t xml:space="preserve"> as amended and performing the duties of Senior Warden paid the salary shown for as long as that person continues to perform such duties.</w:t>
            </w:r>
          </w:p>
          <w:p w14:paraId="0541E72D" w14:textId="77777777" w:rsidR="0035143A" w:rsidRPr="003E4849" w:rsidRDefault="0035143A" w:rsidP="0012134E">
            <w:pPr>
              <w:pStyle w:val="GG-SDated"/>
            </w:pPr>
          </w:p>
        </w:tc>
        <w:tc>
          <w:tcPr>
            <w:tcW w:w="2025" w:type="dxa"/>
            <w:shd w:val="clear" w:color="auto" w:fill="auto"/>
          </w:tcPr>
          <w:p w14:paraId="4C4E5AE0" w14:textId="77777777" w:rsidR="0035143A" w:rsidRPr="003E4849" w:rsidRDefault="0035143A" w:rsidP="0012134E">
            <w:pPr>
              <w:pStyle w:val="GG-SDated"/>
            </w:pPr>
            <w:r w:rsidRPr="003E4849">
              <w:t>……………$363,520</w:t>
            </w:r>
          </w:p>
        </w:tc>
      </w:tr>
      <w:tr w:rsidR="0035143A" w:rsidRPr="003E4849" w14:paraId="4C6076AB" w14:textId="77777777" w:rsidTr="0012134E">
        <w:tc>
          <w:tcPr>
            <w:tcW w:w="6804" w:type="dxa"/>
            <w:shd w:val="clear" w:color="auto" w:fill="auto"/>
            <w:hideMark/>
          </w:tcPr>
          <w:p w14:paraId="47297462" w14:textId="77777777" w:rsidR="0035143A" w:rsidRPr="003E4849" w:rsidRDefault="0035143A" w:rsidP="0012134E">
            <w:pPr>
              <w:pStyle w:val="GG-SDated"/>
              <w:rPr>
                <w:iCs/>
              </w:rPr>
            </w:pPr>
            <w:r w:rsidRPr="003E4849">
              <w:rPr>
                <w:vertAlign w:val="superscript"/>
              </w:rPr>
              <w:t></w:t>
            </w:r>
            <w:r w:rsidRPr="003E4849">
              <w:rPr>
                <w:iCs/>
              </w:rPr>
              <w:t xml:space="preserve">A judicial officer who is appointed to the office of the Chief Magistrate whose primary office is a Judge of the District Court is entitled to the salary of a District Court Judge, as prescribed by section 6A of the </w:t>
            </w:r>
            <w:r w:rsidRPr="003E4849">
              <w:rPr>
                <w:i/>
                <w:iCs/>
              </w:rPr>
              <w:t>Magistrates Act 1983</w:t>
            </w:r>
            <w:r w:rsidRPr="003E4849">
              <w:rPr>
                <w:iCs/>
              </w:rPr>
              <w:t xml:space="preserve"> and section 6 of the </w:t>
            </w:r>
            <w:r w:rsidRPr="003E4849">
              <w:rPr>
                <w:i/>
                <w:iCs/>
              </w:rPr>
              <w:t>Judicial Administration (Auxiliary Appointments and Powers) Act 1988</w:t>
            </w:r>
            <w:r w:rsidRPr="003E4849">
              <w:rPr>
                <w:iCs/>
              </w:rPr>
              <w:t>.</w:t>
            </w:r>
          </w:p>
          <w:p w14:paraId="1C62BE87" w14:textId="77777777" w:rsidR="0035143A" w:rsidRPr="003E4849" w:rsidRDefault="0035143A" w:rsidP="0012134E">
            <w:pPr>
              <w:pStyle w:val="GG-SDated"/>
            </w:pPr>
          </w:p>
        </w:tc>
        <w:tc>
          <w:tcPr>
            <w:tcW w:w="2025" w:type="dxa"/>
            <w:shd w:val="clear" w:color="auto" w:fill="auto"/>
            <w:hideMark/>
          </w:tcPr>
          <w:p w14:paraId="1333FC3D" w14:textId="77777777" w:rsidR="0035143A" w:rsidRPr="003E4849" w:rsidRDefault="0035143A" w:rsidP="0012134E">
            <w:pPr>
              <w:pStyle w:val="GG-SDated"/>
            </w:pPr>
          </w:p>
        </w:tc>
      </w:tr>
    </w:tbl>
    <w:p w14:paraId="2BB5550A" w14:textId="77777777" w:rsidR="0035143A" w:rsidRPr="003E4849" w:rsidRDefault="0035143A" w:rsidP="0035143A">
      <w:pPr>
        <w:pStyle w:val="GG-SDated"/>
      </w:pPr>
    </w:p>
    <w:p w14:paraId="668C2F15" w14:textId="77777777" w:rsidR="0035143A" w:rsidRPr="003E4849" w:rsidRDefault="0035143A" w:rsidP="009B29CF">
      <w:pPr>
        <w:pStyle w:val="GG-body"/>
        <w:numPr>
          <w:ilvl w:val="1"/>
          <w:numId w:val="98"/>
        </w:numPr>
      </w:pPr>
      <w:r w:rsidRPr="003E4849">
        <w:lastRenderedPageBreak/>
        <w:t>Where a person is appointed as Acting Chief Justice of the Supreme Court or as Acting Chief Judge of the District Court and such appointment extends for a continuous period of more than one week, the person appointed shall be paid a salary equal to the salary specified herein for the Chief Justice or the Chief Judge, as appropriate, for the whole of the period the appointment is in effect.</w:t>
      </w:r>
    </w:p>
    <w:p w14:paraId="2AF7194A" w14:textId="77777777" w:rsidR="0035143A" w:rsidRPr="003E4849" w:rsidRDefault="0035143A" w:rsidP="009B29CF">
      <w:pPr>
        <w:pStyle w:val="GG-body"/>
        <w:numPr>
          <w:ilvl w:val="1"/>
          <w:numId w:val="98"/>
        </w:numPr>
      </w:pPr>
      <w:r w:rsidRPr="003E4849">
        <w:t>Annual allowances for the following members of the judiciary will be as follows, and shall be payable in addition to any entitlement to salary under this Determination:</w:t>
      </w:r>
    </w:p>
    <w:tbl>
      <w:tblPr>
        <w:tblW w:w="8647" w:type="dxa"/>
        <w:tblInd w:w="709" w:type="dxa"/>
        <w:tblLayout w:type="fixed"/>
        <w:tblLook w:val="04A0" w:firstRow="1" w:lastRow="0" w:firstColumn="1" w:lastColumn="0" w:noHBand="0" w:noVBand="1"/>
      </w:tblPr>
      <w:tblGrid>
        <w:gridCol w:w="6662"/>
        <w:gridCol w:w="1985"/>
      </w:tblGrid>
      <w:tr w:rsidR="0035143A" w:rsidRPr="003E4849" w14:paraId="42A5393F" w14:textId="77777777" w:rsidTr="0012134E">
        <w:tc>
          <w:tcPr>
            <w:tcW w:w="6662" w:type="dxa"/>
          </w:tcPr>
          <w:p w14:paraId="6491EB7F" w14:textId="77777777" w:rsidR="0035143A" w:rsidRPr="003E4849" w:rsidRDefault="0035143A" w:rsidP="0012134E">
            <w:pPr>
              <w:pStyle w:val="GG-SDated"/>
            </w:pPr>
          </w:p>
        </w:tc>
        <w:tc>
          <w:tcPr>
            <w:tcW w:w="1985" w:type="dxa"/>
            <w:shd w:val="clear" w:color="auto" w:fill="auto"/>
          </w:tcPr>
          <w:p w14:paraId="4D044924" w14:textId="77777777" w:rsidR="0035143A" w:rsidRPr="003E4849" w:rsidRDefault="0035143A" w:rsidP="0012134E">
            <w:pPr>
              <w:pStyle w:val="GG-SDated"/>
              <w:jc w:val="right"/>
            </w:pPr>
            <w:r w:rsidRPr="003E4849">
              <w:t>per annum operative</w:t>
            </w:r>
            <w:r w:rsidRPr="003E4849">
              <w:br/>
              <w:t>1 September 2022</w:t>
            </w:r>
          </w:p>
          <w:p w14:paraId="3876DA65" w14:textId="77777777" w:rsidR="0035143A" w:rsidRPr="003E4849" w:rsidRDefault="0035143A" w:rsidP="0012134E">
            <w:pPr>
              <w:pStyle w:val="GG-SDated"/>
              <w:jc w:val="right"/>
            </w:pPr>
          </w:p>
        </w:tc>
      </w:tr>
      <w:tr w:rsidR="0035143A" w:rsidRPr="003E4849" w14:paraId="07C05180" w14:textId="77777777" w:rsidTr="0012134E">
        <w:tc>
          <w:tcPr>
            <w:tcW w:w="6662" w:type="dxa"/>
            <w:hideMark/>
          </w:tcPr>
          <w:p w14:paraId="5791F695" w14:textId="77777777" w:rsidR="0035143A" w:rsidRPr="003E4849" w:rsidRDefault="0035143A" w:rsidP="0012134E">
            <w:pPr>
              <w:pStyle w:val="GG-SDated"/>
            </w:pPr>
            <w:r w:rsidRPr="003E4849">
              <w:t>Senior Judge, Environment Resources and Development Court, appointed as such, paid the allowance shown for as long as that person continues to perform such duties and is designated as ‘Senior’.</w:t>
            </w:r>
          </w:p>
          <w:p w14:paraId="15ADA406" w14:textId="77777777" w:rsidR="0035143A" w:rsidRPr="003E4849" w:rsidRDefault="0035143A" w:rsidP="0012134E">
            <w:pPr>
              <w:pStyle w:val="GG-SDated"/>
            </w:pPr>
          </w:p>
        </w:tc>
        <w:tc>
          <w:tcPr>
            <w:tcW w:w="1985" w:type="dxa"/>
            <w:shd w:val="clear" w:color="auto" w:fill="auto"/>
            <w:hideMark/>
          </w:tcPr>
          <w:p w14:paraId="417A3141" w14:textId="77777777" w:rsidR="0035143A" w:rsidRPr="003E4849" w:rsidRDefault="0035143A" w:rsidP="0012134E">
            <w:pPr>
              <w:pStyle w:val="GG-SDated"/>
              <w:jc w:val="right"/>
            </w:pPr>
            <w:r w:rsidRPr="003E4849">
              <w:t>$11,910</w:t>
            </w:r>
          </w:p>
        </w:tc>
      </w:tr>
      <w:tr w:rsidR="0035143A" w:rsidRPr="003E4849" w14:paraId="449A8E91" w14:textId="77777777" w:rsidTr="0012134E">
        <w:tc>
          <w:tcPr>
            <w:tcW w:w="6662" w:type="dxa"/>
          </w:tcPr>
          <w:p w14:paraId="78034887" w14:textId="77777777" w:rsidR="0035143A" w:rsidRPr="003E4849" w:rsidRDefault="0035143A" w:rsidP="0012134E">
            <w:pPr>
              <w:pStyle w:val="GG-SDated"/>
            </w:pPr>
            <w:r w:rsidRPr="003E4849">
              <w:t>Judge of the Youth Court for as long as that person continues to perform such duties</w:t>
            </w:r>
          </w:p>
        </w:tc>
        <w:tc>
          <w:tcPr>
            <w:tcW w:w="1985" w:type="dxa"/>
            <w:shd w:val="clear" w:color="auto" w:fill="auto"/>
          </w:tcPr>
          <w:p w14:paraId="3102699E" w14:textId="77777777" w:rsidR="0035143A" w:rsidRPr="003E4849" w:rsidRDefault="0035143A" w:rsidP="0012134E">
            <w:pPr>
              <w:pStyle w:val="GG-SDated"/>
              <w:jc w:val="right"/>
            </w:pPr>
            <w:r w:rsidRPr="003E4849">
              <w:t>$11,910</w:t>
            </w:r>
          </w:p>
        </w:tc>
      </w:tr>
      <w:tr w:rsidR="0035143A" w:rsidRPr="003E4849" w14:paraId="3BFD3092" w14:textId="77777777" w:rsidTr="0012134E">
        <w:tc>
          <w:tcPr>
            <w:tcW w:w="6662" w:type="dxa"/>
          </w:tcPr>
          <w:p w14:paraId="785C250B" w14:textId="77777777" w:rsidR="0035143A" w:rsidRPr="003E4849" w:rsidRDefault="0035143A" w:rsidP="0012134E">
            <w:pPr>
              <w:pStyle w:val="GG-SDated"/>
            </w:pPr>
          </w:p>
        </w:tc>
        <w:tc>
          <w:tcPr>
            <w:tcW w:w="1985" w:type="dxa"/>
            <w:shd w:val="clear" w:color="auto" w:fill="auto"/>
          </w:tcPr>
          <w:p w14:paraId="02060512" w14:textId="77777777" w:rsidR="0035143A" w:rsidRPr="003E4849" w:rsidRDefault="0035143A" w:rsidP="0012134E">
            <w:pPr>
              <w:pStyle w:val="GG-SDated"/>
              <w:jc w:val="right"/>
            </w:pPr>
          </w:p>
        </w:tc>
      </w:tr>
      <w:tr w:rsidR="0035143A" w:rsidRPr="003E4849" w14:paraId="421F377B" w14:textId="77777777" w:rsidTr="0012134E">
        <w:tc>
          <w:tcPr>
            <w:tcW w:w="6662" w:type="dxa"/>
          </w:tcPr>
          <w:p w14:paraId="7B3D313F" w14:textId="77777777" w:rsidR="0035143A" w:rsidRPr="003E4849" w:rsidRDefault="0035143A" w:rsidP="0012134E">
            <w:pPr>
              <w:pStyle w:val="GG-SDated"/>
            </w:pPr>
            <w:r w:rsidRPr="003E4849">
              <w:t>Magistrate appointed to the position of Supervising Regional Manager by the Chief Magistrate with the concurrence of the Attorney-General, to perform special duties as specified by the Chief Magistrate, and associated with the role of Supervising Regional Manager, for as long as that person continues in that position and performs the duties of that position.</w:t>
            </w:r>
          </w:p>
          <w:p w14:paraId="7597376B" w14:textId="77777777" w:rsidR="0035143A" w:rsidRPr="003E4849" w:rsidRDefault="0035143A" w:rsidP="0012134E">
            <w:pPr>
              <w:pStyle w:val="GG-SDated"/>
            </w:pPr>
          </w:p>
        </w:tc>
        <w:tc>
          <w:tcPr>
            <w:tcW w:w="1985" w:type="dxa"/>
            <w:shd w:val="clear" w:color="auto" w:fill="auto"/>
          </w:tcPr>
          <w:p w14:paraId="4535F5B0" w14:textId="77777777" w:rsidR="0035143A" w:rsidRPr="003E4849" w:rsidRDefault="0035143A" w:rsidP="0012134E">
            <w:pPr>
              <w:pStyle w:val="GG-SDated"/>
              <w:jc w:val="right"/>
            </w:pPr>
            <w:r w:rsidRPr="003E4849">
              <w:t>$33,860</w:t>
            </w:r>
          </w:p>
        </w:tc>
      </w:tr>
      <w:tr w:rsidR="0035143A" w:rsidRPr="003E4849" w14:paraId="6D3457ED" w14:textId="77777777" w:rsidTr="0012134E">
        <w:tc>
          <w:tcPr>
            <w:tcW w:w="6662" w:type="dxa"/>
            <w:hideMark/>
          </w:tcPr>
          <w:p w14:paraId="42A03BA8" w14:textId="77777777" w:rsidR="0035143A" w:rsidRPr="003E4849" w:rsidRDefault="0035143A" w:rsidP="0012134E">
            <w:pPr>
              <w:pStyle w:val="GG-SDated"/>
            </w:pPr>
            <w:r w:rsidRPr="003E4849">
              <w:t>Magistrate directed by the Chief Magistrate with the concurrence of the Attorney-General to perform special administrative duties in a region (Regional Manager) or in a residential country area (Country Resident Magistrate) paid the allowance shown for as long as that person continues to perform such duties.</w:t>
            </w:r>
          </w:p>
          <w:p w14:paraId="181D6AEF" w14:textId="77777777" w:rsidR="0035143A" w:rsidRPr="003E4849" w:rsidRDefault="0035143A" w:rsidP="0012134E">
            <w:pPr>
              <w:pStyle w:val="GG-SDated"/>
            </w:pPr>
          </w:p>
        </w:tc>
        <w:tc>
          <w:tcPr>
            <w:tcW w:w="1985" w:type="dxa"/>
            <w:shd w:val="clear" w:color="auto" w:fill="auto"/>
            <w:hideMark/>
          </w:tcPr>
          <w:p w14:paraId="3B9C1091" w14:textId="77777777" w:rsidR="0035143A" w:rsidRPr="003E4849" w:rsidRDefault="0035143A" w:rsidP="0012134E">
            <w:pPr>
              <w:pStyle w:val="GG-SDated"/>
              <w:jc w:val="right"/>
            </w:pPr>
            <w:r w:rsidRPr="003E4849">
              <w:t>$25,090</w:t>
            </w:r>
          </w:p>
        </w:tc>
      </w:tr>
      <w:tr w:rsidR="0035143A" w:rsidRPr="003E4849" w14:paraId="120AF868" w14:textId="77777777" w:rsidTr="0012134E">
        <w:tc>
          <w:tcPr>
            <w:tcW w:w="6662" w:type="dxa"/>
            <w:hideMark/>
          </w:tcPr>
          <w:p w14:paraId="0C1E035B" w14:textId="77777777" w:rsidR="0035143A" w:rsidRPr="003E4849" w:rsidRDefault="0035143A" w:rsidP="0012134E">
            <w:pPr>
              <w:pStyle w:val="GG-SDated"/>
            </w:pPr>
            <w:r w:rsidRPr="003E4849">
              <w:t>Magistrate appointed to the position of Manager Family Violence List by the Chief Magistrate with the concurrence of the Attorney-General, to perform special duties, relating to family violence state-wide, for as long as that person continues in that position and performs the duties of the position.</w:t>
            </w:r>
          </w:p>
          <w:p w14:paraId="76736F08" w14:textId="77777777" w:rsidR="0035143A" w:rsidRPr="003E4849" w:rsidRDefault="0035143A" w:rsidP="0012134E">
            <w:pPr>
              <w:pStyle w:val="GG-SDated"/>
            </w:pPr>
          </w:p>
        </w:tc>
        <w:tc>
          <w:tcPr>
            <w:tcW w:w="1985" w:type="dxa"/>
            <w:shd w:val="clear" w:color="auto" w:fill="auto"/>
            <w:hideMark/>
          </w:tcPr>
          <w:p w14:paraId="45776FDB" w14:textId="77777777" w:rsidR="0035143A" w:rsidRPr="003E4849" w:rsidRDefault="0035143A" w:rsidP="0012134E">
            <w:pPr>
              <w:pStyle w:val="GG-SDated"/>
              <w:jc w:val="right"/>
            </w:pPr>
            <w:r w:rsidRPr="003E4849">
              <w:t>$25,090</w:t>
            </w:r>
          </w:p>
        </w:tc>
      </w:tr>
      <w:tr w:rsidR="0035143A" w:rsidRPr="003E4849" w14:paraId="4525BC74" w14:textId="77777777" w:rsidTr="0012134E">
        <w:tc>
          <w:tcPr>
            <w:tcW w:w="6662" w:type="dxa"/>
            <w:hideMark/>
          </w:tcPr>
          <w:p w14:paraId="49E86B13" w14:textId="77777777" w:rsidR="0035143A" w:rsidRPr="003E4849" w:rsidRDefault="0035143A" w:rsidP="0012134E">
            <w:pPr>
              <w:pStyle w:val="GG-SDated"/>
            </w:pPr>
            <w:r w:rsidRPr="003E4849">
              <w:t>Magistrate directed by the Chief Magistrate with the concurrence of the Attorney-General to perform special administrative duties at a particular court (Magistrate-in-Charge) paid the allowance shown for as long as that person continues to perform such duties.</w:t>
            </w:r>
          </w:p>
          <w:p w14:paraId="746081B4" w14:textId="77777777" w:rsidR="0035143A" w:rsidRPr="003E4849" w:rsidRDefault="0035143A" w:rsidP="0012134E">
            <w:pPr>
              <w:pStyle w:val="GG-SDated"/>
            </w:pPr>
          </w:p>
        </w:tc>
        <w:tc>
          <w:tcPr>
            <w:tcW w:w="1985" w:type="dxa"/>
            <w:shd w:val="clear" w:color="auto" w:fill="auto"/>
            <w:hideMark/>
          </w:tcPr>
          <w:p w14:paraId="355CD35F" w14:textId="77777777" w:rsidR="0035143A" w:rsidRPr="003E4849" w:rsidRDefault="0035143A" w:rsidP="0012134E">
            <w:pPr>
              <w:pStyle w:val="GG-SDated"/>
              <w:jc w:val="right"/>
            </w:pPr>
            <w:r w:rsidRPr="003E4849">
              <w:t>$9,780</w:t>
            </w:r>
          </w:p>
        </w:tc>
      </w:tr>
      <w:tr w:rsidR="0035143A" w:rsidRPr="003E4849" w14:paraId="3C0902BF" w14:textId="77777777" w:rsidTr="0012134E">
        <w:tc>
          <w:tcPr>
            <w:tcW w:w="6662" w:type="dxa"/>
            <w:shd w:val="clear" w:color="auto" w:fill="auto"/>
          </w:tcPr>
          <w:p w14:paraId="53BB78EB" w14:textId="77777777" w:rsidR="0035143A" w:rsidRPr="003E4849" w:rsidRDefault="0035143A" w:rsidP="0012134E">
            <w:pPr>
              <w:pStyle w:val="GG-SDated"/>
            </w:pPr>
            <w:r w:rsidRPr="003E4849">
              <w:t>Magistrate appointed as a Deputy State Coroner on a full-time ongoing basis paid the allowance shown for as long as that person continues to perform such duties.</w:t>
            </w:r>
          </w:p>
          <w:p w14:paraId="5A1AB3D9" w14:textId="77777777" w:rsidR="0035143A" w:rsidRPr="003E4849" w:rsidRDefault="0035143A" w:rsidP="0012134E">
            <w:pPr>
              <w:pStyle w:val="GG-SDated"/>
            </w:pPr>
          </w:p>
        </w:tc>
        <w:tc>
          <w:tcPr>
            <w:tcW w:w="1985" w:type="dxa"/>
            <w:shd w:val="clear" w:color="auto" w:fill="auto"/>
            <w:hideMark/>
          </w:tcPr>
          <w:p w14:paraId="4D727BED" w14:textId="77777777" w:rsidR="0035143A" w:rsidRPr="003E4849" w:rsidRDefault="0035143A" w:rsidP="0012134E">
            <w:pPr>
              <w:pStyle w:val="GG-SDated"/>
              <w:jc w:val="right"/>
            </w:pPr>
            <w:r w:rsidRPr="003E4849">
              <w:t>$9,490</w:t>
            </w:r>
          </w:p>
        </w:tc>
      </w:tr>
    </w:tbl>
    <w:p w14:paraId="40BB3673" w14:textId="77777777" w:rsidR="0035143A" w:rsidRDefault="0035143A" w:rsidP="0035143A">
      <w:pPr>
        <w:pStyle w:val="GG-SDated"/>
      </w:pPr>
    </w:p>
    <w:p w14:paraId="6924A42E" w14:textId="77777777" w:rsidR="0035143A" w:rsidRPr="003E4849" w:rsidRDefault="0035143A" w:rsidP="009B29CF">
      <w:pPr>
        <w:pStyle w:val="GG-body"/>
        <w:numPr>
          <w:ilvl w:val="0"/>
          <w:numId w:val="98"/>
        </w:numPr>
        <w:rPr>
          <w:b/>
          <w:bCs/>
        </w:rPr>
      </w:pPr>
      <w:r w:rsidRPr="003E4849">
        <w:rPr>
          <w:b/>
          <w:bCs/>
        </w:rPr>
        <w:t>Statutory Office Holders</w:t>
      </w:r>
    </w:p>
    <w:p w14:paraId="3DBB60B6" w14:textId="77777777" w:rsidR="0035143A" w:rsidRPr="003E4849" w:rsidRDefault="0035143A" w:rsidP="009B29CF">
      <w:pPr>
        <w:pStyle w:val="GG-body"/>
        <w:numPr>
          <w:ilvl w:val="1"/>
          <w:numId w:val="98"/>
        </w:numPr>
      </w:pPr>
      <w:r w:rsidRPr="003E4849">
        <w:t>Annual salaries for the following statutory office holders will be:</w:t>
      </w:r>
    </w:p>
    <w:tbl>
      <w:tblPr>
        <w:tblW w:w="9652" w:type="dxa"/>
        <w:tblInd w:w="-147" w:type="dxa"/>
        <w:tblLayout w:type="fixed"/>
        <w:tblLook w:val="04A0" w:firstRow="1" w:lastRow="0" w:firstColumn="1" w:lastColumn="0" w:noHBand="0" w:noVBand="1"/>
      </w:tblPr>
      <w:tblGrid>
        <w:gridCol w:w="714"/>
        <w:gridCol w:w="6096"/>
        <w:gridCol w:w="574"/>
        <w:gridCol w:w="2261"/>
        <w:gridCol w:w="7"/>
      </w:tblGrid>
      <w:tr w:rsidR="0035143A" w:rsidRPr="003E4849" w14:paraId="70BC52DB" w14:textId="77777777" w:rsidTr="0012134E">
        <w:trPr>
          <w:cantSplit/>
          <w:trHeight w:val="776"/>
        </w:trPr>
        <w:tc>
          <w:tcPr>
            <w:tcW w:w="7384" w:type="dxa"/>
            <w:gridSpan w:val="3"/>
            <w:shd w:val="clear" w:color="auto" w:fill="auto"/>
          </w:tcPr>
          <w:p w14:paraId="587A0473" w14:textId="77777777" w:rsidR="0035143A" w:rsidRPr="003E4849" w:rsidRDefault="0035143A" w:rsidP="0012134E">
            <w:pPr>
              <w:pStyle w:val="GG-SDated"/>
            </w:pPr>
          </w:p>
        </w:tc>
        <w:tc>
          <w:tcPr>
            <w:tcW w:w="2268" w:type="dxa"/>
            <w:gridSpan w:val="2"/>
            <w:shd w:val="clear" w:color="auto" w:fill="auto"/>
          </w:tcPr>
          <w:p w14:paraId="5C09A3EA" w14:textId="77777777" w:rsidR="0035143A" w:rsidRPr="003E4849" w:rsidRDefault="0035143A" w:rsidP="0012134E">
            <w:pPr>
              <w:pStyle w:val="GG-SDated"/>
              <w:jc w:val="right"/>
            </w:pPr>
            <w:r w:rsidRPr="003E4849">
              <w:t>Per annum</w:t>
            </w:r>
          </w:p>
          <w:p w14:paraId="78E236AC" w14:textId="77777777" w:rsidR="0035143A" w:rsidRPr="003E4849" w:rsidRDefault="0035143A" w:rsidP="0012134E">
            <w:pPr>
              <w:pStyle w:val="GG-SDated"/>
              <w:jc w:val="right"/>
            </w:pPr>
            <w:r w:rsidRPr="003E4849">
              <w:t>operative</w:t>
            </w:r>
          </w:p>
          <w:p w14:paraId="19586F8E" w14:textId="77777777" w:rsidR="0035143A" w:rsidRPr="003E4849" w:rsidRDefault="0035143A" w:rsidP="0012134E">
            <w:pPr>
              <w:pStyle w:val="GG-SDated"/>
              <w:jc w:val="right"/>
            </w:pPr>
            <w:r w:rsidRPr="003E4849">
              <w:t>1 September 2022</w:t>
            </w:r>
          </w:p>
        </w:tc>
      </w:tr>
      <w:tr w:rsidR="0035143A" w:rsidRPr="003E4849" w14:paraId="11210EA2" w14:textId="77777777" w:rsidTr="0012134E">
        <w:trPr>
          <w:gridBefore w:val="1"/>
          <w:gridAfter w:val="1"/>
          <w:wBefore w:w="714" w:type="dxa"/>
          <w:wAfter w:w="7" w:type="dxa"/>
          <w:cantSplit/>
          <w:trHeight w:val="467"/>
        </w:trPr>
        <w:tc>
          <w:tcPr>
            <w:tcW w:w="6096" w:type="dxa"/>
            <w:shd w:val="clear" w:color="auto" w:fill="auto"/>
          </w:tcPr>
          <w:p w14:paraId="03C38536" w14:textId="77777777" w:rsidR="0035143A" w:rsidRPr="003E4849" w:rsidRDefault="0035143A" w:rsidP="0012134E">
            <w:pPr>
              <w:pStyle w:val="GG-SDated"/>
            </w:pPr>
            <w:r w:rsidRPr="003E4849">
              <w:t>The State Coroner</w:t>
            </w:r>
          </w:p>
        </w:tc>
        <w:tc>
          <w:tcPr>
            <w:tcW w:w="2835" w:type="dxa"/>
            <w:gridSpan w:val="2"/>
            <w:shd w:val="clear" w:color="auto" w:fill="auto"/>
          </w:tcPr>
          <w:p w14:paraId="7EDA2096" w14:textId="77777777" w:rsidR="0035143A" w:rsidRPr="003E4849" w:rsidRDefault="0035143A" w:rsidP="0012134E">
            <w:pPr>
              <w:pStyle w:val="GG-SDated"/>
              <w:jc w:val="right"/>
            </w:pPr>
            <w:r w:rsidRPr="003E4849">
              <w:t>$390,820</w:t>
            </w:r>
          </w:p>
        </w:tc>
      </w:tr>
      <w:tr w:rsidR="0035143A" w:rsidRPr="003E4849" w14:paraId="28C9E604" w14:textId="77777777" w:rsidTr="0012134E">
        <w:trPr>
          <w:gridBefore w:val="1"/>
          <w:gridAfter w:val="1"/>
          <w:wBefore w:w="714" w:type="dxa"/>
          <w:wAfter w:w="7" w:type="dxa"/>
          <w:cantSplit/>
          <w:trHeight w:val="680"/>
        </w:trPr>
        <w:tc>
          <w:tcPr>
            <w:tcW w:w="6096" w:type="dxa"/>
            <w:shd w:val="clear" w:color="auto" w:fill="auto"/>
          </w:tcPr>
          <w:p w14:paraId="3C3B254F" w14:textId="77777777" w:rsidR="0035143A" w:rsidRPr="003E4849" w:rsidRDefault="0035143A" w:rsidP="0012134E">
            <w:pPr>
              <w:pStyle w:val="GG-SDated"/>
            </w:pPr>
            <w:r w:rsidRPr="003E4849">
              <w:t>Additional salary component for a Judge of the District Court who holds the appointment, and performs the functions of, the President of the South Australian Employment Tribunal.</w:t>
            </w:r>
          </w:p>
        </w:tc>
        <w:tc>
          <w:tcPr>
            <w:tcW w:w="2835" w:type="dxa"/>
            <w:gridSpan w:val="2"/>
            <w:shd w:val="clear" w:color="auto" w:fill="auto"/>
          </w:tcPr>
          <w:p w14:paraId="441313FA" w14:textId="77777777" w:rsidR="0035143A" w:rsidRPr="003E4849" w:rsidRDefault="0035143A" w:rsidP="0012134E">
            <w:pPr>
              <w:pStyle w:val="GG-SDated"/>
              <w:jc w:val="right"/>
            </w:pPr>
            <w:r w:rsidRPr="003E4849">
              <w:t>An amount equal to 10 per cent of the salary of a judge of the District Court</w:t>
            </w:r>
          </w:p>
          <w:p w14:paraId="2AF23437" w14:textId="77777777" w:rsidR="0035143A" w:rsidRPr="003E4849" w:rsidRDefault="0035143A" w:rsidP="0012134E">
            <w:pPr>
              <w:pStyle w:val="GG-SDated"/>
              <w:jc w:val="right"/>
            </w:pPr>
          </w:p>
        </w:tc>
      </w:tr>
      <w:tr w:rsidR="0035143A" w:rsidRPr="003E4849" w14:paraId="15320BB3" w14:textId="77777777" w:rsidTr="0012134E">
        <w:trPr>
          <w:gridBefore w:val="1"/>
          <w:gridAfter w:val="1"/>
          <w:wBefore w:w="714" w:type="dxa"/>
          <w:wAfter w:w="7" w:type="dxa"/>
          <w:cantSplit/>
          <w:trHeight w:val="704"/>
        </w:trPr>
        <w:tc>
          <w:tcPr>
            <w:tcW w:w="6096" w:type="dxa"/>
            <w:shd w:val="clear" w:color="auto" w:fill="auto"/>
          </w:tcPr>
          <w:p w14:paraId="6489FE98" w14:textId="77777777" w:rsidR="0035143A" w:rsidRPr="003E4849" w:rsidRDefault="0035143A" w:rsidP="0012134E">
            <w:pPr>
              <w:pStyle w:val="GG-SDated"/>
            </w:pPr>
            <w:r w:rsidRPr="003E4849">
              <w:t>Additional salary payable to Magistrate appointed as a Deputy President of the South Australian Employment</w:t>
            </w:r>
            <w:r>
              <w:t xml:space="preserve"> </w:t>
            </w:r>
            <w:r w:rsidRPr="003E4849">
              <w:t xml:space="preserve">Tribunal under section 13(1)(b) of the </w:t>
            </w:r>
            <w:r w:rsidRPr="003E4849">
              <w:rPr>
                <w:i/>
                <w:iCs/>
              </w:rPr>
              <w:t>South Australian Employment Tribunal Act 2014</w:t>
            </w:r>
          </w:p>
        </w:tc>
        <w:tc>
          <w:tcPr>
            <w:tcW w:w="2835" w:type="dxa"/>
            <w:gridSpan w:val="2"/>
            <w:shd w:val="clear" w:color="auto" w:fill="auto"/>
          </w:tcPr>
          <w:p w14:paraId="1CF8F093" w14:textId="77777777" w:rsidR="0035143A" w:rsidRPr="003E4849" w:rsidRDefault="0035143A" w:rsidP="0012134E">
            <w:pPr>
              <w:pStyle w:val="GG-SDated"/>
              <w:jc w:val="right"/>
            </w:pPr>
            <w:r w:rsidRPr="003E4849">
              <w:t>$35,970</w:t>
            </w:r>
          </w:p>
        </w:tc>
      </w:tr>
      <w:tr w:rsidR="0035143A" w:rsidRPr="003E4849" w14:paraId="3F661302" w14:textId="77777777" w:rsidTr="0012134E">
        <w:trPr>
          <w:gridBefore w:val="1"/>
          <w:gridAfter w:val="1"/>
          <w:wBefore w:w="714" w:type="dxa"/>
          <w:wAfter w:w="7" w:type="dxa"/>
          <w:cantSplit/>
          <w:trHeight w:val="841"/>
        </w:trPr>
        <w:tc>
          <w:tcPr>
            <w:tcW w:w="6096" w:type="dxa"/>
            <w:shd w:val="clear" w:color="auto" w:fill="auto"/>
          </w:tcPr>
          <w:p w14:paraId="3BF792C4" w14:textId="77777777" w:rsidR="0035143A" w:rsidRPr="003E4849" w:rsidRDefault="0035143A" w:rsidP="0012134E">
            <w:pPr>
              <w:pStyle w:val="GG-SDated"/>
            </w:pPr>
            <w:r w:rsidRPr="003E4849">
              <w:t>Additional salary payable to a puisne judge of the Supreme Court appointed as President of the South Australian Civil and Administrative Tribunal, on account of holding the office of President of the South Australian Civil and Administrative Tribunal.</w:t>
            </w:r>
          </w:p>
        </w:tc>
        <w:tc>
          <w:tcPr>
            <w:tcW w:w="2835" w:type="dxa"/>
            <w:gridSpan w:val="2"/>
            <w:shd w:val="clear" w:color="auto" w:fill="auto"/>
          </w:tcPr>
          <w:p w14:paraId="23C640A6" w14:textId="77777777" w:rsidR="0035143A" w:rsidRPr="003E4849" w:rsidRDefault="0035143A" w:rsidP="0012134E">
            <w:pPr>
              <w:pStyle w:val="GG-SDated"/>
              <w:jc w:val="right"/>
            </w:pPr>
            <w:r w:rsidRPr="003E4849">
              <w:t>An amount equal to 10 per cent of the salary of a puisne judge of the Supreme Court</w:t>
            </w:r>
          </w:p>
          <w:p w14:paraId="07AAD2CF" w14:textId="77777777" w:rsidR="0035143A" w:rsidRPr="003E4849" w:rsidRDefault="0035143A" w:rsidP="0012134E">
            <w:pPr>
              <w:pStyle w:val="GG-SDated"/>
              <w:jc w:val="right"/>
            </w:pPr>
          </w:p>
        </w:tc>
      </w:tr>
      <w:tr w:rsidR="0035143A" w:rsidRPr="003E4849" w14:paraId="7EFB09D5" w14:textId="77777777" w:rsidTr="0012134E">
        <w:trPr>
          <w:gridBefore w:val="1"/>
          <w:gridAfter w:val="1"/>
          <w:wBefore w:w="714" w:type="dxa"/>
          <w:wAfter w:w="7" w:type="dxa"/>
          <w:cantSplit/>
        </w:trPr>
        <w:tc>
          <w:tcPr>
            <w:tcW w:w="6096" w:type="dxa"/>
            <w:shd w:val="clear" w:color="auto" w:fill="auto"/>
          </w:tcPr>
          <w:p w14:paraId="49F41C54" w14:textId="77777777" w:rsidR="0035143A" w:rsidRPr="003E4849" w:rsidRDefault="0035143A" w:rsidP="0012134E">
            <w:pPr>
              <w:pStyle w:val="GG-SDated"/>
            </w:pPr>
            <w:r w:rsidRPr="003E4849">
              <w:t xml:space="preserve">Commissioners of the Environment, Resources and </w:t>
            </w:r>
          </w:p>
          <w:p w14:paraId="34EF8BDF" w14:textId="77777777" w:rsidR="0035143A" w:rsidRPr="003E4849" w:rsidRDefault="0035143A" w:rsidP="0012134E">
            <w:pPr>
              <w:pStyle w:val="GG-SDated"/>
            </w:pPr>
            <w:r w:rsidRPr="003E4849">
              <w:t>Development Court.</w:t>
            </w:r>
          </w:p>
          <w:p w14:paraId="64D5BD2E" w14:textId="77777777" w:rsidR="0035143A" w:rsidRPr="003E4849" w:rsidRDefault="0035143A" w:rsidP="0012134E">
            <w:pPr>
              <w:pStyle w:val="GG-SDated"/>
            </w:pPr>
          </w:p>
          <w:p w14:paraId="76C77F60" w14:textId="77777777" w:rsidR="0035143A" w:rsidRDefault="0035143A" w:rsidP="0012134E">
            <w:pPr>
              <w:pStyle w:val="GG-SDated"/>
            </w:pPr>
          </w:p>
          <w:p w14:paraId="5E6E74C4" w14:textId="77777777" w:rsidR="0035143A" w:rsidRPr="003E4849" w:rsidRDefault="0035143A" w:rsidP="0012134E"/>
        </w:tc>
        <w:tc>
          <w:tcPr>
            <w:tcW w:w="2835" w:type="dxa"/>
            <w:gridSpan w:val="2"/>
            <w:shd w:val="clear" w:color="auto" w:fill="auto"/>
          </w:tcPr>
          <w:p w14:paraId="4E827CD0" w14:textId="77777777" w:rsidR="0035143A" w:rsidRPr="003E4849" w:rsidRDefault="0035143A" w:rsidP="0012134E">
            <w:pPr>
              <w:pStyle w:val="GG-SDated"/>
              <w:jc w:val="right"/>
            </w:pPr>
            <w:r w:rsidRPr="003E4849">
              <w:t>$321,110</w:t>
            </w:r>
          </w:p>
        </w:tc>
      </w:tr>
    </w:tbl>
    <w:p w14:paraId="7FB51B26" w14:textId="77777777" w:rsidR="0035143A" w:rsidRPr="003E4849" w:rsidRDefault="0035143A" w:rsidP="009B29CF">
      <w:pPr>
        <w:pStyle w:val="GG-body"/>
        <w:numPr>
          <w:ilvl w:val="0"/>
          <w:numId w:val="98"/>
        </w:numPr>
        <w:rPr>
          <w:b/>
          <w:bCs/>
        </w:rPr>
      </w:pPr>
      <w:r w:rsidRPr="00163D7B">
        <w:rPr>
          <w:b/>
          <w:bCs/>
        </w:rPr>
        <w:t>Deputy President of the SACAT</w:t>
      </w:r>
    </w:p>
    <w:p w14:paraId="61DF7ADC" w14:textId="77777777" w:rsidR="0035143A" w:rsidRPr="003E4849" w:rsidRDefault="0035143A" w:rsidP="009B29CF">
      <w:pPr>
        <w:pStyle w:val="GG-body"/>
        <w:numPr>
          <w:ilvl w:val="1"/>
          <w:numId w:val="98"/>
        </w:numPr>
        <w:jc w:val="left"/>
      </w:pPr>
      <w:r w:rsidRPr="00163D7B">
        <w:t xml:space="preserve">Annual salaries for the following office holders will be as follows, </w:t>
      </w:r>
      <w:r>
        <w:br/>
      </w:r>
      <w:r w:rsidRPr="00163D7B">
        <w:t>and shall be payable as per the specified operative dates</w:t>
      </w:r>
      <w:r w:rsidRPr="003E4849">
        <w:t>:</w:t>
      </w:r>
    </w:p>
    <w:tbl>
      <w:tblPr>
        <w:tblW w:w="8931" w:type="dxa"/>
        <w:tblInd w:w="567" w:type="dxa"/>
        <w:tblLayout w:type="fixed"/>
        <w:tblLook w:val="04A0" w:firstRow="1" w:lastRow="0" w:firstColumn="1" w:lastColumn="0" w:noHBand="0" w:noVBand="1"/>
      </w:tblPr>
      <w:tblGrid>
        <w:gridCol w:w="6096"/>
        <w:gridCol w:w="2835"/>
      </w:tblGrid>
      <w:tr w:rsidR="0035143A" w:rsidRPr="003E4849" w14:paraId="29BBC347" w14:textId="77777777" w:rsidTr="0012134E">
        <w:trPr>
          <w:cantSplit/>
          <w:trHeight w:val="467"/>
        </w:trPr>
        <w:tc>
          <w:tcPr>
            <w:tcW w:w="6096" w:type="dxa"/>
            <w:shd w:val="clear" w:color="auto" w:fill="auto"/>
          </w:tcPr>
          <w:p w14:paraId="55794614" w14:textId="77777777" w:rsidR="0035143A" w:rsidRDefault="0035143A" w:rsidP="0012134E">
            <w:pPr>
              <w:pStyle w:val="GG-SDated"/>
              <w:jc w:val="left"/>
            </w:pPr>
            <w:r w:rsidRPr="00C76AE8">
              <w:t xml:space="preserve">Salary payable to a Deputy President of the South Australian Civil and Administrative Tribunal, appointed under section 14(1)(b) of the </w:t>
            </w:r>
            <w:r w:rsidRPr="00C76AE8">
              <w:rPr>
                <w:i/>
              </w:rPr>
              <w:t xml:space="preserve">South Australian Civil and Administrative Tribunal Act 2013, </w:t>
            </w:r>
            <w:r w:rsidRPr="00C76AE8">
              <w:t xml:space="preserve">payable between the dates of </w:t>
            </w:r>
            <w:r>
              <w:t xml:space="preserve"> </w:t>
            </w:r>
            <w:r w:rsidRPr="00C76AE8">
              <w:t>21 November 2019 and 31 December 2019. Should such an appointment be made on a part-time basis, the salary shall be payable on a pro-rata basis</w:t>
            </w:r>
          </w:p>
          <w:p w14:paraId="28824648" w14:textId="77777777" w:rsidR="0035143A" w:rsidRPr="003E4849" w:rsidRDefault="0035143A" w:rsidP="0012134E"/>
        </w:tc>
        <w:tc>
          <w:tcPr>
            <w:tcW w:w="2835" w:type="dxa"/>
            <w:shd w:val="clear" w:color="auto" w:fill="auto"/>
          </w:tcPr>
          <w:p w14:paraId="28CF09E8" w14:textId="77777777" w:rsidR="0035143A" w:rsidRPr="003E4849" w:rsidRDefault="0035143A" w:rsidP="0012134E">
            <w:pPr>
              <w:pStyle w:val="GG-SDated"/>
              <w:jc w:val="right"/>
            </w:pPr>
            <w:r w:rsidRPr="00945232">
              <w:rPr>
                <w:color w:val="000000"/>
              </w:rPr>
              <w:t>$338,230</w:t>
            </w:r>
          </w:p>
        </w:tc>
      </w:tr>
      <w:tr w:rsidR="0035143A" w:rsidRPr="003E4849" w14:paraId="1D24BD08" w14:textId="77777777" w:rsidTr="0012134E">
        <w:trPr>
          <w:cantSplit/>
          <w:trHeight w:val="704"/>
        </w:trPr>
        <w:tc>
          <w:tcPr>
            <w:tcW w:w="6096" w:type="dxa"/>
            <w:shd w:val="clear" w:color="auto" w:fill="auto"/>
          </w:tcPr>
          <w:p w14:paraId="233F44E6" w14:textId="77777777" w:rsidR="0035143A" w:rsidRPr="003E4849" w:rsidRDefault="0035143A" w:rsidP="0012134E">
            <w:pPr>
              <w:pStyle w:val="GG-SDated"/>
            </w:pPr>
            <w:r w:rsidRPr="003E4849">
              <w:t>Additional salary payable to Magistrate appointed as a Deputy President of the South Australian Employment</w:t>
            </w:r>
            <w:r>
              <w:t xml:space="preserve"> </w:t>
            </w:r>
            <w:r w:rsidRPr="003E4849">
              <w:t xml:space="preserve">Tribunal under section 13(1)(b) of the </w:t>
            </w:r>
            <w:r w:rsidRPr="003E4849">
              <w:rPr>
                <w:i/>
                <w:iCs/>
              </w:rPr>
              <w:t>South Australian Employment Tribunal Act 2014</w:t>
            </w:r>
          </w:p>
        </w:tc>
        <w:tc>
          <w:tcPr>
            <w:tcW w:w="2835" w:type="dxa"/>
            <w:shd w:val="clear" w:color="auto" w:fill="auto"/>
          </w:tcPr>
          <w:p w14:paraId="4D42F7AE" w14:textId="77777777" w:rsidR="0035143A" w:rsidRPr="003E4849" w:rsidRDefault="0035143A" w:rsidP="0012134E">
            <w:pPr>
              <w:pStyle w:val="GG-SDated"/>
              <w:jc w:val="right"/>
            </w:pPr>
            <w:r w:rsidRPr="00C76AE8">
              <w:t>$345,000</w:t>
            </w:r>
          </w:p>
        </w:tc>
      </w:tr>
    </w:tbl>
    <w:p w14:paraId="2574A82F" w14:textId="77777777" w:rsidR="0035143A" w:rsidRPr="003E4849" w:rsidRDefault="0035143A" w:rsidP="0035143A">
      <w:pPr>
        <w:pStyle w:val="GG-SDated"/>
        <w:spacing w:after="80"/>
        <w:rPr>
          <w:b/>
        </w:rPr>
      </w:pPr>
      <w:r w:rsidRPr="003E4849">
        <w:rPr>
          <w:b/>
        </w:rPr>
        <w:lastRenderedPageBreak/>
        <w:t>COMMUNICATION ALLOWANCE</w:t>
      </w:r>
    </w:p>
    <w:p w14:paraId="0764E978" w14:textId="77777777" w:rsidR="0035143A" w:rsidRPr="003E4849" w:rsidRDefault="0035143A" w:rsidP="009B29CF">
      <w:pPr>
        <w:pStyle w:val="GG-body"/>
        <w:numPr>
          <w:ilvl w:val="0"/>
          <w:numId w:val="98"/>
        </w:numPr>
      </w:pPr>
      <w:r w:rsidRPr="003E4849">
        <w:t>A communication allowance of $1,254 per annum for expenditures for the purpose of mobile telephone, landline telephone and internet usage incurred in relation to the conduct of a judicial officer’s duties shall be payable to the following office holders:</w:t>
      </w:r>
    </w:p>
    <w:p w14:paraId="455D64A1" w14:textId="77777777" w:rsidR="0035143A" w:rsidRPr="003E4849" w:rsidRDefault="0035143A" w:rsidP="0035143A">
      <w:pPr>
        <w:pStyle w:val="GG-SDated"/>
        <w:ind w:left="709"/>
        <w:jc w:val="left"/>
      </w:pPr>
      <w:r w:rsidRPr="003E4849">
        <w:t>The Chief Justice, Judges and Masters of the Supreme Court;</w:t>
      </w:r>
    </w:p>
    <w:p w14:paraId="2AEA4BA2" w14:textId="77777777" w:rsidR="0035143A" w:rsidRPr="003E4849" w:rsidRDefault="0035143A" w:rsidP="0035143A">
      <w:pPr>
        <w:pStyle w:val="GG-SDated"/>
        <w:ind w:left="709"/>
        <w:jc w:val="left"/>
      </w:pPr>
      <w:r w:rsidRPr="003E4849">
        <w:t>The President and Judges of the Court of Appeal;</w:t>
      </w:r>
    </w:p>
    <w:p w14:paraId="796442D7" w14:textId="77777777" w:rsidR="0035143A" w:rsidRPr="003E4849" w:rsidRDefault="0035143A" w:rsidP="0035143A">
      <w:pPr>
        <w:pStyle w:val="GG-SDated"/>
        <w:ind w:left="709"/>
        <w:jc w:val="left"/>
      </w:pPr>
      <w:r w:rsidRPr="003E4849">
        <w:t>The Chief Judge, Judges and Masters of the District Court;</w:t>
      </w:r>
    </w:p>
    <w:p w14:paraId="16652CC4" w14:textId="77777777" w:rsidR="0035143A" w:rsidRPr="003E4849" w:rsidRDefault="0035143A" w:rsidP="0035143A">
      <w:pPr>
        <w:pStyle w:val="GG-SDated"/>
        <w:ind w:left="709"/>
        <w:jc w:val="left"/>
      </w:pPr>
      <w:r w:rsidRPr="003E4849">
        <w:t>The Judges and Magistrates of the South Australian Employment Tribunal;</w:t>
      </w:r>
    </w:p>
    <w:p w14:paraId="42731C04" w14:textId="77777777" w:rsidR="0035143A" w:rsidRPr="003E4849" w:rsidRDefault="0035143A" w:rsidP="0035143A">
      <w:pPr>
        <w:pStyle w:val="GG-SDated"/>
        <w:ind w:left="709"/>
        <w:jc w:val="left"/>
      </w:pPr>
      <w:r w:rsidRPr="003E4849">
        <w:t>The Chief Magistrate and the Magistrates of the Magistrates Court;</w:t>
      </w:r>
    </w:p>
    <w:p w14:paraId="5506A3DD" w14:textId="77777777" w:rsidR="0035143A" w:rsidRPr="003E4849" w:rsidRDefault="0035143A" w:rsidP="0035143A">
      <w:pPr>
        <w:pStyle w:val="GG-SDated"/>
        <w:ind w:left="709"/>
        <w:jc w:val="left"/>
      </w:pPr>
      <w:r w:rsidRPr="003E4849">
        <w:t>The State Coroner and the Deputy Coroner;</w:t>
      </w:r>
    </w:p>
    <w:p w14:paraId="7AC92A07" w14:textId="77777777" w:rsidR="0035143A" w:rsidRPr="003E4849" w:rsidRDefault="0035143A" w:rsidP="0035143A">
      <w:pPr>
        <w:pStyle w:val="GG-SDated"/>
        <w:ind w:left="709"/>
        <w:jc w:val="left"/>
      </w:pPr>
      <w:r w:rsidRPr="003E4849">
        <w:t>The Commissioners of the Environment, Resources and Development Court and Commission;</w:t>
      </w:r>
    </w:p>
    <w:p w14:paraId="125E3918" w14:textId="77777777" w:rsidR="0035143A" w:rsidRPr="003E4849" w:rsidRDefault="0035143A" w:rsidP="0035143A">
      <w:pPr>
        <w:pStyle w:val="GG-SDated"/>
        <w:spacing w:after="80"/>
        <w:ind w:left="709"/>
        <w:jc w:val="left"/>
      </w:pPr>
      <w:r w:rsidRPr="003E4849">
        <w:t>The President and Deputy Presidents of the South Australian Employment Tribunal; and</w:t>
      </w:r>
      <w:r w:rsidRPr="003E4849">
        <w:br/>
        <w:t>The President and Deputy President of the South Australian Civil and Administrative Tribunal.</w:t>
      </w:r>
    </w:p>
    <w:p w14:paraId="43C10C95" w14:textId="77777777" w:rsidR="0035143A" w:rsidRPr="003E4849" w:rsidRDefault="0035143A" w:rsidP="009B29CF">
      <w:pPr>
        <w:pStyle w:val="GG-body"/>
        <w:numPr>
          <w:ilvl w:val="0"/>
          <w:numId w:val="98"/>
        </w:numPr>
      </w:pPr>
      <w:r w:rsidRPr="003E4849">
        <w:t>The allowance is payable fortnightly and at a fortnightly rate of the annual amount payable at clause 5 of this Determination.</w:t>
      </w:r>
    </w:p>
    <w:p w14:paraId="600C992D" w14:textId="77777777" w:rsidR="0035143A" w:rsidRPr="003E4849" w:rsidRDefault="0035143A" w:rsidP="009B29CF">
      <w:pPr>
        <w:pStyle w:val="GG-body"/>
        <w:numPr>
          <w:ilvl w:val="0"/>
          <w:numId w:val="98"/>
        </w:numPr>
      </w:pPr>
      <w:r w:rsidRPr="003E4849">
        <w:t>Should an office holder at clause 5 be appointed on a part-time basis, the communication allowance shall be payable on a pro-rata basis.</w:t>
      </w:r>
    </w:p>
    <w:p w14:paraId="5E5D4683" w14:textId="77777777" w:rsidR="0035143A" w:rsidRPr="003E4849" w:rsidRDefault="0035143A" w:rsidP="0035143A">
      <w:pPr>
        <w:pStyle w:val="GG-SDated"/>
        <w:spacing w:after="80"/>
        <w:rPr>
          <w:b/>
        </w:rPr>
      </w:pPr>
      <w:r w:rsidRPr="003E4849">
        <w:rPr>
          <w:b/>
        </w:rPr>
        <w:t>JUDICIAL SECURITY ALLOWANCE</w:t>
      </w:r>
    </w:p>
    <w:p w14:paraId="3B66F066" w14:textId="77777777" w:rsidR="0035143A" w:rsidRPr="003E4849" w:rsidRDefault="0035143A" w:rsidP="009B29CF">
      <w:pPr>
        <w:pStyle w:val="GG-body"/>
        <w:numPr>
          <w:ilvl w:val="0"/>
          <w:numId w:val="98"/>
        </w:numPr>
      </w:pPr>
      <w:r w:rsidRPr="003E4849">
        <w:t>A security allowance of $1,025 per annum for expenditures for the purpose of personal security at the judicial officer’s residence shall be payable to the following office holders:</w:t>
      </w:r>
    </w:p>
    <w:p w14:paraId="7721469A" w14:textId="77777777" w:rsidR="0035143A" w:rsidRPr="003E4849" w:rsidRDefault="0035143A" w:rsidP="0035143A">
      <w:pPr>
        <w:pStyle w:val="GG-SDated"/>
        <w:ind w:left="709"/>
      </w:pPr>
      <w:r w:rsidRPr="003E4849">
        <w:t>The Chief Justice, Judges and Masters of the Supreme Court;</w:t>
      </w:r>
    </w:p>
    <w:p w14:paraId="529E8212" w14:textId="77777777" w:rsidR="0035143A" w:rsidRPr="003E4849" w:rsidRDefault="0035143A" w:rsidP="0035143A">
      <w:pPr>
        <w:pStyle w:val="GG-SDated"/>
        <w:ind w:left="709"/>
      </w:pPr>
      <w:r w:rsidRPr="003E4849">
        <w:t>The President and Judges of the Court of Appeal;</w:t>
      </w:r>
    </w:p>
    <w:p w14:paraId="25F0DDC2" w14:textId="77777777" w:rsidR="0035143A" w:rsidRPr="003E4849" w:rsidRDefault="0035143A" w:rsidP="0035143A">
      <w:pPr>
        <w:pStyle w:val="GG-SDated"/>
        <w:ind w:left="709"/>
      </w:pPr>
      <w:r w:rsidRPr="003E4849">
        <w:t>The Chief Judge, Judges and Masters of the District Court;</w:t>
      </w:r>
    </w:p>
    <w:p w14:paraId="24782090" w14:textId="77777777" w:rsidR="0035143A" w:rsidRPr="003E4849" w:rsidRDefault="0035143A" w:rsidP="0035143A">
      <w:pPr>
        <w:pStyle w:val="GG-SDated"/>
        <w:ind w:left="709"/>
      </w:pPr>
      <w:r w:rsidRPr="003E4849">
        <w:t>The Judges and Magistrates of the South Australian Employment Tribunal;</w:t>
      </w:r>
    </w:p>
    <w:p w14:paraId="2F85F9EC" w14:textId="77777777" w:rsidR="0035143A" w:rsidRPr="003E4849" w:rsidRDefault="0035143A" w:rsidP="0035143A">
      <w:pPr>
        <w:pStyle w:val="GG-SDated"/>
        <w:ind w:left="709"/>
      </w:pPr>
      <w:r w:rsidRPr="003E4849">
        <w:t>The Chief Magistrate and the Magistrates of the Magistrates Court;</w:t>
      </w:r>
    </w:p>
    <w:p w14:paraId="41D1A2C2" w14:textId="77777777" w:rsidR="0035143A" w:rsidRPr="003E4849" w:rsidRDefault="0035143A" w:rsidP="0035143A">
      <w:pPr>
        <w:pStyle w:val="GG-SDated"/>
        <w:ind w:left="709"/>
      </w:pPr>
      <w:r w:rsidRPr="003E4849">
        <w:t>The State Coroner and the Deputy Coroner;</w:t>
      </w:r>
    </w:p>
    <w:p w14:paraId="225DC605" w14:textId="77777777" w:rsidR="0035143A" w:rsidRPr="003E4849" w:rsidRDefault="0035143A" w:rsidP="0035143A">
      <w:pPr>
        <w:pStyle w:val="GG-SDated"/>
        <w:ind w:left="709"/>
      </w:pPr>
      <w:r w:rsidRPr="003E4849">
        <w:t>The Commissioners of the Environment, Resources and Development Court and Commission;</w:t>
      </w:r>
    </w:p>
    <w:p w14:paraId="0282639E" w14:textId="77777777" w:rsidR="0035143A" w:rsidRPr="003E4849" w:rsidRDefault="0035143A" w:rsidP="0035143A">
      <w:pPr>
        <w:pStyle w:val="GG-SDated"/>
        <w:ind w:left="709"/>
      </w:pPr>
      <w:r w:rsidRPr="003E4849">
        <w:t>The President and Deputy Presidents of the South Australian Employment Tribunal; and</w:t>
      </w:r>
    </w:p>
    <w:p w14:paraId="5F3467E8" w14:textId="77777777" w:rsidR="0035143A" w:rsidRPr="003E4849" w:rsidRDefault="0035143A" w:rsidP="0035143A">
      <w:pPr>
        <w:pStyle w:val="GG-SDated"/>
        <w:spacing w:after="80"/>
        <w:ind w:left="709"/>
      </w:pPr>
      <w:r w:rsidRPr="003E4849">
        <w:t>The President and Deputy President of the South Australian Civil and Administrative Tribunal.</w:t>
      </w:r>
    </w:p>
    <w:p w14:paraId="7883225F" w14:textId="77777777" w:rsidR="0035143A" w:rsidRPr="003E4849" w:rsidRDefault="0035143A" w:rsidP="009B29CF">
      <w:pPr>
        <w:pStyle w:val="GG-body"/>
        <w:numPr>
          <w:ilvl w:val="0"/>
          <w:numId w:val="98"/>
        </w:numPr>
      </w:pPr>
      <w:r w:rsidRPr="003E4849">
        <w:t>The allowance is payable fortnightly and at a fortnightly rate of the annual amount payable at clause 8 of this Determination.</w:t>
      </w:r>
    </w:p>
    <w:p w14:paraId="59CA875A" w14:textId="77777777" w:rsidR="0035143A" w:rsidRDefault="0035143A" w:rsidP="009B29CF">
      <w:pPr>
        <w:pStyle w:val="GG-body"/>
        <w:numPr>
          <w:ilvl w:val="0"/>
          <w:numId w:val="98"/>
        </w:numPr>
      </w:pPr>
      <w:r w:rsidRPr="003E4849">
        <w:t>Part-time office holders are entitled to the full amount of the judicial security allowance, with effect from 1 September 2022.</w:t>
      </w:r>
    </w:p>
    <w:p w14:paraId="1E55F1B7" w14:textId="77777777" w:rsidR="0035143A" w:rsidRPr="003E4849" w:rsidRDefault="0035143A" w:rsidP="0035143A">
      <w:pPr>
        <w:pStyle w:val="GG-SDated"/>
        <w:spacing w:after="80"/>
        <w:rPr>
          <w:b/>
        </w:rPr>
      </w:pPr>
      <w:r w:rsidRPr="003E4849">
        <w:rPr>
          <w:b/>
        </w:rPr>
        <w:t>DATE OF OPERATION</w:t>
      </w:r>
    </w:p>
    <w:p w14:paraId="6226BF63" w14:textId="77777777" w:rsidR="0035143A" w:rsidRPr="003E4849" w:rsidRDefault="0035143A" w:rsidP="009B29CF">
      <w:pPr>
        <w:pStyle w:val="GG-body"/>
        <w:numPr>
          <w:ilvl w:val="0"/>
          <w:numId w:val="98"/>
        </w:numPr>
      </w:pPr>
      <w:r w:rsidRPr="003E4849">
        <w:t>This Determination operates (backdated) from 1 September 2022.</w:t>
      </w:r>
      <w:bookmarkStart w:id="72" w:name="_Hlk57814263"/>
      <w:r w:rsidRPr="003E4849">
        <w:t xml:space="preserve"> It supersedes Determination 13 of 2021.</w:t>
      </w:r>
    </w:p>
    <w:bookmarkEnd w:id="72"/>
    <w:p w14:paraId="038924DE" w14:textId="77777777" w:rsidR="0035143A" w:rsidRPr="00A51192" w:rsidRDefault="0035143A" w:rsidP="0035143A">
      <w:pPr>
        <w:pStyle w:val="GG-SDated"/>
      </w:pPr>
      <w:r>
        <w:t>Dated: 14 December 2022</w:t>
      </w:r>
    </w:p>
    <w:p w14:paraId="3F57FB57" w14:textId="77777777" w:rsidR="0035143A" w:rsidRDefault="0035143A" w:rsidP="0035143A">
      <w:pPr>
        <w:pStyle w:val="GG-SName"/>
      </w:pPr>
      <w:r w:rsidRPr="00A51192">
        <w:t>Matthew O’Callaghan</w:t>
      </w:r>
    </w:p>
    <w:p w14:paraId="2D521644" w14:textId="77777777" w:rsidR="0035143A" w:rsidRPr="00A51192" w:rsidRDefault="0035143A" w:rsidP="007F7570">
      <w:pPr>
        <w:pStyle w:val="GG-Signature"/>
        <w:spacing w:after="80"/>
      </w:pPr>
      <w:r w:rsidRPr="00A51192">
        <w:t>President</w:t>
      </w:r>
    </w:p>
    <w:p w14:paraId="412D0A7E" w14:textId="77777777" w:rsidR="0035143A" w:rsidRDefault="0035143A" w:rsidP="0035143A">
      <w:pPr>
        <w:pStyle w:val="GG-SName"/>
      </w:pPr>
      <w:r w:rsidRPr="00A51192">
        <w:t>Deborah Black</w:t>
      </w:r>
    </w:p>
    <w:p w14:paraId="77F84ACD" w14:textId="77777777" w:rsidR="0035143A" w:rsidRPr="00A51192" w:rsidRDefault="0035143A" w:rsidP="007F7570">
      <w:pPr>
        <w:pStyle w:val="GG-Signature"/>
        <w:spacing w:after="80"/>
      </w:pPr>
      <w:r w:rsidRPr="00A51192">
        <w:t>Member</w:t>
      </w:r>
    </w:p>
    <w:p w14:paraId="0B5AA22C" w14:textId="77777777" w:rsidR="0035143A" w:rsidRPr="00A51192" w:rsidRDefault="0035143A" w:rsidP="0035143A">
      <w:pPr>
        <w:pStyle w:val="GG-SName"/>
      </w:pPr>
      <w:r w:rsidRPr="00A51192">
        <w:t>Peter de Cure AM</w:t>
      </w:r>
    </w:p>
    <w:p w14:paraId="2F0C23AA" w14:textId="77777777" w:rsidR="0035143A" w:rsidRDefault="0035143A" w:rsidP="0035143A">
      <w:pPr>
        <w:pStyle w:val="GG-Signature"/>
      </w:pPr>
      <w:r w:rsidRPr="00A51192">
        <w:t>Member</w:t>
      </w:r>
    </w:p>
    <w:p w14:paraId="7FC0F4A4" w14:textId="77777777" w:rsidR="0035143A" w:rsidRDefault="0035143A" w:rsidP="0035143A">
      <w:pPr>
        <w:pStyle w:val="GG-Signature"/>
        <w:pBdr>
          <w:top w:val="single" w:sz="4" w:space="1" w:color="auto"/>
        </w:pBdr>
        <w:spacing w:before="100" w:line="14" w:lineRule="exact"/>
        <w:jc w:val="center"/>
      </w:pPr>
    </w:p>
    <w:p w14:paraId="7CF4AC8B" w14:textId="76626406" w:rsidR="0035143A" w:rsidRDefault="0035143A" w:rsidP="00965F17">
      <w:pPr>
        <w:pStyle w:val="GG-body"/>
        <w:spacing w:after="0"/>
        <w:rPr>
          <w:lang w:val="en-US"/>
        </w:rPr>
      </w:pPr>
    </w:p>
    <w:p w14:paraId="5E7789F5" w14:textId="77777777" w:rsidR="0012344D" w:rsidRPr="004F33B9" w:rsidRDefault="0012344D" w:rsidP="0012344D">
      <w:pPr>
        <w:pStyle w:val="GG-Title1"/>
      </w:pPr>
      <w:r w:rsidRPr="004F33B9">
        <w:t>The Remuneration Tribunal</w:t>
      </w:r>
    </w:p>
    <w:p w14:paraId="2AF47278" w14:textId="77777777" w:rsidR="0012344D" w:rsidRPr="00A51192" w:rsidRDefault="0012344D" w:rsidP="0012344D">
      <w:pPr>
        <w:pStyle w:val="GG-Title2"/>
      </w:pPr>
      <w:r w:rsidRPr="00A51192">
        <w:t>Report</w:t>
      </w:r>
      <w:r>
        <w:t>—</w:t>
      </w:r>
      <w:r w:rsidRPr="00A51192">
        <w:t>No.</w:t>
      </w:r>
      <w:r>
        <w:t xml:space="preserve"> 8</w:t>
      </w:r>
      <w:r w:rsidRPr="00A51192">
        <w:t xml:space="preserve"> </w:t>
      </w:r>
      <w:r>
        <w:t>o</w:t>
      </w:r>
      <w:r w:rsidRPr="00A51192">
        <w:t>f 2022</w:t>
      </w:r>
    </w:p>
    <w:p w14:paraId="7ED81FBC" w14:textId="77777777" w:rsidR="0012344D" w:rsidRPr="007D4132" w:rsidRDefault="0012344D" w:rsidP="0012344D">
      <w:pPr>
        <w:pStyle w:val="GG-Title3"/>
      </w:pPr>
      <w:r w:rsidRPr="007D4132">
        <w:t>2022 Review of Accommodation and Meal Allowances</w:t>
      </w:r>
      <w:r>
        <w:t>—</w:t>
      </w:r>
      <w:r w:rsidRPr="007D4132">
        <w:t>Judges, Court Officers and Statutory Officers</w:t>
      </w:r>
    </w:p>
    <w:p w14:paraId="44466DB3" w14:textId="77777777" w:rsidR="0012344D" w:rsidRPr="00A51192" w:rsidRDefault="0012344D" w:rsidP="0012344D">
      <w:pPr>
        <w:pStyle w:val="GG-body"/>
        <w:rPr>
          <w:b/>
          <w:bCs/>
          <w:smallCaps/>
        </w:rPr>
      </w:pPr>
      <w:r w:rsidRPr="00A51192">
        <w:rPr>
          <w:b/>
          <w:bCs/>
          <w:smallCaps/>
        </w:rPr>
        <w:t>Report</w:t>
      </w:r>
    </w:p>
    <w:p w14:paraId="5CEB5659" w14:textId="77777777" w:rsidR="0012344D" w:rsidRPr="00E52685" w:rsidRDefault="0012344D" w:rsidP="0012344D">
      <w:pPr>
        <w:jc w:val="left"/>
        <w:rPr>
          <w:b/>
          <w:bCs/>
          <w:szCs w:val="17"/>
        </w:rPr>
      </w:pPr>
      <w:r w:rsidRPr="00E52685">
        <w:rPr>
          <w:b/>
          <w:bCs/>
          <w:szCs w:val="17"/>
        </w:rPr>
        <w:t>INTRODUCTION</w:t>
      </w:r>
    </w:p>
    <w:p w14:paraId="4B5C8ADE" w14:textId="77777777" w:rsidR="0012344D" w:rsidRPr="007D4132" w:rsidRDefault="0012344D" w:rsidP="009B29CF">
      <w:pPr>
        <w:pStyle w:val="ListParagraph"/>
        <w:numPr>
          <w:ilvl w:val="0"/>
          <w:numId w:val="99"/>
        </w:numPr>
        <w:contextualSpacing w:val="0"/>
        <w:rPr>
          <w:szCs w:val="17"/>
        </w:rPr>
      </w:pPr>
      <w:r w:rsidRPr="007D4132">
        <w:rPr>
          <w:szCs w:val="17"/>
        </w:rPr>
        <w:t>The Remuneration Tribunal (</w:t>
      </w:r>
      <w:r w:rsidRPr="007D4132">
        <w:rPr>
          <w:b/>
          <w:bCs/>
          <w:szCs w:val="17"/>
        </w:rPr>
        <w:t>Tribunal</w:t>
      </w:r>
      <w:r w:rsidRPr="007D4132">
        <w:rPr>
          <w:szCs w:val="17"/>
        </w:rPr>
        <w:t>) has conducted a review of Determination 15 of 2021</w:t>
      </w:r>
      <w:r w:rsidRPr="007D4132">
        <w:rPr>
          <w:szCs w:val="17"/>
          <w:vertAlign w:val="superscript"/>
        </w:rPr>
        <w:t>1</w:t>
      </w:r>
      <w:r w:rsidRPr="007D4132">
        <w:rPr>
          <w:szCs w:val="17"/>
        </w:rPr>
        <w:t xml:space="preserve"> which sets accommodation and meal allowances payable to the members of the judiciary and office holders listed in section 13 of the </w:t>
      </w:r>
      <w:r w:rsidRPr="007D4132">
        <w:rPr>
          <w:i/>
          <w:iCs/>
          <w:szCs w:val="17"/>
        </w:rPr>
        <w:t>Remuneration Act 1990</w:t>
      </w:r>
      <w:r w:rsidRPr="007D4132">
        <w:rPr>
          <w:szCs w:val="17"/>
        </w:rPr>
        <w:t xml:space="preserve"> (</w:t>
      </w:r>
      <w:r w:rsidRPr="007D4132">
        <w:rPr>
          <w:b/>
          <w:bCs/>
          <w:szCs w:val="17"/>
        </w:rPr>
        <w:t>Act</w:t>
      </w:r>
      <w:r w:rsidRPr="007D4132">
        <w:rPr>
          <w:szCs w:val="17"/>
        </w:rPr>
        <w:t>), and certain other office holders as conferred under section 14 of the Act.</w:t>
      </w:r>
    </w:p>
    <w:p w14:paraId="38484E20" w14:textId="77777777" w:rsidR="0012344D" w:rsidRPr="00721519" w:rsidRDefault="0012344D" w:rsidP="009B29CF">
      <w:pPr>
        <w:pStyle w:val="ListParagraph"/>
        <w:numPr>
          <w:ilvl w:val="0"/>
          <w:numId w:val="99"/>
        </w:numPr>
        <w:contextualSpacing w:val="0"/>
        <w:rPr>
          <w:szCs w:val="17"/>
        </w:rPr>
      </w:pPr>
      <w:r w:rsidRPr="00721519">
        <w:rPr>
          <w:szCs w:val="17"/>
        </w:rPr>
        <w:t>In conducting this review, the Tribunal has also heard and decided on an application from the Judicial Remuneration Coordinating Committee (</w:t>
      </w:r>
      <w:r w:rsidRPr="00721519">
        <w:rPr>
          <w:b/>
          <w:bCs/>
          <w:szCs w:val="17"/>
        </w:rPr>
        <w:t>JRCC</w:t>
      </w:r>
      <w:r w:rsidRPr="00721519">
        <w:rPr>
          <w:szCs w:val="17"/>
        </w:rPr>
        <w:t>) which sought the Tribunal to make a determination which restores the half-day accommodation and meal allowance abolished by Determination 13 of 2020.</w:t>
      </w:r>
    </w:p>
    <w:p w14:paraId="48E9F58B" w14:textId="77777777" w:rsidR="0012344D" w:rsidRPr="00721519" w:rsidRDefault="0012344D" w:rsidP="009B29CF">
      <w:pPr>
        <w:pStyle w:val="ListParagraph"/>
        <w:numPr>
          <w:ilvl w:val="0"/>
          <w:numId w:val="99"/>
        </w:numPr>
        <w:contextualSpacing w:val="0"/>
        <w:rPr>
          <w:szCs w:val="17"/>
        </w:rPr>
      </w:pPr>
      <w:r w:rsidRPr="00721519">
        <w:rPr>
          <w:szCs w:val="17"/>
        </w:rPr>
        <w:t>As explained in this report, the Tribunal has decided to increase the rate of the allowances by 2.5% and restore the half-day accommodation allowance. The Tribunal has issued an accompanying determination. The increased allowances apply from 1 January 2023, with the entitlement to the half-day allowance restored from 7 December 2020.</w:t>
      </w:r>
    </w:p>
    <w:p w14:paraId="527DC01E" w14:textId="77777777" w:rsidR="0012344D" w:rsidRDefault="0012344D" w:rsidP="0012344D">
      <w:pPr>
        <w:pStyle w:val="GG-body"/>
      </w:pPr>
      <w:r>
        <w:rPr>
          <w:noProof/>
        </w:rPr>
        <mc:AlternateContent>
          <mc:Choice Requires="wps">
            <w:drawing>
              <wp:anchor distT="0" distB="0" distL="114300" distR="114300" simplePos="0" relativeHeight="251666432" behindDoc="0" locked="0" layoutInCell="1" allowOverlap="1" wp14:anchorId="64F280E0" wp14:editId="46470C42">
                <wp:simplePos x="0" y="0"/>
                <wp:positionH relativeFrom="column">
                  <wp:posOffset>9839</wp:posOffset>
                </wp:positionH>
                <wp:positionV relativeFrom="paragraph">
                  <wp:posOffset>55914</wp:posOffset>
                </wp:positionV>
                <wp:extent cx="1708220"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24572" id="Straight Connector 8"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3D402AF2" w14:textId="77777777" w:rsidR="0012344D" w:rsidRPr="00A51192" w:rsidRDefault="0012344D" w:rsidP="0012344D">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7D4132">
        <w:rPr>
          <w:rFonts w:ascii="Times New Roman" w:hAnsi="Times New Roman" w:cs="Times New Roman"/>
          <w:sz w:val="16"/>
          <w:szCs w:val="16"/>
          <w:lang w:val="en-AU"/>
        </w:rPr>
        <w:t>Accommodation and Meal Allowances – Judges, Court Officers and Statutory Officers</w:t>
      </w:r>
      <w:r w:rsidRPr="00A51192">
        <w:rPr>
          <w:rFonts w:ascii="Times New Roman" w:hAnsi="Times New Roman" w:cs="Times New Roman"/>
          <w:sz w:val="16"/>
          <w:szCs w:val="16"/>
          <w:lang w:val="en-AU"/>
        </w:rPr>
        <w:t>.</w:t>
      </w:r>
    </w:p>
    <w:p w14:paraId="61BC5CE7" w14:textId="77777777" w:rsidR="0012344D" w:rsidRPr="00E52685" w:rsidRDefault="0012344D" w:rsidP="0012344D">
      <w:pPr>
        <w:jc w:val="left"/>
        <w:rPr>
          <w:b/>
          <w:bCs/>
          <w:szCs w:val="17"/>
        </w:rPr>
      </w:pPr>
      <w:r w:rsidRPr="00E52685">
        <w:rPr>
          <w:b/>
          <w:bCs/>
          <w:szCs w:val="17"/>
        </w:rPr>
        <w:t>THE REVIEW PROCESS</w:t>
      </w:r>
    </w:p>
    <w:p w14:paraId="124505B4" w14:textId="77777777" w:rsidR="0012344D" w:rsidRPr="00721519" w:rsidRDefault="0012344D" w:rsidP="009B29CF">
      <w:pPr>
        <w:pStyle w:val="ListParagraph"/>
        <w:numPr>
          <w:ilvl w:val="0"/>
          <w:numId w:val="99"/>
        </w:numPr>
        <w:contextualSpacing w:val="0"/>
        <w:rPr>
          <w:szCs w:val="17"/>
        </w:rPr>
      </w:pPr>
      <w:r w:rsidRPr="00721519">
        <w:rPr>
          <w:szCs w:val="17"/>
        </w:rPr>
        <w:t>On 20 September 2022, in accordance with sections 10(2) and 10(4) of the Act, the Tribunal wrote to and invited submissions by 17 October 2022 in respect of this review and the associated application from:</w:t>
      </w:r>
    </w:p>
    <w:p w14:paraId="7CF8808F"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Honourable Premier of South Australia – as the Minister responsible for the Act who may make submissions or introduce evidence in the public interest</w:t>
      </w:r>
    </w:p>
    <w:p w14:paraId="6468FAAA"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JRCC</w:t>
      </w:r>
    </w:p>
    <w:p w14:paraId="2A652A65" w14:textId="77777777" w:rsidR="0012344D" w:rsidRPr="00721519" w:rsidRDefault="0012344D" w:rsidP="009B29CF">
      <w:pPr>
        <w:pStyle w:val="ListParagraph"/>
        <w:numPr>
          <w:ilvl w:val="1"/>
          <w:numId w:val="99"/>
        </w:numPr>
        <w:contextualSpacing w:val="0"/>
        <w:rPr>
          <w:szCs w:val="17"/>
        </w:rPr>
      </w:pPr>
      <w:r w:rsidRPr="00721519">
        <w:rPr>
          <w:szCs w:val="17"/>
        </w:rPr>
        <w:t>members of the judiciary and relevant office holders</w:t>
      </w:r>
    </w:p>
    <w:p w14:paraId="061827FB" w14:textId="77777777" w:rsidR="0012344D" w:rsidRPr="00721519" w:rsidRDefault="0012344D" w:rsidP="009B29CF">
      <w:pPr>
        <w:pStyle w:val="ListParagraph"/>
        <w:numPr>
          <w:ilvl w:val="0"/>
          <w:numId w:val="99"/>
        </w:numPr>
        <w:contextualSpacing w:val="0"/>
        <w:rPr>
          <w:szCs w:val="17"/>
        </w:rPr>
      </w:pPr>
      <w:r w:rsidRPr="00721519">
        <w:rPr>
          <w:szCs w:val="17"/>
        </w:rPr>
        <w:t>The Tribunal also placed a notice on its website from 20 September 2022 calling for submissions from affected persons by 17 October 2022.</w:t>
      </w:r>
    </w:p>
    <w:p w14:paraId="67C28001" w14:textId="77777777" w:rsidR="0012344D" w:rsidRPr="00721519" w:rsidRDefault="0012344D" w:rsidP="009B29CF">
      <w:pPr>
        <w:pStyle w:val="ListParagraph"/>
        <w:numPr>
          <w:ilvl w:val="0"/>
          <w:numId w:val="99"/>
        </w:numPr>
        <w:contextualSpacing w:val="0"/>
        <w:rPr>
          <w:szCs w:val="17"/>
        </w:rPr>
      </w:pPr>
      <w:r w:rsidRPr="00721519">
        <w:rPr>
          <w:szCs w:val="17"/>
        </w:rPr>
        <w:t>The JRCC provided a written submission on 17 October 2022, on behalf of:</w:t>
      </w:r>
    </w:p>
    <w:p w14:paraId="2BB58C91"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Chief Justice, Judges of Appeal, Judges and Masters of the Supreme Court</w:t>
      </w:r>
    </w:p>
    <w:p w14:paraId="6EDE6739"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lastRenderedPageBreak/>
        <w:t>the Chief Judge, Judges and Masters of the District Court</w:t>
      </w:r>
    </w:p>
    <w:p w14:paraId="652AD9A9"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Judges and Magistrates of the South Australian Employment Tribunal</w:t>
      </w:r>
    </w:p>
    <w:p w14:paraId="37ED0E39"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Chief Magistrate and the Magistrates of the Magistrates Court</w:t>
      </w:r>
    </w:p>
    <w:p w14:paraId="1C4774C7"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the State Coroner and Deputy Coroner</w:t>
      </w:r>
    </w:p>
    <w:p w14:paraId="7C57C87C" w14:textId="77777777" w:rsidR="0012344D" w:rsidRPr="00721519" w:rsidRDefault="0012344D" w:rsidP="009B29CF">
      <w:pPr>
        <w:pStyle w:val="ListParagraph"/>
        <w:numPr>
          <w:ilvl w:val="1"/>
          <w:numId w:val="99"/>
        </w:numPr>
        <w:spacing w:after="0"/>
        <w:ind w:left="714" w:hanging="357"/>
        <w:contextualSpacing w:val="0"/>
        <w:rPr>
          <w:szCs w:val="17"/>
        </w:rPr>
      </w:pPr>
      <w:r w:rsidRPr="00721519">
        <w:rPr>
          <w:szCs w:val="17"/>
        </w:rPr>
        <w:t xml:space="preserve">the Commissioners of the Environment, Resources and Development Court, and </w:t>
      </w:r>
    </w:p>
    <w:p w14:paraId="4EB34737" w14:textId="77777777" w:rsidR="0012344D" w:rsidRPr="00721519" w:rsidRDefault="0012344D" w:rsidP="009B29CF">
      <w:pPr>
        <w:pStyle w:val="ListParagraph"/>
        <w:numPr>
          <w:ilvl w:val="1"/>
          <w:numId w:val="99"/>
        </w:numPr>
        <w:contextualSpacing w:val="0"/>
        <w:rPr>
          <w:szCs w:val="17"/>
        </w:rPr>
      </w:pPr>
      <w:r w:rsidRPr="00721519">
        <w:rPr>
          <w:szCs w:val="17"/>
        </w:rPr>
        <w:t>the President and Deputy Presidents of the South Australian Employment Tribunal.</w:t>
      </w:r>
    </w:p>
    <w:p w14:paraId="4EBFE0B9" w14:textId="77777777" w:rsidR="0012344D" w:rsidRPr="00721519" w:rsidRDefault="0012344D" w:rsidP="009B29CF">
      <w:pPr>
        <w:pStyle w:val="ListParagraph"/>
        <w:numPr>
          <w:ilvl w:val="0"/>
          <w:numId w:val="99"/>
        </w:numPr>
        <w:contextualSpacing w:val="0"/>
        <w:rPr>
          <w:szCs w:val="17"/>
        </w:rPr>
      </w:pPr>
      <w:r w:rsidRPr="00721519">
        <w:rPr>
          <w:szCs w:val="17"/>
        </w:rPr>
        <w:t>The written submissions received from the JRCC were also stated to be made by the Magistrates Association of South Australia (</w:t>
      </w:r>
      <w:r w:rsidRPr="00721519">
        <w:rPr>
          <w:b/>
          <w:bCs/>
          <w:szCs w:val="17"/>
        </w:rPr>
        <w:t>MASA</w:t>
      </w:r>
      <w:r w:rsidRPr="00721519">
        <w:rPr>
          <w:szCs w:val="17"/>
        </w:rPr>
        <w:t xml:space="preserve">) on behalf of the Magistrates of South Australia. </w:t>
      </w:r>
    </w:p>
    <w:p w14:paraId="321CE795" w14:textId="77777777" w:rsidR="0012344D" w:rsidRPr="00721519" w:rsidRDefault="0012344D" w:rsidP="009B29CF">
      <w:pPr>
        <w:pStyle w:val="ListParagraph"/>
        <w:numPr>
          <w:ilvl w:val="0"/>
          <w:numId w:val="99"/>
        </w:numPr>
        <w:contextualSpacing w:val="0"/>
        <w:rPr>
          <w:szCs w:val="17"/>
        </w:rPr>
      </w:pPr>
      <w:r w:rsidRPr="00721519">
        <w:rPr>
          <w:szCs w:val="17"/>
        </w:rPr>
        <w:t>On 31 October 2022, after an extension was granted, the Premier’s representative confirmed that the Premier did not intend to make a submission.</w:t>
      </w:r>
    </w:p>
    <w:p w14:paraId="19ED18D2" w14:textId="77777777" w:rsidR="0012344D" w:rsidRPr="00721519" w:rsidRDefault="0012344D" w:rsidP="009B29CF">
      <w:pPr>
        <w:pStyle w:val="ListParagraph"/>
        <w:numPr>
          <w:ilvl w:val="0"/>
          <w:numId w:val="99"/>
        </w:numPr>
        <w:contextualSpacing w:val="0"/>
        <w:rPr>
          <w:szCs w:val="17"/>
        </w:rPr>
      </w:pPr>
      <w:r w:rsidRPr="00721519">
        <w:rPr>
          <w:szCs w:val="17"/>
        </w:rPr>
        <w:t>No other submissions were received.</w:t>
      </w:r>
    </w:p>
    <w:p w14:paraId="37DDF406" w14:textId="77777777" w:rsidR="0012344D" w:rsidRPr="00721519" w:rsidRDefault="0012344D" w:rsidP="009B29CF">
      <w:pPr>
        <w:pStyle w:val="ListParagraph"/>
        <w:numPr>
          <w:ilvl w:val="0"/>
          <w:numId w:val="99"/>
        </w:numPr>
        <w:contextualSpacing w:val="0"/>
        <w:rPr>
          <w:szCs w:val="17"/>
        </w:rPr>
      </w:pPr>
      <w:r w:rsidRPr="00721519">
        <w:rPr>
          <w:szCs w:val="17"/>
        </w:rPr>
        <w:t>The Tribunal convened a hearing on this and related matters on 14 November 2022. This hearing was attended by the Honourable Justice Tim Stanley as chair of the JRCC, Magistrate Jay Pandya as President of MASA, and Ms Carly Cooper from the Crown Solicitor’s Office as representative of the Premier.</w:t>
      </w:r>
    </w:p>
    <w:p w14:paraId="58E76BCF" w14:textId="77777777" w:rsidR="0012344D" w:rsidRPr="00721519" w:rsidRDefault="0012344D" w:rsidP="009B29CF">
      <w:pPr>
        <w:pStyle w:val="ListParagraph"/>
        <w:numPr>
          <w:ilvl w:val="0"/>
          <w:numId w:val="99"/>
        </w:numPr>
        <w:contextualSpacing w:val="0"/>
        <w:rPr>
          <w:szCs w:val="17"/>
        </w:rPr>
      </w:pPr>
      <w:r w:rsidRPr="00721519">
        <w:rPr>
          <w:szCs w:val="17"/>
        </w:rPr>
        <w:t>Justice Stanley and Magistrate Pandya spoke to the written submissions received from the JRCC. Ms Cooper attended, and confirmed that she was not instructed to make any submissions.</w:t>
      </w:r>
    </w:p>
    <w:p w14:paraId="411FD80A" w14:textId="77777777" w:rsidR="0012344D" w:rsidRPr="00721519" w:rsidRDefault="0012344D" w:rsidP="009B29CF">
      <w:pPr>
        <w:pStyle w:val="ListParagraph"/>
        <w:numPr>
          <w:ilvl w:val="0"/>
          <w:numId w:val="99"/>
        </w:numPr>
        <w:contextualSpacing w:val="0"/>
        <w:rPr>
          <w:szCs w:val="17"/>
        </w:rPr>
      </w:pPr>
      <w:r w:rsidRPr="00721519">
        <w:rPr>
          <w:szCs w:val="17"/>
        </w:rPr>
        <w:t>In summary:</w:t>
      </w:r>
    </w:p>
    <w:p w14:paraId="7DAFCA6D" w14:textId="77777777" w:rsidR="0012344D" w:rsidRPr="00721519" w:rsidRDefault="0012344D" w:rsidP="009B29CF">
      <w:pPr>
        <w:pStyle w:val="ListParagraph"/>
        <w:numPr>
          <w:ilvl w:val="1"/>
          <w:numId w:val="99"/>
        </w:numPr>
        <w:contextualSpacing w:val="0"/>
        <w:rPr>
          <w:szCs w:val="17"/>
        </w:rPr>
      </w:pPr>
      <w:r w:rsidRPr="00721519">
        <w:rPr>
          <w:szCs w:val="17"/>
        </w:rPr>
        <w:t>the JRCC submitted that the Tribunal should review the amount of the allowances in the usual way and, subject to the application to restore the half-day allowance, otherwise make a determination that reflects the terms of Determination 15 of 2021</w:t>
      </w:r>
    </w:p>
    <w:p w14:paraId="5BF5ACC9" w14:textId="77777777" w:rsidR="0012344D" w:rsidRPr="00721519" w:rsidRDefault="0012344D" w:rsidP="009B29CF">
      <w:pPr>
        <w:pStyle w:val="ListParagraph"/>
        <w:numPr>
          <w:ilvl w:val="1"/>
          <w:numId w:val="99"/>
        </w:numPr>
        <w:contextualSpacing w:val="0"/>
        <w:rPr>
          <w:szCs w:val="17"/>
        </w:rPr>
      </w:pPr>
      <w:r w:rsidRPr="00721519">
        <w:rPr>
          <w:szCs w:val="17"/>
        </w:rPr>
        <w:t>the JRCC and MASA submitted the Tribunal should restore the entitlement to the half-day allowance with effect from 21 November 2019, as the entitlement was removed without notice being given to any persons affected by its removal and without an opportunity for such persons to be heard on its removal. The JRCC and MASA contend that the Tribunal failed to comply with section 10(2) of the Act, and accordingly the Tribunal lacked jurisdiction to abolish the entitlement and should therefore correct this error by way of a fresh determination.</w:t>
      </w:r>
    </w:p>
    <w:p w14:paraId="7AF27827" w14:textId="77777777" w:rsidR="0012344D" w:rsidRPr="007D4132" w:rsidRDefault="0012344D" w:rsidP="0012344D">
      <w:pPr>
        <w:rPr>
          <w:b/>
          <w:bCs/>
          <w:szCs w:val="17"/>
        </w:rPr>
      </w:pPr>
      <w:r w:rsidRPr="007D4132">
        <w:rPr>
          <w:b/>
          <w:bCs/>
          <w:szCs w:val="17"/>
        </w:rPr>
        <w:t>CONSIDERATION AND CONCLUSION</w:t>
      </w:r>
    </w:p>
    <w:p w14:paraId="42F867E7" w14:textId="77777777" w:rsidR="0012344D" w:rsidRDefault="0012344D" w:rsidP="0012344D">
      <w:pPr>
        <w:rPr>
          <w:b/>
          <w:bCs/>
          <w:szCs w:val="17"/>
        </w:rPr>
      </w:pPr>
      <w:r w:rsidRPr="007D4132">
        <w:rPr>
          <w:b/>
          <w:bCs/>
          <w:szCs w:val="17"/>
        </w:rPr>
        <w:t>Application to Restore Half-day Allowance</w:t>
      </w:r>
    </w:p>
    <w:p w14:paraId="4EB6ECF2" w14:textId="77777777" w:rsidR="0012344D" w:rsidRPr="00721519" w:rsidRDefault="0012344D" w:rsidP="009B29CF">
      <w:pPr>
        <w:pStyle w:val="ListParagraph"/>
        <w:numPr>
          <w:ilvl w:val="0"/>
          <w:numId w:val="99"/>
        </w:numPr>
        <w:contextualSpacing w:val="0"/>
        <w:rPr>
          <w:szCs w:val="17"/>
        </w:rPr>
      </w:pPr>
      <w:r w:rsidRPr="00721519">
        <w:rPr>
          <w:szCs w:val="17"/>
        </w:rPr>
        <w:t>Dealing with this application first, the Tribunal has decided to restore the entitlement to a half-day allowance with effect from 7 December 2020. That date reflects the date Determination 13 of 2020 took effect, which is the determination that effectively abolished the half-day allowance.</w:t>
      </w:r>
    </w:p>
    <w:p w14:paraId="5AACEC8F" w14:textId="77777777" w:rsidR="0012344D" w:rsidRPr="00721519" w:rsidRDefault="0012344D" w:rsidP="009B29CF">
      <w:pPr>
        <w:pStyle w:val="ListParagraph"/>
        <w:numPr>
          <w:ilvl w:val="0"/>
          <w:numId w:val="99"/>
        </w:numPr>
        <w:contextualSpacing w:val="0"/>
        <w:rPr>
          <w:szCs w:val="17"/>
        </w:rPr>
      </w:pPr>
      <w:r w:rsidRPr="00721519">
        <w:rPr>
          <w:szCs w:val="17"/>
        </w:rPr>
        <w:t>As explained in Report 13 of 2020, Determination 13 of 2020 contained amended definitions and terms with a view to making them clearer. There was no express intention to remove the entitlement to a half-day allowance, and its absence from Determination 13 of 2020 was an oversight. It is therefore proper for this entitlement to be restored with retrospective effect.</w:t>
      </w:r>
    </w:p>
    <w:p w14:paraId="36FC1253" w14:textId="77777777" w:rsidR="0012344D" w:rsidRPr="007D4132" w:rsidRDefault="0012344D" w:rsidP="0012344D">
      <w:pPr>
        <w:rPr>
          <w:b/>
          <w:bCs/>
          <w:szCs w:val="17"/>
        </w:rPr>
      </w:pPr>
      <w:r w:rsidRPr="007D4132">
        <w:rPr>
          <w:b/>
          <w:bCs/>
          <w:szCs w:val="17"/>
        </w:rPr>
        <w:t>Rate of the Allowances</w:t>
      </w:r>
    </w:p>
    <w:p w14:paraId="7F57D4F6" w14:textId="77777777" w:rsidR="0012344D" w:rsidRPr="00721519" w:rsidRDefault="0012344D" w:rsidP="009B29CF">
      <w:pPr>
        <w:pStyle w:val="ListParagraph"/>
        <w:numPr>
          <w:ilvl w:val="0"/>
          <w:numId w:val="99"/>
        </w:numPr>
        <w:ind w:hanging="357"/>
        <w:contextualSpacing w:val="0"/>
        <w:rPr>
          <w:szCs w:val="17"/>
        </w:rPr>
      </w:pPr>
      <w:r w:rsidRPr="00721519">
        <w:rPr>
          <w:szCs w:val="17"/>
        </w:rPr>
        <w:t>The determination under review sets allowances to cover the costs of commercial accommodation and meals associated with official travel by members of the judiciary and other relevant office holders.</w:t>
      </w:r>
    </w:p>
    <w:p w14:paraId="6791E743" w14:textId="77777777" w:rsidR="0012344D" w:rsidRPr="00721519" w:rsidRDefault="0012344D" w:rsidP="009B29CF">
      <w:pPr>
        <w:pStyle w:val="ListParagraph"/>
        <w:numPr>
          <w:ilvl w:val="0"/>
          <w:numId w:val="99"/>
        </w:numPr>
        <w:ind w:hanging="357"/>
        <w:contextualSpacing w:val="0"/>
        <w:rPr>
          <w:szCs w:val="17"/>
        </w:rPr>
      </w:pPr>
      <w:r w:rsidRPr="00721519">
        <w:rPr>
          <w:szCs w:val="17"/>
        </w:rPr>
        <w:t>In considering this matter, the Tribunal has had regard to the following economic data relevant to the costs of commercial accommodation and meals:</w:t>
      </w:r>
    </w:p>
    <w:p w14:paraId="6361E5F5" w14:textId="77777777" w:rsidR="0012344D" w:rsidRDefault="0012344D" w:rsidP="009B29CF">
      <w:pPr>
        <w:pStyle w:val="ListParagraph"/>
        <w:numPr>
          <w:ilvl w:val="1"/>
          <w:numId w:val="99"/>
        </w:numPr>
        <w:ind w:hanging="357"/>
        <w:contextualSpacing w:val="0"/>
        <w:rPr>
          <w:szCs w:val="17"/>
        </w:rPr>
      </w:pPr>
      <w:r w:rsidRPr="00721519">
        <w:rPr>
          <w:szCs w:val="17"/>
        </w:rPr>
        <w:t xml:space="preserve">The Consumer Price Index (All groups Adelaide) shows the following percentage changes from the corresponding quarters of previous years: </w:t>
      </w:r>
    </w:p>
    <w:p w14:paraId="0084ECC2"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3.3% for December 2021 </w:t>
      </w:r>
    </w:p>
    <w:p w14:paraId="067B7525"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4.7% for March 2022</w:t>
      </w:r>
    </w:p>
    <w:p w14:paraId="4949B56E"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6.4% for June 2022 </w:t>
      </w:r>
    </w:p>
    <w:p w14:paraId="2BC209A6" w14:textId="77777777" w:rsidR="0012344D" w:rsidRPr="00721519" w:rsidRDefault="0012344D" w:rsidP="009B29CF">
      <w:pPr>
        <w:pStyle w:val="ListParagraph"/>
        <w:numPr>
          <w:ilvl w:val="2"/>
          <w:numId w:val="99"/>
        </w:numPr>
        <w:contextualSpacing w:val="0"/>
        <w:rPr>
          <w:szCs w:val="17"/>
        </w:rPr>
      </w:pPr>
      <w:r w:rsidRPr="00721519">
        <w:rPr>
          <w:szCs w:val="17"/>
        </w:rPr>
        <w:t>8.4% for September 2022.</w:t>
      </w:r>
    </w:p>
    <w:p w14:paraId="4DF8E0DF" w14:textId="77777777" w:rsidR="0012344D" w:rsidRPr="00721519" w:rsidRDefault="0012344D" w:rsidP="009B29CF">
      <w:pPr>
        <w:pStyle w:val="ListParagraph"/>
        <w:numPr>
          <w:ilvl w:val="1"/>
          <w:numId w:val="99"/>
        </w:numPr>
        <w:contextualSpacing w:val="0"/>
        <w:rPr>
          <w:szCs w:val="17"/>
        </w:rPr>
      </w:pPr>
      <w:r w:rsidRPr="00721519">
        <w:rPr>
          <w:szCs w:val="17"/>
        </w:rPr>
        <w:t>As at November 2022 the Reserve Bank of Australia forecast of the Consumer Price Index is:</w:t>
      </w:r>
    </w:p>
    <w:p w14:paraId="5FD7B45C"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8% for December 2022 quarter </w:t>
      </w:r>
    </w:p>
    <w:p w14:paraId="712F1618"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6.3% for June 2023 </w:t>
      </w:r>
    </w:p>
    <w:p w14:paraId="366F8D68"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4.7% for December 2023 </w:t>
      </w:r>
    </w:p>
    <w:p w14:paraId="70909DD4" w14:textId="77777777" w:rsidR="0012344D" w:rsidRPr="00721519" w:rsidRDefault="0012344D" w:rsidP="009B29CF">
      <w:pPr>
        <w:pStyle w:val="ListParagraph"/>
        <w:numPr>
          <w:ilvl w:val="2"/>
          <w:numId w:val="99"/>
        </w:numPr>
        <w:spacing w:after="0"/>
        <w:ind w:left="1077" w:hanging="357"/>
        <w:contextualSpacing w:val="0"/>
        <w:rPr>
          <w:szCs w:val="17"/>
        </w:rPr>
      </w:pPr>
      <w:r w:rsidRPr="00721519">
        <w:rPr>
          <w:szCs w:val="17"/>
        </w:rPr>
        <w:t xml:space="preserve">4.2% for June 2024 </w:t>
      </w:r>
    </w:p>
    <w:p w14:paraId="7703C00E" w14:textId="77777777" w:rsidR="0012344D" w:rsidRPr="00721519" w:rsidRDefault="0012344D" w:rsidP="009B29CF">
      <w:pPr>
        <w:pStyle w:val="ListParagraph"/>
        <w:numPr>
          <w:ilvl w:val="2"/>
          <w:numId w:val="99"/>
        </w:numPr>
        <w:contextualSpacing w:val="0"/>
        <w:rPr>
          <w:szCs w:val="17"/>
        </w:rPr>
      </w:pPr>
      <w:r w:rsidRPr="00721519">
        <w:rPr>
          <w:szCs w:val="17"/>
        </w:rPr>
        <w:t>3.2% for December 2024.</w:t>
      </w:r>
    </w:p>
    <w:p w14:paraId="65EBC49B" w14:textId="77777777" w:rsidR="0012344D" w:rsidRPr="00721519" w:rsidRDefault="0012344D" w:rsidP="009B29CF">
      <w:pPr>
        <w:pStyle w:val="ListParagraph"/>
        <w:numPr>
          <w:ilvl w:val="0"/>
          <w:numId w:val="99"/>
        </w:numPr>
        <w:contextualSpacing w:val="0"/>
        <w:rPr>
          <w:szCs w:val="17"/>
        </w:rPr>
      </w:pPr>
      <w:r w:rsidRPr="00721519">
        <w:rPr>
          <w:szCs w:val="17"/>
        </w:rPr>
        <w:t>The Tribunal has noted the steps being taken to reduce the current inflationary trend and has adopted a cautionary approach to recognition of inflationary movements.</w:t>
      </w:r>
    </w:p>
    <w:p w14:paraId="20E26153" w14:textId="77777777" w:rsidR="0012344D" w:rsidRPr="00721519" w:rsidRDefault="0012344D" w:rsidP="009B29CF">
      <w:pPr>
        <w:pStyle w:val="ListParagraph"/>
        <w:numPr>
          <w:ilvl w:val="0"/>
          <w:numId w:val="99"/>
        </w:numPr>
        <w:ind w:hanging="357"/>
        <w:contextualSpacing w:val="0"/>
        <w:rPr>
          <w:szCs w:val="17"/>
        </w:rPr>
      </w:pPr>
      <w:r w:rsidRPr="00721519">
        <w:rPr>
          <w:szCs w:val="17"/>
        </w:rPr>
        <w:t>The Tribunal has also had regard to the Australian Taxation Office Taxation Determinations 2021/6 and 2022/10, which respectively set for taxation purposes reasonable accommodation, meal and incidental expenses for the 2021-22 and 2022-23 income years. The Tribunal has noted the following percentage changes between those respective Taxation Determinations, for the highest earners:</w:t>
      </w:r>
    </w:p>
    <w:p w14:paraId="27BC8006" w14:textId="77777777" w:rsidR="0012344D" w:rsidRPr="00721519" w:rsidRDefault="0012344D" w:rsidP="009B29CF">
      <w:pPr>
        <w:pStyle w:val="ListParagraph"/>
        <w:numPr>
          <w:ilvl w:val="1"/>
          <w:numId w:val="99"/>
        </w:numPr>
        <w:spacing w:after="0"/>
        <w:ind w:hanging="357"/>
        <w:contextualSpacing w:val="0"/>
        <w:rPr>
          <w:szCs w:val="17"/>
        </w:rPr>
      </w:pPr>
      <w:r w:rsidRPr="00721519">
        <w:rPr>
          <w:szCs w:val="17"/>
        </w:rPr>
        <w:t>0% increase to accommodation costs for all capital cities, and most country centres</w:t>
      </w:r>
    </w:p>
    <w:p w14:paraId="05883BFA" w14:textId="77777777" w:rsidR="0012344D" w:rsidRPr="00721519" w:rsidRDefault="0012344D" w:rsidP="009B29CF">
      <w:pPr>
        <w:pStyle w:val="ListParagraph"/>
        <w:numPr>
          <w:ilvl w:val="1"/>
          <w:numId w:val="99"/>
        </w:numPr>
        <w:spacing w:after="0"/>
        <w:ind w:hanging="357"/>
        <w:contextualSpacing w:val="0"/>
        <w:rPr>
          <w:szCs w:val="17"/>
        </w:rPr>
      </w:pPr>
      <w:r w:rsidRPr="00721519">
        <w:rPr>
          <w:szCs w:val="17"/>
        </w:rPr>
        <w:t>1.9% increase to breakfast costs</w:t>
      </w:r>
    </w:p>
    <w:p w14:paraId="56719879" w14:textId="77777777" w:rsidR="0012344D" w:rsidRPr="00721519" w:rsidRDefault="0012344D" w:rsidP="009B29CF">
      <w:pPr>
        <w:pStyle w:val="ListParagraph"/>
        <w:numPr>
          <w:ilvl w:val="1"/>
          <w:numId w:val="99"/>
        </w:numPr>
        <w:spacing w:after="0"/>
        <w:ind w:hanging="357"/>
        <w:contextualSpacing w:val="0"/>
        <w:rPr>
          <w:szCs w:val="17"/>
        </w:rPr>
      </w:pPr>
      <w:r w:rsidRPr="00721519">
        <w:rPr>
          <w:szCs w:val="17"/>
        </w:rPr>
        <w:t>1.8% increase to lunch and dinner costs</w:t>
      </w:r>
    </w:p>
    <w:p w14:paraId="5EF32BB4" w14:textId="77777777" w:rsidR="0012344D" w:rsidRPr="00721519" w:rsidRDefault="0012344D" w:rsidP="009B29CF">
      <w:pPr>
        <w:pStyle w:val="ListParagraph"/>
        <w:numPr>
          <w:ilvl w:val="1"/>
          <w:numId w:val="99"/>
        </w:numPr>
        <w:spacing w:after="0"/>
        <w:ind w:hanging="357"/>
        <w:contextualSpacing w:val="0"/>
        <w:rPr>
          <w:szCs w:val="17"/>
        </w:rPr>
      </w:pPr>
      <w:r w:rsidRPr="00721519">
        <w:rPr>
          <w:szCs w:val="17"/>
        </w:rPr>
        <w:t>3.6% increase to incidentals</w:t>
      </w:r>
    </w:p>
    <w:p w14:paraId="31E078C0" w14:textId="77777777" w:rsidR="0012344D" w:rsidRPr="00721519" w:rsidRDefault="0012344D" w:rsidP="009B29CF">
      <w:pPr>
        <w:pStyle w:val="ListParagraph"/>
        <w:numPr>
          <w:ilvl w:val="1"/>
          <w:numId w:val="99"/>
        </w:numPr>
        <w:contextualSpacing w:val="0"/>
        <w:rPr>
          <w:szCs w:val="17"/>
        </w:rPr>
      </w:pPr>
      <w:r w:rsidRPr="00721519">
        <w:rPr>
          <w:szCs w:val="17"/>
        </w:rPr>
        <w:t>overall 0.8% to 1% increase for daily total (which includes accommodation, meals and incidentals)</w:t>
      </w:r>
    </w:p>
    <w:p w14:paraId="0B8527DC" w14:textId="77777777" w:rsidR="0012344D" w:rsidRPr="00721519" w:rsidRDefault="0012344D" w:rsidP="009B29CF">
      <w:pPr>
        <w:pStyle w:val="ListParagraph"/>
        <w:numPr>
          <w:ilvl w:val="0"/>
          <w:numId w:val="99"/>
        </w:numPr>
        <w:contextualSpacing w:val="0"/>
        <w:rPr>
          <w:szCs w:val="17"/>
        </w:rPr>
      </w:pPr>
      <w:r w:rsidRPr="00721519">
        <w:rPr>
          <w:szCs w:val="17"/>
        </w:rPr>
        <w:t>Having regard to these factors, the Tribunal has decided that these allowances should be increased by 2.5%, with effect from 1 January 2023.</w:t>
      </w:r>
    </w:p>
    <w:p w14:paraId="0E56C8B0" w14:textId="77777777" w:rsidR="0012344D" w:rsidRPr="00A51192" w:rsidRDefault="0012344D" w:rsidP="0012344D">
      <w:pPr>
        <w:pStyle w:val="GG-SDated"/>
      </w:pPr>
      <w:r>
        <w:t>Dated: 14 December 2022</w:t>
      </w:r>
    </w:p>
    <w:p w14:paraId="325DD065" w14:textId="77777777" w:rsidR="0012344D" w:rsidRDefault="0012344D" w:rsidP="0012344D">
      <w:pPr>
        <w:pStyle w:val="GG-SName"/>
      </w:pPr>
      <w:r w:rsidRPr="00A51192">
        <w:t>Matthew O’Callaghan</w:t>
      </w:r>
    </w:p>
    <w:p w14:paraId="54107EF8" w14:textId="77777777" w:rsidR="0012344D" w:rsidRPr="00A51192" w:rsidRDefault="0012344D" w:rsidP="007F7570">
      <w:pPr>
        <w:pStyle w:val="GG-Signature"/>
        <w:spacing w:after="80"/>
      </w:pPr>
      <w:r w:rsidRPr="00A51192">
        <w:t>President</w:t>
      </w:r>
    </w:p>
    <w:p w14:paraId="17E3C67D" w14:textId="77777777" w:rsidR="0012344D" w:rsidRDefault="0012344D" w:rsidP="0012344D">
      <w:pPr>
        <w:pStyle w:val="GG-SName"/>
      </w:pPr>
      <w:r w:rsidRPr="00A51192">
        <w:t>Deborah Black</w:t>
      </w:r>
    </w:p>
    <w:p w14:paraId="18426D73" w14:textId="77777777" w:rsidR="0012344D" w:rsidRPr="00A51192" w:rsidRDefault="0012344D" w:rsidP="007F7570">
      <w:pPr>
        <w:pStyle w:val="GG-Signature"/>
        <w:spacing w:after="80"/>
      </w:pPr>
      <w:r w:rsidRPr="00A51192">
        <w:t>Member</w:t>
      </w:r>
    </w:p>
    <w:p w14:paraId="476D858E" w14:textId="77777777" w:rsidR="0012344D" w:rsidRPr="00A51192" w:rsidRDefault="0012344D" w:rsidP="0012344D">
      <w:pPr>
        <w:pStyle w:val="GG-SName"/>
      </w:pPr>
      <w:r w:rsidRPr="00A51192">
        <w:t>Peter de Cure AM</w:t>
      </w:r>
    </w:p>
    <w:p w14:paraId="4FA97BF1" w14:textId="77777777" w:rsidR="0012344D" w:rsidRDefault="0012344D" w:rsidP="0012344D">
      <w:pPr>
        <w:pStyle w:val="GG-Signature"/>
      </w:pPr>
      <w:r w:rsidRPr="00A51192">
        <w:t>Member</w:t>
      </w:r>
    </w:p>
    <w:p w14:paraId="3404A0D9" w14:textId="77777777" w:rsidR="0012344D" w:rsidRDefault="0012344D" w:rsidP="0012344D">
      <w:pPr>
        <w:pStyle w:val="GG-Signature"/>
        <w:pBdr>
          <w:top w:val="single" w:sz="4" w:space="1" w:color="auto"/>
        </w:pBdr>
        <w:spacing w:before="100" w:line="14" w:lineRule="exact"/>
        <w:ind w:left="1080" w:right="1080"/>
        <w:jc w:val="center"/>
      </w:pPr>
    </w:p>
    <w:p w14:paraId="309B6592" w14:textId="77777777" w:rsidR="0012344D" w:rsidRDefault="0012344D" w:rsidP="0012344D">
      <w:pPr>
        <w:spacing w:after="0" w:line="240" w:lineRule="auto"/>
        <w:jc w:val="left"/>
        <w:rPr>
          <w:rFonts w:eastAsia="Times New Roman"/>
          <w:szCs w:val="17"/>
        </w:rPr>
      </w:pPr>
      <w:r>
        <w:br w:type="page"/>
      </w:r>
    </w:p>
    <w:p w14:paraId="5494697B" w14:textId="77777777" w:rsidR="0012344D" w:rsidRPr="004F33B9" w:rsidRDefault="0012344D" w:rsidP="0012344D">
      <w:pPr>
        <w:pStyle w:val="GG-Title1"/>
      </w:pPr>
      <w:r w:rsidRPr="004F33B9">
        <w:lastRenderedPageBreak/>
        <w:t>The Remuneration Tribunal</w:t>
      </w:r>
    </w:p>
    <w:p w14:paraId="5C9F6C8C" w14:textId="77777777" w:rsidR="0012344D" w:rsidRPr="00A51192" w:rsidRDefault="0012344D" w:rsidP="0012344D">
      <w:pPr>
        <w:pStyle w:val="GG-Title2"/>
      </w:pPr>
      <w:r>
        <w:t>Determination—</w:t>
      </w:r>
      <w:r w:rsidRPr="00A51192">
        <w:t xml:space="preserve">No. </w:t>
      </w:r>
      <w:r>
        <w:t>8</w:t>
      </w:r>
      <w:r w:rsidRPr="00A51192">
        <w:t xml:space="preserve"> </w:t>
      </w:r>
      <w:r>
        <w:t>o</w:t>
      </w:r>
      <w:r w:rsidRPr="00A51192">
        <w:t>f 2022</w:t>
      </w:r>
    </w:p>
    <w:p w14:paraId="6B142108" w14:textId="77777777" w:rsidR="0012344D" w:rsidRPr="00683E24" w:rsidRDefault="0012344D" w:rsidP="0012344D">
      <w:pPr>
        <w:pStyle w:val="GG-Title3"/>
      </w:pPr>
      <w:r w:rsidRPr="00683E24">
        <w:t>Accommodation and Meal Allowances</w:t>
      </w:r>
      <w:r>
        <w:t>—</w:t>
      </w:r>
      <w:r w:rsidRPr="00683E24">
        <w:t>Judges, Court Officers and Statutory Officers</w:t>
      </w:r>
    </w:p>
    <w:p w14:paraId="7E441881" w14:textId="77777777" w:rsidR="0012344D" w:rsidRDefault="0012344D" w:rsidP="0012344D">
      <w:pPr>
        <w:pStyle w:val="GG-Title2"/>
        <w:jc w:val="left"/>
        <w:rPr>
          <w:b/>
          <w:bCs/>
        </w:rPr>
      </w:pPr>
      <w:r w:rsidRPr="004627E2">
        <w:rPr>
          <w:b/>
          <w:bCs/>
        </w:rPr>
        <w:t>Determination</w:t>
      </w:r>
    </w:p>
    <w:p w14:paraId="156CFC96" w14:textId="77777777" w:rsidR="0012344D" w:rsidRPr="004627E2" w:rsidRDefault="0012344D" w:rsidP="0012344D">
      <w:pPr>
        <w:pStyle w:val="GG-body"/>
        <w:rPr>
          <w:b/>
          <w:bCs/>
        </w:rPr>
      </w:pPr>
      <w:r w:rsidRPr="004627E2">
        <w:rPr>
          <w:b/>
          <w:bCs/>
        </w:rPr>
        <w:t>SCOPE OF DETERMINATION</w:t>
      </w:r>
    </w:p>
    <w:p w14:paraId="1122B361" w14:textId="77777777" w:rsidR="0012344D" w:rsidRPr="00F8767B" w:rsidRDefault="0012344D" w:rsidP="009B29CF">
      <w:pPr>
        <w:pStyle w:val="GG-body"/>
        <w:numPr>
          <w:ilvl w:val="0"/>
          <w:numId w:val="100"/>
        </w:numPr>
      </w:pPr>
      <w:r w:rsidRPr="00C176CE">
        <w:t>This Determination applies to Judges, Court Officers, and Statutory Officers</w:t>
      </w:r>
      <w:r w:rsidRPr="00F8767B">
        <w:t>.</w:t>
      </w:r>
    </w:p>
    <w:p w14:paraId="7B483C25" w14:textId="77777777" w:rsidR="0012344D" w:rsidRPr="00C176CE" w:rsidRDefault="0012344D" w:rsidP="0012344D">
      <w:pPr>
        <w:pStyle w:val="GG-body"/>
        <w:rPr>
          <w:b/>
          <w:bCs/>
        </w:rPr>
      </w:pPr>
      <w:r w:rsidRPr="00C176CE">
        <w:rPr>
          <w:b/>
          <w:bCs/>
        </w:rPr>
        <w:t>INTERPRETATION</w:t>
      </w:r>
    </w:p>
    <w:p w14:paraId="1D384237" w14:textId="77777777" w:rsidR="0012344D" w:rsidRPr="00C176CE" w:rsidRDefault="0012344D" w:rsidP="009B29CF">
      <w:pPr>
        <w:pStyle w:val="GG-body"/>
        <w:numPr>
          <w:ilvl w:val="0"/>
          <w:numId w:val="100"/>
        </w:numPr>
      </w:pPr>
      <w:r w:rsidRPr="00C176CE">
        <w:t>In this Determination, unless the contrary appears:</w:t>
      </w:r>
    </w:p>
    <w:p w14:paraId="12510BAE" w14:textId="77777777" w:rsidR="0012344D" w:rsidRPr="00C176CE" w:rsidRDefault="0012344D" w:rsidP="0012344D">
      <w:pPr>
        <w:pStyle w:val="GG-body"/>
        <w:ind w:left="350"/>
      </w:pPr>
      <w:r w:rsidRPr="00C176CE">
        <w:rPr>
          <w:b/>
          <w:bCs/>
        </w:rPr>
        <w:t xml:space="preserve">“Commercial Accommodation” </w:t>
      </w:r>
      <w:r w:rsidRPr="00C176CE">
        <w:t>means short term (not permanent) accommodation in a commercial establishment such as a hotel, motel or serviced apartment and must be a genuine arms-length commercial transaction. Commercial Accommodation does not include AirBnB or other “sharing economy” type accommodation.</w:t>
      </w:r>
    </w:p>
    <w:p w14:paraId="4A39C191" w14:textId="77777777" w:rsidR="0012344D" w:rsidRPr="00C176CE" w:rsidRDefault="0012344D" w:rsidP="0012344D">
      <w:pPr>
        <w:pStyle w:val="GG-body"/>
        <w:ind w:left="350"/>
      </w:pPr>
      <w:r w:rsidRPr="00C176CE">
        <w:rPr>
          <w:b/>
        </w:rPr>
        <w:t>“Court Officer”</w:t>
      </w:r>
      <w:r w:rsidRPr="00C176CE">
        <w:t xml:space="preserve"> means a Commissioner of the Environment, Resources and Development Court.</w:t>
      </w:r>
    </w:p>
    <w:p w14:paraId="24C3A9B9" w14:textId="77777777" w:rsidR="0012344D" w:rsidRPr="00C176CE" w:rsidRDefault="0012344D" w:rsidP="0012344D">
      <w:pPr>
        <w:pStyle w:val="GG-body"/>
        <w:ind w:left="350"/>
      </w:pPr>
      <w:r w:rsidRPr="00C176CE">
        <w:rPr>
          <w:b/>
          <w:bCs/>
        </w:rPr>
        <w:t xml:space="preserve">“Incurs Actual Expenditure” </w:t>
      </w:r>
      <w:r w:rsidRPr="00C176CE">
        <w:t>means an amount of money spent by a Judge, Court Officer or Statutory Officer.</w:t>
      </w:r>
    </w:p>
    <w:p w14:paraId="0152F414" w14:textId="77777777" w:rsidR="0012344D" w:rsidRPr="00C176CE" w:rsidRDefault="0012344D" w:rsidP="0012344D">
      <w:pPr>
        <w:pStyle w:val="GG-body"/>
        <w:spacing w:after="0"/>
        <w:ind w:left="350"/>
        <w:jc w:val="left"/>
      </w:pPr>
      <w:r w:rsidRPr="00C176CE">
        <w:rPr>
          <w:b/>
        </w:rPr>
        <w:t>“Judge”</w:t>
      </w:r>
      <w:r w:rsidRPr="00C176CE">
        <w:t xml:space="preserve"> means any of the following members of the judiciary:</w:t>
      </w:r>
      <w:r w:rsidRPr="00C176CE">
        <w:br/>
        <w:t>the Chief Justice of the Supreme Court;</w:t>
      </w:r>
    </w:p>
    <w:p w14:paraId="666A5CE2" w14:textId="77777777" w:rsidR="0012344D" w:rsidRPr="00C176CE" w:rsidRDefault="0012344D" w:rsidP="0012344D">
      <w:pPr>
        <w:pStyle w:val="GG-body"/>
        <w:spacing w:after="0"/>
        <w:ind w:left="350"/>
        <w:rPr>
          <w:bCs/>
        </w:rPr>
      </w:pPr>
      <w:r w:rsidRPr="00C176CE">
        <w:rPr>
          <w:bCs/>
        </w:rPr>
        <w:t>the President of the Court of Appeal;</w:t>
      </w:r>
    </w:p>
    <w:p w14:paraId="197A3E18" w14:textId="77777777" w:rsidR="0012344D" w:rsidRPr="00C176CE" w:rsidRDefault="0012344D" w:rsidP="0012344D">
      <w:pPr>
        <w:pStyle w:val="GG-body"/>
        <w:spacing w:after="0"/>
        <w:ind w:left="350"/>
        <w:rPr>
          <w:bCs/>
        </w:rPr>
      </w:pPr>
      <w:r w:rsidRPr="00C176CE">
        <w:rPr>
          <w:bCs/>
        </w:rPr>
        <w:t>the Judges of the Court of Appeal;</w:t>
      </w:r>
    </w:p>
    <w:p w14:paraId="01ACE48E" w14:textId="77777777" w:rsidR="0012344D" w:rsidRPr="00C176CE" w:rsidRDefault="0012344D" w:rsidP="0012344D">
      <w:pPr>
        <w:pStyle w:val="GG-body"/>
        <w:spacing w:after="0"/>
        <w:ind w:left="350"/>
      </w:pPr>
      <w:r w:rsidRPr="00C176CE">
        <w:t>the Puisne Judges of the Supreme Court;</w:t>
      </w:r>
    </w:p>
    <w:p w14:paraId="60C8DA26" w14:textId="77777777" w:rsidR="0012344D" w:rsidRPr="00C176CE" w:rsidRDefault="0012344D" w:rsidP="0012344D">
      <w:pPr>
        <w:pStyle w:val="GG-body"/>
        <w:spacing w:after="0"/>
        <w:ind w:left="350"/>
      </w:pPr>
      <w:r w:rsidRPr="00C176CE">
        <w:t>the Masters of the Supreme Court;</w:t>
      </w:r>
    </w:p>
    <w:p w14:paraId="1465D759" w14:textId="77777777" w:rsidR="0012344D" w:rsidRPr="00C176CE" w:rsidRDefault="0012344D" w:rsidP="0012344D">
      <w:pPr>
        <w:pStyle w:val="GG-body"/>
        <w:spacing w:after="0"/>
        <w:ind w:left="350"/>
      </w:pPr>
      <w:r w:rsidRPr="00C176CE">
        <w:t>the Chief Judge of the District Court;</w:t>
      </w:r>
    </w:p>
    <w:p w14:paraId="22033F42" w14:textId="77777777" w:rsidR="0012344D" w:rsidRPr="00C176CE" w:rsidRDefault="0012344D" w:rsidP="0012344D">
      <w:pPr>
        <w:pStyle w:val="GG-body"/>
        <w:spacing w:after="0"/>
        <w:ind w:left="350"/>
      </w:pPr>
      <w:r w:rsidRPr="00C176CE">
        <w:t>the Judges of the Environment, Resources and Development Court;</w:t>
      </w:r>
    </w:p>
    <w:p w14:paraId="719E9D37" w14:textId="77777777" w:rsidR="0012344D" w:rsidRPr="00C176CE" w:rsidRDefault="0012344D" w:rsidP="0012344D">
      <w:pPr>
        <w:pStyle w:val="GG-body"/>
        <w:spacing w:after="0"/>
        <w:ind w:left="350"/>
      </w:pPr>
      <w:r w:rsidRPr="00C176CE">
        <w:t>the Masters of the District Court;</w:t>
      </w:r>
    </w:p>
    <w:p w14:paraId="6D0249CE" w14:textId="77777777" w:rsidR="0012344D" w:rsidRPr="00C176CE" w:rsidRDefault="0012344D" w:rsidP="0012344D">
      <w:pPr>
        <w:pStyle w:val="GG-body"/>
        <w:spacing w:after="0"/>
        <w:ind w:left="350"/>
      </w:pPr>
      <w:r w:rsidRPr="00C176CE">
        <w:t>the Other District Court Judges;</w:t>
      </w:r>
    </w:p>
    <w:p w14:paraId="0BD6435F" w14:textId="77777777" w:rsidR="0012344D" w:rsidRPr="00C176CE" w:rsidRDefault="0012344D" w:rsidP="0012344D">
      <w:pPr>
        <w:pStyle w:val="GG-body"/>
        <w:spacing w:after="0"/>
        <w:ind w:left="350"/>
      </w:pPr>
      <w:r w:rsidRPr="00C176CE">
        <w:t>the Judges of the South Australian Employment Tribunal;</w:t>
      </w:r>
    </w:p>
    <w:p w14:paraId="35E35DC4" w14:textId="77777777" w:rsidR="0012344D" w:rsidRPr="00C176CE" w:rsidRDefault="0012344D" w:rsidP="0012344D">
      <w:pPr>
        <w:pStyle w:val="GG-body"/>
        <w:spacing w:after="0"/>
        <w:ind w:left="350"/>
      </w:pPr>
      <w:r w:rsidRPr="00C176CE">
        <w:t>the Chief Magistrate;</w:t>
      </w:r>
    </w:p>
    <w:p w14:paraId="6E910244" w14:textId="77777777" w:rsidR="0012344D" w:rsidRPr="00C176CE" w:rsidRDefault="0012344D" w:rsidP="0012344D">
      <w:pPr>
        <w:pStyle w:val="GG-body"/>
        <w:spacing w:after="0"/>
        <w:ind w:left="350"/>
      </w:pPr>
      <w:r w:rsidRPr="00C176CE">
        <w:t>the Magistrates;</w:t>
      </w:r>
    </w:p>
    <w:p w14:paraId="4C10D148" w14:textId="77777777" w:rsidR="0012344D" w:rsidRPr="00C176CE" w:rsidRDefault="0012344D" w:rsidP="0012344D">
      <w:pPr>
        <w:pStyle w:val="GG-body"/>
        <w:spacing w:after="0"/>
        <w:ind w:left="350"/>
      </w:pPr>
      <w:r w:rsidRPr="00C176CE">
        <w:t>the Magistrates of the South Australian Employment Tribunal;</w:t>
      </w:r>
    </w:p>
    <w:p w14:paraId="3C398442" w14:textId="77777777" w:rsidR="0012344D" w:rsidRPr="00C176CE" w:rsidRDefault="0012344D" w:rsidP="0012344D">
      <w:pPr>
        <w:pStyle w:val="GG-body"/>
        <w:spacing w:after="0"/>
        <w:ind w:left="350"/>
      </w:pPr>
      <w:r w:rsidRPr="00C176CE">
        <w:t>the State Coroner; and</w:t>
      </w:r>
    </w:p>
    <w:p w14:paraId="0593AE4C" w14:textId="77777777" w:rsidR="0012344D" w:rsidRPr="00C176CE" w:rsidRDefault="0012344D" w:rsidP="0012344D">
      <w:pPr>
        <w:pStyle w:val="GG-body"/>
        <w:ind w:left="350"/>
      </w:pPr>
      <w:r w:rsidRPr="00C176CE">
        <w:t>the Deputy State Coroner.</w:t>
      </w:r>
    </w:p>
    <w:p w14:paraId="0D9256AE" w14:textId="77777777" w:rsidR="0012344D" w:rsidRPr="00C176CE" w:rsidRDefault="0012344D" w:rsidP="0012344D">
      <w:pPr>
        <w:pStyle w:val="GG-body"/>
        <w:ind w:left="350"/>
      </w:pPr>
      <w:r w:rsidRPr="00C176CE">
        <w:rPr>
          <w:b/>
          <w:bCs/>
        </w:rPr>
        <w:t xml:space="preserve">“Meals” </w:t>
      </w:r>
      <w:r w:rsidRPr="00C176CE">
        <w:t>means food or drink purchased by a Judge, Court Officer or Statutory Officer in connection with an allowance payable under this Determination.</w:t>
      </w:r>
    </w:p>
    <w:p w14:paraId="4214061C" w14:textId="77777777" w:rsidR="0012344D" w:rsidRPr="00C176CE" w:rsidRDefault="0012344D" w:rsidP="0012344D">
      <w:pPr>
        <w:pStyle w:val="GG-body"/>
        <w:ind w:left="350"/>
      </w:pPr>
      <w:r w:rsidRPr="00C176CE">
        <w:rPr>
          <w:b/>
          <w:bCs/>
        </w:rPr>
        <w:t xml:space="preserve">“Metropolitan Adelaide” </w:t>
      </w:r>
      <w:r w:rsidRPr="00C176CE">
        <w:t xml:space="preserve">bears the same meaning as defined in the </w:t>
      </w:r>
      <w:r w:rsidRPr="00C176CE">
        <w:rPr>
          <w:i/>
          <w:iCs/>
        </w:rPr>
        <w:t>Development Act 1993</w:t>
      </w:r>
      <w:r w:rsidRPr="00C176CE">
        <w:t>.</w:t>
      </w:r>
    </w:p>
    <w:p w14:paraId="153B4328" w14:textId="77777777" w:rsidR="0012344D" w:rsidRPr="00C176CE" w:rsidRDefault="0012344D" w:rsidP="0012344D">
      <w:pPr>
        <w:pStyle w:val="GG-body"/>
        <w:ind w:left="350"/>
      </w:pPr>
      <w:r w:rsidRPr="00C176CE">
        <w:rPr>
          <w:b/>
          <w:bCs/>
        </w:rPr>
        <w:t>“Official Duties”</w:t>
      </w:r>
      <w:r w:rsidRPr="00C176CE">
        <w:t xml:space="preserve"> means activities undertaken by a Judge, Court Officer or Statutory Officer in relation to their duties as either a Judge, Court Officer or Statutory Officer.</w:t>
      </w:r>
    </w:p>
    <w:p w14:paraId="1D8C06FD" w14:textId="77777777" w:rsidR="0012344D" w:rsidRPr="00C176CE" w:rsidRDefault="0012344D" w:rsidP="0012344D">
      <w:pPr>
        <w:pStyle w:val="GG-body"/>
        <w:ind w:left="350"/>
      </w:pPr>
      <w:r w:rsidRPr="00C176CE">
        <w:rPr>
          <w:b/>
          <w:bCs/>
        </w:rPr>
        <w:t xml:space="preserve">“Per Diem” </w:t>
      </w:r>
      <w:r w:rsidRPr="00C176CE">
        <w:t>means per day in relation to the allowances payable under this Determination.</w:t>
      </w:r>
    </w:p>
    <w:p w14:paraId="1FF4C6E4" w14:textId="77777777" w:rsidR="0012344D" w:rsidRPr="00C176CE" w:rsidRDefault="0012344D" w:rsidP="0012344D">
      <w:pPr>
        <w:pStyle w:val="GG-body"/>
        <w:spacing w:after="0"/>
        <w:ind w:left="350"/>
      </w:pPr>
      <w:r w:rsidRPr="00C176CE">
        <w:rPr>
          <w:b/>
        </w:rPr>
        <w:t>“Statutory Officer”</w:t>
      </w:r>
      <w:r w:rsidRPr="00C176CE">
        <w:t xml:space="preserve"> means any of the following statutory office holders:</w:t>
      </w:r>
    </w:p>
    <w:p w14:paraId="0C7EEE66" w14:textId="77777777" w:rsidR="0012344D" w:rsidRPr="00C176CE" w:rsidRDefault="0012344D" w:rsidP="0012344D">
      <w:pPr>
        <w:pStyle w:val="GG-body"/>
        <w:spacing w:after="0"/>
        <w:ind w:left="350"/>
      </w:pPr>
      <w:r w:rsidRPr="00C176CE">
        <w:t>the Auditor General;</w:t>
      </w:r>
    </w:p>
    <w:p w14:paraId="7C8C8329" w14:textId="77777777" w:rsidR="0012344D" w:rsidRPr="00C176CE" w:rsidRDefault="0012344D" w:rsidP="0012344D">
      <w:pPr>
        <w:pStyle w:val="GG-body"/>
        <w:spacing w:after="0"/>
        <w:ind w:left="350"/>
      </w:pPr>
      <w:r w:rsidRPr="00C176CE">
        <w:t>the Electoral Commissioner;</w:t>
      </w:r>
    </w:p>
    <w:p w14:paraId="3590C05E" w14:textId="77777777" w:rsidR="0012344D" w:rsidRPr="00C176CE" w:rsidRDefault="0012344D" w:rsidP="0012344D">
      <w:pPr>
        <w:pStyle w:val="GG-body"/>
        <w:spacing w:after="0"/>
        <w:ind w:left="350"/>
      </w:pPr>
      <w:r w:rsidRPr="00C176CE">
        <w:t>the Deputy Electoral Commissioner;</w:t>
      </w:r>
    </w:p>
    <w:p w14:paraId="0D30B563" w14:textId="77777777" w:rsidR="0012344D" w:rsidRPr="00C176CE" w:rsidRDefault="0012344D" w:rsidP="0012344D">
      <w:pPr>
        <w:pStyle w:val="GG-body"/>
        <w:spacing w:after="0"/>
        <w:ind w:left="350"/>
      </w:pPr>
      <w:r w:rsidRPr="00C176CE">
        <w:t>the Health and Community Services Complaints Commissioner;</w:t>
      </w:r>
    </w:p>
    <w:p w14:paraId="20AB4546" w14:textId="77777777" w:rsidR="0012344D" w:rsidRPr="00C176CE" w:rsidRDefault="0012344D" w:rsidP="0012344D">
      <w:pPr>
        <w:pStyle w:val="GG-body"/>
        <w:ind w:left="350"/>
      </w:pPr>
      <w:r w:rsidRPr="00C176CE">
        <w:t>the Deputy President of the South Australian Civil and Administrative Tribunal.</w:t>
      </w:r>
    </w:p>
    <w:p w14:paraId="658D4BA5" w14:textId="77777777" w:rsidR="0012344D" w:rsidRPr="003E4849" w:rsidRDefault="0012344D" w:rsidP="0012344D">
      <w:pPr>
        <w:pStyle w:val="GG-body"/>
        <w:ind w:left="350"/>
      </w:pPr>
      <w:r w:rsidRPr="00C176CE">
        <w:rPr>
          <w:b/>
          <w:bCs/>
        </w:rPr>
        <w:t xml:space="preserve">“Sydney” </w:t>
      </w:r>
      <w:r w:rsidRPr="00C176CE">
        <w:t>means locations which are less then 10km by road from the Sydney General Post Office (by the most direct route), or less then 5km by road from Sydney’s principal airport (by the most direct route).</w:t>
      </w:r>
    </w:p>
    <w:p w14:paraId="789BE223" w14:textId="77777777" w:rsidR="0012344D" w:rsidRPr="00C176CE" w:rsidRDefault="0012344D" w:rsidP="0012344D">
      <w:pPr>
        <w:pStyle w:val="GG-body"/>
        <w:rPr>
          <w:b/>
        </w:rPr>
      </w:pPr>
      <w:r w:rsidRPr="00C176CE">
        <w:rPr>
          <w:b/>
        </w:rPr>
        <w:t>ACCOMMODATION AND MEAL ALLOWANCES</w:t>
      </w:r>
    </w:p>
    <w:p w14:paraId="0F3F59D2" w14:textId="77777777" w:rsidR="0012344D" w:rsidRPr="00C176CE" w:rsidRDefault="0012344D" w:rsidP="009B29CF">
      <w:pPr>
        <w:pStyle w:val="GG-body"/>
        <w:numPr>
          <w:ilvl w:val="0"/>
          <w:numId w:val="100"/>
        </w:numPr>
      </w:pPr>
      <w:r w:rsidRPr="00C176CE">
        <w:t>A Judge, Court Officer or Statutory Officer who incurs actual expenditure for both commercial accommodation and meals when travelling for the purpose of performing their official duties and which necessitates absence from home overnight shall be entitled to be paid a per diem accommodation and meal allowance, as follows</w:t>
      </w:r>
    </w:p>
    <w:p w14:paraId="0C657F92" w14:textId="77777777" w:rsidR="0012344D" w:rsidRPr="00C176CE" w:rsidRDefault="0012344D" w:rsidP="009B29CF">
      <w:pPr>
        <w:pStyle w:val="GG-body"/>
        <w:numPr>
          <w:ilvl w:val="1"/>
          <w:numId w:val="100"/>
        </w:numPr>
      </w:pPr>
      <w:r w:rsidRPr="00C176CE">
        <w:t>Within Metropolitan Adelaide:</w:t>
      </w:r>
    </w:p>
    <w:p w14:paraId="2CDBB2F2" w14:textId="77777777" w:rsidR="0012344D" w:rsidRPr="00C176CE" w:rsidRDefault="0012344D" w:rsidP="009B29CF">
      <w:pPr>
        <w:pStyle w:val="GG-body"/>
        <w:numPr>
          <w:ilvl w:val="2"/>
          <w:numId w:val="100"/>
        </w:numPr>
        <w:ind w:left="1330"/>
      </w:pPr>
      <w:r w:rsidRPr="00C176CE">
        <w:t>An allowance at the rate of $350.00 per day for the purpose of meeting expenditure in relation to commercial accommodation and meals.</w:t>
      </w:r>
    </w:p>
    <w:p w14:paraId="036CBC85" w14:textId="77777777" w:rsidR="0012344D" w:rsidRPr="00C176CE" w:rsidRDefault="0012344D" w:rsidP="009B29CF">
      <w:pPr>
        <w:pStyle w:val="GG-body"/>
        <w:numPr>
          <w:ilvl w:val="1"/>
          <w:numId w:val="100"/>
        </w:numPr>
      </w:pPr>
      <w:r w:rsidRPr="00C176CE">
        <w:t>Outside Metropolitan Adelaide, but within South Australia:</w:t>
      </w:r>
    </w:p>
    <w:p w14:paraId="7D88DC2E" w14:textId="77777777" w:rsidR="0012344D" w:rsidRPr="00C176CE" w:rsidRDefault="0012344D" w:rsidP="009B29CF">
      <w:pPr>
        <w:pStyle w:val="GG-body"/>
        <w:numPr>
          <w:ilvl w:val="2"/>
          <w:numId w:val="100"/>
        </w:numPr>
        <w:ind w:left="1330"/>
      </w:pPr>
      <w:r w:rsidRPr="00C176CE">
        <w:t>An allowance at the rate of $321.00 per day for the purpose of meeting expenditure in relation to commercial accommodation and meals.</w:t>
      </w:r>
    </w:p>
    <w:p w14:paraId="0673D4D0" w14:textId="77777777" w:rsidR="0012344D" w:rsidRPr="00C176CE" w:rsidRDefault="0012344D" w:rsidP="009B29CF">
      <w:pPr>
        <w:pStyle w:val="GG-body"/>
        <w:numPr>
          <w:ilvl w:val="1"/>
          <w:numId w:val="100"/>
        </w:numPr>
      </w:pPr>
      <w:r w:rsidRPr="00C176CE">
        <w:t>Outside South Australia, but within Australia (other than Sydney):</w:t>
      </w:r>
    </w:p>
    <w:p w14:paraId="24B7EC08" w14:textId="77777777" w:rsidR="0012344D" w:rsidRPr="00C176CE" w:rsidRDefault="0012344D" w:rsidP="009B29CF">
      <w:pPr>
        <w:pStyle w:val="GG-body"/>
        <w:numPr>
          <w:ilvl w:val="2"/>
          <w:numId w:val="100"/>
        </w:numPr>
        <w:ind w:left="1330"/>
      </w:pPr>
      <w:r w:rsidRPr="00C176CE">
        <w:t>An allowance at the rate of $490.00 per day for the purpose of meeting expenditure in relation to commercial accommodation and meals.</w:t>
      </w:r>
    </w:p>
    <w:p w14:paraId="3EE6B8C9" w14:textId="77777777" w:rsidR="0012344D" w:rsidRPr="00C176CE" w:rsidRDefault="0012344D" w:rsidP="009B29CF">
      <w:pPr>
        <w:pStyle w:val="GG-body"/>
        <w:numPr>
          <w:ilvl w:val="1"/>
          <w:numId w:val="100"/>
        </w:numPr>
      </w:pPr>
      <w:r w:rsidRPr="00C176CE">
        <w:t>Sydney:</w:t>
      </w:r>
    </w:p>
    <w:p w14:paraId="344BD49B" w14:textId="77777777" w:rsidR="0012344D" w:rsidRPr="00C176CE" w:rsidRDefault="0012344D" w:rsidP="009B29CF">
      <w:pPr>
        <w:pStyle w:val="GG-body"/>
        <w:numPr>
          <w:ilvl w:val="2"/>
          <w:numId w:val="100"/>
        </w:numPr>
        <w:ind w:left="1330"/>
      </w:pPr>
      <w:r w:rsidRPr="00C176CE">
        <w:t>An allowance at the rate of $558.00 per day for the purpose of meeting expenditure in relation to commercial accommodation and meals.</w:t>
      </w:r>
    </w:p>
    <w:p w14:paraId="5C281320" w14:textId="77777777" w:rsidR="0012344D" w:rsidRPr="00C176CE" w:rsidRDefault="0012344D" w:rsidP="009B29CF">
      <w:pPr>
        <w:pStyle w:val="GG-body"/>
        <w:numPr>
          <w:ilvl w:val="1"/>
          <w:numId w:val="100"/>
        </w:numPr>
      </w:pPr>
      <w:r w:rsidRPr="00C176CE">
        <w:t>Office holders who travel interstate and return on the same day may be reimbursed for lunch only on the basis of actual expenditure up to $25.80. Reimbursement is not to be made for lunch during single day absences within South Australia.</w:t>
      </w:r>
    </w:p>
    <w:p w14:paraId="0872A425" w14:textId="44134B07" w:rsidR="0012344D" w:rsidRDefault="0012344D" w:rsidP="009B29CF">
      <w:pPr>
        <w:pStyle w:val="GG-body"/>
        <w:numPr>
          <w:ilvl w:val="1"/>
          <w:numId w:val="100"/>
        </w:numPr>
      </w:pPr>
      <w:r w:rsidRPr="00C176CE">
        <w:t>When an additional period of less than 24 hours absence occurs without overnight accommodation consecutive with and immediately following a period of absence in paragraph 3.1, 3.2, 3.3, or 3.4, then a further payment calculated at the rate of one half of the allowance shall be paid with respect to the excess hours.</w:t>
      </w:r>
    </w:p>
    <w:p w14:paraId="33321413" w14:textId="77777777" w:rsidR="0012344D" w:rsidRDefault="0012344D">
      <w:pPr>
        <w:spacing w:after="0" w:line="240" w:lineRule="auto"/>
        <w:jc w:val="left"/>
        <w:rPr>
          <w:rFonts w:eastAsia="Times New Roman"/>
          <w:szCs w:val="17"/>
        </w:rPr>
      </w:pPr>
      <w:r>
        <w:br w:type="page"/>
      </w:r>
    </w:p>
    <w:p w14:paraId="310FDA09" w14:textId="77777777" w:rsidR="0012344D" w:rsidRPr="00683E24" w:rsidRDefault="0012344D" w:rsidP="0012344D">
      <w:pPr>
        <w:spacing w:line="240" w:lineRule="auto"/>
        <w:jc w:val="left"/>
        <w:rPr>
          <w:rFonts w:eastAsia="Times New Roman"/>
          <w:b/>
          <w:bCs/>
          <w:szCs w:val="17"/>
        </w:rPr>
      </w:pPr>
      <w:r w:rsidRPr="00683E24">
        <w:rPr>
          <w:rFonts w:eastAsia="Times New Roman"/>
          <w:b/>
          <w:bCs/>
          <w:szCs w:val="17"/>
        </w:rPr>
        <w:lastRenderedPageBreak/>
        <w:t>RESTORED HALF-DAY ALLOWANCE FROM 7 December 2020 to 31 December 2022</w:t>
      </w:r>
    </w:p>
    <w:p w14:paraId="482C66C2" w14:textId="77777777" w:rsidR="0012344D" w:rsidRPr="00C176CE" w:rsidRDefault="0012344D" w:rsidP="009B29CF">
      <w:pPr>
        <w:pStyle w:val="GG-body"/>
        <w:numPr>
          <w:ilvl w:val="0"/>
          <w:numId w:val="100"/>
        </w:numPr>
      </w:pPr>
      <w:r w:rsidRPr="00C176CE">
        <w:t>Determinations 13 of 2020 and 15 of 2021 are to be read as if the following was always included as clause 3.6:</w:t>
      </w:r>
    </w:p>
    <w:p w14:paraId="6A6EF1FF" w14:textId="77777777" w:rsidR="0012344D" w:rsidRPr="00683E24" w:rsidRDefault="0012344D" w:rsidP="0012344D">
      <w:pPr>
        <w:ind w:left="851"/>
        <w:jc w:val="left"/>
        <w:rPr>
          <w:rFonts w:eastAsia="Times New Roman"/>
          <w:i/>
          <w:iCs/>
          <w:szCs w:val="17"/>
        </w:rPr>
      </w:pPr>
      <w:r w:rsidRPr="00683E24">
        <w:rPr>
          <w:rFonts w:eastAsia="Times New Roman"/>
          <w:i/>
          <w:iCs/>
          <w:szCs w:val="17"/>
        </w:rPr>
        <w:t>When an additional period of less than 24 hours absence occurs without overnight accommodation consecutive with and immediately following a period of absence in paragraph 3.1, 3.2, 3.3, or 3.4, then a further payment calculated at the rate of one half of the allowance shall be paid with respect to the excess hours.</w:t>
      </w:r>
    </w:p>
    <w:p w14:paraId="3D46B574" w14:textId="77777777" w:rsidR="0012344D" w:rsidRPr="003E4849" w:rsidRDefault="0012344D" w:rsidP="0012344D">
      <w:pPr>
        <w:pStyle w:val="GG-SDated"/>
        <w:spacing w:after="80"/>
        <w:rPr>
          <w:b/>
        </w:rPr>
      </w:pPr>
      <w:r w:rsidRPr="003E4849">
        <w:rPr>
          <w:b/>
        </w:rPr>
        <w:t>DATE OF OPERATION</w:t>
      </w:r>
    </w:p>
    <w:p w14:paraId="5CABF99B" w14:textId="77777777" w:rsidR="0012344D" w:rsidRPr="003E4849" w:rsidRDefault="0012344D" w:rsidP="009B29CF">
      <w:pPr>
        <w:pStyle w:val="GG-body"/>
        <w:numPr>
          <w:ilvl w:val="0"/>
          <w:numId w:val="100"/>
        </w:numPr>
      </w:pPr>
      <w:r w:rsidRPr="00683E24">
        <w:t>This Determination operates from 1 January 2023, with the exception of clause 4 which has immediate effect. It supersedes Determination 15 of 2021</w:t>
      </w:r>
      <w:r w:rsidRPr="003E4849">
        <w:t>.</w:t>
      </w:r>
    </w:p>
    <w:p w14:paraId="4C93A0AD" w14:textId="77777777" w:rsidR="0012344D" w:rsidRPr="00A51192" w:rsidRDefault="0012344D" w:rsidP="0012344D">
      <w:pPr>
        <w:pStyle w:val="GG-SDated"/>
      </w:pPr>
      <w:r>
        <w:t>Dated: 14 December 2022</w:t>
      </w:r>
    </w:p>
    <w:p w14:paraId="5687DFDE" w14:textId="77777777" w:rsidR="0012344D" w:rsidRDefault="0012344D" w:rsidP="0012344D">
      <w:pPr>
        <w:pStyle w:val="GG-SName"/>
      </w:pPr>
      <w:r w:rsidRPr="00A51192">
        <w:t>Matthew O’Callaghan</w:t>
      </w:r>
    </w:p>
    <w:p w14:paraId="35A42B61" w14:textId="77777777" w:rsidR="0012344D" w:rsidRPr="00A51192" w:rsidRDefault="0012344D" w:rsidP="007F7570">
      <w:pPr>
        <w:pStyle w:val="GG-Signature"/>
        <w:spacing w:after="80"/>
      </w:pPr>
      <w:r w:rsidRPr="00A51192">
        <w:t>President</w:t>
      </w:r>
    </w:p>
    <w:p w14:paraId="7620F902" w14:textId="77777777" w:rsidR="0012344D" w:rsidRDefault="0012344D" w:rsidP="0012344D">
      <w:pPr>
        <w:pStyle w:val="GG-SName"/>
      </w:pPr>
      <w:r w:rsidRPr="00A51192">
        <w:t>Deborah Black</w:t>
      </w:r>
    </w:p>
    <w:p w14:paraId="69FDBA95" w14:textId="77777777" w:rsidR="0012344D" w:rsidRPr="00A51192" w:rsidRDefault="0012344D" w:rsidP="007F7570">
      <w:pPr>
        <w:pStyle w:val="GG-Signature"/>
        <w:spacing w:after="80"/>
      </w:pPr>
      <w:r w:rsidRPr="00A51192">
        <w:t>Member</w:t>
      </w:r>
    </w:p>
    <w:p w14:paraId="45EBE5E2" w14:textId="77777777" w:rsidR="0012344D" w:rsidRPr="00A51192" w:rsidRDefault="0012344D" w:rsidP="0012344D">
      <w:pPr>
        <w:pStyle w:val="GG-SName"/>
      </w:pPr>
      <w:r w:rsidRPr="00A51192">
        <w:t>Peter de Cure AM</w:t>
      </w:r>
    </w:p>
    <w:p w14:paraId="05DEDD55" w14:textId="77777777" w:rsidR="0012344D" w:rsidRDefault="0012344D" w:rsidP="0012344D">
      <w:pPr>
        <w:pStyle w:val="GG-Signature"/>
      </w:pPr>
      <w:r w:rsidRPr="00A51192">
        <w:t>Member</w:t>
      </w:r>
    </w:p>
    <w:p w14:paraId="51DDAB44" w14:textId="77777777" w:rsidR="0012344D" w:rsidRDefault="0012344D" w:rsidP="0012344D">
      <w:pPr>
        <w:pStyle w:val="GG-Signature"/>
        <w:pBdr>
          <w:top w:val="single" w:sz="4" w:space="1" w:color="auto"/>
        </w:pBdr>
        <w:spacing w:before="100" w:line="14" w:lineRule="exact"/>
        <w:jc w:val="center"/>
      </w:pPr>
    </w:p>
    <w:p w14:paraId="37A438CF" w14:textId="2338F026" w:rsidR="0035143A" w:rsidRDefault="0035143A" w:rsidP="00965F17">
      <w:pPr>
        <w:pStyle w:val="GG-body"/>
        <w:spacing w:after="0"/>
        <w:rPr>
          <w:lang w:val="en-US"/>
        </w:rPr>
      </w:pPr>
    </w:p>
    <w:p w14:paraId="6C589BBC" w14:textId="77777777" w:rsidR="0012344D" w:rsidRPr="004F33B9" w:rsidRDefault="0012344D" w:rsidP="0012344D">
      <w:pPr>
        <w:pStyle w:val="GG-Title1"/>
      </w:pPr>
      <w:bookmarkStart w:id="73" w:name="_Hlk122011144"/>
      <w:bookmarkEnd w:id="73"/>
      <w:r w:rsidRPr="004F33B9">
        <w:t>The Remuneration Tribunal</w:t>
      </w:r>
    </w:p>
    <w:p w14:paraId="1E5B6B2B" w14:textId="77777777" w:rsidR="0012344D" w:rsidRPr="00A51192" w:rsidRDefault="0012344D" w:rsidP="0012344D">
      <w:pPr>
        <w:pStyle w:val="GG-Title2"/>
      </w:pPr>
      <w:r w:rsidRPr="00A51192">
        <w:t>Report</w:t>
      </w:r>
      <w:r>
        <w:t>—</w:t>
      </w:r>
      <w:r w:rsidRPr="00A51192">
        <w:t>No.</w:t>
      </w:r>
      <w:r>
        <w:t xml:space="preserve"> 9</w:t>
      </w:r>
      <w:r w:rsidRPr="00A51192">
        <w:t xml:space="preserve"> </w:t>
      </w:r>
      <w:r>
        <w:t>o</w:t>
      </w:r>
      <w:r w:rsidRPr="00A51192">
        <w:t>f 2022</w:t>
      </w:r>
    </w:p>
    <w:p w14:paraId="342B0B71" w14:textId="77777777" w:rsidR="0012344D" w:rsidRPr="007D4132" w:rsidRDefault="0012344D" w:rsidP="0012344D">
      <w:pPr>
        <w:pStyle w:val="GG-Title3"/>
      </w:pPr>
      <w:r w:rsidRPr="00FF1728">
        <w:t>2022 Review of Conveyance Allowances</w:t>
      </w:r>
      <w:r>
        <w:t>—</w:t>
      </w:r>
      <w:r w:rsidRPr="00FF1728">
        <w:t>Judges, Court Officers and Statutory Officers</w:t>
      </w:r>
    </w:p>
    <w:p w14:paraId="7262B814" w14:textId="77777777" w:rsidR="0012344D" w:rsidRPr="00A51192" w:rsidRDefault="0012344D" w:rsidP="0012344D">
      <w:pPr>
        <w:pStyle w:val="GG-body"/>
        <w:rPr>
          <w:b/>
          <w:bCs/>
          <w:smallCaps/>
        </w:rPr>
      </w:pPr>
      <w:r w:rsidRPr="00A51192">
        <w:rPr>
          <w:b/>
          <w:bCs/>
          <w:smallCaps/>
        </w:rPr>
        <w:t>Report</w:t>
      </w:r>
    </w:p>
    <w:p w14:paraId="503CC2C9" w14:textId="77777777" w:rsidR="0012344D" w:rsidRPr="00E52685" w:rsidRDefault="0012344D" w:rsidP="0012344D">
      <w:pPr>
        <w:jc w:val="left"/>
        <w:rPr>
          <w:b/>
          <w:bCs/>
          <w:szCs w:val="17"/>
        </w:rPr>
      </w:pPr>
      <w:r w:rsidRPr="00E52685">
        <w:rPr>
          <w:b/>
          <w:bCs/>
          <w:szCs w:val="17"/>
        </w:rPr>
        <w:t>INTRODUCTION</w:t>
      </w:r>
    </w:p>
    <w:p w14:paraId="46098C09" w14:textId="77777777" w:rsidR="0012344D" w:rsidRPr="008D36B1" w:rsidRDefault="0012344D" w:rsidP="009B29CF">
      <w:pPr>
        <w:pStyle w:val="ListParagraph"/>
        <w:numPr>
          <w:ilvl w:val="0"/>
          <w:numId w:val="103"/>
        </w:numPr>
        <w:contextualSpacing w:val="0"/>
        <w:rPr>
          <w:szCs w:val="17"/>
        </w:rPr>
      </w:pPr>
      <w:r w:rsidRPr="008D36B1">
        <w:rPr>
          <w:szCs w:val="17"/>
        </w:rPr>
        <w:t>The Remuneration Tribunal (</w:t>
      </w:r>
      <w:r w:rsidRPr="008D36B1">
        <w:rPr>
          <w:b/>
          <w:bCs/>
          <w:szCs w:val="17"/>
        </w:rPr>
        <w:t>Tribunal</w:t>
      </w:r>
      <w:r w:rsidRPr="008D36B1">
        <w:rPr>
          <w:szCs w:val="17"/>
        </w:rPr>
        <w:t>) has conducted a review of Determination 14 of 2021</w:t>
      </w:r>
      <w:r w:rsidRPr="00A82593">
        <w:rPr>
          <w:szCs w:val="17"/>
          <w:vertAlign w:val="superscript"/>
        </w:rPr>
        <w:t>1</w:t>
      </w:r>
      <w:r w:rsidRPr="008D36B1">
        <w:rPr>
          <w:szCs w:val="17"/>
        </w:rPr>
        <w:t xml:space="preserve"> which sets conveyance allowances and related entitlements for members of the judiciary and office holders listed in section 13 of the </w:t>
      </w:r>
      <w:r w:rsidRPr="008D36B1">
        <w:rPr>
          <w:i/>
          <w:iCs/>
          <w:szCs w:val="17"/>
        </w:rPr>
        <w:t>Remuneration Act 1990</w:t>
      </w:r>
      <w:r w:rsidRPr="008D36B1">
        <w:rPr>
          <w:szCs w:val="17"/>
        </w:rPr>
        <w:t xml:space="preserve"> (</w:t>
      </w:r>
      <w:r w:rsidRPr="008D36B1">
        <w:rPr>
          <w:b/>
          <w:bCs/>
          <w:szCs w:val="17"/>
        </w:rPr>
        <w:t>Act</w:t>
      </w:r>
      <w:r w:rsidRPr="008D36B1">
        <w:rPr>
          <w:szCs w:val="17"/>
        </w:rPr>
        <w:t>), and certain other office holders as conferred under section 14 of the Act.</w:t>
      </w:r>
    </w:p>
    <w:p w14:paraId="774E0823" w14:textId="77777777" w:rsidR="0012344D" w:rsidRDefault="0012344D" w:rsidP="009B29CF">
      <w:pPr>
        <w:pStyle w:val="ListParagraph"/>
        <w:numPr>
          <w:ilvl w:val="0"/>
          <w:numId w:val="103"/>
        </w:numPr>
        <w:contextualSpacing w:val="0"/>
        <w:rPr>
          <w:szCs w:val="17"/>
        </w:rPr>
      </w:pPr>
      <w:r w:rsidRPr="008D36B1">
        <w:rPr>
          <w:szCs w:val="17"/>
        </w:rPr>
        <w:t xml:space="preserve">As explained in this report, the Tribunal has decided to increase the allowances by 5%. The Tribunal has issued an accompanying determination, which applies from 1 January 2023. </w:t>
      </w:r>
    </w:p>
    <w:p w14:paraId="079B22E0" w14:textId="77777777" w:rsidR="0012344D" w:rsidRDefault="0012344D" w:rsidP="0012344D">
      <w:pPr>
        <w:pStyle w:val="GG-body"/>
      </w:pPr>
      <w:r>
        <w:rPr>
          <w:noProof/>
        </w:rPr>
        <mc:AlternateContent>
          <mc:Choice Requires="wps">
            <w:drawing>
              <wp:anchor distT="0" distB="0" distL="114300" distR="114300" simplePos="0" relativeHeight="251668480" behindDoc="0" locked="0" layoutInCell="1" allowOverlap="1" wp14:anchorId="4A099367" wp14:editId="6C68BFB1">
                <wp:simplePos x="0" y="0"/>
                <wp:positionH relativeFrom="column">
                  <wp:posOffset>9525</wp:posOffset>
                </wp:positionH>
                <wp:positionV relativeFrom="paragraph">
                  <wp:posOffset>55880</wp:posOffset>
                </wp:positionV>
                <wp:extent cx="170822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1857ED" id="Straight Connector 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65959E19" w14:textId="77777777" w:rsidR="0012344D" w:rsidRPr="00A51192" w:rsidRDefault="0012344D" w:rsidP="0012344D">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A82593">
        <w:rPr>
          <w:rFonts w:ascii="Times New Roman" w:hAnsi="Times New Roman" w:cs="Times New Roman"/>
          <w:sz w:val="16"/>
          <w:szCs w:val="16"/>
          <w:lang w:val="en-AU"/>
        </w:rPr>
        <w:t>Conveyance Allowance – Judges, Court Officers and Statutory Officers</w:t>
      </w:r>
      <w:r w:rsidRPr="00A51192">
        <w:rPr>
          <w:rFonts w:ascii="Times New Roman" w:hAnsi="Times New Roman" w:cs="Times New Roman"/>
          <w:sz w:val="16"/>
          <w:szCs w:val="16"/>
          <w:lang w:val="en-AU"/>
        </w:rPr>
        <w:t>.</w:t>
      </w:r>
    </w:p>
    <w:p w14:paraId="37DF2429" w14:textId="77777777" w:rsidR="0012344D" w:rsidRPr="00E52685" w:rsidRDefault="0012344D" w:rsidP="0012344D">
      <w:pPr>
        <w:jc w:val="left"/>
        <w:rPr>
          <w:b/>
          <w:bCs/>
          <w:szCs w:val="17"/>
        </w:rPr>
      </w:pPr>
      <w:r w:rsidRPr="00E52685">
        <w:rPr>
          <w:b/>
          <w:bCs/>
          <w:szCs w:val="17"/>
        </w:rPr>
        <w:t>THE REVIEW PROCESS</w:t>
      </w:r>
    </w:p>
    <w:p w14:paraId="067B1523" w14:textId="77777777" w:rsidR="0012344D" w:rsidRPr="00721519" w:rsidRDefault="0012344D" w:rsidP="009B29CF">
      <w:pPr>
        <w:pStyle w:val="ListParagraph"/>
        <w:numPr>
          <w:ilvl w:val="0"/>
          <w:numId w:val="103"/>
        </w:numPr>
        <w:contextualSpacing w:val="0"/>
        <w:rPr>
          <w:szCs w:val="17"/>
        </w:rPr>
      </w:pPr>
      <w:r w:rsidRPr="00721519">
        <w:rPr>
          <w:szCs w:val="17"/>
        </w:rPr>
        <w:t>On 20 September 2022, in accordance with sections 10(2) and 10(4) of the Act, the Tribunal wrote to and invited submissions by 17 October 2022 in respect of this review and the associated application from:</w:t>
      </w:r>
    </w:p>
    <w:p w14:paraId="3AE683D5"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Honourable Premier of South Australia – as the Minister responsible for the Act who may make submissions or introduce evidence in the public interest</w:t>
      </w:r>
    </w:p>
    <w:p w14:paraId="385C4AFC" w14:textId="77777777" w:rsidR="0012344D" w:rsidRPr="00721519" w:rsidRDefault="0012344D" w:rsidP="009B29CF">
      <w:pPr>
        <w:pStyle w:val="ListParagraph"/>
        <w:numPr>
          <w:ilvl w:val="1"/>
          <w:numId w:val="103"/>
        </w:numPr>
        <w:spacing w:after="0"/>
        <w:ind w:left="714" w:hanging="357"/>
        <w:contextualSpacing w:val="0"/>
        <w:rPr>
          <w:szCs w:val="17"/>
        </w:rPr>
      </w:pPr>
      <w:r w:rsidRPr="00FF1728">
        <w:rPr>
          <w:szCs w:val="17"/>
        </w:rPr>
        <w:t>the Judicial Remuneration Coordinating Committee (</w:t>
      </w:r>
      <w:r w:rsidRPr="00FF1728">
        <w:rPr>
          <w:b/>
          <w:bCs/>
          <w:szCs w:val="17"/>
        </w:rPr>
        <w:t>JRCC</w:t>
      </w:r>
      <w:r w:rsidRPr="00FF1728">
        <w:rPr>
          <w:szCs w:val="17"/>
        </w:rPr>
        <w:t>)</w:t>
      </w:r>
    </w:p>
    <w:p w14:paraId="47B57FC3" w14:textId="77777777" w:rsidR="0012344D" w:rsidRPr="00721519" w:rsidRDefault="0012344D" w:rsidP="009B29CF">
      <w:pPr>
        <w:pStyle w:val="ListParagraph"/>
        <w:numPr>
          <w:ilvl w:val="1"/>
          <w:numId w:val="103"/>
        </w:numPr>
        <w:contextualSpacing w:val="0"/>
        <w:rPr>
          <w:szCs w:val="17"/>
        </w:rPr>
      </w:pPr>
      <w:r w:rsidRPr="00721519">
        <w:rPr>
          <w:szCs w:val="17"/>
        </w:rPr>
        <w:t>members of the judiciary and relevant office holders</w:t>
      </w:r>
    </w:p>
    <w:p w14:paraId="18F329FE" w14:textId="77777777" w:rsidR="0012344D" w:rsidRPr="00721519" w:rsidRDefault="0012344D" w:rsidP="009B29CF">
      <w:pPr>
        <w:pStyle w:val="ListParagraph"/>
        <w:numPr>
          <w:ilvl w:val="0"/>
          <w:numId w:val="103"/>
        </w:numPr>
        <w:contextualSpacing w:val="0"/>
        <w:rPr>
          <w:szCs w:val="17"/>
        </w:rPr>
      </w:pPr>
      <w:r w:rsidRPr="00721519">
        <w:rPr>
          <w:szCs w:val="17"/>
        </w:rPr>
        <w:t>The Tribunal also placed a notice on its website from 20 September 2022 calling for submissions from affected persons by 17 October 2022.</w:t>
      </w:r>
    </w:p>
    <w:p w14:paraId="439EBA0F" w14:textId="77777777" w:rsidR="0012344D" w:rsidRPr="00721519" w:rsidRDefault="0012344D" w:rsidP="009B29CF">
      <w:pPr>
        <w:pStyle w:val="ListParagraph"/>
        <w:numPr>
          <w:ilvl w:val="0"/>
          <w:numId w:val="103"/>
        </w:numPr>
        <w:contextualSpacing w:val="0"/>
        <w:rPr>
          <w:szCs w:val="17"/>
        </w:rPr>
      </w:pPr>
      <w:r w:rsidRPr="00721519">
        <w:rPr>
          <w:szCs w:val="17"/>
        </w:rPr>
        <w:t>The JRCC provided a written submission on 17 October 2022, on behalf of:</w:t>
      </w:r>
    </w:p>
    <w:p w14:paraId="3B54A18C"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Chief Justice, Judges and Masters of the Supreme Court</w:t>
      </w:r>
    </w:p>
    <w:p w14:paraId="38C6585E"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Chief Judge, Judges and Masters of the District Court</w:t>
      </w:r>
    </w:p>
    <w:p w14:paraId="2C38E631"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Judges and Magistrates of the South Australian Employment Tribunal</w:t>
      </w:r>
    </w:p>
    <w:p w14:paraId="1DE3A9B0"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Chief Magistrate and the Magistrates of the Magistrates Court</w:t>
      </w:r>
    </w:p>
    <w:p w14:paraId="41F18E25"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the State Coroner and Deputy Coroner</w:t>
      </w:r>
    </w:p>
    <w:p w14:paraId="6AE6E6AC" w14:textId="77777777" w:rsidR="0012344D" w:rsidRPr="00721519" w:rsidRDefault="0012344D" w:rsidP="009B29CF">
      <w:pPr>
        <w:pStyle w:val="ListParagraph"/>
        <w:numPr>
          <w:ilvl w:val="1"/>
          <w:numId w:val="103"/>
        </w:numPr>
        <w:spacing w:after="0"/>
        <w:ind w:left="714" w:hanging="357"/>
        <w:contextualSpacing w:val="0"/>
        <w:rPr>
          <w:szCs w:val="17"/>
        </w:rPr>
      </w:pPr>
      <w:r w:rsidRPr="00721519">
        <w:rPr>
          <w:szCs w:val="17"/>
        </w:rPr>
        <w:t xml:space="preserve">the Commissioners of the Environment, Resources and Development Court, and </w:t>
      </w:r>
    </w:p>
    <w:p w14:paraId="372C4E65" w14:textId="77777777" w:rsidR="0012344D" w:rsidRPr="00721519" w:rsidRDefault="0012344D" w:rsidP="009B29CF">
      <w:pPr>
        <w:pStyle w:val="ListParagraph"/>
        <w:numPr>
          <w:ilvl w:val="1"/>
          <w:numId w:val="103"/>
        </w:numPr>
        <w:contextualSpacing w:val="0"/>
        <w:rPr>
          <w:szCs w:val="17"/>
        </w:rPr>
      </w:pPr>
      <w:r w:rsidRPr="00721519">
        <w:rPr>
          <w:szCs w:val="17"/>
        </w:rPr>
        <w:t>the President and Deputy Presidents of the South Australian Employment Tribunal.</w:t>
      </w:r>
    </w:p>
    <w:p w14:paraId="39C8408C" w14:textId="77777777" w:rsidR="0012344D" w:rsidRPr="00721519" w:rsidRDefault="0012344D" w:rsidP="009B29CF">
      <w:pPr>
        <w:pStyle w:val="ListParagraph"/>
        <w:numPr>
          <w:ilvl w:val="0"/>
          <w:numId w:val="103"/>
        </w:numPr>
        <w:contextualSpacing w:val="0"/>
        <w:rPr>
          <w:szCs w:val="17"/>
        </w:rPr>
      </w:pPr>
      <w:r w:rsidRPr="00721519">
        <w:rPr>
          <w:szCs w:val="17"/>
        </w:rPr>
        <w:t>On 31 October 2022, after an extension was granted, the Premier’s representative confirmed that the Premier did not intend to make a submission.</w:t>
      </w:r>
    </w:p>
    <w:p w14:paraId="52611C1E" w14:textId="77777777" w:rsidR="0012344D" w:rsidRPr="00721519" w:rsidRDefault="0012344D" w:rsidP="009B29CF">
      <w:pPr>
        <w:pStyle w:val="ListParagraph"/>
        <w:numPr>
          <w:ilvl w:val="0"/>
          <w:numId w:val="103"/>
        </w:numPr>
        <w:contextualSpacing w:val="0"/>
        <w:rPr>
          <w:szCs w:val="17"/>
        </w:rPr>
      </w:pPr>
      <w:r w:rsidRPr="00721519">
        <w:rPr>
          <w:szCs w:val="17"/>
        </w:rPr>
        <w:t>No other submissions were received.</w:t>
      </w:r>
    </w:p>
    <w:p w14:paraId="72807BE5" w14:textId="77777777" w:rsidR="0012344D" w:rsidRPr="00721519" w:rsidRDefault="0012344D" w:rsidP="009B29CF">
      <w:pPr>
        <w:pStyle w:val="ListParagraph"/>
        <w:numPr>
          <w:ilvl w:val="0"/>
          <w:numId w:val="103"/>
        </w:numPr>
        <w:contextualSpacing w:val="0"/>
        <w:rPr>
          <w:szCs w:val="17"/>
        </w:rPr>
      </w:pPr>
      <w:r w:rsidRPr="00721519">
        <w:rPr>
          <w:szCs w:val="17"/>
        </w:rPr>
        <w:t>The Tribunal convened a hearing on this and related matters on 14 November 2022. This hearing was attended by the Honourable Justice Tim Stanley as chair of the JRCC, Magistrate Jay Pandya as President of MASA, and Ms Carly Cooper from the Crown Solicitor’s Office as representative of the Premier.</w:t>
      </w:r>
    </w:p>
    <w:p w14:paraId="461DE798" w14:textId="77777777" w:rsidR="0012344D" w:rsidRPr="00721519" w:rsidRDefault="0012344D" w:rsidP="009B29CF">
      <w:pPr>
        <w:pStyle w:val="ListParagraph"/>
        <w:numPr>
          <w:ilvl w:val="0"/>
          <w:numId w:val="103"/>
        </w:numPr>
        <w:contextualSpacing w:val="0"/>
        <w:rPr>
          <w:szCs w:val="17"/>
        </w:rPr>
      </w:pPr>
      <w:r w:rsidRPr="00721519">
        <w:rPr>
          <w:szCs w:val="17"/>
        </w:rPr>
        <w:t>Justice Stanley and Magistrate Pandya spoke to the written submissions received from the JRCC. Ms Cooper attended, and confirmed that she was not instructed to make any submissions.</w:t>
      </w:r>
    </w:p>
    <w:p w14:paraId="044A7F2D" w14:textId="77777777" w:rsidR="0012344D" w:rsidRPr="00721519" w:rsidRDefault="0012344D" w:rsidP="009B29CF">
      <w:pPr>
        <w:pStyle w:val="ListParagraph"/>
        <w:numPr>
          <w:ilvl w:val="0"/>
          <w:numId w:val="103"/>
        </w:numPr>
        <w:contextualSpacing w:val="0"/>
        <w:rPr>
          <w:szCs w:val="17"/>
        </w:rPr>
      </w:pPr>
      <w:r w:rsidRPr="00FF1728">
        <w:rPr>
          <w:szCs w:val="17"/>
        </w:rPr>
        <w:t>In summary the JRCC submitted that the Tribunal should review the amount of the allowances in the usual way, and otherwise make a determination that reflects the terms of Determination 14 of 2021</w:t>
      </w:r>
      <w:r w:rsidRPr="00721519">
        <w:rPr>
          <w:szCs w:val="17"/>
        </w:rPr>
        <w:t>.</w:t>
      </w:r>
    </w:p>
    <w:p w14:paraId="38FD835E" w14:textId="77777777" w:rsidR="0012344D" w:rsidRPr="007D4132" w:rsidRDefault="0012344D" w:rsidP="0012344D">
      <w:pPr>
        <w:rPr>
          <w:b/>
          <w:bCs/>
          <w:szCs w:val="17"/>
        </w:rPr>
      </w:pPr>
      <w:r w:rsidRPr="007D4132">
        <w:rPr>
          <w:b/>
          <w:bCs/>
          <w:szCs w:val="17"/>
        </w:rPr>
        <w:t>CONSIDERATION AND CONCLUSION</w:t>
      </w:r>
    </w:p>
    <w:p w14:paraId="70A57274" w14:textId="77777777" w:rsidR="0012344D" w:rsidRPr="00FF1728" w:rsidRDefault="0012344D" w:rsidP="009B29CF">
      <w:pPr>
        <w:pStyle w:val="ListParagraph"/>
        <w:numPr>
          <w:ilvl w:val="0"/>
          <w:numId w:val="103"/>
        </w:numPr>
        <w:ind w:left="357" w:hanging="357"/>
        <w:contextualSpacing w:val="0"/>
        <w:rPr>
          <w:szCs w:val="17"/>
        </w:rPr>
      </w:pPr>
      <w:r w:rsidRPr="00FF1728">
        <w:rPr>
          <w:szCs w:val="17"/>
        </w:rPr>
        <w:t>The determination under review sets conveyance allowances which are payable on a fortnightly basis, based on an annual amount of $17,541, $16,551, or $15,298 (depending on the office holder).</w:t>
      </w:r>
    </w:p>
    <w:p w14:paraId="1624CD05" w14:textId="77777777" w:rsidR="0012344D" w:rsidRPr="00FF1728" w:rsidRDefault="0012344D" w:rsidP="009B29CF">
      <w:pPr>
        <w:pStyle w:val="ListParagraph"/>
        <w:numPr>
          <w:ilvl w:val="0"/>
          <w:numId w:val="103"/>
        </w:numPr>
        <w:ind w:left="357" w:hanging="357"/>
        <w:contextualSpacing w:val="0"/>
        <w:rPr>
          <w:szCs w:val="17"/>
        </w:rPr>
      </w:pPr>
      <w:r w:rsidRPr="00FF1728">
        <w:rPr>
          <w:szCs w:val="17"/>
        </w:rPr>
        <w:t>The determination also sets related entitlements, including the ability for Judges and other office holders to elect to have a motor vehicle allocated to them from the Judicial Vehicle Schedule compiled by Fleet SA. Where such an election is made, the relevant office holder is charged an annual rate set by Fleet SA from time to time. The conveyance allowance is then accordingly reduced, and if it is not adequate to cover the cost of the allocated vehicle the office holder will be charged the excess amount over the allowance.</w:t>
      </w:r>
    </w:p>
    <w:p w14:paraId="1CD9FC7B" w14:textId="77777777" w:rsidR="0012344D" w:rsidRDefault="0012344D" w:rsidP="009B29CF">
      <w:pPr>
        <w:pStyle w:val="ListParagraph"/>
        <w:numPr>
          <w:ilvl w:val="0"/>
          <w:numId w:val="103"/>
        </w:numPr>
        <w:ind w:left="357" w:hanging="357"/>
        <w:contextualSpacing w:val="0"/>
        <w:rPr>
          <w:szCs w:val="17"/>
        </w:rPr>
      </w:pPr>
      <w:r w:rsidRPr="00FF1728">
        <w:rPr>
          <w:szCs w:val="17"/>
        </w:rPr>
        <w:t>The current three allowance amounts have remained unchanged since July 2016. The Tribunal has noted the annual rates charged by Fleet SA between 2016 and the present have fluctuated, and there have always been vehicles available which do not exceed each respective conveyance allowance. The following table, supplied by Fleet SA, provides an indication of the cost fluctuations for three different groupings of vehicles</w:t>
      </w:r>
      <w:r w:rsidRPr="00721519">
        <w:rPr>
          <w:szCs w:val="17"/>
        </w:rPr>
        <w:t>:</w:t>
      </w:r>
      <w:r w:rsidRPr="00A82593">
        <w:rPr>
          <w:noProof/>
          <w:szCs w:val="17"/>
        </w:rPr>
        <w:t xml:space="preserve"> </w:t>
      </w:r>
    </w:p>
    <w:p w14:paraId="71B7AEFB" w14:textId="77777777" w:rsidR="0012344D" w:rsidRPr="00A82593" w:rsidRDefault="0012344D" w:rsidP="0012344D">
      <w:pPr>
        <w:spacing w:line="240" w:lineRule="auto"/>
        <w:jc w:val="center"/>
        <w:rPr>
          <w:szCs w:val="17"/>
        </w:rPr>
      </w:pPr>
      <w:r w:rsidRPr="008D36B1">
        <w:rPr>
          <w:noProof/>
        </w:rPr>
        <w:lastRenderedPageBreak/>
        <w:drawing>
          <wp:inline distT="0" distB="0" distL="0" distR="0" wp14:anchorId="098ECB03" wp14:editId="460EE02C">
            <wp:extent cx="5213268" cy="2101791"/>
            <wp:effectExtent l="0" t="0" r="6985" b="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line chart&#10;&#10;Description automatically generated"/>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bwMode="auto">
                    <a:xfrm>
                      <a:off x="0" y="0"/>
                      <a:ext cx="5253836" cy="2118146"/>
                    </a:xfrm>
                    <a:prstGeom prst="rect">
                      <a:avLst/>
                    </a:prstGeom>
                    <a:noFill/>
                    <a:ln>
                      <a:noFill/>
                    </a:ln>
                  </pic:spPr>
                </pic:pic>
              </a:graphicData>
            </a:graphic>
          </wp:inline>
        </w:drawing>
      </w:r>
    </w:p>
    <w:p w14:paraId="2EC0CB25" w14:textId="77777777" w:rsidR="0012344D" w:rsidRPr="00A82593" w:rsidRDefault="0012344D" w:rsidP="009B29CF">
      <w:pPr>
        <w:pStyle w:val="ListParagraph"/>
        <w:numPr>
          <w:ilvl w:val="0"/>
          <w:numId w:val="103"/>
        </w:numPr>
        <w:ind w:left="357" w:hanging="357"/>
        <w:contextualSpacing w:val="0"/>
        <w:rPr>
          <w:szCs w:val="17"/>
        </w:rPr>
      </w:pPr>
      <w:r w:rsidRPr="00A82593">
        <w:rPr>
          <w:szCs w:val="17"/>
        </w:rPr>
        <w:t xml:space="preserve">The Tribunal has noted that on average, the annual charge determined by Fleet SA has increased by approximately 10% from the rates set in July 2021 to those set in July 2022. The percentage changes however are not uniform, and range from between (minus) 3% to (plus) 21%. Despite these cost increases, a range of vehicles remain available within the existing conveyance allowance levels. </w:t>
      </w:r>
    </w:p>
    <w:p w14:paraId="353E1CF0" w14:textId="77777777" w:rsidR="0012344D" w:rsidRPr="00A82593" w:rsidRDefault="0012344D" w:rsidP="009B29CF">
      <w:pPr>
        <w:pStyle w:val="ListParagraph"/>
        <w:numPr>
          <w:ilvl w:val="0"/>
          <w:numId w:val="103"/>
        </w:numPr>
        <w:ind w:left="357" w:hanging="357"/>
        <w:contextualSpacing w:val="0"/>
        <w:rPr>
          <w:szCs w:val="17"/>
        </w:rPr>
      </w:pPr>
      <w:r w:rsidRPr="00A82593">
        <w:rPr>
          <w:szCs w:val="17"/>
        </w:rPr>
        <w:t>The Tribunal has not received any submissins seeking any particular increase to the allowances, or any submission that the allowances are inadequate. The Tribunal is nevertheless minded to increase allowances, having regard to the previous fluctuations in prices set by Fleet SA, recent price changes, and the range of vehicles available without excess charges depending on the level of the allowance.</w:t>
      </w:r>
    </w:p>
    <w:p w14:paraId="2AE8FC81" w14:textId="77777777" w:rsidR="0012344D" w:rsidRPr="00A82593" w:rsidRDefault="0012344D" w:rsidP="009B29CF">
      <w:pPr>
        <w:pStyle w:val="ListParagraph"/>
        <w:numPr>
          <w:ilvl w:val="0"/>
          <w:numId w:val="103"/>
        </w:numPr>
        <w:ind w:left="357" w:hanging="357"/>
        <w:contextualSpacing w:val="0"/>
        <w:rPr>
          <w:szCs w:val="17"/>
        </w:rPr>
      </w:pPr>
      <w:r w:rsidRPr="00A82593">
        <w:rPr>
          <w:szCs w:val="17"/>
        </w:rPr>
        <w:t>Having regard to these factors, the Tribunal has decided that the allowances will be increased by 5%, with effect from 1 January 2023.</w:t>
      </w:r>
    </w:p>
    <w:p w14:paraId="472BA81F" w14:textId="77777777" w:rsidR="0012344D" w:rsidRPr="00721519" w:rsidRDefault="0012344D" w:rsidP="009B29CF">
      <w:pPr>
        <w:pStyle w:val="ListParagraph"/>
        <w:numPr>
          <w:ilvl w:val="0"/>
          <w:numId w:val="103"/>
        </w:numPr>
        <w:ind w:left="357" w:hanging="357"/>
        <w:contextualSpacing w:val="0"/>
        <w:rPr>
          <w:szCs w:val="17"/>
        </w:rPr>
      </w:pPr>
      <w:r w:rsidRPr="00A82593">
        <w:rPr>
          <w:szCs w:val="17"/>
        </w:rPr>
        <w:t>In light of an application received from the Resident Magistrate, Berri (dealt with in Report 13 of 2022), the Tribunal has decided to amend the determination to enable the State Courts Administrator to allow the hire of a vehicle at the State’s expense in circumstances where the vehicle available to a member of the judiciary etc for official and private use cannot travel safely to a designated location. This amendment would, for example, permit the hire of a four-wheel drive vehicle for off-road use where required for official purposes.</w:t>
      </w:r>
    </w:p>
    <w:p w14:paraId="70DD7D22" w14:textId="77777777" w:rsidR="0012344D" w:rsidRPr="00A51192" w:rsidRDefault="0012344D" w:rsidP="0012344D">
      <w:pPr>
        <w:pStyle w:val="GG-SDated"/>
      </w:pPr>
      <w:r>
        <w:t>Dated: 14 December 2022</w:t>
      </w:r>
    </w:p>
    <w:p w14:paraId="7C167350" w14:textId="77777777" w:rsidR="0012344D" w:rsidRDefault="0012344D" w:rsidP="0012344D">
      <w:pPr>
        <w:pStyle w:val="GG-SName"/>
      </w:pPr>
      <w:r w:rsidRPr="00A51192">
        <w:t>Matthew O’Callaghan</w:t>
      </w:r>
    </w:p>
    <w:p w14:paraId="0452CEE9" w14:textId="77777777" w:rsidR="0012344D" w:rsidRPr="00A51192" w:rsidRDefault="0012344D" w:rsidP="007F7570">
      <w:pPr>
        <w:pStyle w:val="GG-Signature"/>
        <w:spacing w:after="80"/>
      </w:pPr>
      <w:r w:rsidRPr="00A51192">
        <w:t>President</w:t>
      </w:r>
    </w:p>
    <w:p w14:paraId="77D86415" w14:textId="77777777" w:rsidR="0012344D" w:rsidRDefault="0012344D" w:rsidP="0012344D">
      <w:pPr>
        <w:pStyle w:val="GG-SName"/>
      </w:pPr>
      <w:r w:rsidRPr="00A51192">
        <w:t>Deborah Black</w:t>
      </w:r>
    </w:p>
    <w:p w14:paraId="4384769C" w14:textId="77777777" w:rsidR="0012344D" w:rsidRPr="00A51192" w:rsidRDefault="0012344D" w:rsidP="007F7570">
      <w:pPr>
        <w:pStyle w:val="GG-Signature"/>
        <w:spacing w:after="80"/>
      </w:pPr>
      <w:r w:rsidRPr="00A51192">
        <w:t>Member</w:t>
      </w:r>
    </w:p>
    <w:p w14:paraId="4BC7179D" w14:textId="77777777" w:rsidR="0012344D" w:rsidRPr="00A51192" w:rsidRDefault="0012344D" w:rsidP="0012344D">
      <w:pPr>
        <w:pStyle w:val="GG-SName"/>
      </w:pPr>
      <w:r w:rsidRPr="00A51192">
        <w:t>Peter de Cure AM</w:t>
      </w:r>
    </w:p>
    <w:p w14:paraId="2FE1ACD1" w14:textId="77777777" w:rsidR="0012344D" w:rsidRDefault="0012344D" w:rsidP="0012344D">
      <w:pPr>
        <w:pStyle w:val="GG-Signature"/>
      </w:pPr>
      <w:r w:rsidRPr="00A51192">
        <w:t>Member</w:t>
      </w:r>
    </w:p>
    <w:p w14:paraId="7FAF8C0A" w14:textId="77777777" w:rsidR="0012344D" w:rsidRDefault="0012344D" w:rsidP="0012344D">
      <w:pPr>
        <w:pStyle w:val="GG-Signature"/>
        <w:pBdr>
          <w:top w:val="single" w:sz="4" w:space="1" w:color="auto"/>
        </w:pBdr>
        <w:spacing w:before="100" w:line="14" w:lineRule="exact"/>
        <w:ind w:left="1080" w:right="1080"/>
        <w:jc w:val="center"/>
      </w:pPr>
    </w:p>
    <w:p w14:paraId="1FCA0781" w14:textId="77777777" w:rsidR="00623058" w:rsidRDefault="00623058" w:rsidP="0012344D">
      <w:pPr>
        <w:spacing w:after="0" w:line="240" w:lineRule="auto"/>
        <w:jc w:val="left"/>
      </w:pPr>
    </w:p>
    <w:p w14:paraId="6311EE38" w14:textId="77777777" w:rsidR="0012344D" w:rsidRPr="004F33B9" w:rsidRDefault="0012344D" w:rsidP="0012344D">
      <w:pPr>
        <w:pStyle w:val="GG-Title1"/>
      </w:pPr>
      <w:r w:rsidRPr="004F33B9">
        <w:t>The Remuneration Tribunal</w:t>
      </w:r>
    </w:p>
    <w:p w14:paraId="41ECB768" w14:textId="77777777" w:rsidR="0012344D" w:rsidRPr="00A51192" w:rsidRDefault="0012344D" w:rsidP="0012344D">
      <w:pPr>
        <w:pStyle w:val="GG-Title2"/>
      </w:pPr>
      <w:r>
        <w:t>Determination—</w:t>
      </w:r>
      <w:r w:rsidRPr="00A51192">
        <w:t xml:space="preserve">No. </w:t>
      </w:r>
      <w:r>
        <w:t>9</w:t>
      </w:r>
      <w:r w:rsidRPr="00A51192">
        <w:t xml:space="preserve"> </w:t>
      </w:r>
      <w:r>
        <w:t>o</w:t>
      </w:r>
      <w:r w:rsidRPr="00A51192">
        <w:t>f 2022</w:t>
      </w:r>
    </w:p>
    <w:p w14:paraId="3144DB30" w14:textId="77777777" w:rsidR="0012344D" w:rsidRPr="00683E24" w:rsidRDefault="0012344D" w:rsidP="0012344D">
      <w:pPr>
        <w:pStyle w:val="GG-Title3"/>
      </w:pPr>
      <w:r w:rsidRPr="00683E24">
        <w:t>Accommodation and Meal Allowances</w:t>
      </w:r>
      <w:r>
        <w:t>—</w:t>
      </w:r>
      <w:r w:rsidRPr="00683E24">
        <w:t>Judges, Court Officers and Statutory Officers</w:t>
      </w:r>
    </w:p>
    <w:p w14:paraId="39998213" w14:textId="77777777" w:rsidR="0012344D" w:rsidRDefault="0012344D" w:rsidP="0012344D">
      <w:pPr>
        <w:pStyle w:val="GG-Title2"/>
        <w:jc w:val="left"/>
        <w:rPr>
          <w:b/>
          <w:bCs/>
        </w:rPr>
      </w:pPr>
      <w:r w:rsidRPr="004627E2">
        <w:rPr>
          <w:b/>
          <w:bCs/>
        </w:rPr>
        <w:t>Determination</w:t>
      </w:r>
    </w:p>
    <w:p w14:paraId="511FF13D" w14:textId="77777777" w:rsidR="0012344D" w:rsidRPr="004627E2" w:rsidRDefault="0012344D" w:rsidP="0012344D">
      <w:pPr>
        <w:pStyle w:val="GG-body"/>
        <w:rPr>
          <w:b/>
          <w:bCs/>
        </w:rPr>
      </w:pPr>
      <w:r w:rsidRPr="004627E2">
        <w:rPr>
          <w:b/>
          <w:bCs/>
        </w:rPr>
        <w:t>SCOPE OF DETERMINATION</w:t>
      </w:r>
    </w:p>
    <w:p w14:paraId="51767EEF" w14:textId="77777777" w:rsidR="0012344D" w:rsidRPr="00C176CE" w:rsidRDefault="0012344D" w:rsidP="009B29CF">
      <w:pPr>
        <w:pStyle w:val="GG-body"/>
        <w:numPr>
          <w:ilvl w:val="0"/>
          <w:numId w:val="104"/>
        </w:numPr>
        <w:rPr>
          <w:b/>
          <w:bCs/>
        </w:rPr>
      </w:pPr>
      <w:r w:rsidRPr="00C176CE">
        <w:rPr>
          <w:b/>
          <w:bCs/>
        </w:rPr>
        <w:t>INTERPRETATION</w:t>
      </w:r>
    </w:p>
    <w:p w14:paraId="49F0857E" w14:textId="77777777" w:rsidR="0012344D" w:rsidRPr="00C176CE" w:rsidRDefault="0012344D" w:rsidP="009B29CF">
      <w:pPr>
        <w:pStyle w:val="GG-body"/>
        <w:numPr>
          <w:ilvl w:val="1"/>
          <w:numId w:val="104"/>
        </w:numPr>
      </w:pPr>
      <w:r w:rsidRPr="00C176CE">
        <w:t>In this Determination, unless the contrary appears:</w:t>
      </w:r>
    </w:p>
    <w:p w14:paraId="2B3E177B" w14:textId="77777777" w:rsidR="0012344D" w:rsidRPr="00C176CE" w:rsidRDefault="0012344D" w:rsidP="0012344D">
      <w:pPr>
        <w:pStyle w:val="GG-body"/>
        <w:ind w:left="784"/>
      </w:pPr>
      <w:r w:rsidRPr="00C176CE">
        <w:rPr>
          <w:b/>
        </w:rPr>
        <w:t>“Court Officer”</w:t>
      </w:r>
      <w:r w:rsidRPr="00C176CE">
        <w:t xml:space="preserve"> means a Commissioner</w:t>
      </w:r>
      <w:r>
        <w:t>s</w:t>
      </w:r>
      <w:r w:rsidRPr="00C176CE">
        <w:t xml:space="preserve"> of the Environment, Resources and Development Court.</w:t>
      </w:r>
    </w:p>
    <w:p w14:paraId="081781F5" w14:textId="77777777" w:rsidR="0012344D" w:rsidRPr="00327DA2" w:rsidRDefault="0012344D" w:rsidP="0012344D">
      <w:pPr>
        <w:pStyle w:val="GG-body"/>
        <w:ind w:left="784"/>
        <w:rPr>
          <w:b/>
          <w:bCs/>
        </w:rPr>
      </w:pPr>
      <w:r w:rsidRPr="00327DA2">
        <w:rPr>
          <w:b/>
          <w:bCs/>
        </w:rPr>
        <w:t xml:space="preserve">“Executives” </w:t>
      </w:r>
      <w:r w:rsidRPr="00327DA2">
        <w:t xml:space="preserve">means persons appointed to an executive position under the </w:t>
      </w:r>
      <w:r w:rsidRPr="00327DA2">
        <w:rPr>
          <w:i/>
        </w:rPr>
        <w:t>Public Sector Act 2009;</w:t>
      </w:r>
    </w:p>
    <w:p w14:paraId="08E1574B" w14:textId="77777777" w:rsidR="0012344D" w:rsidRDefault="0012344D" w:rsidP="0012344D">
      <w:pPr>
        <w:pStyle w:val="GG-body"/>
        <w:spacing w:after="0"/>
        <w:ind w:left="784"/>
        <w:jc w:val="left"/>
      </w:pPr>
      <w:r w:rsidRPr="00C176CE">
        <w:rPr>
          <w:b/>
        </w:rPr>
        <w:t>“Judge”</w:t>
      </w:r>
      <w:r w:rsidRPr="00C176CE">
        <w:t xml:space="preserve"> means any of the following members of the judiciary:</w:t>
      </w:r>
      <w:r w:rsidRPr="00C176CE">
        <w:br/>
      </w:r>
      <w:r>
        <w:t>the Chief Justice of the Supreme Court;</w:t>
      </w:r>
    </w:p>
    <w:p w14:paraId="47DE9011" w14:textId="77777777" w:rsidR="0012344D" w:rsidRDefault="0012344D" w:rsidP="0012344D">
      <w:pPr>
        <w:pStyle w:val="GG-body"/>
        <w:spacing w:after="0"/>
        <w:ind w:left="784"/>
        <w:jc w:val="left"/>
      </w:pPr>
      <w:r>
        <w:t>the President of the Court of Appeal;</w:t>
      </w:r>
    </w:p>
    <w:p w14:paraId="4049C261" w14:textId="77777777" w:rsidR="0012344D" w:rsidRDefault="0012344D" w:rsidP="0012344D">
      <w:pPr>
        <w:pStyle w:val="GG-body"/>
        <w:spacing w:after="0"/>
        <w:ind w:left="784"/>
        <w:jc w:val="left"/>
      </w:pPr>
      <w:r>
        <w:t>the Judges of the Court of Appeal;</w:t>
      </w:r>
    </w:p>
    <w:p w14:paraId="68B2D3C9" w14:textId="77777777" w:rsidR="0012344D" w:rsidRDefault="0012344D" w:rsidP="0012344D">
      <w:pPr>
        <w:pStyle w:val="GG-body"/>
        <w:spacing w:after="0"/>
        <w:ind w:left="784"/>
        <w:jc w:val="left"/>
      </w:pPr>
      <w:r>
        <w:t>the Puisne Judges of the Supreme Court;</w:t>
      </w:r>
    </w:p>
    <w:p w14:paraId="2F73A9FA" w14:textId="77777777" w:rsidR="0012344D" w:rsidRDefault="0012344D" w:rsidP="0012344D">
      <w:pPr>
        <w:pStyle w:val="GG-body"/>
        <w:spacing w:after="0"/>
        <w:ind w:left="784"/>
        <w:jc w:val="left"/>
      </w:pPr>
      <w:r>
        <w:t>the President of the South Australian Employment Tribunal;</w:t>
      </w:r>
    </w:p>
    <w:p w14:paraId="034C9B24" w14:textId="77777777" w:rsidR="0012344D" w:rsidRDefault="0012344D" w:rsidP="0012344D">
      <w:pPr>
        <w:pStyle w:val="GG-body"/>
        <w:spacing w:after="0"/>
        <w:ind w:left="784"/>
        <w:jc w:val="left"/>
      </w:pPr>
      <w:r>
        <w:t>the Deputy Presidents of the South Australian Employment Tribunal;</w:t>
      </w:r>
    </w:p>
    <w:p w14:paraId="2CE853D9" w14:textId="77777777" w:rsidR="0012344D" w:rsidRDefault="0012344D" w:rsidP="0012344D">
      <w:pPr>
        <w:pStyle w:val="GG-body"/>
        <w:spacing w:after="0"/>
        <w:ind w:left="784"/>
        <w:jc w:val="left"/>
      </w:pPr>
      <w:r>
        <w:t>the Judges of the Environment, Resources and Development Court;</w:t>
      </w:r>
    </w:p>
    <w:p w14:paraId="67E58645" w14:textId="77777777" w:rsidR="0012344D" w:rsidRDefault="0012344D" w:rsidP="0012344D">
      <w:pPr>
        <w:pStyle w:val="GG-body"/>
        <w:spacing w:after="0"/>
        <w:ind w:left="784"/>
        <w:jc w:val="left"/>
      </w:pPr>
      <w:r>
        <w:t>the Judges of the South Australian Employment Tribunal;</w:t>
      </w:r>
    </w:p>
    <w:p w14:paraId="6B5CFF1F" w14:textId="77777777" w:rsidR="0012344D" w:rsidRDefault="0012344D" w:rsidP="0012344D">
      <w:pPr>
        <w:pStyle w:val="GG-body"/>
        <w:spacing w:after="0"/>
        <w:ind w:left="784"/>
        <w:jc w:val="left"/>
      </w:pPr>
      <w:r>
        <w:t>the Chief Judge of the District Court;</w:t>
      </w:r>
    </w:p>
    <w:p w14:paraId="69B44457" w14:textId="77777777" w:rsidR="0012344D" w:rsidRDefault="0012344D" w:rsidP="0012344D">
      <w:pPr>
        <w:pStyle w:val="GG-body"/>
        <w:spacing w:after="0"/>
        <w:ind w:left="784"/>
        <w:jc w:val="left"/>
      </w:pPr>
      <w:r>
        <w:t>the other District Court Judges;</w:t>
      </w:r>
    </w:p>
    <w:p w14:paraId="43AEB604" w14:textId="77777777" w:rsidR="0012344D" w:rsidRDefault="0012344D" w:rsidP="0012344D">
      <w:pPr>
        <w:pStyle w:val="GG-body"/>
        <w:spacing w:after="0"/>
        <w:ind w:left="784"/>
        <w:jc w:val="left"/>
      </w:pPr>
      <w:r>
        <w:t>the Chief Magistrate (as a Judge of the District Court);</w:t>
      </w:r>
    </w:p>
    <w:p w14:paraId="20898D53" w14:textId="77777777" w:rsidR="0012344D" w:rsidRDefault="0012344D" w:rsidP="0012344D">
      <w:pPr>
        <w:pStyle w:val="GG-body"/>
        <w:spacing w:after="0"/>
        <w:ind w:left="784"/>
        <w:jc w:val="left"/>
      </w:pPr>
      <w:r>
        <w:t>the Magistrates of the South Australian Employment Tribunal;</w:t>
      </w:r>
    </w:p>
    <w:p w14:paraId="57FF62C5" w14:textId="77777777" w:rsidR="0012344D" w:rsidRDefault="0012344D" w:rsidP="0012344D">
      <w:pPr>
        <w:pStyle w:val="GG-body"/>
        <w:spacing w:after="0"/>
        <w:ind w:left="784"/>
        <w:jc w:val="left"/>
      </w:pPr>
      <w:r>
        <w:t>the other Magistrates;</w:t>
      </w:r>
    </w:p>
    <w:p w14:paraId="7B7D138D" w14:textId="77777777" w:rsidR="0012344D" w:rsidRDefault="0012344D" w:rsidP="0012344D">
      <w:pPr>
        <w:pStyle w:val="GG-body"/>
        <w:spacing w:after="0"/>
        <w:ind w:left="784"/>
        <w:jc w:val="left"/>
      </w:pPr>
      <w:r>
        <w:t>the Masters of the Supreme Court;</w:t>
      </w:r>
    </w:p>
    <w:p w14:paraId="08640F52" w14:textId="77777777" w:rsidR="0012344D" w:rsidRDefault="0012344D" w:rsidP="0012344D">
      <w:pPr>
        <w:pStyle w:val="GG-body"/>
        <w:spacing w:after="0"/>
        <w:ind w:left="784"/>
        <w:jc w:val="left"/>
      </w:pPr>
      <w:r>
        <w:t>the Masters of the District Court;</w:t>
      </w:r>
    </w:p>
    <w:p w14:paraId="01AC8373" w14:textId="77777777" w:rsidR="0012344D" w:rsidRDefault="0012344D" w:rsidP="0012344D">
      <w:pPr>
        <w:pStyle w:val="GG-body"/>
        <w:spacing w:after="0"/>
        <w:ind w:left="784"/>
        <w:jc w:val="left"/>
      </w:pPr>
      <w:r>
        <w:t>the State Coroner; and</w:t>
      </w:r>
    </w:p>
    <w:p w14:paraId="523B9144" w14:textId="77777777" w:rsidR="0012344D" w:rsidRDefault="0012344D" w:rsidP="0012344D">
      <w:pPr>
        <w:pStyle w:val="GG-body"/>
        <w:ind w:left="784"/>
        <w:jc w:val="left"/>
      </w:pPr>
      <w:r>
        <w:t>the Deputy State Coroner.</w:t>
      </w:r>
    </w:p>
    <w:p w14:paraId="5240CA47" w14:textId="77777777" w:rsidR="0012344D" w:rsidRPr="00C23964" w:rsidRDefault="0012344D" w:rsidP="0012344D">
      <w:pPr>
        <w:ind w:left="798"/>
        <w:rPr>
          <w:szCs w:val="17"/>
        </w:rPr>
      </w:pPr>
      <w:r w:rsidRPr="00C23964">
        <w:rPr>
          <w:b/>
          <w:szCs w:val="17"/>
        </w:rPr>
        <w:t>“Registrar”</w:t>
      </w:r>
      <w:r w:rsidRPr="00C23964">
        <w:rPr>
          <w:bCs/>
          <w:szCs w:val="17"/>
        </w:rPr>
        <w:t xml:space="preserve"> means the </w:t>
      </w:r>
      <w:r w:rsidRPr="00C23964">
        <w:rPr>
          <w:szCs w:val="17"/>
        </w:rPr>
        <w:t xml:space="preserve">"Registrar” within the meaning of the </w:t>
      </w:r>
      <w:r w:rsidRPr="00C23964">
        <w:rPr>
          <w:i/>
          <w:szCs w:val="17"/>
        </w:rPr>
        <w:t>South Australian Employment Tribunal Act 2014</w:t>
      </w:r>
      <w:r w:rsidRPr="00C23964">
        <w:rPr>
          <w:szCs w:val="17"/>
        </w:rPr>
        <w:t xml:space="preserve"> (SA).</w:t>
      </w:r>
    </w:p>
    <w:p w14:paraId="1A9CD7D8" w14:textId="77777777" w:rsidR="0012344D" w:rsidRPr="00C23964" w:rsidRDefault="0012344D" w:rsidP="0012344D">
      <w:pPr>
        <w:ind w:left="798"/>
        <w:rPr>
          <w:szCs w:val="17"/>
        </w:rPr>
      </w:pPr>
      <w:r w:rsidRPr="00C23964">
        <w:rPr>
          <w:b/>
          <w:szCs w:val="17"/>
        </w:rPr>
        <w:t xml:space="preserve">“Relevant authority” </w:t>
      </w:r>
      <w:r w:rsidRPr="00C23964">
        <w:rPr>
          <w:szCs w:val="17"/>
        </w:rPr>
        <w:t>means:</w:t>
      </w:r>
    </w:p>
    <w:p w14:paraId="0E1128FA" w14:textId="77777777" w:rsidR="0012344D" w:rsidRPr="00C23964" w:rsidRDefault="0012344D" w:rsidP="0012344D">
      <w:pPr>
        <w:tabs>
          <w:tab w:val="left" w:pos="2268"/>
        </w:tabs>
        <w:ind w:left="1418" w:hanging="425"/>
        <w:rPr>
          <w:szCs w:val="17"/>
        </w:rPr>
      </w:pPr>
      <w:r w:rsidRPr="00C23964">
        <w:rPr>
          <w:szCs w:val="17"/>
        </w:rPr>
        <w:t>(a)</w:t>
      </w:r>
      <w:r w:rsidRPr="00C23964">
        <w:rPr>
          <w:szCs w:val="17"/>
        </w:rPr>
        <w:tab/>
        <w:t>the State Courts Administrator in relation to Judges and Court Officers;</w:t>
      </w:r>
    </w:p>
    <w:p w14:paraId="435DB871" w14:textId="77777777" w:rsidR="0012344D" w:rsidRPr="00C23964" w:rsidRDefault="0012344D" w:rsidP="0012344D">
      <w:pPr>
        <w:tabs>
          <w:tab w:val="left" w:pos="2268"/>
        </w:tabs>
        <w:ind w:left="1418" w:hanging="425"/>
        <w:rPr>
          <w:szCs w:val="17"/>
        </w:rPr>
      </w:pPr>
      <w:r w:rsidRPr="00C23964">
        <w:rPr>
          <w:szCs w:val="17"/>
        </w:rPr>
        <w:lastRenderedPageBreak/>
        <w:t>(b)</w:t>
      </w:r>
      <w:r w:rsidRPr="00C23964">
        <w:rPr>
          <w:szCs w:val="17"/>
        </w:rPr>
        <w:tab/>
        <w:t>the Registrar in relation to the presidential members of the South Australian Employment Tribunal; and</w:t>
      </w:r>
    </w:p>
    <w:p w14:paraId="7D7994AC" w14:textId="77777777" w:rsidR="0012344D" w:rsidRPr="00C23964" w:rsidRDefault="0012344D" w:rsidP="0012344D">
      <w:pPr>
        <w:tabs>
          <w:tab w:val="left" w:pos="2268"/>
        </w:tabs>
        <w:ind w:left="1418" w:hanging="425"/>
        <w:rPr>
          <w:szCs w:val="17"/>
        </w:rPr>
      </w:pPr>
      <w:r w:rsidRPr="00C23964">
        <w:rPr>
          <w:szCs w:val="17"/>
        </w:rPr>
        <w:t>(c)</w:t>
      </w:r>
      <w:r w:rsidRPr="00C23964">
        <w:rPr>
          <w:szCs w:val="17"/>
        </w:rPr>
        <w:tab/>
        <w:t>the Director, Fleet SA in relation to other Statutory Officers.</w:t>
      </w:r>
    </w:p>
    <w:p w14:paraId="3C499195" w14:textId="77777777" w:rsidR="0012344D" w:rsidRPr="00C23964" w:rsidRDefault="0012344D" w:rsidP="0012344D">
      <w:pPr>
        <w:ind w:left="798"/>
        <w:rPr>
          <w:szCs w:val="17"/>
        </w:rPr>
      </w:pPr>
      <w:r w:rsidRPr="00C23964">
        <w:rPr>
          <w:b/>
          <w:szCs w:val="17"/>
        </w:rPr>
        <w:t>“Retirement”</w:t>
      </w:r>
      <w:r w:rsidRPr="00C23964">
        <w:rPr>
          <w:szCs w:val="17"/>
        </w:rPr>
        <w:t xml:space="preserve"> bears the same meaning as in the </w:t>
      </w:r>
      <w:r w:rsidRPr="00C23964">
        <w:rPr>
          <w:i/>
          <w:iCs/>
          <w:szCs w:val="17"/>
        </w:rPr>
        <w:t>Judges’ Pensions Act 1971,</w:t>
      </w:r>
      <w:r w:rsidRPr="00C23964">
        <w:rPr>
          <w:szCs w:val="17"/>
        </w:rPr>
        <w:t xml:space="preserve"> the </w:t>
      </w:r>
      <w:r w:rsidRPr="00C23964">
        <w:rPr>
          <w:i/>
          <w:szCs w:val="17"/>
        </w:rPr>
        <w:t xml:space="preserve">Superannuation Act 1988 </w:t>
      </w:r>
      <w:r w:rsidRPr="00C23964">
        <w:rPr>
          <w:szCs w:val="17"/>
        </w:rPr>
        <w:t xml:space="preserve">and the </w:t>
      </w:r>
      <w:r w:rsidRPr="00C23964">
        <w:rPr>
          <w:i/>
          <w:szCs w:val="17"/>
        </w:rPr>
        <w:t>Southern State Superannuation Act 2009</w:t>
      </w:r>
      <w:r w:rsidRPr="00C23964">
        <w:rPr>
          <w:szCs w:val="17"/>
        </w:rPr>
        <w:t>.</w:t>
      </w:r>
    </w:p>
    <w:p w14:paraId="6D62C7C9" w14:textId="77777777" w:rsidR="0012344D" w:rsidRPr="00C23964" w:rsidRDefault="0012344D" w:rsidP="0012344D">
      <w:pPr>
        <w:ind w:left="798"/>
        <w:rPr>
          <w:szCs w:val="17"/>
        </w:rPr>
      </w:pPr>
      <w:r w:rsidRPr="00C23964">
        <w:rPr>
          <w:b/>
          <w:bCs/>
          <w:szCs w:val="17"/>
        </w:rPr>
        <w:t>“Resignation”</w:t>
      </w:r>
      <w:r w:rsidRPr="00C23964">
        <w:rPr>
          <w:szCs w:val="17"/>
        </w:rPr>
        <w:t xml:space="preserve"> bears the same meaning as in the </w:t>
      </w:r>
      <w:r w:rsidRPr="00C23964">
        <w:rPr>
          <w:i/>
          <w:iCs/>
          <w:szCs w:val="17"/>
        </w:rPr>
        <w:t>Judges’ Pensions Act 1971,</w:t>
      </w:r>
      <w:r w:rsidRPr="00C23964">
        <w:rPr>
          <w:szCs w:val="17"/>
        </w:rPr>
        <w:t xml:space="preserve"> the </w:t>
      </w:r>
      <w:r w:rsidRPr="00C23964">
        <w:rPr>
          <w:i/>
          <w:iCs/>
          <w:szCs w:val="17"/>
        </w:rPr>
        <w:t>Superannuation Act 1988</w:t>
      </w:r>
      <w:r w:rsidRPr="00C23964">
        <w:rPr>
          <w:szCs w:val="17"/>
        </w:rPr>
        <w:t xml:space="preserve">, and the </w:t>
      </w:r>
      <w:r w:rsidRPr="00C23964">
        <w:rPr>
          <w:i/>
          <w:szCs w:val="17"/>
        </w:rPr>
        <w:t>Southern State Superannuation Act 2009.</w:t>
      </w:r>
    </w:p>
    <w:p w14:paraId="01974EE1" w14:textId="77777777" w:rsidR="0012344D" w:rsidRPr="00C23964" w:rsidRDefault="0012344D" w:rsidP="0012344D">
      <w:pPr>
        <w:spacing w:after="0"/>
        <w:ind w:left="798"/>
        <w:rPr>
          <w:szCs w:val="17"/>
        </w:rPr>
      </w:pPr>
      <w:r w:rsidRPr="00C23964">
        <w:rPr>
          <w:b/>
          <w:szCs w:val="17"/>
        </w:rPr>
        <w:t>“Statutory</w:t>
      </w:r>
      <w:r w:rsidRPr="00C23964">
        <w:rPr>
          <w:szCs w:val="17"/>
        </w:rPr>
        <w:t xml:space="preserve"> </w:t>
      </w:r>
      <w:r w:rsidRPr="00C23964">
        <w:rPr>
          <w:b/>
          <w:szCs w:val="17"/>
        </w:rPr>
        <w:t>Officers</w:t>
      </w:r>
      <w:r w:rsidRPr="00C23964">
        <w:rPr>
          <w:szCs w:val="17"/>
        </w:rPr>
        <w:t>” means any of the following statutory office holders:</w:t>
      </w:r>
    </w:p>
    <w:p w14:paraId="24B9ADBC" w14:textId="77777777" w:rsidR="0012344D" w:rsidRPr="00C23964" w:rsidRDefault="0012344D" w:rsidP="0012344D">
      <w:pPr>
        <w:spacing w:after="0"/>
        <w:ind w:left="798"/>
        <w:rPr>
          <w:szCs w:val="17"/>
        </w:rPr>
      </w:pPr>
      <w:r w:rsidRPr="00C23964">
        <w:rPr>
          <w:szCs w:val="17"/>
        </w:rPr>
        <w:t>the Auditor-General;</w:t>
      </w:r>
    </w:p>
    <w:p w14:paraId="024ACE48" w14:textId="77777777" w:rsidR="0012344D" w:rsidRPr="00C23964" w:rsidRDefault="0012344D" w:rsidP="0012344D">
      <w:pPr>
        <w:spacing w:after="0"/>
        <w:ind w:left="798"/>
        <w:rPr>
          <w:szCs w:val="17"/>
        </w:rPr>
      </w:pPr>
      <w:r w:rsidRPr="00C23964">
        <w:rPr>
          <w:szCs w:val="17"/>
        </w:rPr>
        <w:t>the Electoral Commissioner;</w:t>
      </w:r>
    </w:p>
    <w:p w14:paraId="0AD85BFD" w14:textId="77777777" w:rsidR="0012344D" w:rsidRPr="00C23964" w:rsidRDefault="0012344D" w:rsidP="0012344D">
      <w:pPr>
        <w:spacing w:after="0"/>
        <w:ind w:left="798"/>
        <w:rPr>
          <w:szCs w:val="17"/>
        </w:rPr>
      </w:pPr>
      <w:r w:rsidRPr="00C23964">
        <w:rPr>
          <w:szCs w:val="17"/>
        </w:rPr>
        <w:t>the Deputy Electoral Commissioner; and</w:t>
      </w:r>
    </w:p>
    <w:p w14:paraId="294DC11C" w14:textId="77777777" w:rsidR="0012344D" w:rsidRDefault="0012344D" w:rsidP="0012344D">
      <w:pPr>
        <w:pStyle w:val="GG-body"/>
        <w:ind w:left="798"/>
        <w:rPr>
          <w:b/>
          <w:bCs/>
        </w:rPr>
      </w:pPr>
      <w:r w:rsidRPr="00C23964">
        <w:t>the Health and Community Services Complaints Commissioner</w:t>
      </w:r>
    </w:p>
    <w:p w14:paraId="26F606E0" w14:textId="77777777" w:rsidR="0012344D" w:rsidRPr="00327DA2" w:rsidRDefault="0012344D" w:rsidP="009B29CF">
      <w:pPr>
        <w:pStyle w:val="GG-body"/>
        <w:numPr>
          <w:ilvl w:val="1"/>
          <w:numId w:val="104"/>
        </w:numPr>
      </w:pPr>
      <w:r w:rsidRPr="00C23964">
        <w:t>For the purposes of this Determination, “</w:t>
      </w:r>
      <w:r w:rsidRPr="00327DA2">
        <w:t>salary</w:t>
      </w:r>
      <w:r w:rsidRPr="00C23964">
        <w:t xml:space="preserve">” bears the same meaning as in the </w:t>
      </w:r>
      <w:r w:rsidRPr="00327DA2">
        <w:t>Judges’ Pensions Act 1971,</w:t>
      </w:r>
      <w:r w:rsidRPr="00C23964">
        <w:t xml:space="preserve"> </w:t>
      </w:r>
      <w:r w:rsidRPr="00327DA2">
        <w:t>Southern State Superannuation Act 2009,</w:t>
      </w:r>
      <w:r w:rsidRPr="00C23964">
        <w:t xml:space="preserve"> and in the </w:t>
      </w:r>
      <w:r w:rsidRPr="00327DA2">
        <w:t>Superannuation Act 1988,</w:t>
      </w:r>
      <w:r w:rsidRPr="00C23964">
        <w:t xml:space="preserve"> to the intent and effect that any amount paid by way of conveyance allowance is not “salary”, and that any abatement or reduction of salary in accordance with this Determination will not affect the determination of entitlements or obligations pursuant to those Acts.</w:t>
      </w:r>
    </w:p>
    <w:p w14:paraId="477278B2" w14:textId="77777777" w:rsidR="0012344D" w:rsidRPr="00C176CE" w:rsidRDefault="0012344D" w:rsidP="009B29CF">
      <w:pPr>
        <w:pStyle w:val="GG-body"/>
        <w:numPr>
          <w:ilvl w:val="0"/>
          <w:numId w:val="104"/>
        </w:numPr>
        <w:rPr>
          <w:b/>
          <w:bCs/>
        </w:rPr>
      </w:pPr>
      <w:r w:rsidRPr="00A17ED1">
        <w:rPr>
          <w:b/>
          <w:bCs/>
        </w:rPr>
        <w:t>CONVEYANCE</w:t>
      </w:r>
      <w:r w:rsidRPr="00C176CE">
        <w:rPr>
          <w:b/>
          <w:bCs/>
        </w:rPr>
        <w:t xml:space="preserve"> ALLOWANCES</w:t>
      </w:r>
    </w:p>
    <w:p w14:paraId="0D8D1CC8" w14:textId="77777777" w:rsidR="0012344D" w:rsidRPr="00A17ED1" w:rsidRDefault="0012344D" w:rsidP="009B29CF">
      <w:pPr>
        <w:pStyle w:val="GG-body"/>
        <w:numPr>
          <w:ilvl w:val="1"/>
          <w:numId w:val="104"/>
        </w:numPr>
        <w:rPr>
          <w:b/>
          <w:bCs/>
        </w:rPr>
      </w:pPr>
      <w:bookmarkStart w:id="74" w:name="_Ref436195921"/>
      <w:r w:rsidRPr="00A17ED1">
        <w:rPr>
          <w:b/>
          <w:bCs/>
        </w:rPr>
        <w:t>Amount of Allowances</w:t>
      </w:r>
      <w:bookmarkEnd w:id="74"/>
    </w:p>
    <w:p w14:paraId="7995EF82" w14:textId="77777777" w:rsidR="0012344D" w:rsidRPr="00A17ED1" w:rsidRDefault="0012344D" w:rsidP="0012344D">
      <w:pPr>
        <w:ind w:left="784"/>
        <w:jc w:val="left"/>
        <w:rPr>
          <w:rFonts w:eastAsia="Times New Roman"/>
          <w:szCs w:val="17"/>
        </w:rPr>
      </w:pPr>
      <w:r w:rsidRPr="00A17ED1">
        <w:rPr>
          <w:rFonts w:eastAsia="Times New Roman"/>
          <w:szCs w:val="17"/>
        </w:rPr>
        <w:t>Subject to the conditions set out in this Determination, Judges, Court Officers and Statutory Officers are entitled to receive a conveyance allowance payable fortnightly at an annual rate as follows:</w:t>
      </w:r>
    </w:p>
    <w:p w14:paraId="081239AD" w14:textId="77777777" w:rsidR="0012344D" w:rsidRPr="00A17ED1" w:rsidRDefault="0012344D" w:rsidP="0012344D">
      <w:pPr>
        <w:ind w:left="1418" w:hanging="620"/>
        <w:jc w:val="left"/>
        <w:rPr>
          <w:rFonts w:eastAsia="Times New Roman"/>
          <w:szCs w:val="17"/>
        </w:rPr>
      </w:pPr>
      <w:r w:rsidRPr="00A17ED1">
        <w:rPr>
          <w:rFonts w:eastAsia="Times New Roman"/>
          <w:szCs w:val="17"/>
        </w:rPr>
        <w:t>2.1.1</w:t>
      </w:r>
      <w:r w:rsidRPr="00A17ED1">
        <w:rPr>
          <w:rFonts w:eastAsia="Times New Roman"/>
          <w:szCs w:val="17"/>
        </w:rPr>
        <w:tab/>
        <w:t>For:</w:t>
      </w:r>
    </w:p>
    <w:p w14:paraId="3E3B679B" w14:textId="77777777" w:rsidR="0012344D" w:rsidRPr="00A17ED1" w:rsidRDefault="0012344D" w:rsidP="0012344D">
      <w:pPr>
        <w:ind w:left="1418"/>
        <w:jc w:val="left"/>
        <w:rPr>
          <w:rFonts w:eastAsia="Times New Roman"/>
          <w:szCs w:val="17"/>
        </w:rPr>
      </w:pPr>
      <w:r w:rsidRPr="00A17ED1">
        <w:rPr>
          <w:rFonts w:eastAsia="Times New Roman"/>
          <w:szCs w:val="17"/>
        </w:rPr>
        <w:t>the Chief Justice of the Supreme Court;</w:t>
      </w:r>
    </w:p>
    <w:p w14:paraId="08028346" w14:textId="77777777" w:rsidR="0012344D" w:rsidRPr="00A17ED1" w:rsidRDefault="0012344D" w:rsidP="0012344D">
      <w:pPr>
        <w:ind w:left="1418"/>
        <w:jc w:val="left"/>
        <w:rPr>
          <w:rFonts w:eastAsia="Times New Roman"/>
          <w:szCs w:val="17"/>
        </w:rPr>
      </w:pPr>
      <w:r w:rsidRPr="00A17ED1">
        <w:rPr>
          <w:rFonts w:eastAsia="Times New Roman"/>
          <w:szCs w:val="17"/>
        </w:rPr>
        <w:t>the President of the Court of Appeal;</w:t>
      </w:r>
    </w:p>
    <w:p w14:paraId="6372BF5D" w14:textId="77777777" w:rsidR="0012344D" w:rsidRPr="00A17ED1" w:rsidRDefault="0012344D" w:rsidP="0012344D">
      <w:pPr>
        <w:ind w:left="1418"/>
        <w:jc w:val="left"/>
        <w:rPr>
          <w:rFonts w:eastAsia="Times New Roman"/>
          <w:szCs w:val="17"/>
        </w:rPr>
      </w:pPr>
      <w:r w:rsidRPr="00A17ED1">
        <w:rPr>
          <w:rFonts w:eastAsia="Times New Roman"/>
          <w:szCs w:val="17"/>
        </w:rPr>
        <w:t>the Judges of the Court of Appeal;</w:t>
      </w:r>
    </w:p>
    <w:p w14:paraId="44242FB2" w14:textId="77777777" w:rsidR="0012344D" w:rsidRPr="00A17ED1" w:rsidRDefault="0012344D" w:rsidP="0012344D">
      <w:pPr>
        <w:ind w:left="1418"/>
        <w:jc w:val="left"/>
        <w:rPr>
          <w:rFonts w:eastAsia="Times New Roman"/>
          <w:szCs w:val="17"/>
        </w:rPr>
      </w:pPr>
      <w:r w:rsidRPr="00A17ED1">
        <w:rPr>
          <w:rFonts w:eastAsia="Times New Roman"/>
          <w:szCs w:val="17"/>
        </w:rPr>
        <w:t>Judges of the Supreme Court;</w:t>
      </w:r>
      <w:r w:rsidRPr="00A17ED1">
        <w:rPr>
          <w:rFonts w:eastAsia="Times New Roman"/>
          <w:szCs w:val="17"/>
        </w:rPr>
        <w:br/>
        <w:t>the Chief Judge of the District Court;</w:t>
      </w:r>
      <w:r w:rsidRPr="00A17ED1">
        <w:rPr>
          <w:rFonts w:eastAsia="Times New Roman"/>
          <w:szCs w:val="17"/>
        </w:rPr>
        <w:br/>
        <w:t>the President of the South Australian Employment Tribunal; and</w:t>
      </w:r>
      <w:r w:rsidRPr="00A17ED1">
        <w:rPr>
          <w:rFonts w:eastAsia="Times New Roman"/>
          <w:szCs w:val="17"/>
        </w:rPr>
        <w:br/>
        <w:t>the Auditor-General;</w:t>
      </w:r>
    </w:p>
    <w:p w14:paraId="3B46A27F" w14:textId="77777777" w:rsidR="0012344D" w:rsidRPr="00A17ED1" w:rsidRDefault="0012344D" w:rsidP="0012344D">
      <w:pPr>
        <w:ind w:left="1418"/>
        <w:jc w:val="left"/>
        <w:rPr>
          <w:rFonts w:eastAsia="Times New Roman"/>
          <w:szCs w:val="17"/>
        </w:rPr>
      </w:pPr>
      <w:r w:rsidRPr="00A17ED1">
        <w:rPr>
          <w:rFonts w:eastAsia="Times New Roman"/>
          <w:szCs w:val="17"/>
        </w:rPr>
        <w:t>an amount of $18,418.</w:t>
      </w:r>
    </w:p>
    <w:p w14:paraId="1FD4AC05" w14:textId="77777777" w:rsidR="0012344D" w:rsidRPr="00A17ED1" w:rsidRDefault="0012344D" w:rsidP="0012344D">
      <w:pPr>
        <w:ind w:left="1418" w:hanging="620"/>
        <w:jc w:val="left"/>
        <w:rPr>
          <w:rFonts w:eastAsia="Times New Roman"/>
          <w:szCs w:val="17"/>
        </w:rPr>
      </w:pPr>
      <w:r w:rsidRPr="00A17ED1">
        <w:rPr>
          <w:rFonts w:eastAsia="Times New Roman"/>
          <w:szCs w:val="17"/>
        </w:rPr>
        <w:t>2.1.2</w:t>
      </w:r>
      <w:r w:rsidRPr="00A17ED1">
        <w:rPr>
          <w:rFonts w:eastAsia="Times New Roman"/>
          <w:szCs w:val="17"/>
        </w:rPr>
        <w:tab/>
        <w:t>For:</w:t>
      </w:r>
    </w:p>
    <w:p w14:paraId="3CD7F30A" w14:textId="77777777" w:rsidR="0012344D" w:rsidRPr="00A17ED1" w:rsidRDefault="0012344D" w:rsidP="0012344D">
      <w:pPr>
        <w:ind w:left="1442"/>
        <w:jc w:val="left"/>
        <w:rPr>
          <w:rFonts w:eastAsia="Times New Roman"/>
          <w:szCs w:val="17"/>
        </w:rPr>
      </w:pPr>
      <w:r w:rsidRPr="00A17ED1">
        <w:rPr>
          <w:rFonts w:eastAsia="Times New Roman"/>
          <w:szCs w:val="17"/>
        </w:rPr>
        <w:t>Judges of the District Court;</w:t>
      </w:r>
    </w:p>
    <w:p w14:paraId="43939B74" w14:textId="77777777" w:rsidR="0012344D" w:rsidRPr="00A17ED1" w:rsidRDefault="0012344D" w:rsidP="0012344D">
      <w:pPr>
        <w:ind w:left="1442"/>
        <w:jc w:val="left"/>
        <w:rPr>
          <w:rFonts w:eastAsia="Times New Roman"/>
          <w:szCs w:val="17"/>
        </w:rPr>
      </w:pPr>
      <w:r w:rsidRPr="00A17ED1">
        <w:rPr>
          <w:rFonts w:eastAsia="Times New Roman"/>
          <w:szCs w:val="17"/>
        </w:rPr>
        <w:t>the Chief Magistrate;</w:t>
      </w:r>
    </w:p>
    <w:p w14:paraId="10BF7C4C" w14:textId="77777777" w:rsidR="0012344D" w:rsidRPr="00A17ED1" w:rsidRDefault="0012344D" w:rsidP="0012344D">
      <w:pPr>
        <w:ind w:left="1442"/>
        <w:jc w:val="left"/>
        <w:rPr>
          <w:rFonts w:eastAsia="Times New Roman"/>
          <w:szCs w:val="17"/>
        </w:rPr>
      </w:pPr>
      <w:r w:rsidRPr="00A17ED1">
        <w:rPr>
          <w:rFonts w:eastAsia="Times New Roman"/>
          <w:szCs w:val="17"/>
        </w:rPr>
        <w:t>Judges of the South Australian Employment Tribunal;</w:t>
      </w:r>
      <w:r w:rsidRPr="00A17ED1">
        <w:rPr>
          <w:rFonts w:eastAsia="Times New Roman"/>
          <w:szCs w:val="17"/>
        </w:rPr>
        <w:br/>
        <w:t>Judges of the Environment, Resources and Development Court;</w:t>
      </w:r>
      <w:r w:rsidRPr="00A17ED1">
        <w:rPr>
          <w:rFonts w:eastAsia="Times New Roman"/>
          <w:szCs w:val="17"/>
        </w:rPr>
        <w:br/>
        <w:t>Masters of the Supreme Court;</w:t>
      </w:r>
    </w:p>
    <w:p w14:paraId="1D102A35" w14:textId="77777777" w:rsidR="0012344D" w:rsidRPr="00A17ED1" w:rsidRDefault="0012344D" w:rsidP="0012344D">
      <w:pPr>
        <w:ind w:left="1442"/>
        <w:jc w:val="left"/>
        <w:rPr>
          <w:rFonts w:eastAsia="Times New Roman"/>
          <w:szCs w:val="17"/>
        </w:rPr>
      </w:pPr>
      <w:r w:rsidRPr="00A17ED1">
        <w:rPr>
          <w:rFonts w:eastAsia="Times New Roman"/>
          <w:szCs w:val="17"/>
        </w:rPr>
        <w:t>the Electoral Commissioner; and</w:t>
      </w:r>
      <w:r w:rsidRPr="00A17ED1">
        <w:rPr>
          <w:rFonts w:eastAsia="Times New Roman"/>
          <w:szCs w:val="17"/>
        </w:rPr>
        <w:br/>
        <w:t>the Health and Community Services Complaints Commissioner;</w:t>
      </w:r>
    </w:p>
    <w:p w14:paraId="102FE862" w14:textId="77777777" w:rsidR="0012344D" w:rsidRPr="00A17ED1" w:rsidRDefault="0012344D" w:rsidP="0012344D">
      <w:pPr>
        <w:ind w:left="1442"/>
        <w:jc w:val="left"/>
        <w:rPr>
          <w:rFonts w:eastAsia="Times New Roman"/>
          <w:szCs w:val="17"/>
        </w:rPr>
      </w:pPr>
      <w:r w:rsidRPr="00A17ED1">
        <w:rPr>
          <w:rFonts w:eastAsia="Times New Roman"/>
          <w:szCs w:val="17"/>
        </w:rPr>
        <w:t>an amount of $17,379.</w:t>
      </w:r>
    </w:p>
    <w:p w14:paraId="18F2A2C3" w14:textId="77777777" w:rsidR="0012344D" w:rsidRPr="00A17ED1" w:rsidRDefault="0012344D" w:rsidP="0012344D">
      <w:pPr>
        <w:ind w:left="1418" w:hanging="620"/>
        <w:jc w:val="left"/>
        <w:rPr>
          <w:rFonts w:eastAsia="Times New Roman"/>
          <w:szCs w:val="17"/>
        </w:rPr>
      </w:pPr>
      <w:r w:rsidRPr="00A17ED1">
        <w:rPr>
          <w:rFonts w:eastAsia="Times New Roman"/>
          <w:szCs w:val="17"/>
        </w:rPr>
        <w:t>2.1.3</w:t>
      </w:r>
      <w:r w:rsidRPr="00A17ED1">
        <w:rPr>
          <w:rFonts w:eastAsia="Times New Roman"/>
          <w:szCs w:val="17"/>
        </w:rPr>
        <w:tab/>
        <w:t xml:space="preserve">For: </w:t>
      </w:r>
    </w:p>
    <w:p w14:paraId="2F5ADE4B" w14:textId="77777777" w:rsidR="0012344D" w:rsidRPr="00A17ED1" w:rsidRDefault="0012344D" w:rsidP="0012344D">
      <w:pPr>
        <w:ind w:left="1428"/>
        <w:jc w:val="left"/>
        <w:rPr>
          <w:rFonts w:eastAsia="Times New Roman"/>
          <w:szCs w:val="17"/>
        </w:rPr>
      </w:pPr>
      <w:r w:rsidRPr="00A17ED1">
        <w:rPr>
          <w:rFonts w:eastAsia="Times New Roman"/>
          <w:szCs w:val="17"/>
        </w:rPr>
        <w:t>Magistrates;</w:t>
      </w:r>
      <w:r w:rsidRPr="00A17ED1">
        <w:rPr>
          <w:rFonts w:eastAsia="Times New Roman"/>
          <w:szCs w:val="17"/>
        </w:rPr>
        <w:br/>
        <w:t>Masters of the District Court;</w:t>
      </w:r>
      <w:r w:rsidRPr="00A17ED1">
        <w:rPr>
          <w:rFonts w:eastAsia="Times New Roman"/>
          <w:szCs w:val="17"/>
        </w:rPr>
        <w:br/>
        <w:t>the State Coroner;</w:t>
      </w:r>
      <w:r w:rsidRPr="00A17ED1">
        <w:rPr>
          <w:rFonts w:eastAsia="Times New Roman"/>
          <w:szCs w:val="17"/>
        </w:rPr>
        <w:br/>
        <w:t>the Deputy State Coroner;</w:t>
      </w:r>
      <w:r w:rsidRPr="00A17ED1">
        <w:rPr>
          <w:rFonts w:eastAsia="Times New Roman"/>
          <w:szCs w:val="17"/>
        </w:rPr>
        <w:br/>
        <w:t>Magistrates of the South Australian Employment Tribunal;</w:t>
      </w:r>
    </w:p>
    <w:p w14:paraId="4C0EB9B7" w14:textId="77777777" w:rsidR="0012344D" w:rsidRPr="00A17ED1" w:rsidRDefault="0012344D" w:rsidP="0012344D">
      <w:pPr>
        <w:ind w:left="1428"/>
        <w:jc w:val="left"/>
        <w:rPr>
          <w:rFonts w:eastAsia="Times New Roman"/>
          <w:szCs w:val="17"/>
        </w:rPr>
      </w:pPr>
      <w:r w:rsidRPr="00A17ED1">
        <w:rPr>
          <w:rFonts w:eastAsia="Times New Roman"/>
          <w:szCs w:val="17"/>
        </w:rPr>
        <w:t>Deputy President of the South Australian Civil and Administrative Tribunal, appointed under section 14(1)(b) of the</w:t>
      </w:r>
      <w:r w:rsidRPr="00A17ED1">
        <w:rPr>
          <w:rFonts w:eastAsia="Times New Roman"/>
          <w:i/>
          <w:iCs/>
          <w:szCs w:val="17"/>
        </w:rPr>
        <w:t xml:space="preserve"> SACAT Act 2013</w:t>
      </w:r>
      <w:r w:rsidRPr="00A17ED1">
        <w:rPr>
          <w:rFonts w:eastAsia="Times New Roman"/>
          <w:szCs w:val="17"/>
        </w:rPr>
        <w:t>.</w:t>
      </w:r>
      <w:r w:rsidRPr="00A17ED1">
        <w:rPr>
          <w:rFonts w:eastAsia="Times New Roman"/>
          <w:szCs w:val="17"/>
        </w:rPr>
        <w:br/>
        <w:t>Commissioners of the Environment, Resources and Development Court; and</w:t>
      </w:r>
      <w:r w:rsidRPr="00A17ED1">
        <w:rPr>
          <w:rFonts w:eastAsia="Times New Roman"/>
          <w:szCs w:val="17"/>
        </w:rPr>
        <w:br/>
        <w:t>the Deputy Electoral Commissioner;</w:t>
      </w:r>
    </w:p>
    <w:p w14:paraId="6BF76C7B" w14:textId="77777777" w:rsidR="0012344D" w:rsidRPr="00A17ED1" w:rsidRDefault="0012344D" w:rsidP="0012344D">
      <w:pPr>
        <w:ind w:left="1428"/>
        <w:jc w:val="left"/>
        <w:rPr>
          <w:rFonts w:eastAsia="Times New Roman"/>
          <w:szCs w:val="17"/>
        </w:rPr>
      </w:pPr>
      <w:r w:rsidRPr="00A17ED1">
        <w:rPr>
          <w:rFonts w:eastAsia="Times New Roman"/>
          <w:szCs w:val="17"/>
        </w:rPr>
        <w:t>an amount of $16,063.</w:t>
      </w:r>
    </w:p>
    <w:p w14:paraId="0E09A412" w14:textId="77777777" w:rsidR="0012344D" w:rsidRPr="00A17ED1" w:rsidRDefault="0012344D" w:rsidP="009B29CF">
      <w:pPr>
        <w:pStyle w:val="GG-body"/>
        <w:numPr>
          <w:ilvl w:val="1"/>
          <w:numId w:val="104"/>
        </w:numPr>
        <w:rPr>
          <w:b/>
          <w:bCs/>
        </w:rPr>
      </w:pPr>
      <w:r w:rsidRPr="00A17ED1">
        <w:rPr>
          <w:b/>
          <w:bCs/>
        </w:rPr>
        <w:t>Part Time Appointees</w:t>
      </w:r>
    </w:p>
    <w:p w14:paraId="22E803E8" w14:textId="77777777" w:rsidR="0012344D" w:rsidRPr="00A17ED1" w:rsidRDefault="0012344D" w:rsidP="0012344D">
      <w:pPr>
        <w:ind w:left="1428"/>
        <w:jc w:val="left"/>
        <w:rPr>
          <w:rFonts w:eastAsia="Times New Roman"/>
          <w:szCs w:val="17"/>
        </w:rPr>
      </w:pPr>
      <w:r w:rsidRPr="00A17ED1">
        <w:rPr>
          <w:rFonts w:eastAsia="Times New Roman"/>
          <w:szCs w:val="17"/>
        </w:rPr>
        <w:t>Where a person to whom this Determination applies is appointed on a part time basis, that person is entitled to receive a conveyance allowance at a pro rata amount of the relevant allowance in clause 2.1, based on the number of ordinary hours worked as a proportion of the full time equivalent.</w:t>
      </w:r>
    </w:p>
    <w:p w14:paraId="39EAAC0E" w14:textId="77777777" w:rsidR="0012344D" w:rsidRPr="00A17ED1" w:rsidRDefault="0012344D" w:rsidP="009B29CF">
      <w:pPr>
        <w:pStyle w:val="GG-body"/>
        <w:numPr>
          <w:ilvl w:val="1"/>
          <w:numId w:val="104"/>
        </w:numPr>
        <w:rPr>
          <w:b/>
          <w:bCs/>
        </w:rPr>
      </w:pPr>
      <w:r w:rsidRPr="00A17ED1">
        <w:rPr>
          <w:b/>
          <w:bCs/>
        </w:rPr>
        <w:t>Temporary Appointees</w:t>
      </w:r>
    </w:p>
    <w:p w14:paraId="7AD76794" w14:textId="77777777" w:rsidR="0012344D" w:rsidRPr="00A17ED1" w:rsidRDefault="0012344D" w:rsidP="0012344D">
      <w:pPr>
        <w:ind w:left="1418"/>
        <w:jc w:val="left"/>
        <w:rPr>
          <w:rFonts w:eastAsia="Times New Roman"/>
          <w:szCs w:val="17"/>
        </w:rPr>
      </w:pPr>
      <w:r w:rsidRPr="00A17ED1">
        <w:rPr>
          <w:rFonts w:eastAsia="Times New Roman"/>
          <w:szCs w:val="17"/>
        </w:rPr>
        <w:t>Where a person who is not provided with a vehicle in their substantive position is appointed on a temporary basis to act as a Judge, Court Officer or Statutory Officer, that person is entitled after the expiration of the first calendar month of service to receive a conveyance allowance in accordance with clause 2.1.</w:t>
      </w:r>
    </w:p>
    <w:p w14:paraId="34AD9872" w14:textId="77777777" w:rsidR="0012344D" w:rsidRPr="00A17ED1" w:rsidRDefault="0012344D" w:rsidP="009B29CF">
      <w:pPr>
        <w:pStyle w:val="GG-body"/>
        <w:numPr>
          <w:ilvl w:val="1"/>
          <w:numId w:val="104"/>
        </w:numPr>
        <w:rPr>
          <w:b/>
          <w:bCs/>
        </w:rPr>
      </w:pPr>
      <w:r w:rsidRPr="00A17ED1">
        <w:rPr>
          <w:b/>
          <w:bCs/>
        </w:rPr>
        <w:t>Use of Taxis and Private Vehicles</w:t>
      </w:r>
    </w:p>
    <w:p w14:paraId="02BE14AD" w14:textId="77777777" w:rsidR="0012344D" w:rsidRPr="00A17ED1" w:rsidRDefault="0012344D" w:rsidP="0012344D">
      <w:pPr>
        <w:ind w:left="1418" w:hanging="620"/>
        <w:jc w:val="left"/>
        <w:rPr>
          <w:rFonts w:eastAsia="Times New Roman"/>
          <w:szCs w:val="17"/>
        </w:rPr>
      </w:pPr>
      <w:r w:rsidRPr="00A17ED1">
        <w:rPr>
          <w:rFonts w:eastAsia="Times New Roman"/>
          <w:szCs w:val="17"/>
        </w:rPr>
        <w:t>2.4.1.</w:t>
      </w:r>
      <w:r w:rsidRPr="00A17ED1">
        <w:rPr>
          <w:rFonts w:eastAsia="Times New Roman"/>
          <w:szCs w:val="17"/>
        </w:rPr>
        <w:tab/>
      </w:r>
      <w:r w:rsidRPr="00A17ED1">
        <w:rPr>
          <w:rFonts w:eastAsia="Times New Roman"/>
          <w:b/>
          <w:bCs/>
          <w:szCs w:val="17"/>
        </w:rPr>
        <w:t>Judges and Court Officers</w:t>
      </w:r>
    </w:p>
    <w:p w14:paraId="512BDA5B" w14:textId="77777777" w:rsidR="0012344D" w:rsidRPr="00A17ED1" w:rsidRDefault="0012344D" w:rsidP="0012344D">
      <w:pPr>
        <w:ind w:left="1418"/>
        <w:jc w:val="left"/>
        <w:rPr>
          <w:rFonts w:eastAsia="Times New Roman"/>
          <w:szCs w:val="17"/>
        </w:rPr>
      </w:pPr>
      <w:bookmarkStart w:id="75" w:name="_Hlk121829602"/>
      <w:r w:rsidRPr="00A17ED1">
        <w:rPr>
          <w:rFonts w:eastAsia="Times New Roman"/>
          <w:szCs w:val="17"/>
        </w:rPr>
        <w:t>A Judge or Court Officer is not entitled to use a government fleet vehicle allocated to the Courts Administration Authority, or to engage taxis or hire car at the expense of the State Courts Administrator, or to seek the payment of any additional allowance for the use of a private vehicle, whether for official or unofficial purposes unless:</w:t>
      </w:r>
    </w:p>
    <w:p w14:paraId="1A64C708" w14:textId="77777777" w:rsidR="0012344D" w:rsidRPr="00A17ED1" w:rsidRDefault="0012344D" w:rsidP="009B29CF">
      <w:pPr>
        <w:numPr>
          <w:ilvl w:val="0"/>
          <w:numId w:val="102"/>
        </w:numPr>
        <w:ind w:left="1834" w:hanging="416"/>
        <w:jc w:val="left"/>
        <w:rPr>
          <w:rFonts w:eastAsia="Times New Roman"/>
          <w:szCs w:val="17"/>
        </w:rPr>
      </w:pPr>
      <w:r w:rsidRPr="00A17ED1">
        <w:rPr>
          <w:rFonts w:eastAsia="Times New Roman"/>
          <w:szCs w:val="17"/>
        </w:rPr>
        <w:t>it has been certified by the State Courts Administrator that it was inefficient or not cost effective for the Judge or Court Officer to use the vehicle available for their official and private use; or</w:t>
      </w:r>
    </w:p>
    <w:p w14:paraId="27342C97" w14:textId="77777777" w:rsidR="0012344D" w:rsidRPr="00A17ED1" w:rsidRDefault="0012344D" w:rsidP="009B29CF">
      <w:pPr>
        <w:numPr>
          <w:ilvl w:val="0"/>
          <w:numId w:val="102"/>
        </w:numPr>
        <w:ind w:left="1834" w:hanging="416"/>
        <w:jc w:val="left"/>
        <w:rPr>
          <w:rFonts w:eastAsia="Times New Roman"/>
          <w:szCs w:val="17"/>
        </w:rPr>
      </w:pPr>
      <w:r w:rsidRPr="00A17ED1">
        <w:rPr>
          <w:rFonts w:eastAsia="Times New Roman"/>
          <w:szCs w:val="17"/>
        </w:rPr>
        <w:t>it has been certified by the State Courts Administrator that the vehicle available for the Judge or Court Officer’s official and private use cannot travel safely to a designated location; or</w:t>
      </w:r>
    </w:p>
    <w:p w14:paraId="179F568E" w14:textId="77777777" w:rsidR="0012344D" w:rsidRPr="00A17ED1" w:rsidRDefault="0012344D" w:rsidP="009B29CF">
      <w:pPr>
        <w:numPr>
          <w:ilvl w:val="0"/>
          <w:numId w:val="102"/>
        </w:numPr>
        <w:ind w:left="1834" w:hanging="416"/>
        <w:jc w:val="left"/>
        <w:rPr>
          <w:rFonts w:eastAsia="Times New Roman"/>
          <w:szCs w:val="17"/>
        </w:rPr>
      </w:pPr>
      <w:r w:rsidRPr="00A17ED1">
        <w:rPr>
          <w:rFonts w:eastAsia="Times New Roman"/>
          <w:szCs w:val="17"/>
        </w:rPr>
        <w:lastRenderedPageBreak/>
        <w:t>such use or engagement is consistent with a general direction given by the Chief Judicial Officer of the relevant Court, or in the case of Court Officers, the presiding officer of the relevant Tribunal, as to the circumstances where the vehicle available for official and private use, need not be used by reason of efficiency and cost effectiveness.</w:t>
      </w:r>
    </w:p>
    <w:bookmarkEnd w:id="75"/>
    <w:p w14:paraId="56C833D1" w14:textId="77777777" w:rsidR="0012344D" w:rsidRPr="00A17ED1" w:rsidRDefault="0012344D" w:rsidP="0012344D">
      <w:pPr>
        <w:ind w:left="1418"/>
        <w:jc w:val="left"/>
        <w:rPr>
          <w:rFonts w:eastAsia="Times New Roman"/>
          <w:szCs w:val="17"/>
        </w:rPr>
      </w:pPr>
      <w:r w:rsidRPr="00A17ED1">
        <w:rPr>
          <w:rFonts w:eastAsia="Times New Roman"/>
          <w:szCs w:val="17"/>
        </w:rPr>
        <w:t>For the presidential members of the South Australian Employment Tribunal, the Registrar is the relevant approval authority.</w:t>
      </w:r>
    </w:p>
    <w:p w14:paraId="5978B589" w14:textId="77777777" w:rsidR="0012344D" w:rsidRPr="00A17ED1" w:rsidRDefault="0012344D" w:rsidP="0012344D">
      <w:pPr>
        <w:ind w:left="1418"/>
        <w:jc w:val="left"/>
        <w:rPr>
          <w:rFonts w:eastAsia="Times New Roman"/>
          <w:szCs w:val="17"/>
        </w:rPr>
      </w:pPr>
      <w:r w:rsidRPr="00A17ED1">
        <w:rPr>
          <w:rFonts w:eastAsia="Times New Roman"/>
          <w:szCs w:val="17"/>
        </w:rPr>
        <w:t>An example of circumstances where such certification or general directions may be given is for journeys to and from the airport, where it may be more efficient or cost effective to use a taxi.</w:t>
      </w:r>
    </w:p>
    <w:p w14:paraId="06D93618" w14:textId="77777777" w:rsidR="0012344D" w:rsidRPr="00A17ED1" w:rsidRDefault="0012344D" w:rsidP="0012344D">
      <w:pPr>
        <w:ind w:left="1418" w:hanging="620"/>
        <w:jc w:val="left"/>
        <w:rPr>
          <w:rFonts w:eastAsia="Times New Roman"/>
          <w:szCs w:val="17"/>
        </w:rPr>
      </w:pPr>
      <w:r w:rsidRPr="00A17ED1">
        <w:rPr>
          <w:rFonts w:eastAsia="Times New Roman"/>
          <w:szCs w:val="17"/>
        </w:rPr>
        <w:t>2.4.2.</w:t>
      </w:r>
      <w:r w:rsidRPr="00A17ED1">
        <w:rPr>
          <w:rFonts w:eastAsia="Times New Roman"/>
          <w:szCs w:val="17"/>
        </w:rPr>
        <w:tab/>
      </w:r>
      <w:r w:rsidRPr="00A17ED1">
        <w:rPr>
          <w:rFonts w:eastAsia="Times New Roman"/>
          <w:b/>
          <w:bCs/>
          <w:szCs w:val="17"/>
        </w:rPr>
        <w:t>Statutory Officers</w:t>
      </w:r>
    </w:p>
    <w:p w14:paraId="55FCEAB8" w14:textId="77777777" w:rsidR="0012344D" w:rsidRPr="00A17ED1" w:rsidRDefault="0012344D" w:rsidP="0012344D">
      <w:pPr>
        <w:ind w:left="851"/>
        <w:jc w:val="left"/>
        <w:rPr>
          <w:rFonts w:eastAsia="Times New Roman"/>
          <w:szCs w:val="17"/>
        </w:rPr>
      </w:pPr>
      <w:r w:rsidRPr="00A17ED1">
        <w:rPr>
          <w:rFonts w:eastAsia="Times New Roman"/>
          <w:szCs w:val="17"/>
        </w:rPr>
        <w:t>A Statutory Officer must not engage a taxi or hire car, and is not entitled to the payment of any additional allowance for the use of a private vehicle, whether for official or unofficial purposes, unless it is inefficient or not cost effective to use the vehicle available for the Officer’s official and private use.</w:t>
      </w:r>
    </w:p>
    <w:p w14:paraId="62C570EE" w14:textId="77777777" w:rsidR="0012344D" w:rsidRPr="00A17ED1" w:rsidRDefault="0012344D" w:rsidP="0012344D">
      <w:pPr>
        <w:ind w:left="1418" w:hanging="620"/>
        <w:jc w:val="left"/>
        <w:rPr>
          <w:rFonts w:eastAsia="Times New Roman"/>
          <w:szCs w:val="17"/>
        </w:rPr>
      </w:pPr>
      <w:r w:rsidRPr="00A17ED1">
        <w:rPr>
          <w:rFonts w:eastAsia="Times New Roman"/>
          <w:szCs w:val="17"/>
        </w:rPr>
        <w:t>2.4.3.</w:t>
      </w:r>
      <w:r w:rsidRPr="00A17ED1">
        <w:rPr>
          <w:rFonts w:eastAsia="Times New Roman"/>
          <w:szCs w:val="17"/>
        </w:rPr>
        <w:tab/>
      </w:r>
      <w:r w:rsidRPr="00A17ED1">
        <w:rPr>
          <w:rFonts w:eastAsia="Times New Roman"/>
          <w:b/>
          <w:bCs/>
          <w:szCs w:val="17"/>
        </w:rPr>
        <w:t>Amount of Reimbursement</w:t>
      </w:r>
    </w:p>
    <w:p w14:paraId="4B8A3D5E" w14:textId="77777777" w:rsidR="0012344D" w:rsidRPr="00A17ED1" w:rsidRDefault="0012344D" w:rsidP="0012344D">
      <w:pPr>
        <w:ind w:left="851"/>
        <w:jc w:val="left"/>
        <w:rPr>
          <w:rFonts w:eastAsia="Times New Roman"/>
          <w:i/>
          <w:szCs w:val="17"/>
        </w:rPr>
      </w:pPr>
      <w:r w:rsidRPr="00A17ED1">
        <w:rPr>
          <w:rFonts w:eastAsia="Times New Roman"/>
          <w:szCs w:val="17"/>
        </w:rPr>
        <w:t xml:space="preserve">Where any person subject to this Determination is seeking payment of an additional allowance to cover the use of a private motor vehicle for official purposes, reimbursement of the cost will be made, calculated at the rate per kilometre at a rate equating to that pursuant to the </w:t>
      </w:r>
      <w:r w:rsidRPr="00A17ED1">
        <w:rPr>
          <w:rFonts w:eastAsia="Times New Roman"/>
          <w:i/>
          <w:szCs w:val="17"/>
        </w:rPr>
        <w:t>SA Public Sector Salaried Employees Interim Award.</w:t>
      </w:r>
    </w:p>
    <w:p w14:paraId="11611000" w14:textId="77777777" w:rsidR="0012344D" w:rsidRPr="00A17ED1" w:rsidRDefault="0012344D" w:rsidP="009B29CF">
      <w:pPr>
        <w:pStyle w:val="GG-body"/>
        <w:numPr>
          <w:ilvl w:val="0"/>
          <w:numId w:val="104"/>
        </w:numPr>
        <w:rPr>
          <w:b/>
          <w:bCs/>
        </w:rPr>
      </w:pPr>
      <w:r w:rsidRPr="00A17ED1">
        <w:rPr>
          <w:b/>
          <w:bCs/>
        </w:rPr>
        <w:t>VEHICLES AVAILABLE THROUGH FLEET SA FOR OFFICIAL AND PRIVATE USE</w:t>
      </w:r>
    </w:p>
    <w:p w14:paraId="53AF831A" w14:textId="77777777" w:rsidR="0012344D" w:rsidRPr="00A17ED1" w:rsidRDefault="0012344D" w:rsidP="009B29CF">
      <w:pPr>
        <w:pStyle w:val="GG-body"/>
        <w:numPr>
          <w:ilvl w:val="1"/>
          <w:numId w:val="104"/>
        </w:numPr>
        <w:rPr>
          <w:b/>
          <w:bCs/>
        </w:rPr>
      </w:pPr>
      <w:bookmarkStart w:id="76" w:name="_Ref436197476"/>
      <w:r w:rsidRPr="00A17ED1">
        <w:rPr>
          <w:b/>
          <w:bCs/>
        </w:rPr>
        <w:t>Selection of Vehicle</w:t>
      </w:r>
      <w:bookmarkEnd w:id="76"/>
    </w:p>
    <w:p w14:paraId="0F4551A4" w14:textId="77777777" w:rsidR="0012344D" w:rsidRPr="00A17ED1" w:rsidRDefault="0012344D" w:rsidP="0012344D">
      <w:pPr>
        <w:ind w:left="798"/>
        <w:jc w:val="left"/>
        <w:rPr>
          <w:rFonts w:eastAsia="Times New Roman"/>
          <w:szCs w:val="17"/>
        </w:rPr>
      </w:pPr>
      <w:r w:rsidRPr="00A17ED1">
        <w:rPr>
          <w:rFonts w:eastAsia="Times New Roman"/>
          <w:szCs w:val="17"/>
        </w:rPr>
        <w:t>Persons who are subject to this Determination are entitled, in accordance with the conditions specified herein, to elect to have allocated to them a motor vehicle of any model and type from the Judicial Vehicle Schedule compiled by Fleet SA, as varied from time to time.  Notice of the selected motor vehicle should be made in writing as follows:</w:t>
      </w:r>
    </w:p>
    <w:p w14:paraId="7159C835" w14:textId="77777777" w:rsidR="0012344D" w:rsidRPr="00A17ED1" w:rsidRDefault="0012344D" w:rsidP="009B29CF">
      <w:pPr>
        <w:numPr>
          <w:ilvl w:val="0"/>
          <w:numId w:val="101"/>
        </w:numPr>
        <w:ind w:left="1418"/>
        <w:jc w:val="left"/>
        <w:rPr>
          <w:rFonts w:eastAsia="Times New Roman"/>
          <w:szCs w:val="17"/>
        </w:rPr>
      </w:pPr>
      <w:r w:rsidRPr="00A17ED1">
        <w:rPr>
          <w:rFonts w:eastAsia="Times New Roman"/>
          <w:szCs w:val="17"/>
        </w:rPr>
        <w:t>by Judges and Court Officers to the State Courts Administrator;</w:t>
      </w:r>
    </w:p>
    <w:p w14:paraId="1C628BF9" w14:textId="77777777" w:rsidR="0012344D" w:rsidRPr="00A17ED1" w:rsidRDefault="0012344D" w:rsidP="009B29CF">
      <w:pPr>
        <w:numPr>
          <w:ilvl w:val="0"/>
          <w:numId w:val="101"/>
        </w:numPr>
        <w:ind w:left="1418"/>
        <w:jc w:val="left"/>
        <w:rPr>
          <w:rFonts w:eastAsia="Times New Roman"/>
          <w:szCs w:val="17"/>
        </w:rPr>
      </w:pPr>
      <w:r w:rsidRPr="00A17ED1">
        <w:rPr>
          <w:rFonts w:eastAsia="Times New Roman"/>
          <w:szCs w:val="17"/>
        </w:rPr>
        <w:t>by members of the South Australian Employment Tribunal to the Registrar, including members who are Statutory Officers; and</w:t>
      </w:r>
    </w:p>
    <w:p w14:paraId="0BA08688" w14:textId="77777777" w:rsidR="0012344D" w:rsidRPr="00A17ED1" w:rsidRDefault="0012344D" w:rsidP="009B29CF">
      <w:pPr>
        <w:numPr>
          <w:ilvl w:val="0"/>
          <w:numId w:val="101"/>
        </w:numPr>
        <w:ind w:left="1418"/>
        <w:jc w:val="left"/>
        <w:rPr>
          <w:rFonts w:eastAsia="Times New Roman"/>
          <w:szCs w:val="17"/>
        </w:rPr>
      </w:pPr>
      <w:r w:rsidRPr="00A17ED1">
        <w:rPr>
          <w:rFonts w:eastAsia="Times New Roman"/>
          <w:szCs w:val="17"/>
        </w:rPr>
        <w:t>by other Statutory Officers to the Director, Fleet SA.</w:t>
      </w:r>
    </w:p>
    <w:p w14:paraId="2855D64A" w14:textId="77777777" w:rsidR="0012344D" w:rsidRPr="00A17ED1" w:rsidRDefault="0012344D" w:rsidP="0012344D">
      <w:pPr>
        <w:ind w:left="851"/>
        <w:jc w:val="left"/>
        <w:rPr>
          <w:rFonts w:eastAsia="Times New Roman"/>
          <w:szCs w:val="17"/>
        </w:rPr>
      </w:pPr>
      <w:r w:rsidRPr="00A17ED1">
        <w:rPr>
          <w:rFonts w:eastAsia="Times New Roman"/>
          <w:szCs w:val="17"/>
        </w:rPr>
        <w:t>The annual charge payable for each vehicle, determined by Fleet SA on the same basis as the calculation made in respect of the use of motor vehicles by Executives, is set out in the Judicial Vehicle Schedule compiled by Fleet SA.</w:t>
      </w:r>
    </w:p>
    <w:p w14:paraId="000AA848" w14:textId="77777777" w:rsidR="0012344D" w:rsidRPr="00A17ED1" w:rsidRDefault="0012344D" w:rsidP="009B29CF">
      <w:pPr>
        <w:pStyle w:val="GG-body"/>
        <w:numPr>
          <w:ilvl w:val="1"/>
          <w:numId w:val="104"/>
        </w:numPr>
        <w:rPr>
          <w:b/>
          <w:bCs/>
        </w:rPr>
      </w:pPr>
      <w:r w:rsidRPr="00A17ED1">
        <w:rPr>
          <w:b/>
          <w:bCs/>
        </w:rPr>
        <w:t>Temporary Appointees</w:t>
      </w:r>
    </w:p>
    <w:p w14:paraId="33E68C01" w14:textId="77777777" w:rsidR="0012344D" w:rsidRPr="00A17ED1" w:rsidRDefault="0012344D" w:rsidP="0012344D">
      <w:pPr>
        <w:ind w:left="851"/>
        <w:jc w:val="left"/>
        <w:rPr>
          <w:rFonts w:eastAsia="Times New Roman"/>
          <w:szCs w:val="17"/>
        </w:rPr>
      </w:pPr>
      <w:r w:rsidRPr="00A17ED1">
        <w:rPr>
          <w:rFonts w:eastAsia="Times New Roman"/>
          <w:szCs w:val="17"/>
        </w:rPr>
        <w:t>Persons appointed on a temporary basis to act as a Judge, Court Officer or Statutory Officer are not entitled to make an election under clause 3.1.</w:t>
      </w:r>
    </w:p>
    <w:p w14:paraId="2E95BE89" w14:textId="77777777" w:rsidR="0012344D" w:rsidRPr="00A17ED1" w:rsidRDefault="0012344D" w:rsidP="009B29CF">
      <w:pPr>
        <w:pStyle w:val="GG-body"/>
        <w:numPr>
          <w:ilvl w:val="1"/>
          <w:numId w:val="104"/>
        </w:numPr>
        <w:rPr>
          <w:b/>
          <w:bCs/>
        </w:rPr>
      </w:pPr>
      <w:r w:rsidRPr="00A17ED1">
        <w:rPr>
          <w:b/>
          <w:bCs/>
        </w:rPr>
        <w:t>Charges for Use of Vehicles</w:t>
      </w:r>
    </w:p>
    <w:p w14:paraId="41BB496A" w14:textId="77777777" w:rsidR="0012344D" w:rsidRPr="00A17ED1" w:rsidRDefault="0012344D" w:rsidP="0012344D">
      <w:pPr>
        <w:ind w:left="812"/>
        <w:jc w:val="left"/>
        <w:rPr>
          <w:rFonts w:eastAsia="Times New Roman"/>
          <w:szCs w:val="17"/>
        </w:rPr>
      </w:pPr>
      <w:r w:rsidRPr="00A17ED1">
        <w:rPr>
          <w:rFonts w:eastAsia="Times New Roman"/>
          <w:szCs w:val="17"/>
        </w:rPr>
        <w:t>The amount payable by a Judge, Court Officer or Statutory Officer for the use of a selected vehicle is the amount set out in the Fleet SA Judicial Vehicle Schedule adjacent to the description of the type of vehicle.</w:t>
      </w:r>
    </w:p>
    <w:p w14:paraId="48FC3176" w14:textId="77777777" w:rsidR="0012344D" w:rsidRPr="00A17ED1" w:rsidRDefault="0012344D" w:rsidP="0012344D">
      <w:pPr>
        <w:ind w:left="812"/>
        <w:jc w:val="left"/>
        <w:rPr>
          <w:rFonts w:eastAsia="Times New Roman"/>
          <w:szCs w:val="17"/>
        </w:rPr>
      </w:pPr>
      <w:r w:rsidRPr="00A17ED1">
        <w:rPr>
          <w:rFonts w:eastAsia="Times New Roman"/>
          <w:szCs w:val="17"/>
        </w:rPr>
        <w:t>Where a person to whom this Determination applies is appointed on a part time basis, and elects pursuant to clause 3.1 to have a motor vehicle, the charge payable by that person pursuant to clause 3.4 shall be an amount determined by Fleet SA, which may be greater than the standard charge to a full time officer to appropriately reflect the proportionately greater private use of such a motor vehicle.</w:t>
      </w:r>
    </w:p>
    <w:p w14:paraId="0E02606D" w14:textId="77777777" w:rsidR="0012344D" w:rsidRPr="00A17ED1" w:rsidRDefault="0012344D" w:rsidP="009B29CF">
      <w:pPr>
        <w:pStyle w:val="GG-body"/>
        <w:numPr>
          <w:ilvl w:val="1"/>
          <w:numId w:val="104"/>
        </w:numPr>
        <w:rPr>
          <w:b/>
          <w:bCs/>
        </w:rPr>
      </w:pPr>
      <w:r w:rsidRPr="00A17ED1">
        <w:rPr>
          <w:b/>
          <w:bCs/>
        </w:rPr>
        <w:t>Payment of Vehicle Charges</w:t>
      </w:r>
    </w:p>
    <w:p w14:paraId="0C39DFF0" w14:textId="77777777" w:rsidR="0012344D" w:rsidRPr="00A17ED1" w:rsidRDefault="0012344D" w:rsidP="0012344D">
      <w:pPr>
        <w:ind w:left="812"/>
        <w:jc w:val="left"/>
        <w:rPr>
          <w:rFonts w:eastAsia="Times New Roman"/>
          <w:szCs w:val="17"/>
        </w:rPr>
      </w:pPr>
      <w:r w:rsidRPr="00A17ED1">
        <w:rPr>
          <w:rFonts w:eastAsia="Times New Roman"/>
          <w:szCs w:val="17"/>
        </w:rPr>
        <w:t>If a Judge, Court Officer or Statutory Officer makes an election under clause 3.1 and a vehicle is supplied in accordance with that election, then the salary and allowances otherwise payable to the Judge, Court Officer or Statutory Officer must be abated and reduced so as to offset the charges for the use of the vehicle for the period during which the Judge, Court Officer or Statutory Officer has the use of the vehicle.</w:t>
      </w:r>
    </w:p>
    <w:p w14:paraId="23509F5B" w14:textId="77777777" w:rsidR="0012344D" w:rsidRDefault="0012344D" w:rsidP="009B29CF">
      <w:pPr>
        <w:pStyle w:val="GG-body"/>
        <w:numPr>
          <w:ilvl w:val="1"/>
          <w:numId w:val="104"/>
        </w:numPr>
        <w:rPr>
          <w:b/>
          <w:bCs/>
        </w:rPr>
      </w:pPr>
      <w:r w:rsidRPr="00A17ED1">
        <w:rPr>
          <w:b/>
          <w:bCs/>
        </w:rPr>
        <w:t>New Models or Types</w:t>
      </w:r>
    </w:p>
    <w:p w14:paraId="66FE1D21" w14:textId="77777777" w:rsidR="0012344D" w:rsidRPr="00E65F47" w:rsidRDefault="0012344D" w:rsidP="009B29CF">
      <w:pPr>
        <w:pStyle w:val="GG-body"/>
        <w:numPr>
          <w:ilvl w:val="2"/>
          <w:numId w:val="104"/>
        </w:numPr>
        <w:ind w:left="1418" w:hanging="620"/>
        <w:rPr>
          <w:b/>
          <w:bCs/>
        </w:rPr>
      </w:pPr>
      <w:r w:rsidRPr="00E65F47">
        <w:t>If a new type of vehicle, or a new model of a type specified in the Schedules becomes available for selection in terms of 3.1 after the date of election but before the placement of a binding order, the Judge, Court Officer, or Statutory Officer is entitled to withdraw the original election and elect to take the new model or type of vehicle.</w:t>
      </w:r>
    </w:p>
    <w:p w14:paraId="3DB0683C" w14:textId="77777777" w:rsidR="0012344D" w:rsidRPr="00A17ED1" w:rsidRDefault="0012344D" w:rsidP="009B29CF">
      <w:pPr>
        <w:pStyle w:val="GG-body"/>
        <w:numPr>
          <w:ilvl w:val="2"/>
          <w:numId w:val="104"/>
        </w:numPr>
        <w:ind w:left="1418" w:hanging="620"/>
      </w:pPr>
      <w:r w:rsidRPr="00A17ED1">
        <w:t>The annual charge payable for a new model or new type of vehicle is that amount determined by Fleet SA as the annual charge for private use of the vehicle by Executives. The annual charge takes into account the following:</w:t>
      </w:r>
    </w:p>
    <w:p w14:paraId="339B9931" w14:textId="77777777" w:rsidR="0012344D" w:rsidRPr="00A17ED1" w:rsidRDefault="0012344D" w:rsidP="0012344D">
      <w:pPr>
        <w:ind w:left="1701" w:hanging="283"/>
        <w:jc w:val="left"/>
        <w:rPr>
          <w:rFonts w:eastAsia="Times New Roman"/>
          <w:szCs w:val="17"/>
        </w:rPr>
      </w:pPr>
      <w:r w:rsidRPr="00A17ED1">
        <w:rPr>
          <w:rFonts w:eastAsia="Times New Roman"/>
          <w:b/>
          <w:szCs w:val="17"/>
        </w:rPr>
        <w:t>.</w:t>
      </w:r>
      <w:r w:rsidRPr="00A17ED1">
        <w:rPr>
          <w:rFonts w:eastAsia="Times New Roman"/>
          <w:szCs w:val="17"/>
        </w:rPr>
        <w:tab/>
        <w:t>purchase price and depreciation;</w:t>
      </w:r>
    </w:p>
    <w:p w14:paraId="7350CD02" w14:textId="77777777" w:rsidR="0012344D" w:rsidRPr="00A17ED1" w:rsidRDefault="0012344D" w:rsidP="0012344D">
      <w:pPr>
        <w:ind w:left="1701" w:hanging="283"/>
        <w:jc w:val="left"/>
        <w:rPr>
          <w:rFonts w:eastAsia="Times New Roman"/>
          <w:szCs w:val="17"/>
        </w:rPr>
      </w:pPr>
      <w:r w:rsidRPr="00A17ED1">
        <w:rPr>
          <w:rFonts w:eastAsia="Times New Roman"/>
          <w:b/>
          <w:szCs w:val="17"/>
        </w:rPr>
        <w:t>.</w:t>
      </w:r>
      <w:r w:rsidRPr="00A17ED1">
        <w:rPr>
          <w:rFonts w:eastAsia="Times New Roman"/>
          <w:szCs w:val="17"/>
        </w:rPr>
        <w:tab/>
        <w:t>fuel, maintenance, insurance and registration costs and interest rates; (operating costs are calculated on the basis of an average of 70% private usage);</w:t>
      </w:r>
    </w:p>
    <w:p w14:paraId="7DD5A841" w14:textId="77777777" w:rsidR="0012344D" w:rsidRPr="00A17ED1" w:rsidRDefault="0012344D" w:rsidP="0012344D">
      <w:pPr>
        <w:ind w:left="1701" w:hanging="283"/>
        <w:jc w:val="left"/>
        <w:rPr>
          <w:rFonts w:eastAsia="Times New Roman"/>
          <w:szCs w:val="17"/>
        </w:rPr>
      </w:pPr>
      <w:r w:rsidRPr="00A17ED1">
        <w:rPr>
          <w:rFonts w:eastAsia="Times New Roman"/>
          <w:b/>
          <w:szCs w:val="17"/>
        </w:rPr>
        <w:t>.</w:t>
      </w:r>
      <w:r w:rsidRPr="00A17ED1">
        <w:rPr>
          <w:rFonts w:eastAsia="Times New Roman"/>
          <w:szCs w:val="17"/>
        </w:rPr>
        <w:tab/>
        <w:t>Goods and Services Tax (GST);</w:t>
      </w:r>
    </w:p>
    <w:p w14:paraId="08A4C06D" w14:textId="77777777" w:rsidR="0012344D" w:rsidRPr="00A17ED1" w:rsidRDefault="0012344D" w:rsidP="0012344D">
      <w:pPr>
        <w:ind w:left="1701" w:hanging="283"/>
        <w:jc w:val="left"/>
        <w:rPr>
          <w:rFonts w:eastAsia="Times New Roman"/>
          <w:szCs w:val="17"/>
        </w:rPr>
      </w:pPr>
      <w:r w:rsidRPr="00A17ED1">
        <w:rPr>
          <w:rFonts w:eastAsia="Times New Roman"/>
          <w:b/>
          <w:szCs w:val="17"/>
        </w:rPr>
        <w:t>.</w:t>
      </w:r>
      <w:r w:rsidRPr="00A17ED1">
        <w:rPr>
          <w:rFonts w:eastAsia="Times New Roman"/>
          <w:szCs w:val="17"/>
        </w:rPr>
        <w:tab/>
        <w:t>Fringe Benefits Tax (FBT) based on an attributed business rate of 20,000 kilometres per year; and</w:t>
      </w:r>
    </w:p>
    <w:p w14:paraId="3376BDFC" w14:textId="77777777" w:rsidR="0012344D" w:rsidRPr="00A17ED1" w:rsidRDefault="0012344D" w:rsidP="0012344D">
      <w:pPr>
        <w:ind w:left="1701" w:hanging="283"/>
        <w:jc w:val="left"/>
        <w:rPr>
          <w:rFonts w:eastAsia="Times New Roman"/>
          <w:szCs w:val="17"/>
        </w:rPr>
      </w:pPr>
      <w:r w:rsidRPr="00A17ED1">
        <w:rPr>
          <w:rFonts w:eastAsia="Times New Roman"/>
          <w:b/>
          <w:szCs w:val="17"/>
        </w:rPr>
        <w:t>.</w:t>
      </w:r>
      <w:r w:rsidRPr="00A17ED1">
        <w:rPr>
          <w:rFonts w:eastAsia="Times New Roman"/>
          <w:szCs w:val="17"/>
        </w:rPr>
        <w:tab/>
        <w:t>the vehicle being retained for 3 years or 60,000 kilometres travelled, whichever first occurs.</w:t>
      </w:r>
    </w:p>
    <w:p w14:paraId="6D6342B6" w14:textId="77777777" w:rsidR="0012344D" w:rsidRPr="00A17ED1" w:rsidRDefault="0012344D" w:rsidP="009B29CF">
      <w:pPr>
        <w:pStyle w:val="GG-body"/>
        <w:numPr>
          <w:ilvl w:val="2"/>
          <w:numId w:val="104"/>
        </w:numPr>
        <w:ind w:left="1418" w:hanging="620"/>
      </w:pPr>
      <w:r w:rsidRPr="00A17ED1">
        <w:t>If a model or type of vehicle selected by a Judge, Court Officer or Statutory Officer becomes unavailable before the placement of a binding order, the Judge, Court Officer or Statutory Officer must be advised accordingly and allowed to make a further election under clause 3.1.</w:t>
      </w:r>
    </w:p>
    <w:p w14:paraId="14033BFA" w14:textId="77777777" w:rsidR="0012344D" w:rsidRPr="00A17ED1" w:rsidRDefault="0012344D" w:rsidP="009B29CF">
      <w:pPr>
        <w:pStyle w:val="GG-body"/>
        <w:numPr>
          <w:ilvl w:val="2"/>
          <w:numId w:val="104"/>
        </w:numPr>
        <w:ind w:left="1418" w:hanging="620"/>
      </w:pPr>
      <w:r w:rsidRPr="00A17ED1">
        <w:t>If a model becomes unavailable after the date of placement of a binding order and a later or better model vehicle is supplied, any Judge, Court Officer or Statutory Officer who has selected the unavailable vehicle is liable only to pay the annual charge for the vehicle as selected, and not the charge payable for the vehicle as supplied.</w:t>
      </w:r>
    </w:p>
    <w:p w14:paraId="5B20A309" w14:textId="77777777" w:rsidR="0012344D" w:rsidRPr="00A17ED1" w:rsidRDefault="0012344D" w:rsidP="009B29CF">
      <w:pPr>
        <w:pStyle w:val="GG-body"/>
        <w:numPr>
          <w:ilvl w:val="1"/>
          <w:numId w:val="104"/>
        </w:numPr>
        <w:rPr>
          <w:b/>
          <w:bCs/>
        </w:rPr>
      </w:pPr>
      <w:r w:rsidRPr="00A17ED1">
        <w:rPr>
          <w:b/>
          <w:bCs/>
        </w:rPr>
        <w:t>Accessories</w:t>
      </w:r>
    </w:p>
    <w:p w14:paraId="0E1B7979" w14:textId="77777777" w:rsidR="0012344D" w:rsidRPr="00A17ED1" w:rsidRDefault="0012344D" w:rsidP="0012344D">
      <w:pPr>
        <w:ind w:left="812"/>
        <w:jc w:val="left"/>
        <w:rPr>
          <w:rFonts w:eastAsia="Times New Roman"/>
          <w:szCs w:val="17"/>
        </w:rPr>
      </w:pPr>
      <w:r w:rsidRPr="00A17ED1">
        <w:rPr>
          <w:rFonts w:eastAsia="Times New Roman"/>
          <w:szCs w:val="17"/>
        </w:rPr>
        <w:t xml:space="preserve">The Judge, Court Officer or Statutory Officer may choose to have manufacturer approved accessories fitted to the vehicle.  The full cost of the accessories and the expense of having them fitted (including any tax incurred) is payable by the Judge, Court Officer or Statutory Officer. When the vehicle is due for return the Judge, Court Officer or Statutory Officer may have personally-installed accessories removed from the vehicle, providing the Judge, Court Officer or Statutory Officer meets the </w:t>
      </w:r>
      <w:r w:rsidRPr="00A17ED1">
        <w:rPr>
          <w:rFonts w:eastAsia="Times New Roman"/>
          <w:szCs w:val="17"/>
        </w:rPr>
        <w:lastRenderedPageBreak/>
        <w:t>full cost of restoring the vehicle to the same condition as if the accessories had not been fitted.  No compensation will be paid if options are left on the vehicle unless agreed by the relevant authority.</w:t>
      </w:r>
    </w:p>
    <w:p w14:paraId="4F0FCB55" w14:textId="77777777" w:rsidR="0012344D" w:rsidRPr="00A17ED1" w:rsidRDefault="0012344D" w:rsidP="0012344D">
      <w:pPr>
        <w:ind w:left="812"/>
        <w:jc w:val="left"/>
        <w:rPr>
          <w:rFonts w:eastAsia="Times New Roman"/>
          <w:szCs w:val="17"/>
        </w:rPr>
      </w:pPr>
      <w:r w:rsidRPr="00A17ED1">
        <w:rPr>
          <w:rFonts w:eastAsia="Times New Roman"/>
          <w:szCs w:val="17"/>
        </w:rPr>
        <w:t>Options such as airbags, ABS brake systems and cruise control may not be removed, and tow bars must not be reinstalled on another vehicle.</w:t>
      </w:r>
    </w:p>
    <w:p w14:paraId="2BF85472" w14:textId="77777777" w:rsidR="0012344D" w:rsidRPr="00A17ED1" w:rsidRDefault="0012344D" w:rsidP="009B29CF">
      <w:pPr>
        <w:pStyle w:val="GG-body"/>
        <w:numPr>
          <w:ilvl w:val="1"/>
          <w:numId w:val="104"/>
        </w:numPr>
        <w:rPr>
          <w:b/>
          <w:bCs/>
        </w:rPr>
      </w:pPr>
      <w:r w:rsidRPr="00A17ED1">
        <w:rPr>
          <w:b/>
          <w:bCs/>
        </w:rPr>
        <w:t>Retention of Vehicle</w:t>
      </w:r>
    </w:p>
    <w:p w14:paraId="70CC67B6" w14:textId="77777777" w:rsidR="0012344D" w:rsidRPr="00A17ED1" w:rsidRDefault="0012344D" w:rsidP="0012344D">
      <w:pPr>
        <w:ind w:left="812"/>
        <w:jc w:val="left"/>
        <w:rPr>
          <w:rFonts w:eastAsia="Times New Roman"/>
          <w:szCs w:val="17"/>
        </w:rPr>
      </w:pPr>
      <w:r w:rsidRPr="00A17ED1">
        <w:rPr>
          <w:rFonts w:eastAsia="Times New Roman"/>
          <w:szCs w:val="17"/>
        </w:rPr>
        <w:t>Having made an election and receiving the vehicle, the Judge, Court Officer or Statutory Officer must keep the vehicle for a period equivalent to the period determined from time to time by Fleet SA as the period for the replacement of vehicles provided to Executives.</w:t>
      </w:r>
    </w:p>
    <w:p w14:paraId="6CB3AA33" w14:textId="77777777" w:rsidR="0012344D" w:rsidRPr="00A17ED1" w:rsidRDefault="0012344D" w:rsidP="0012344D">
      <w:pPr>
        <w:ind w:left="812"/>
        <w:jc w:val="left"/>
        <w:rPr>
          <w:rFonts w:eastAsia="Times New Roman"/>
          <w:szCs w:val="17"/>
        </w:rPr>
      </w:pPr>
      <w:r w:rsidRPr="00A17ED1">
        <w:rPr>
          <w:rFonts w:eastAsia="Times New Roman"/>
          <w:szCs w:val="17"/>
        </w:rPr>
        <w:t>At the conclusion of that period the Judge, Court Officer or Statutory Officer will be entitled to make a new election, or, if he or she does not make an election, to be paid the allowance.</w:t>
      </w:r>
    </w:p>
    <w:p w14:paraId="439554BF" w14:textId="77777777" w:rsidR="0012344D" w:rsidRPr="00A17ED1" w:rsidRDefault="0012344D" w:rsidP="009B29CF">
      <w:pPr>
        <w:pStyle w:val="GG-body"/>
        <w:numPr>
          <w:ilvl w:val="1"/>
          <w:numId w:val="104"/>
        </w:numPr>
        <w:rPr>
          <w:b/>
          <w:bCs/>
        </w:rPr>
      </w:pPr>
      <w:r w:rsidRPr="00A17ED1">
        <w:rPr>
          <w:b/>
          <w:bCs/>
        </w:rPr>
        <w:t>Conditions of Use</w:t>
      </w:r>
    </w:p>
    <w:p w14:paraId="52E104B8" w14:textId="77777777" w:rsidR="0012344D" w:rsidRPr="00A17ED1" w:rsidRDefault="0012344D" w:rsidP="0012344D">
      <w:pPr>
        <w:ind w:left="798"/>
        <w:jc w:val="left"/>
        <w:rPr>
          <w:rFonts w:eastAsia="Times New Roman"/>
          <w:szCs w:val="17"/>
        </w:rPr>
      </w:pPr>
      <w:r w:rsidRPr="00A17ED1">
        <w:rPr>
          <w:rFonts w:eastAsia="Times New Roman"/>
          <w:szCs w:val="17"/>
        </w:rPr>
        <w:t xml:space="preserve">The vehicle will be fully maintained, serviced and insured by the relevant authority. </w:t>
      </w:r>
    </w:p>
    <w:p w14:paraId="1D7EDED0" w14:textId="77777777" w:rsidR="0012344D" w:rsidRPr="00A17ED1" w:rsidRDefault="0012344D" w:rsidP="0012344D">
      <w:pPr>
        <w:ind w:left="798"/>
        <w:jc w:val="left"/>
        <w:rPr>
          <w:rFonts w:eastAsia="Times New Roman"/>
          <w:szCs w:val="17"/>
        </w:rPr>
      </w:pPr>
      <w:r w:rsidRPr="00A17ED1">
        <w:rPr>
          <w:rFonts w:eastAsia="Times New Roman"/>
          <w:szCs w:val="17"/>
        </w:rPr>
        <w:t>The vehicle will be made available at or near the place of duty of the Judge, Court Officer, or Statutory Officer and the vehicle will be available for private and official use, subject to the following:</w:t>
      </w:r>
    </w:p>
    <w:p w14:paraId="27368E7B" w14:textId="77777777" w:rsidR="0012344D" w:rsidRPr="00A17ED1" w:rsidRDefault="0012344D" w:rsidP="009B29CF">
      <w:pPr>
        <w:pStyle w:val="GG-body"/>
        <w:numPr>
          <w:ilvl w:val="2"/>
          <w:numId w:val="104"/>
        </w:numPr>
        <w:ind w:left="1418" w:hanging="620"/>
      </w:pPr>
      <w:r w:rsidRPr="00A17ED1">
        <w:t>The Judge, Court Officer, or Statutory Officer must make the vehicle available for official use (including for official use by the Judge, Court Officer, or Statutory Officer) at all times whilst the vehicle is parked at or near the usual place of work of the Judge, Court Officer, or Statutory Officer, and the Judge, Court Officer or Statutory Officer, does not require the vehicle for private use.</w:t>
      </w:r>
    </w:p>
    <w:p w14:paraId="7304D202" w14:textId="77777777" w:rsidR="0012344D" w:rsidRPr="00A17ED1" w:rsidRDefault="0012344D" w:rsidP="009B29CF">
      <w:pPr>
        <w:pStyle w:val="GG-body"/>
        <w:numPr>
          <w:ilvl w:val="2"/>
          <w:numId w:val="104"/>
        </w:numPr>
        <w:ind w:left="1418" w:hanging="620"/>
      </w:pPr>
      <w:r w:rsidRPr="00A17ED1">
        <w:t>The Judge, Court Officer, or Statutory Officer will be authorised by the relevant authority to refuel the vehicle provided the vehicle is fuelled in accordance with any requirements specified by Fleet SA, which may include requirements that the vehicle be fuelled using a particular brand of motor fuel and that it be only fuelled in South Australia.  (If fuelled otherwise than in accordance with those requirements, it will be at the cost of the Judge, Court Officer, or Statutory Officer).</w:t>
      </w:r>
    </w:p>
    <w:p w14:paraId="1AF981F4" w14:textId="77777777" w:rsidR="0012344D" w:rsidRPr="00A17ED1" w:rsidRDefault="0012344D" w:rsidP="009B29CF">
      <w:pPr>
        <w:pStyle w:val="GG-body"/>
        <w:numPr>
          <w:ilvl w:val="2"/>
          <w:numId w:val="104"/>
        </w:numPr>
        <w:ind w:left="1418" w:hanging="620"/>
      </w:pPr>
      <w:r w:rsidRPr="00A17ED1">
        <w:t>The Judge, Court Officer, or Statutory Officer must make the vehicle available as required by the relevant authority for the purposes of the maintenance and repair of the vehicle and must deliver the vehicle to such place as the relevant authority may specify for that purpose.</w:t>
      </w:r>
    </w:p>
    <w:p w14:paraId="70FB1E6B" w14:textId="77777777" w:rsidR="0012344D" w:rsidRPr="00A17ED1" w:rsidRDefault="0012344D" w:rsidP="009B29CF">
      <w:pPr>
        <w:pStyle w:val="GG-body"/>
        <w:numPr>
          <w:ilvl w:val="2"/>
          <w:numId w:val="104"/>
        </w:numPr>
        <w:ind w:left="1418" w:hanging="620"/>
      </w:pPr>
      <w:r w:rsidRPr="00A17ED1">
        <w:t>The relevant authority will ensure that Judges, Court Officers and Statutory Officers are insured (which may be pursuant to Government “self-insurance”) in respect of compulsory third party liability, third party property damage and any property damage to the vehicle and will hold the Judge, Court Officer, or Statutory Officer harmless in respect of any such property damage.  Personal items within the vehicle need not be covered.  The Judge, Court Officer, or Statutory Officer must comply with any requirements of the insurance policy of which the member is aware or should have been aware.</w:t>
      </w:r>
    </w:p>
    <w:p w14:paraId="6CCAD239" w14:textId="77777777" w:rsidR="0012344D" w:rsidRPr="00A17ED1" w:rsidRDefault="0012344D" w:rsidP="009B29CF">
      <w:pPr>
        <w:pStyle w:val="GG-body"/>
        <w:numPr>
          <w:ilvl w:val="2"/>
          <w:numId w:val="104"/>
        </w:numPr>
        <w:ind w:left="1418" w:hanging="620"/>
      </w:pPr>
      <w:r w:rsidRPr="00A17ED1">
        <w:t>The Judge, Court Officer or Statutory Officer will be responsible for any driving or parking fines for offences incurred.</w:t>
      </w:r>
    </w:p>
    <w:p w14:paraId="3BEFCF84" w14:textId="77777777" w:rsidR="0012344D" w:rsidRPr="00A17ED1" w:rsidRDefault="0012344D" w:rsidP="009B29CF">
      <w:pPr>
        <w:pStyle w:val="GG-body"/>
        <w:numPr>
          <w:ilvl w:val="2"/>
          <w:numId w:val="104"/>
        </w:numPr>
        <w:ind w:left="1418" w:hanging="620"/>
      </w:pPr>
      <w:r w:rsidRPr="00A17ED1">
        <w:t>The vehicle is available to the Judge, Court Officer or Statutory Officer while on leave.  Where the Judge, Court Officer or Statutory Officer is absent from duty for a period greater than 7 days then the Judge, Court Officer, or Statutory Officer will be responsible for fuelling the vehicle until returning to duty.</w:t>
      </w:r>
    </w:p>
    <w:p w14:paraId="79F8C9B3" w14:textId="77777777" w:rsidR="0012344D" w:rsidRPr="00A17ED1" w:rsidRDefault="0012344D" w:rsidP="009B29CF">
      <w:pPr>
        <w:pStyle w:val="GG-body"/>
        <w:numPr>
          <w:ilvl w:val="2"/>
          <w:numId w:val="104"/>
        </w:numPr>
        <w:ind w:left="1418" w:hanging="620"/>
      </w:pPr>
      <w:r w:rsidRPr="00A17ED1">
        <w:t>Vehicles may be driven interstate during periods of leave and there is no limit to privately travelled kilometres.  Fuel charges for private interstate trips are entirely the personal responsibility of the Judge, Court Officer, or Statutory Officer.</w:t>
      </w:r>
    </w:p>
    <w:p w14:paraId="585ED48F" w14:textId="77777777" w:rsidR="0012344D" w:rsidRPr="00A17ED1" w:rsidRDefault="0012344D" w:rsidP="009B29CF">
      <w:pPr>
        <w:pStyle w:val="GG-body"/>
        <w:numPr>
          <w:ilvl w:val="1"/>
          <w:numId w:val="104"/>
        </w:numPr>
        <w:rPr>
          <w:b/>
          <w:bCs/>
        </w:rPr>
      </w:pPr>
      <w:r w:rsidRPr="00A17ED1">
        <w:rPr>
          <w:b/>
          <w:bCs/>
        </w:rPr>
        <w:t>Special Conditions of Use</w:t>
      </w:r>
    </w:p>
    <w:p w14:paraId="490D4798" w14:textId="77777777" w:rsidR="0012344D" w:rsidRPr="00A17ED1" w:rsidRDefault="0012344D" w:rsidP="0012344D">
      <w:pPr>
        <w:ind w:left="812"/>
        <w:jc w:val="left"/>
        <w:rPr>
          <w:rFonts w:eastAsia="Times New Roman"/>
          <w:szCs w:val="17"/>
        </w:rPr>
      </w:pPr>
      <w:r w:rsidRPr="00A17ED1">
        <w:rPr>
          <w:rFonts w:eastAsia="Times New Roman"/>
          <w:szCs w:val="17"/>
        </w:rPr>
        <w:t>Notwithstanding anything else in this Determination:</w:t>
      </w:r>
    </w:p>
    <w:p w14:paraId="1D805D4D" w14:textId="77777777" w:rsidR="0012344D" w:rsidRPr="00A17ED1" w:rsidRDefault="0012344D" w:rsidP="009B29CF">
      <w:pPr>
        <w:pStyle w:val="GG-body"/>
        <w:numPr>
          <w:ilvl w:val="2"/>
          <w:numId w:val="104"/>
        </w:numPr>
        <w:ind w:left="1418" w:hanging="620"/>
      </w:pPr>
      <w:r w:rsidRPr="00A17ED1">
        <w:t>where any damage is the result of a wilful or deliberate act of any person, the relevant authority may take such action as he or she thinks fit to recover the cost of such damage;</w:t>
      </w:r>
    </w:p>
    <w:p w14:paraId="60880699" w14:textId="77777777" w:rsidR="0012344D" w:rsidRPr="00A17ED1" w:rsidRDefault="0012344D" w:rsidP="009B29CF">
      <w:pPr>
        <w:pStyle w:val="GG-body"/>
        <w:numPr>
          <w:ilvl w:val="2"/>
          <w:numId w:val="104"/>
        </w:numPr>
        <w:ind w:left="1418" w:hanging="620"/>
      </w:pPr>
      <w:r w:rsidRPr="00A17ED1">
        <w:t>the insurance and discharges are not applicable if the driver is under the influence of drugs and/or alcohol;</w:t>
      </w:r>
    </w:p>
    <w:p w14:paraId="5D71FB30" w14:textId="77777777" w:rsidR="0012344D" w:rsidRPr="00A17ED1" w:rsidRDefault="0012344D" w:rsidP="009B29CF">
      <w:pPr>
        <w:pStyle w:val="GG-body"/>
        <w:numPr>
          <w:ilvl w:val="2"/>
          <w:numId w:val="104"/>
        </w:numPr>
        <w:ind w:left="1418" w:hanging="620"/>
      </w:pPr>
      <w:r w:rsidRPr="00A17ED1">
        <w:t>the insurance and discharges are not applicable if the insurance has been brought to the attention of the Judge, Court Officer or Statutory Officer and is avoided by an action of the driver of the vehicle; and</w:t>
      </w:r>
    </w:p>
    <w:p w14:paraId="78BE57F2" w14:textId="77777777" w:rsidR="0012344D" w:rsidRPr="00A17ED1" w:rsidRDefault="0012344D" w:rsidP="009B29CF">
      <w:pPr>
        <w:pStyle w:val="GG-body"/>
        <w:numPr>
          <w:ilvl w:val="2"/>
          <w:numId w:val="104"/>
        </w:numPr>
        <w:ind w:left="1418" w:hanging="620"/>
      </w:pPr>
      <w:r w:rsidRPr="00A17ED1">
        <w:t>where the insurance policy contains an excess clause, then the Judge, Court Officer or Statutory Officer will be liable to repay the relevant authority the amount of that excess (or any part thereof) in the event that it becomes payable by reason of the driver of the vehicle being blameworthy for any of the damage giving rise to a claim on the policy when the vehicle is being used other than for official use.</w:t>
      </w:r>
    </w:p>
    <w:p w14:paraId="3940D441" w14:textId="77777777" w:rsidR="0012344D" w:rsidRPr="00A17ED1" w:rsidRDefault="0012344D" w:rsidP="009B29CF">
      <w:pPr>
        <w:pStyle w:val="GG-body"/>
        <w:numPr>
          <w:ilvl w:val="1"/>
          <w:numId w:val="104"/>
        </w:numPr>
        <w:rPr>
          <w:b/>
          <w:bCs/>
        </w:rPr>
      </w:pPr>
      <w:bookmarkStart w:id="77" w:name="_Ref436201076"/>
      <w:r w:rsidRPr="00A17ED1">
        <w:rPr>
          <w:b/>
          <w:bCs/>
        </w:rPr>
        <w:t>Care of Vehicle</w:t>
      </w:r>
      <w:bookmarkEnd w:id="77"/>
    </w:p>
    <w:p w14:paraId="071B867A" w14:textId="77777777" w:rsidR="0012344D" w:rsidRPr="00A17ED1" w:rsidRDefault="0012344D" w:rsidP="0012344D">
      <w:pPr>
        <w:ind w:left="812"/>
        <w:jc w:val="left"/>
        <w:rPr>
          <w:rFonts w:eastAsia="Times New Roman"/>
          <w:szCs w:val="17"/>
        </w:rPr>
      </w:pPr>
      <w:r w:rsidRPr="00A17ED1">
        <w:rPr>
          <w:rFonts w:eastAsia="Times New Roman"/>
          <w:szCs w:val="17"/>
        </w:rPr>
        <w:t>The Judge, Court Officer or Statutory Officer is responsible for ensuring that reasonable care is taken of the vehicle.  Off street parking at the home of the person concerned is to be used if available and reasonable steps are to be taken to ensure its security.  Where any damage to a vehicle supplied to a:</w:t>
      </w:r>
    </w:p>
    <w:p w14:paraId="4602A706" w14:textId="77777777" w:rsidR="0012344D" w:rsidRPr="00A17ED1" w:rsidRDefault="0012344D" w:rsidP="009B29CF">
      <w:pPr>
        <w:pStyle w:val="GG-body"/>
        <w:numPr>
          <w:ilvl w:val="2"/>
          <w:numId w:val="104"/>
        </w:numPr>
        <w:spacing w:after="70"/>
        <w:ind w:left="1418" w:hanging="620"/>
      </w:pPr>
      <w:r w:rsidRPr="00A17ED1">
        <w:t>Judge or Court Officer is, in the opinion of the Courts Administration Council, the consequence of a serious breach of the obligations imposed by this clause, the Judge, or Court Officer must, on demand, pay the Courts Administration Authority the proper cost of rectification of such damage;</w:t>
      </w:r>
    </w:p>
    <w:p w14:paraId="6ECE6D90" w14:textId="77777777" w:rsidR="0012344D" w:rsidRPr="00A17ED1" w:rsidRDefault="0012344D" w:rsidP="009B29CF">
      <w:pPr>
        <w:pStyle w:val="GG-body"/>
        <w:numPr>
          <w:ilvl w:val="2"/>
          <w:numId w:val="104"/>
        </w:numPr>
        <w:spacing w:after="70"/>
        <w:ind w:left="1418" w:hanging="620"/>
      </w:pPr>
      <w:r w:rsidRPr="00A17ED1">
        <w:t>Statutory Officer is, in the opinion of the Director, Fleet SA, the consequence of a serious breach of the obligations imposed by this clause, the Statutory Officer concerned must, on demand, pay to Fleet SA the proper cost of rectification of such damage; and</w:t>
      </w:r>
    </w:p>
    <w:p w14:paraId="004E2C18" w14:textId="77777777" w:rsidR="0012344D" w:rsidRPr="00A17ED1" w:rsidRDefault="0012344D" w:rsidP="009B29CF">
      <w:pPr>
        <w:pStyle w:val="GG-body"/>
        <w:numPr>
          <w:ilvl w:val="2"/>
          <w:numId w:val="104"/>
        </w:numPr>
        <w:spacing w:after="70"/>
        <w:ind w:left="1418" w:hanging="620"/>
      </w:pPr>
      <w:r w:rsidRPr="00A17ED1">
        <w:t>Presidential member of the South Australian Employment Tribunal is, in the opinion of the Registrar, the consequence of a serious breach of the obligations imposed by this clause, the Member concerned must, on demand, pay to the Tribunal the proper cost of rectification of such damage.</w:t>
      </w:r>
    </w:p>
    <w:p w14:paraId="51FE5515" w14:textId="77777777" w:rsidR="0012344D" w:rsidRPr="00A17ED1" w:rsidRDefault="0012344D" w:rsidP="009B29CF">
      <w:pPr>
        <w:pStyle w:val="GG-body"/>
        <w:numPr>
          <w:ilvl w:val="1"/>
          <w:numId w:val="104"/>
        </w:numPr>
        <w:spacing w:after="70"/>
        <w:rPr>
          <w:b/>
          <w:bCs/>
        </w:rPr>
      </w:pPr>
      <w:r w:rsidRPr="00A17ED1">
        <w:rPr>
          <w:b/>
          <w:bCs/>
        </w:rPr>
        <w:t>Additional Drivers</w:t>
      </w:r>
    </w:p>
    <w:p w14:paraId="2512E198" w14:textId="77777777" w:rsidR="0012344D" w:rsidRPr="00A17ED1" w:rsidRDefault="0012344D" w:rsidP="0012344D">
      <w:pPr>
        <w:spacing w:after="70"/>
        <w:ind w:left="812"/>
        <w:jc w:val="left"/>
        <w:rPr>
          <w:rFonts w:eastAsia="Times New Roman"/>
          <w:szCs w:val="17"/>
        </w:rPr>
      </w:pPr>
      <w:r w:rsidRPr="00A17ED1">
        <w:rPr>
          <w:rFonts w:eastAsia="Times New Roman"/>
          <w:szCs w:val="17"/>
        </w:rPr>
        <w:t>The vehicle may be driven by any other Government employee who requires the vehicle for official use.</w:t>
      </w:r>
    </w:p>
    <w:p w14:paraId="606559B6" w14:textId="77777777" w:rsidR="0012344D" w:rsidRPr="00A17ED1" w:rsidRDefault="0012344D" w:rsidP="0012344D">
      <w:pPr>
        <w:spacing w:after="70"/>
        <w:ind w:left="812"/>
        <w:jc w:val="left"/>
        <w:rPr>
          <w:rFonts w:eastAsia="Times New Roman"/>
          <w:szCs w:val="17"/>
        </w:rPr>
      </w:pPr>
      <w:r w:rsidRPr="00A17ED1">
        <w:rPr>
          <w:rFonts w:eastAsia="Times New Roman"/>
          <w:szCs w:val="17"/>
        </w:rPr>
        <w:t>Judges, Court Officers, and Statutory Officers, must nominate to the relevant authority the names of any persons to use the vehicle at times when it is not required to be available for official use and, subject to the control and direction of the Judge, Court Officer or Statutory Officer, such persons will be authorised to use the vehicle upon such nomination.</w:t>
      </w:r>
    </w:p>
    <w:p w14:paraId="47F1B1EC" w14:textId="77777777" w:rsidR="007F7570" w:rsidRDefault="0012344D" w:rsidP="007F7570">
      <w:pPr>
        <w:spacing w:after="70"/>
        <w:ind w:left="812"/>
        <w:jc w:val="left"/>
        <w:rPr>
          <w:b/>
          <w:bCs/>
        </w:rPr>
      </w:pPr>
      <w:r w:rsidRPr="00A17ED1">
        <w:rPr>
          <w:rFonts w:eastAsia="Times New Roman"/>
          <w:szCs w:val="17"/>
        </w:rPr>
        <w:lastRenderedPageBreak/>
        <w:t>Approval is required from the relevant authority for the vehicle to be driven by holders of any form of provisional licence or learner’s permit.  Approval is also required if any other category of person not otherwise mentioned, is to drive the vehicle.</w:t>
      </w:r>
    </w:p>
    <w:p w14:paraId="58197BFE" w14:textId="6921922D" w:rsidR="0012344D" w:rsidRPr="007F7570" w:rsidRDefault="0012344D" w:rsidP="009B29CF">
      <w:pPr>
        <w:pStyle w:val="GG-body"/>
        <w:numPr>
          <w:ilvl w:val="1"/>
          <w:numId w:val="104"/>
        </w:numPr>
        <w:spacing w:after="70"/>
        <w:rPr>
          <w:b/>
          <w:bCs/>
        </w:rPr>
      </w:pPr>
      <w:r w:rsidRPr="007F7570">
        <w:rPr>
          <w:b/>
          <w:bCs/>
        </w:rPr>
        <w:t>Right to Purchase</w:t>
      </w:r>
    </w:p>
    <w:p w14:paraId="64B69E21" w14:textId="77777777" w:rsidR="0012344D" w:rsidRPr="00A17ED1" w:rsidRDefault="0012344D" w:rsidP="0012344D">
      <w:pPr>
        <w:spacing w:after="70"/>
        <w:ind w:left="812"/>
        <w:jc w:val="left"/>
        <w:rPr>
          <w:rFonts w:eastAsia="Times New Roman"/>
          <w:szCs w:val="17"/>
        </w:rPr>
      </w:pPr>
      <w:r w:rsidRPr="00A17ED1">
        <w:rPr>
          <w:rFonts w:eastAsia="Times New Roman"/>
          <w:szCs w:val="17"/>
        </w:rPr>
        <w:t>At any time during the 12 months immediately preceding the date of his or her retirement or resignation, a Judge, Court Officer, or Statutory Officer may, by notice in writing to the relevant authority, elect to purchase the vehicle then allocated to him or her as at the date of his or her retirement or resignation or at the end of the lease period. After such notification has been given, the relevant authority must take such steps as are necessary to ensure that it can sell the vehicle to the member.</w:t>
      </w:r>
    </w:p>
    <w:p w14:paraId="4CDD568B" w14:textId="77777777" w:rsidR="0012344D" w:rsidRPr="00A17ED1" w:rsidRDefault="0012344D" w:rsidP="009B29CF">
      <w:pPr>
        <w:pStyle w:val="GG-body"/>
        <w:numPr>
          <w:ilvl w:val="1"/>
          <w:numId w:val="104"/>
        </w:numPr>
        <w:spacing w:after="70"/>
        <w:rPr>
          <w:b/>
          <w:bCs/>
        </w:rPr>
      </w:pPr>
      <w:r w:rsidRPr="00A17ED1">
        <w:rPr>
          <w:b/>
          <w:bCs/>
        </w:rPr>
        <w:t>No Changeover</w:t>
      </w:r>
    </w:p>
    <w:p w14:paraId="624DE451" w14:textId="77777777" w:rsidR="0012344D" w:rsidRPr="00A17ED1" w:rsidRDefault="0012344D" w:rsidP="0012344D">
      <w:pPr>
        <w:spacing w:after="70"/>
        <w:ind w:left="812"/>
        <w:jc w:val="left"/>
        <w:rPr>
          <w:rFonts w:eastAsia="Times New Roman"/>
          <w:szCs w:val="17"/>
        </w:rPr>
      </w:pPr>
      <w:r w:rsidRPr="00A17ED1">
        <w:rPr>
          <w:rFonts w:eastAsia="Times New Roman"/>
          <w:szCs w:val="17"/>
        </w:rPr>
        <w:t>A Judge, Court Officer or Statutory Officer who makes an election under clause 3.12 shall not be permitted or required to hand a vehicle in for normally scheduled changeover where that changeover would occur between the date of election and the date of retirement/resignation/end of lease period.</w:t>
      </w:r>
    </w:p>
    <w:p w14:paraId="613CDEC0" w14:textId="77777777" w:rsidR="0012344D" w:rsidRPr="00A17ED1" w:rsidRDefault="0012344D" w:rsidP="009B29CF">
      <w:pPr>
        <w:pStyle w:val="GG-body"/>
        <w:numPr>
          <w:ilvl w:val="1"/>
          <w:numId w:val="104"/>
        </w:numPr>
        <w:spacing w:after="70"/>
        <w:rPr>
          <w:b/>
          <w:bCs/>
        </w:rPr>
      </w:pPr>
      <w:r w:rsidRPr="00A17ED1">
        <w:rPr>
          <w:b/>
          <w:bCs/>
        </w:rPr>
        <w:t>Conditions of Purchase</w:t>
      </w:r>
    </w:p>
    <w:p w14:paraId="773A5818" w14:textId="77777777" w:rsidR="0012344D" w:rsidRPr="00A17ED1" w:rsidRDefault="0012344D" w:rsidP="0012344D">
      <w:pPr>
        <w:spacing w:after="70"/>
        <w:ind w:left="798"/>
        <w:jc w:val="left"/>
        <w:rPr>
          <w:rFonts w:eastAsia="Times New Roman"/>
          <w:szCs w:val="17"/>
        </w:rPr>
      </w:pPr>
      <w:r w:rsidRPr="00A17ED1">
        <w:rPr>
          <w:rFonts w:eastAsia="Times New Roman"/>
          <w:szCs w:val="17"/>
        </w:rPr>
        <w:t>The conditions in relation to a purchase made following an election under clause 3.12 shall be:</w:t>
      </w:r>
    </w:p>
    <w:p w14:paraId="14528396" w14:textId="77777777" w:rsidR="0012344D" w:rsidRPr="00A17ED1" w:rsidRDefault="0012344D" w:rsidP="009B29CF">
      <w:pPr>
        <w:pStyle w:val="GG-body"/>
        <w:numPr>
          <w:ilvl w:val="2"/>
          <w:numId w:val="104"/>
        </w:numPr>
        <w:spacing w:after="70"/>
        <w:ind w:left="1418" w:hanging="620"/>
      </w:pPr>
      <w:r w:rsidRPr="00A17ED1">
        <w:t>The price will be the fair market value for such a vehicle sold without any statutory warranty.</w:t>
      </w:r>
    </w:p>
    <w:p w14:paraId="3C8ED680" w14:textId="77777777" w:rsidR="0012344D" w:rsidRPr="00A17ED1" w:rsidRDefault="0012344D" w:rsidP="009B29CF">
      <w:pPr>
        <w:pStyle w:val="GG-body"/>
        <w:numPr>
          <w:ilvl w:val="2"/>
          <w:numId w:val="104"/>
        </w:numPr>
        <w:spacing w:after="70"/>
        <w:ind w:left="1418" w:hanging="620"/>
      </w:pPr>
      <w:r w:rsidRPr="00A17ED1">
        <w:t>The price will be agreed between the Director, Fleet SA, and the Judge, Court Officer or Statutory Officer, due regard being had to prices generally recovered for such vehicles at Fleet SA public auctions.</w:t>
      </w:r>
    </w:p>
    <w:p w14:paraId="4EC7D181" w14:textId="77777777" w:rsidR="0012344D" w:rsidRPr="00A17ED1" w:rsidRDefault="0012344D" w:rsidP="009B29CF">
      <w:pPr>
        <w:pStyle w:val="GG-body"/>
        <w:numPr>
          <w:ilvl w:val="2"/>
          <w:numId w:val="104"/>
        </w:numPr>
        <w:spacing w:after="70"/>
        <w:ind w:left="1418" w:hanging="620"/>
      </w:pPr>
      <w:r w:rsidRPr="00A17ED1">
        <w:t>Failing such agreement, the price will be determined by an independent valuer agreed by the parties.  Where the prospective retiree/resignee is a:</w:t>
      </w:r>
    </w:p>
    <w:p w14:paraId="62BD1602" w14:textId="77777777" w:rsidR="0012344D" w:rsidRPr="00A17ED1" w:rsidRDefault="0012344D" w:rsidP="0012344D">
      <w:pPr>
        <w:spacing w:after="70"/>
        <w:ind w:left="2268" w:hanging="850"/>
        <w:jc w:val="left"/>
        <w:rPr>
          <w:rFonts w:eastAsia="Times New Roman"/>
          <w:szCs w:val="17"/>
        </w:rPr>
      </w:pPr>
      <w:r w:rsidRPr="00A17ED1">
        <w:rPr>
          <w:rFonts w:eastAsia="Times New Roman"/>
          <w:szCs w:val="17"/>
        </w:rPr>
        <w:t>3.14.3.1.</w:t>
      </w:r>
      <w:r w:rsidRPr="00A17ED1">
        <w:rPr>
          <w:rFonts w:eastAsia="Times New Roman"/>
          <w:szCs w:val="17"/>
        </w:rPr>
        <w:tab/>
        <w:t xml:space="preserve">Judge or Court Officer, any fee payable to such a valuer shall be borne in equal shares by the prospective retiree/resignee and the State Courts Administrator; </w:t>
      </w:r>
    </w:p>
    <w:p w14:paraId="0B0223E5" w14:textId="77777777" w:rsidR="0012344D" w:rsidRPr="00A17ED1" w:rsidRDefault="0012344D" w:rsidP="0012344D">
      <w:pPr>
        <w:spacing w:after="70"/>
        <w:ind w:left="2268" w:hanging="850"/>
        <w:jc w:val="left"/>
        <w:rPr>
          <w:rFonts w:eastAsia="Times New Roman"/>
          <w:szCs w:val="17"/>
        </w:rPr>
      </w:pPr>
      <w:r w:rsidRPr="00A17ED1">
        <w:rPr>
          <w:rFonts w:eastAsia="Times New Roman"/>
          <w:szCs w:val="17"/>
        </w:rPr>
        <w:t>3.14.3.2.</w:t>
      </w:r>
      <w:r w:rsidRPr="00A17ED1">
        <w:rPr>
          <w:rFonts w:eastAsia="Times New Roman"/>
          <w:szCs w:val="17"/>
        </w:rPr>
        <w:tab/>
        <w:t>Statutory Officer, any fee payable to such a valuer shall be borne in equal shares with half payable by the respective retiree/resignee and the other half being payable from funds appropriated to pay expenses associated with the statutory office held by the retiree/resignee; and</w:t>
      </w:r>
    </w:p>
    <w:p w14:paraId="6C27C182" w14:textId="77777777" w:rsidR="0012344D" w:rsidRPr="00A17ED1" w:rsidRDefault="0012344D" w:rsidP="0012344D">
      <w:pPr>
        <w:spacing w:after="70"/>
        <w:ind w:left="2268" w:hanging="850"/>
        <w:jc w:val="left"/>
        <w:rPr>
          <w:rFonts w:eastAsia="Times New Roman"/>
          <w:szCs w:val="17"/>
        </w:rPr>
      </w:pPr>
      <w:r w:rsidRPr="00A17ED1">
        <w:rPr>
          <w:rFonts w:eastAsia="Times New Roman"/>
          <w:szCs w:val="17"/>
        </w:rPr>
        <w:t>3.14.3.3.</w:t>
      </w:r>
      <w:r w:rsidRPr="00A17ED1">
        <w:rPr>
          <w:rFonts w:eastAsia="Times New Roman"/>
          <w:szCs w:val="17"/>
        </w:rPr>
        <w:tab/>
        <w:t>Presidential member of the South Australian Employment Tribunal, any fee payable to such a valuer shall be borne in equal shares by the prospective retiree/resignee and the Registrar.</w:t>
      </w:r>
    </w:p>
    <w:p w14:paraId="4C3796B5" w14:textId="77777777" w:rsidR="0012344D" w:rsidRPr="00A17ED1" w:rsidRDefault="0012344D" w:rsidP="009B29CF">
      <w:pPr>
        <w:pStyle w:val="GG-body"/>
        <w:numPr>
          <w:ilvl w:val="2"/>
          <w:numId w:val="104"/>
        </w:numPr>
        <w:spacing w:after="70"/>
        <w:ind w:left="1418" w:hanging="620"/>
      </w:pPr>
      <w:r w:rsidRPr="00A17ED1">
        <w:t>The price shall be payable in full on, or prior to, the date of retirement/resignation of the Judge, Court Officer or Statutory Officer.</w:t>
      </w:r>
    </w:p>
    <w:p w14:paraId="0B9D689C" w14:textId="77777777" w:rsidR="0012344D" w:rsidRPr="00A17ED1" w:rsidRDefault="0012344D" w:rsidP="009B29CF">
      <w:pPr>
        <w:pStyle w:val="GG-body"/>
        <w:numPr>
          <w:ilvl w:val="0"/>
          <w:numId w:val="104"/>
        </w:numPr>
        <w:rPr>
          <w:b/>
          <w:bCs/>
        </w:rPr>
      </w:pPr>
      <w:r w:rsidRPr="00A17ED1">
        <w:rPr>
          <w:b/>
          <w:bCs/>
        </w:rPr>
        <w:t>DATE OF OPERATION</w:t>
      </w:r>
    </w:p>
    <w:p w14:paraId="30C2EDC2" w14:textId="4703E90A" w:rsidR="0012344D" w:rsidRPr="00A17ED1" w:rsidRDefault="0012344D" w:rsidP="009B29CF">
      <w:pPr>
        <w:pStyle w:val="GG-body"/>
        <w:numPr>
          <w:ilvl w:val="1"/>
          <w:numId w:val="104"/>
        </w:numPr>
      </w:pPr>
      <w:r w:rsidRPr="00A17ED1">
        <w:t>This Determination operates from 1 January 2023. It supersedes Determination 14 of 2021.</w:t>
      </w:r>
    </w:p>
    <w:p w14:paraId="4127F116" w14:textId="77777777" w:rsidR="0012344D" w:rsidRPr="00411561" w:rsidRDefault="0012344D" w:rsidP="009B29CF">
      <w:pPr>
        <w:pStyle w:val="GG-body"/>
        <w:numPr>
          <w:ilvl w:val="1"/>
          <w:numId w:val="104"/>
        </w:numPr>
      </w:pPr>
      <w:r w:rsidRPr="00411561">
        <w:t>If a Judge, Court Officer or Statutory Officer currently has the use of a vehicle pursuant to a previous Determination of the Remuneration Tribunal, the conveyance allowance and annual charge payable under the previous Determination will continue to apply. Clause 2 of this Determination will have no effect until that Judge, Court Officer or Statutory Officer takes delivery of a vehicle pursuant to this Determination, or elects not to receive a vehicle</w:t>
      </w:r>
      <w:r>
        <w:t>.</w:t>
      </w:r>
    </w:p>
    <w:p w14:paraId="3458A904" w14:textId="77777777" w:rsidR="0012344D" w:rsidRPr="00A51192" w:rsidRDefault="0012344D" w:rsidP="0012344D">
      <w:pPr>
        <w:pStyle w:val="GG-SDated"/>
      </w:pPr>
      <w:r>
        <w:t>Dated: 14 December 2022</w:t>
      </w:r>
    </w:p>
    <w:p w14:paraId="4858D7FE" w14:textId="77777777" w:rsidR="0012344D" w:rsidRDefault="0012344D" w:rsidP="0012344D">
      <w:pPr>
        <w:pStyle w:val="GG-SName"/>
      </w:pPr>
      <w:r w:rsidRPr="00A51192">
        <w:t>Matthew O’Callaghan</w:t>
      </w:r>
    </w:p>
    <w:p w14:paraId="13630770" w14:textId="77777777" w:rsidR="0012344D" w:rsidRPr="00A51192" w:rsidRDefault="0012344D" w:rsidP="007F7570">
      <w:pPr>
        <w:pStyle w:val="GG-Signature"/>
        <w:spacing w:after="80"/>
      </w:pPr>
      <w:r w:rsidRPr="00A51192">
        <w:t>President</w:t>
      </w:r>
    </w:p>
    <w:p w14:paraId="59211732" w14:textId="77777777" w:rsidR="0012344D" w:rsidRDefault="0012344D" w:rsidP="0012344D">
      <w:pPr>
        <w:pStyle w:val="GG-SName"/>
      </w:pPr>
      <w:r w:rsidRPr="00A51192">
        <w:t>Deborah Black</w:t>
      </w:r>
    </w:p>
    <w:p w14:paraId="6583CC40" w14:textId="77777777" w:rsidR="0012344D" w:rsidRPr="00A51192" w:rsidRDefault="0012344D" w:rsidP="007F7570">
      <w:pPr>
        <w:pStyle w:val="GG-Signature"/>
        <w:spacing w:after="80"/>
      </w:pPr>
      <w:r w:rsidRPr="00A51192">
        <w:t>Member</w:t>
      </w:r>
    </w:p>
    <w:p w14:paraId="0C3FB375" w14:textId="77777777" w:rsidR="0012344D" w:rsidRPr="00A51192" w:rsidRDefault="0012344D" w:rsidP="0012344D">
      <w:pPr>
        <w:pStyle w:val="GG-SName"/>
      </w:pPr>
      <w:r w:rsidRPr="00A51192">
        <w:t>Peter de Cure AM</w:t>
      </w:r>
    </w:p>
    <w:p w14:paraId="02D43AD1" w14:textId="77777777" w:rsidR="0012344D" w:rsidRDefault="0012344D" w:rsidP="0012344D">
      <w:pPr>
        <w:pStyle w:val="GG-Signature"/>
      </w:pPr>
      <w:r w:rsidRPr="00A51192">
        <w:t>Member</w:t>
      </w:r>
    </w:p>
    <w:p w14:paraId="22E116F4" w14:textId="77777777" w:rsidR="0012344D" w:rsidRDefault="0012344D" w:rsidP="0012344D">
      <w:pPr>
        <w:pStyle w:val="GG-Signature"/>
        <w:pBdr>
          <w:top w:val="single" w:sz="4" w:space="1" w:color="auto"/>
        </w:pBdr>
        <w:spacing w:before="100" w:line="14" w:lineRule="exact"/>
        <w:jc w:val="center"/>
      </w:pPr>
    </w:p>
    <w:p w14:paraId="5A61B413" w14:textId="17132142" w:rsidR="0012344D" w:rsidRDefault="0012344D" w:rsidP="00965F17">
      <w:pPr>
        <w:pStyle w:val="GG-body"/>
        <w:spacing w:after="0"/>
        <w:rPr>
          <w:lang w:val="en-US"/>
        </w:rPr>
      </w:pPr>
    </w:p>
    <w:p w14:paraId="2EF0E536" w14:textId="77777777" w:rsidR="00623058" w:rsidRPr="004F33B9" w:rsidRDefault="00623058" w:rsidP="00623058">
      <w:pPr>
        <w:pStyle w:val="GG-Title1"/>
      </w:pPr>
      <w:r w:rsidRPr="004F33B9">
        <w:t>The Remuneration Tribunal</w:t>
      </w:r>
    </w:p>
    <w:p w14:paraId="6A962800" w14:textId="77777777" w:rsidR="00623058" w:rsidRPr="00A51192" w:rsidRDefault="00623058" w:rsidP="00623058">
      <w:pPr>
        <w:pStyle w:val="GG-Title2"/>
      </w:pPr>
      <w:r w:rsidRPr="00A51192">
        <w:t>Report</w:t>
      </w:r>
      <w:r>
        <w:t>—</w:t>
      </w:r>
      <w:r w:rsidRPr="00A51192">
        <w:t>No.</w:t>
      </w:r>
      <w:r>
        <w:t xml:space="preserve"> 10</w:t>
      </w:r>
      <w:r w:rsidRPr="00A51192">
        <w:t xml:space="preserve"> </w:t>
      </w:r>
      <w:r>
        <w:t>o</w:t>
      </w:r>
      <w:r w:rsidRPr="00A51192">
        <w:t>f 2022</w:t>
      </w:r>
    </w:p>
    <w:p w14:paraId="1D896A9C" w14:textId="77777777" w:rsidR="00623058" w:rsidRDefault="00623058" w:rsidP="00623058">
      <w:pPr>
        <w:pStyle w:val="GG-Title3"/>
      </w:pPr>
      <w:r w:rsidRPr="00BC4586">
        <w:t xml:space="preserve">2022 Review of Salary Sacrifice Arrangements for Judges, Court Officers and Statutory Officers </w:t>
      </w:r>
    </w:p>
    <w:p w14:paraId="3BCB97A6" w14:textId="77777777" w:rsidR="00623058" w:rsidRPr="00BC4586" w:rsidRDefault="00623058" w:rsidP="00623058">
      <w:pPr>
        <w:pStyle w:val="GG-Title3"/>
        <w:jc w:val="left"/>
        <w:rPr>
          <w:b/>
          <w:bCs/>
          <w:i w:val="0"/>
          <w:iCs/>
          <w:smallCaps/>
        </w:rPr>
      </w:pPr>
      <w:r w:rsidRPr="00BC4586">
        <w:rPr>
          <w:b/>
          <w:bCs/>
          <w:i w:val="0"/>
          <w:iCs/>
          <w:smallCaps/>
        </w:rPr>
        <w:t>Report</w:t>
      </w:r>
    </w:p>
    <w:p w14:paraId="0C857EE5" w14:textId="77777777" w:rsidR="00623058" w:rsidRPr="00E52685" w:rsidRDefault="00623058" w:rsidP="00623058">
      <w:pPr>
        <w:jc w:val="left"/>
        <w:rPr>
          <w:b/>
          <w:bCs/>
          <w:szCs w:val="17"/>
        </w:rPr>
      </w:pPr>
      <w:r w:rsidRPr="00E52685">
        <w:rPr>
          <w:b/>
          <w:bCs/>
          <w:szCs w:val="17"/>
        </w:rPr>
        <w:t>INTRODUCTION</w:t>
      </w:r>
    </w:p>
    <w:p w14:paraId="7861C485" w14:textId="77777777" w:rsidR="00623058" w:rsidRPr="00BC4586" w:rsidRDefault="00623058" w:rsidP="009B29CF">
      <w:pPr>
        <w:pStyle w:val="ListParagraph"/>
        <w:numPr>
          <w:ilvl w:val="0"/>
          <w:numId w:val="114"/>
        </w:numPr>
        <w:contextualSpacing w:val="0"/>
        <w:rPr>
          <w:szCs w:val="17"/>
        </w:rPr>
      </w:pPr>
      <w:r w:rsidRPr="008D36B1">
        <w:rPr>
          <w:szCs w:val="17"/>
        </w:rPr>
        <w:t>The Remuneration Tribunal (</w:t>
      </w:r>
      <w:r w:rsidRPr="008D36B1">
        <w:rPr>
          <w:b/>
          <w:bCs/>
          <w:szCs w:val="17"/>
        </w:rPr>
        <w:t>Tribunal</w:t>
      </w:r>
      <w:r w:rsidRPr="008D36B1">
        <w:rPr>
          <w:szCs w:val="17"/>
        </w:rPr>
        <w:t xml:space="preserve">) has conducted a review of Determination </w:t>
      </w:r>
      <w:r>
        <w:rPr>
          <w:szCs w:val="17"/>
        </w:rPr>
        <w:t>16</w:t>
      </w:r>
      <w:r w:rsidRPr="008D36B1">
        <w:rPr>
          <w:szCs w:val="17"/>
        </w:rPr>
        <w:t xml:space="preserve"> of 2021</w:t>
      </w:r>
      <w:r w:rsidRPr="00A82593">
        <w:rPr>
          <w:szCs w:val="17"/>
          <w:vertAlign w:val="superscript"/>
        </w:rPr>
        <w:t>1</w:t>
      </w:r>
      <w:r w:rsidRPr="008D36B1">
        <w:rPr>
          <w:szCs w:val="17"/>
        </w:rPr>
        <w:t xml:space="preserve"> </w:t>
      </w:r>
      <w:r w:rsidRPr="00BC4586">
        <w:rPr>
          <w:szCs w:val="17"/>
        </w:rPr>
        <w:t>which provides for salary sacrifice arrangements for Judges, Court Officers and Statutory Officers covered by the determination.</w:t>
      </w:r>
    </w:p>
    <w:p w14:paraId="59BD1E65" w14:textId="77777777" w:rsidR="00623058" w:rsidRDefault="00623058" w:rsidP="009B29CF">
      <w:pPr>
        <w:pStyle w:val="ListParagraph"/>
        <w:numPr>
          <w:ilvl w:val="0"/>
          <w:numId w:val="114"/>
        </w:numPr>
        <w:contextualSpacing w:val="0"/>
        <w:rPr>
          <w:szCs w:val="17"/>
        </w:rPr>
      </w:pPr>
      <w:r w:rsidRPr="00BC4586">
        <w:rPr>
          <w:szCs w:val="17"/>
        </w:rPr>
        <w:t>As explained in this report, the Tribunal has decided that some minor changes are required to the determination to accommodate new superannuation fund selection laws</w:t>
      </w:r>
      <w:r>
        <w:rPr>
          <w:szCs w:val="17"/>
        </w:rPr>
        <w:t>.</w:t>
      </w:r>
      <w:r w:rsidRPr="008D36B1">
        <w:rPr>
          <w:szCs w:val="17"/>
        </w:rPr>
        <w:t xml:space="preserve"> </w:t>
      </w:r>
    </w:p>
    <w:p w14:paraId="4744011A" w14:textId="77777777" w:rsidR="00623058" w:rsidRDefault="00623058" w:rsidP="00623058">
      <w:pPr>
        <w:pStyle w:val="GG-body"/>
      </w:pPr>
      <w:r>
        <w:rPr>
          <w:noProof/>
        </w:rPr>
        <mc:AlternateContent>
          <mc:Choice Requires="wps">
            <w:drawing>
              <wp:anchor distT="0" distB="0" distL="114300" distR="114300" simplePos="0" relativeHeight="251670528" behindDoc="0" locked="0" layoutInCell="1" allowOverlap="1" wp14:anchorId="03E47A0D" wp14:editId="6F2AEE28">
                <wp:simplePos x="0" y="0"/>
                <wp:positionH relativeFrom="column">
                  <wp:posOffset>9525</wp:posOffset>
                </wp:positionH>
                <wp:positionV relativeFrom="paragraph">
                  <wp:posOffset>55880</wp:posOffset>
                </wp:positionV>
                <wp:extent cx="1708220"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08658" id="Straight Connector 1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16EB1851" w14:textId="77777777" w:rsidR="00623058" w:rsidRPr="00A51192" w:rsidRDefault="00623058" w:rsidP="00623058">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BC4586">
        <w:rPr>
          <w:rFonts w:ascii="Times New Roman" w:hAnsi="Times New Roman" w:cs="Times New Roman"/>
          <w:sz w:val="16"/>
          <w:szCs w:val="16"/>
          <w:lang w:val="en-AU"/>
        </w:rPr>
        <w:t>Salary Sacrifice Arrangements for Judges, Court Officers and Statutory Officers</w:t>
      </w:r>
      <w:r w:rsidRPr="00A51192">
        <w:rPr>
          <w:rFonts w:ascii="Times New Roman" w:hAnsi="Times New Roman" w:cs="Times New Roman"/>
          <w:sz w:val="16"/>
          <w:szCs w:val="16"/>
          <w:lang w:val="en-AU"/>
        </w:rPr>
        <w:t>.</w:t>
      </w:r>
    </w:p>
    <w:p w14:paraId="5410950B" w14:textId="77777777" w:rsidR="00623058" w:rsidRPr="00E52685" w:rsidRDefault="00623058" w:rsidP="00623058">
      <w:pPr>
        <w:jc w:val="left"/>
        <w:rPr>
          <w:b/>
          <w:bCs/>
          <w:szCs w:val="17"/>
        </w:rPr>
      </w:pPr>
      <w:r w:rsidRPr="00E52685">
        <w:rPr>
          <w:b/>
          <w:bCs/>
          <w:szCs w:val="17"/>
        </w:rPr>
        <w:t>THE REVIEW PROCESS</w:t>
      </w:r>
    </w:p>
    <w:p w14:paraId="1B32BAFD" w14:textId="77777777" w:rsidR="00623058" w:rsidRPr="00721519" w:rsidRDefault="00623058" w:rsidP="009B29CF">
      <w:pPr>
        <w:pStyle w:val="ListParagraph"/>
        <w:numPr>
          <w:ilvl w:val="0"/>
          <w:numId w:val="114"/>
        </w:numPr>
        <w:contextualSpacing w:val="0"/>
        <w:rPr>
          <w:szCs w:val="17"/>
        </w:rPr>
      </w:pPr>
      <w:r w:rsidRPr="00721519">
        <w:rPr>
          <w:szCs w:val="17"/>
        </w:rPr>
        <w:t>On 20 September 2022, in accordance with sections 10(2) and 10(4) of the Act, the Tribunal wrote to and invited submissions by 17 October 2022 in respect of this review and the associated application from:</w:t>
      </w:r>
    </w:p>
    <w:p w14:paraId="043C3649" w14:textId="77777777" w:rsidR="00623058" w:rsidRPr="00721519" w:rsidRDefault="00623058" w:rsidP="009B29CF">
      <w:pPr>
        <w:pStyle w:val="ListParagraph"/>
        <w:numPr>
          <w:ilvl w:val="1"/>
          <w:numId w:val="114"/>
        </w:numPr>
        <w:spacing w:after="0"/>
        <w:ind w:left="714" w:hanging="357"/>
        <w:contextualSpacing w:val="0"/>
        <w:rPr>
          <w:szCs w:val="17"/>
        </w:rPr>
      </w:pPr>
      <w:r w:rsidRPr="00721519">
        <w:rPr>
          <w:szCs w:val="17"/>
        </w:rPr>
        <w:t>the Honourable Premier of South Australia – as the Minister responsible for the Act who may make submissions or introduce evidence in the public interest</w:t>
      </w:r>
    </w:p>
    <w:p w14:paraId="14FB2EBE" w14:textId="77777777" w:rsidR="00623058" w:rsidRPr="00721519" w:rsidRDefault="00623058" w:rsidP="009B29CF">
      <w:pPr>
        <w:pStyle w:val="ListParagraph"/>
        <w:numPr>
          <w:ilvl w:val="1"/>
          <w:numId w:val="114"/>
        </w:numPr>
        <w:spacing w:after="0"/>
        <w:ind w:left="714" w:hanging="357"/>
        <w:contextualSpacing w:val="0"/>
        <w:rPr>
          <w:szCs w:val="17"/>
        </w:rPr>
      </w:pPr>
      <w:r w:rsidRPr="00FF1728">
        <w:rPr>
          <w:szCs w:val="17"/>
        </w:rPr>
        <w:t>the Judicial Remuneration Coordinating Committee (</w:t>
      </w:r>
      <w:r w:rsidRPr="00FF1728">
        <w:rPr>
          <w:b/>
          <w:bCs/>
          <w:szCs w:val="17"/>
        </w:rPr>
        <w:t>JRCC</w:t>
      </w:r>
      <w:r w:rsidRPr="00FF1728">
        <w:rPr>
          <w:szCs w:val="17"/>
        </w:rPr>
        <w:t>)</w:t>
      </w:r>
    </w:p>
    <w:p w14:paraId="033CE68D" w14:textId="77777777" w:rsidR="00623058" w:rsidRPr="00721519" w:rsidRDefault="00623058" w:rsidP="009B29CF">
      <w:pPr>
        <w:pStyle w:val="ListParagraph"/>
        <w:numPr>
          <w:ilvl w:val="1"/>
          <w:numId w:val="114"/>
        </w:numPr>
        <w:contextualSpacing w:val="0"/>
        <w:rPr>
          <w:szCs w:val="17"/>
        </w:rPr>
      </w:pPr>
      <w:r w:rsidRPr="00721519">
        <w:rPr>
          <w:szCs w:val="17"/>
        </w:rPr>
        <w:t>members of the judiciary and relevant office holders</w:t>
      </w:r>
    </w:p>
    <w:p w14:paraId="52655330" w14:textId="77777777" w:rsidR="00623058" w:rsidRPr="00721519" w:rsidRDefault="00623058" w:rsidP="009B29CF">
      <w:pPr>
        <w:pStyle w:val="ListParagraph"/>
        <w:numPr>
          <w:ilvl w:val="0"/>
          <w:numId w:val="114"/>
        </w:numPr>
        <w:contextualSpacing w:val="0"/>
        <w:rPr>
          <w:szCs w:val="17"/>
        </w:rPr>
      </w:pPr>
      <w:r w:rsidRPr="00721519">
        <w:rPr>
          <w:szCs w:val="17"/>
        </w:rPr>
        <w:t>The Tribunal also placed a notice on its website from 20 September 2022 calling for submissions from affected persons by 17 October 2022.</w:t>
      </w:r>
    </w:p>
    <w:p w14:paraId="1435397A" w14:textId="77777777" w:rsidR="00623058" w:rsidRPr="00721519" w:rsidRDefault="00623058" w:rsidP="009B29CF">
      <w:pPr>
        <w:pStyle w:val="ListParagraph"/>
        <w:numPr>
          <w:ilvl w:val="0"/>
          <w:numId w:val="114"/>
        </w:numPr>
        <w:contextualSpacing w:val="0"/>
        <w:rPr>
          <w:szCs w:val="17"/>
        </w:rPr>
      </w:pPr>
      <w:r w:rsidRPr="00721519">
        <w:rPr>
          <w:szCs w:val="17"/>
        </w:rPr>
        <w:t>The JRCC provided a written submission on 17 October 2022, on behalf of:</w:t>
      </w:r>
    </w:p>
    <w:p w14:paraId="58EAAA0D"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t xml:space="preserve">the Chief Justice, Judges of Appeal, Judges and Masters of the Supreme Court </w:t>
      </w:r>
    </w:p>
    <w:p w14:paraId="3D8A9F6C"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t xml:space="preserve">the Chief Judge, Judges and Masters of the District Court </w:t>
      </w:r>
    </w:p>
    <w:p w14:paraId="0A12BEE4"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t>the Judges and Magistrates of the South Australian Employment Tribunal</w:t>
      </w:r>
    </w:p>
    <w:p w14:paraId="0C31DD57"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lastRenderedPageBreak/>
        <w:t>the Chief Magistrate and the Magistrates of the Magistrates Court</w:t>
      </w:r>
    </w:p>
    <w:p w14:paraId="70050208"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t>the State Coroner and Deputy Coroner</w:t>
      </w:r>
    </w:p>
    <w:p w14:paraId="0B2BEC4A" w14:textId="77777777" w:rsidR="00623058" w:rsidRPr="00BC4586" w:rsidRDefault="00623058" w:rsidP="009B29CF">
      <w:pPr>
        <w:pStyle w:val="ListParagraph"/>
        <w:numPr>
          <w:ilvl w:val="1"/>
          <w:numId w:val="114"/>
        </w:numPr>
        <w:spacing w:after="0"/>
        <w:ind w:left="714" w:hanging="357"/>
        <w:contextualSpacing w:val="0"/>
        <w:rPr>
          <w:szCs w:val="17"/>
        </w:rPr>
      </w:pPr>
      <w:r w:rsidRPr="00BC4586">
        <w:rPr>
          <w:szCs w:val="17"/>
        </w:rPr>
        <w:t xml:space="preserve">the Commissioners of the Environment, Resources and Development Court, and </w:t>
      </w:r>
    </w:p>
    <w:p w14:paraId="2F147E45" w14:textId="77777777" w:rsidR="00623058" w:rsidRPr="00721519" w:rsidRDefault="00623058" w:rsidP="009B29CF">
      <w:pPr>
        <w:pStyle w:val="ListParagraph"/>
        <w:numPr>
          <w:ilvl w:val="1"/>
          <w:numId w:val="114"/>
        </w:numPr>
        <w:contextualSpacing w:val="0"/>
        <w:rPr>
          <w:szCs w:val="17"/>
        </w:rPr>
      </w:pPr>
      <w:r w:rsidRPr="00BC4586">
        <w:rPr>
          <w:szCs w:val="17"/>
        </w:rPr>
        <w:t>the President and Deputy Presidents of the South Australian Employment Tribunal</w:t>
      </w:r>
      <w:r w:rsidRPr="00721519">
        <w:rPr>
          <w:szCs w:val="17"/>
        </w:rPr>
        <w:t>.</w:t>
      </w:r>
    </w:p>
    <w:p w14:paraId="403CD710" w14:textId="77777777" w:rsidR="00623058" w:rsidRPr="00721519" w:rsidRDefault="00623058" w:rsidP="009B29CF">
      <w:pPr>
        <w:pStyle w:val="ListParagraph"/>
        <w:numPr>
          <w:ilvl w:val="0"/>
          <w:numId w:val="114"/>
        </w:numPr>
        <w:ind w:left="357" w:hanging="357"/>
        <w:contextualSpacing w:val="0"/>
        <w:rPr>
          <w:szCs w:val="17"/>
        </w:rPr>
      </w:pPr>
      <w:r w:rsidRPr="00721519">
        <w:rPr>
          <w:szCs w:val="17"/>
        </w:rPr>
        <w:t>On 31 October 2022, after an extension was granted, the Premier’s representative confirmed that the Premier did not intend to make a submission.</w:t>
      </w:r>
    </w:p>
    <w:p w14:paraId="79134AEA"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No oral submissions were made about this review at the Tribunal’s hearing on 14 November 2022.</w:t>
      </w:r>
    </w:p>
    <w:p w14:paraId="742DE57F" w14:textId="77777777" w:rsidR="00623058" w:rsidRPr="00721519" w:rsidRDefault="00623058" w:rsidP="009B29CF">
      <w:pPr>
        <w:pStyle w:val="ListParagraph"/>
        <w:numPr>
          <w:ilvl w:val="0"/>
          <w:numId w:val="114"/>
        </w:numPr>
        <w:ind w:left="357" w:hanging="357"/>
        <w:contextualSpacing w:val="0"/>
        <w:rPr>
          <w:szCs w:val="17"/>
        </w:rPr>
      </w:pPr>
      <w:r w:rsidRPr="00BC4586">
        <w:rPr>
          <w:szCs w:val="17"/>
        </w:rPr>
        <w:t>In summary the JRCC submitted that the Tribunal should review the determination in the usual way, and otherwise make a determination that reflects the terms of Determination 16 of 2021</w:t>
      </w:r>
      <w:r w:rsidRPr="00721519">
        <w:rPr>
          <w:szCs w:val="17"/>
        </w:rPr>
        <w:t>.</w:t>
      </w:r>
    </w:p>
    <w:p w14:paraId="1FCA27F5" w14:textId="77777777" w:rsidR="00623058" w:rsidRPr="007D4132" w:rsidRDefault="00623058" w:rsidP="00623058">
      <w:pPr>
        <w:rPr>
          <w:b/>
          <w:bCs/>
          <w:szCs w:val="17"/>
        </w:rPr>
      </w:pPr>
      <w:r w:rsidRPr="007D4132">
        <w:rPr>
          <w:b/>
          <w:bCs/>
          <w:szCs w:val="17"/>
        </w:rPr>
        <w:t>CONSIDERATION AND CONCLUSION</w:t>
      </w:r>
    </w:p>
    <w:p w14:paraId="296BAE5C"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 xml:space="preserve">The Tribunal notes that Determination 16 of 2021 contained minor modifications to ensure compliance with the </w:t>
      </w:r>
      <w:r w:rsidRPr="00916E8C">
        <w:rPr>
          <w:i/>
          <w:iCs/>
          <w:szCs w:val="17"/>
        </w:rPr>
        <w:t>Statutes Amendment (Fund Selection and Other Superannuation Matters) Act 2021</w:t>
      </w:r>
      <w:r w:rsidRPr="00BC4586">
        <w:rPr>
          <w:szCs w:val="17"/>
        </w:rPr>
        <w:t xml:space="preserve">, which introduced reforms in relation to superannuation fund selection. That legislation recently commenced on 30 November 2022. That determination also contained modifications to include the newly created judicial offices established by the </w:t>
      </w:r>
      <w:r w:rsidRPr="00916E8C">
        <w:rPr>
          <w:i/>
          <w:iCs/>
          <w:szCs w:val="17"/>
        </w:rPr>
        <w:t>Supreme Court (Court of Appeal) Amendment Act 2019</w:t>
      </w:r>
      <w:r w:rsidRPr="00BC4586">
        <w:rPr>
          <w:szCs w:val="17"/>
        </w:rPr>
        <w:t>.</w:t>
      </w:r>
    </w:p>
    <w:p w14:paraId="230CB66C"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 xml:space="preserve">The Tribunal sought further advice this year from Super SA as to any further changes that are necessary to ensure compliance with the above-mentioned fund selection laws. Super SA recommended some further minor changes. The Tribunal has adopted those recommended changes. They clarify the operation of the determination for those office holders whose primary superannuation fund is the Triple S scheme by default, and who are accordingly eligible to make a fund selection under section 21C of the </w:t>
      </w:r>
      <w:r w:rsidRPr="00916E8C">
        <w:rPr>
          <w:i/>
          <w:iCs/>
          <w:szCs w:val="17"/>
        </w:rPr>
        <w:t>Southern State Superannuation Act 2009</w:t>
      </w:r>
      <w:r w:rsidRPr="00BC4586">
        <w:rPr>
          <w:szCs w:val="17"/>
        </w:rPr>
        <w:t xml:space="preserve">. </w:t>
      </w:r>
    </w:p>
    <w:p w14:paraId="39BF0D26"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In summary, the new determination now includes the words “</w:t>
      </w:r>
      <w:r w:rsidRPr="00916E8C">
        <w:rPr>
          <w:i/>
          <w:iCs/>
          <w:szCs w:val="17"/>
        </w:rPr>
        <w:t>or a fund selected under section 21C of the Southern State Superannuation Act 2009</w:t>
      </w:r>
      <w:r w:rsidRPr="00BC4586">
        <w:rPr>
          <w:szCs w:val="17"/>
        </w:rPr>
        <w:t xml:space="preserve">” (and similar) in places where the previous determination referred to salary sacrifice to the Triple S Scheme. An additional note has also been included to clarify that no additional administration fee is payable in circumstances where a salary sacrifice arrangement to superannuation automatically transfers to a newly selected fund under the </w:t>
      </w:r>
      <w:r w:rsidRPr="00916E8C">
        <w:rPr>
          <w:i/>
          <w:iCs/>
          <w:szCs w:val="17"/>
        </w:rPr>
        <w:t>Southern State Superannuation Act 2009</w:t>
      </w:r>
      <w:r w:rsidRPr="00916E8C">
        <w:rPr>
          <w:szCs w:val="17"/>
        </w:rPr>
        <w:t>.</w:t>
      </w:r>
      <w:r>
        <w:rPr>
          <w:i/>
          <w:iCs/>
          <w:szCs w:val="17"/>
        </w:rPr>
        <w:t xml:space="preserve"> </w:t>
      </w:r>
      <w:r w:rsidRPr="00BC4586">
        <w:rPr>
          <w:szCs w:val="17"/>
        </w:rPr>
        <w:t>These changes will not be relevant to the majority of office holders covered by the determination, given Triple S is not their primary superannuation fund.</w:t>
      </w:r>
    </w:p>
    <w:p w14:paraId="71684251"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The Tribunal is aware that a procurement process is currently underway to establish a new across government Panel Agreement for salary sacrifice, as the existing Agreement is due to expire on 30 June 2023. The Tribunal has been informed that when the current Panel Agreement expires, office holders and public sector employees who wish to make pre-tax voluntary superannuation contributions to their chosen superannuation fund will need to do this via payroll. It will not be possible to make such contributions through a Panel Member. The Tribunal understands that these changes will not diminish any ability to salary sacrifice to superannuation, but instead would change the process for doing so.</w:t>
      </w:r>
    </w:p>
    <w:p w14:paraId="47C5239F"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The Tribunal intends to invite a further review of the current determination in the first half of next year in order to decide if any changes need to be made in light of the procurement process. The procurement process does not currently necessitate changes.</w:t>
      </w:r>
    </w:p>
    <w:p w14:paraId="70F470E3" w14:textId="77777777" w:rsidR="00623058" w:rsidRPr="00BC4586" w:rsidRDefault="00623058" w:rsidP="009B29CF">
      <w:pPr>
        <w:pStyle w:val="ListParagraph"/>
        <w:numPr>
          <w:ilvl w:val="0"/>
          <w:numId w:val="114"/>
        </w:numPr>
        <w:ind w:left="357" w:hanging="357"/>
        <w:contextualSpacing w:val="0"/>
        <w:rPr>
          <w:szCs w:val="17"/>
        </w:rPr>
      </w:pPr>
      <w:r w:rsidRPr="00BC4586">
        <w:rPr>
          <w:szCs w:val="17"/>
        </w:rPr>
        <w:t>The Tribunal has not been asked to make any specific change to the existing determination, and is not aware of any other necessary changes.</w:t>
      </w:r>
    </w:p>
    <w:p w14:paraId="6C9BA468" w14:textId="77777777" w:rsidR="00623058" w:rsidRPr="00721519" w:rsidRDefault="00623058" w:rsidP="009B29CF">
      <w:pPr>
        <w:pStyle w:val="ListParagraph"/>
        <w:numPr>
          <w:ilvl w:val="0"/>
          <w:numId w:val="114"/>
        </w:numPr>
        <w:ind w:left="357" w:hanging="357"/>
        <w:contextualSpacing w:val="0"/>
        <w:rPr>
          <w:szCs w:val="17"/>
        </w:rPr>
      </w:pPr>
      <w:r w:rsidRPr="00BC4586">
        <w:rPr>
          <w:szCs w:val="17"/>
        </w:rPr>
        <w:t>Accordingly, the Tribunal has only made minor changes to the existing determination, and the new version will apply from 1 January 2023.</w:t>
      </w:r>
    </w:p>
    <w:p w14:paraId="29FF1202" w14:textId="77777777" w:rsidR="00623058" w:rsidRPr="00A51192" w:rsidRDefault="00623058" w:rsidP="00623058">
      <w:pPr>
        <w:pStyle w:val="GG-SDated"/>
      </w:pPr>
      <w:r>
        <w:t>Dated: 14 December 2022</w:t>
      </w:r>
    </w:p>
    <w:p w14:paraId="3962A3AE" w14:textId="77777777" w:rsidR="00623058" w:rsidRDefault="00623058" w:rsidP="00623058">
      <w:pPr>
        <w:pStyle w:val="GG-SName"/>
      </w:pPr>
      <w:r w:rsidRPr="00A51192">
        <w:t>Matthew O’Callaghan</w:t>
      </w:r>
    </w:p>
    <w:p w14:paraId="182E1298" w14:textId="77777777" w:rsidR="00623058" w:rsidRPr="00A51192" w:rsidRDefault="00623058" w:rsidP="007F7570">
      <w:pPr>
        <w:pStyle w:val="GG-Signature"/>
        <w:spacing w:after="80"/>
      </w:pPr>
      <w:r w:rsidRPr="00A51192">
        <w:t>President</w:t>
      </w:r>
    </w:p>
    <w:p w14:paraId="3A8C1687" w14:textId="77777777" w:rsidR="00623058" w:rsidRDefault="00623058" w:rsidP="00623058">
      <w:pPr>
        <w:pStyle w:val="GG-SName"/>
      </w:pPr>
      <w:r w:rsidRPr="00A51192">
        <w:t>Deborah Black</w:t>
      </w:r>
    </w:p>
    <w:p w14:paraId="2B49138F" w14:textId="77777777" w:rsidR="00623058" w:rsidRPr="00A51192" w:rsidRDefault="00623058" w:rsidP="007F7570">
      <w:pPr>
        <w:pStyle w:val="GG-Signature"/>
        <w:spacing w:after="80"/>
      </w:pPr>
      <w:r w:rsidRPr="00A51192">
        <w:t>Member</w:t>
      </w:r>
    </w:p>
    <w:p w14:paraId="2D80189C" w14:textId="77777777" w:rsidR="00623058" w:rsidRPr="00A51192" w:rsidRDefault="00623058" w:rsidP="00623058">
      <w:pPr>
        <w:pStyle w:val="GG-SName"/>
      </w:pPr>
      <w:r w:rsidRPr="00A51192">
        <w:t>Peter de Cure AM</w:t>
      </w:r>
    </w:p>
    <w:p w14:paraId="263CF356" w14:textId="77777777" w:rsidR="00623058" w:rsidRDefault="00623058" w:rsidP="00623058">
      <w:pPr>
        <w:pStyle w:val="GG-Signature"/>
      </w:pPr>
      <w:r w:rsidRPr="00A51192">
        <w:t>Member</w:t>
      </w:r>
    </w:p>
    <w:p w14:paraId="0B4FFBD8" w14:textId="77777777" w:rsidR="00623058" w:rsidRDefault="00623058" w:rsidP="00623058">
      <w:pPr>
        <w:pStyle w:val="GG-Signature"/>
        <w:pBdr>
          <w:top w:val="single" w:sz="4" w:space="1" w:color="auto"/>
        </w:pBdr>
        <w:spacing w:before="100" w:line="14" w:lineRule="exact"/>
        <w:ind w:left="1080" w:right="1080"/>
        <w:jc w:val="center"/>
      </w:pPr>
    </w:p>
    <w:p w14:paraId="11786A40" w14:textId="77777777" w:rsidR="000D6664" w:rsidRDefault="000D6664" w:rsidP="000D6664">
      <w:pPr>
        <w:pStyle w:val="GG-Title1"/>
        <w:spacing w:after="0"/>
      </w:pPr>
    </w:p>
    <w:p w14:paraId="167D3988" w14:textId="596EF9F7" w:rsidR="00623058" w:rsidRPr="004F33B9" w:rsidRDefault="00623058" w:rsidP="00623058">
      <w:pPr>
        <w:pStyle w:val="GG-Title1"/>
      </w:pPr>
      <w:r w:rsidRPr="004F33B9">
        <w:t>The Remuneration Tribunal</w:t>
      </w:r>
    </w:p>
    <w:p w14:paraId="5D14C263" w14:textId="77777777" w:rsidR="00623058" w:rsidRPr="00A51192" w:rsidRDefault="00623058" w:rsidP="00623058">
      <w:pPr>
        <w:pStyle w:val="GG-Title2"/>
      </w:pPr>
      <w:r>
        <w:t>Determination—</w:t>
      </w:r>
      <w:r w:rsidRPr="00A51192">
        <w:t xml:space="preserve">No. </w:t>
      </w:r>
      <w:r>
        <w:t>10</w:t>
      </w:r>
      <w:r w:rsidRPr="00A51192">
        <w:t xml:space="preserve"> </w:t>
      </w:r>
      <w:r>
        <w:t>o</w:t>
      </w:r>
      <w:r w:rsidRPr="00A51192">
        <w:t>f 2022</w:t>
      </w:r>
    </w:p>
    <w:p w14:paraId="007241B6" w14:textId="77777777" w:rsidR="00623058" w:rsidRDefault="00623058" w:rsidP="00623058">
      <w:pPr>
        <w:pStyle w:val="GG-Title3"/>
        <w:rPr>
          <w:smallCaps/>
        </w:rPr>
      </w:pPr>
      <w:r w:rsidRPr="003F470F">
        <w:t xml:space="preserve">Salary Sacrifice Arrangements for Judges, Court Officers and Statutory Officers </w:t>
      </w:r>
    </w:p>
    <w:p w14:paraId="3A4F8C41" w14:textId="77777777" w:rsidR="00623058" w:rsidRDefault="00623058" w:rsidP="00623058">
      <w:pPr>
        <w:pStyle w:val="GG-Title2"/>
        <w:jc w:val="left"/>
        <w:rPr>
          <w:b/>
          <w:bCs/>
        </w:rPr>
      </w:pPr>
      <w:r w:rsidRPr="004627E2">
        <w:rPr>
          <w:b/>
          <w:bCs/>
        </w:rPr>
        <w:t>Determination</w:t>
      </w:r>
    </w:p>
    <w:p w14:paraId="18C468BE" w14:textId="77777777" w:rsidR="00623058" w:rsidRPr="00C176CE" w:rsidRDefault="00623058" w:rsidP="00623058">
      <w:pPr>
        <w:pStyle w:val="GG-body"/>
        <w:rPr>
          <w:b/>
          <w:bCs/>
        </w:rPr>
      </w:pPr>
      <w:r w:rsidRPr="00C176CE">
        <w:rPr>
          <w:b/>
          <w:bCs/>
        </w:rPr>
        <w:t>INTERPRETATION</w:t>
      </w:r>
    </w:p>
    <w:p w14:paraId="41F2F8C5" w14:textId="77777777" w:rsidR="00623058" w:rsidRPr="003F470F" w:rsidRDefault="00623058" w:rsidP="009B29CF">
      <w:pPr>
        <w:pStyle w:val="GG-SDated"/>
        <w:numPr>
          <w:ilvl w:val="0"/>
          <w:numId w:val="110"/>
        </w:numPr>
        <w:spacing w:after="80"/>
        <w:ind w:left="284" w:hanging="284"/>
        <w:rPr>
          <w:lang w:val="en-US"/>
        </w:rPr>
      </w:pPr>
      <w:r w:rsidRPr="003F470F">
        <w:rPr>
          <w:lang w:val="en-US"/>
        </w:rPr>
        <w:t>In this Determination, unless the contrary appears:</w:t>
      </w:r>
    </w:p>
    <w:p w14:paraId="213E7CCD" w14:textId="77777777" w:rsidR="00623058" w:rsidRPr="003F470F" w:rsidRDefault="00623058" w:rsidP="00623058">
      <w:pPr>
        <w:pStyle w:val="GG-SDated"/>
        <w:spacing w:after="80"/>
        <w:ind w:left="284"/>
        <w:rPr>
          <w:lang w:val="en-US"/>
        </w:rPr>
      </w:pPr>
      <w:r w:rsidRPr="003F470F">
        <w:rPr>
          <w:b/>
          <w:bCs/>
          <w:lang w:val="en-US"/>
        </w:rPr>
        <w:t xml:space="preserve">“Acceptance” </w:t>
      </w:r>
      <w:r w:rsidRPr="003F470F">
        <w:rPr>
          <w:lang w:val="en-US"/>
        </w:rPr>
        <w:t xml:space="preserve">means the acceptance of an offer, which is in the form set out in </w:t>
      </w:r>
      <w:r w:rsidRPr="003F470F">
        <w:rPr>
          <w:b/>
          <w:bCs/>
          <w:lang w:val="en-US"/>
        </w:rPr>
        <w:t>Schedule 2</w:t>
      </w:r>
      <w:r w:rsidRPr="003F470F">
        <w:rPr>
          <w:lang w:val="en-US"/>
        </w:rPr>
        <w:t>.</w:t>
      </w:r>
    </w:p>
    <w:p w14:paraId="75469924" w14:textId="77777777" w:rsidR="00623058" w:rsidRPr="003F470F" w:rsidRDefault="00623058" w:rsidP="00623058">
      <w:pPr>
        <w:pStyle w:val="GG-SDated"/>
        <w:spacing w:after="80"/>
        <w:ind w:left="284"/>
        <w:rPr>
          <w:lang w:val="en-US"/>
        </w:rPr>
      </w:pPr>
      <w:r w:rsidRPr="003F470F">
        <w:rPr>
          <w:b/>
          <w:bCs/>
          <w:lang w:val="en-US"/>
        </w:rPr>
        <w:t xml:space="preserve">“Administration Fee” </w:t>
      </w:r>
      <w:r w:rsidRPr="003F470F">
        <w:rPr>
          <w:lang w:val="en-US"/>
        </w:rPr>
        <w:t>means the amount of:</w:t>
      </w:r>
    </w:p>
    <w:p w14:paraId="306DDDA9" w14:textId="77777777" w:rsidR="00623058" w:rsidRPr="003F470F" w:rsidRDefault="00623058" w:rsidP="009B29CF">
      <w:pPr>
        <w:pStyle w:val="GG-SDated"/>
        <w:numPr>
          <w:ilvl w:val="0"/>
          <w:numId w:val="105"/>
        </w:numPr>
        <w:spacing w:after="80"/>
        <w:ind w:left="709" w:hanging="425"/>
        <w:rPr>
          <w:lang w:val="en-US"/>
        </w:rPr>
      </w:pPr>
      <w:r w:rsidRPr="003F470F">
        <w:rPr>
          <w:lang w:val="en-US"/>
        </w:rPr>
        <w:t>$44.00 inclusive of GST or such other amount determined by the Commissioner to be payable by public sector officers to offset the Paying Authority’s costs of administering salary sacrifice arrangements; and/or</w:t>
      </w:r>
    </w:p>
    <w:p w14:paraId="01DD5F4F" w14:textId="77777777" w:rsidR="00623058" w:rsidRPr="003F470F" w:rsidRDefault="00623058" w:rsidP="009B29CF">
      <w:pPr>
        <w:pStyle w:val="GG-SDated"/>
        <w:numPr>
          <w:ilvl w:val="0"/>
          <w:numId w:val="105"/>
        </w:numPr>
        <w:spacing w:after="80"/>
        <w:ind w:left="709" w:hanging="425"/>
        <w:rPr>
          <w:lang w:val="en-US"/>
        </w:rPr>
      </w:pPr>
      <w:r w:rsidRPr="003F470F">
        <w:rPr>
          <w:lang w:val="en-US"/>
        </w:rPr>
        <w:t>an annual administration charge plus GST for administering the salary sacrifice arrangement payable by way of a deduction from the sacrificed amount to the Nominee in accordance with the relevant Service Agreement.</w:t>
      </w:r>
    </w:p>
    <w:p w14:paraId="249E150B" w14:textId="77777777" w:rsidR="00623058" w:rsidRPr="003F470F" w:rsidRDefault="00623058" w:rsidP="00623058">
      <w:pPr>
        <w:pStyle w:val="GG-SDated"/>
        <w:spacing w:after="80"/>
        <w:ind w:left="284"/>
        <w:rPr>
          <w:lang w:val="en-US"/>
        </w:rPr>
      </w:pPr>
      <w:r w:rsidRPr="003F470F">
        <w:rPr>
          <w:lang w:val="en-US"/>
        </w:rPr>
        <w:t>Administration fee may be subject to change from time to time as permitted by the paying authority.</w:t>
      </w:r>
    </w:p>
    <w:p w14:paraId="5F9A1B71" w14:textId="77777777" w:rsidR="00623058" w:rsidRPr="003F470F" w:rsidRDefault="00623058" w:rsidP="00623058">
      <w:pPr>
        <w:pStyle w:val="GG-SDated"/>
        <w:spacing w:after="80"/>
        <w:ind w:left="284"/>
        <w:rPr>
          <w:i/>
          <w:iCs/>
          <w:lang w:val="en-US"/>
        </w:rPr>
      </w:pPr>
      <w:r w:rsidRPr="003F470F">
        <w:rPr>
          <w:i/>
          <w:iCs/>
          <w:lang w:val="en-US"/>
        </w:rPr>
        <w:t>Please note that the fees described in both subparagraphs (a) and (b) are payable by an office holder appointing a Nominee to administer the Salary Sacrifice Arrangement and the fee described in subparagraph (a) is payable by an office holder where the Salary Sacrifice Arrangement only involves sacrificing salary into the Triple S Scheme or a fund selected under section 21C of the Southern State Superannuation Act 2009, without the need to appoint a Nominee. The fee is not payable again in circumstances where the Salary Sacrifice Arrangement automatically transfers to the new selected fund under the Southern State Superannuation Act 2009 when a fund selection takes effect.</w:t>
      </w:r>
    </w:p>
    <w:p w14:paraId="361BA3BB" w14:textId="77777777" w:rsidR="00623058" w:rsidRPr="003F470F" w:rsidRDefault="00623058" w:rsidP="00623058">
      <w:pPr>
        <w:pStyle w:val="GG-SDated"/>
        <w:spacing w:after="80"/>
        <w:ind w:left="284"/>
        <w:rPr>
          <w:lang w:val="en-US"/>
        </w:rPr>
      </w:pPr>
      <w:r w:rsidRPr="003F470F">
        <w:rPr>
          <w:b/>
          <w:bCs/>
          <w:lang w:val="en-US"/>
        </w:rPr>
        <w:t xml:space="preserve">“Approved Purpose” </w:t>
      </w:r>
      <w:r w:rsidRPr="003F470F">
        <w:rPr>
          <w:lang w:val="en-US"/>
        </w:rPr>
        <w:t xml:space="preserve">or </w:t>
      </w:r>
      <w:r w:rsidRPr="003F470F">
        <w:rPr>
          <w:b/>
          <w:bCs/>
          <w:lang w:val="en-US"/>
        </w:rPr>
        <w:t xml:space="preserve">“Approved Benefit” </w:t>
      </w:r>
      <w:r w:rsidRPr="003F470F">
        <w:rPr>
          <w:lang w:val="en-US"/>
        </w:rPr>
        <w:t>means a payment for any of the following:</w:t>
      </w:r>
    </w:p>
    <w:p w14:paraId="5D650311" w14:textId="77777777" w:rsidR="00623058" w:rsidRPr="003F470F" w:rsidRDefault="00623058" w:rsidP="00623058">
      <w:pPr>
        <w:pStyle w:val="GG-SDated"/>
        <w:spacing w:after="80"/>
        <w:ind w:left="709"/>
        <w:rPr>
          <w:u w:val="single"/>
          <w:lang w:val="en-US"/>
        </w:rPr>
      </w:pPr>
      <w:r w:rsidRPr="003F470F">
        <w:rPr>
          <w:u w:val="single"/>
          <w:lang w:val="en-US"/>
        </w:rPr>
        <w:t>Category A – Exempt from FBT</w:t>
      </w:r>
    </w:p>
    <w:p w14:paraId="07337D9E" w14:textId="77777777" w:rsidR="00623058" w:rsidRPr="003F470F" w:rsidRDefault="00623058" w:rsidP="009B29CF">
      <w:pPr>
        <w:pStyle w:val="GG-SDated"/>
        <w:numPr>
          <w:ilvl w:val="0"/>
          <w:numId w:val="106"/>
        </w:numPr>
        <w:ind w:left="993" w:hanging="283"/>
        <w:rPr>
          <w:lang w:val="en-US"/>
        </w:rPr>
      </w:pPr>
      <w:r w:rsidRPr="003F470F">
        <w:rPr>
          <w:lang w:val="en-US"/>
        </w:rPr>
        <w:t>contributions to a private superannuation fund that is complying, in that, it complies with the relevant laws regulating superannuation, including the Triple S scheme.</w:t>
      </w:r>
    </w:p>
    <w:p w14:paraId="5D66D317" w14:textId="77777777" w:rsidR="00623058" w:rsidRPr="003F470F" w:rsidRDefault="00623058" w:rsidP="009B29CF">
      <w:pPr>
        <w:pStyle w:val="GG-SDated"/>
        <w:numPr>
          <w:ilvl w:val="0"/>
          <w:numId w:val="106"/>
        </w:numPr>
        <w:ind w:left="993" w:hanging="283"/>
        <w:rPr>
          <w:lang w:val="en-US"/>
        </w:rPr>
      </w:pPr>
      <w:r w:rsidRPr="003F470F">
        <w:rPr>
          <w:lang w:val="en-US"/>
        </w:rPr>
        <w:lastRenderedPageBreak/>
        <w:t>Work related items (portable electronic device, computer software, protective clothing, briefcase, tools of trade). Primarily for use in the employee’s employment and does not apply where the employer otherwise provides the item.</w:t>
      </w:r>
    </w:p>
    <w:p w14:paraId="4CBCF824" w14:textId="77777777" w:rsidR="00623058" w:rsidRPr="003F470F" w:rsidRDefault="00623058" w:rsidP="009B29CF">
      <w:pPr>
        <w:pStyle w:val="GG-SDated"/>
        <w:numPr>
          <w:ilvl w:val="0"/>
          <w:numId w:val="106"/>
        </w:numPr>
        <w:ind w:left="993" w:hanging="283"/>
        <w:rPr>
          <w:lang w:val="en-US"/>
        </w:rPr>
      </w:pPr>
      <w:r w:rsidRPr="003F470F">
        <w:rPr>
          <w:lang w:val="en-US"/>
        </w:rPr>
        <w:t>Taxi Travel to and from Work.</w:t>
      </w:r>
    </w:p>
    <w:p w14:paraId="08884E4E" w14:textId="77777777" w:rsidR="00623058" w:rsidRPr="003F470F" w:rsidRDefault="00623058" w:rsidP="009B29CF">
      <w:pPr>
        <w:pStyle w:val="GG-SDated"/>
        <w:numPr>
          <w:ilvl w:val="0"/>
          <w:numId w:val="106"/>
        </w:numPr>
        <w:ind w:left="993" w:hanging="283"/>
        <w:rPr>
          <w:lang w:val="en-US"/>
        </w:rPr>
      </w:pPr>
      <w:r w:rsidRPr="003F470F">
        <w:rPr>
          <w:lang w:val="en-US"/>
        </w:rPr>
        <w:t>Staff Fitness and Gym (in House).</w:t>
      </w:r>
    </w:p>
    <w:p w14:paraId="7030B5EA" w14:textId="77777777" w:rsidR="00623058" w:rsidRPr="003F470F" w:rsidRDefault="00623058" w:rsidP="009B29CF">
      <w:pPr>
        <w:pStyle w:val="GG-SDated"/>
        <w:numPr>
          <w:ilvl w:val="0"/>
          <w:numId w:val="106"/>
        </w:numPr>
        <w:ind w:left="993" w:hanging="283"/>
        <w:rPr>
          <w:lang w:val="en-US"/>
        </w:rPr>
      </w:pPr>
      <w:r w:rsidRPr="003F470F">
        <w:rPr>
          <w:lang w:val="en-US"/>
        </w:rPr>
        <w:t>Airport Lounge Membership.</w:t>
      </w:r>
    </w:p>
    <w:p w14:paraId="17BFB8F6" w14:textId="77777777" w:rsidR="00623058" w:rsidRPr="003F470F" w:rsidRDefault="00623058" w:rsidP="009B29CF">
      <w:pPr>
        <w:pStyle w:val="GG-SDated"/>
        <w:numPr>
          <w:ilvl w:val="0"/>
          <w:numId w:val="106"/>
        </w:numPr>
        <w:ind w:left="993" w:hanging="283"/>
        <w:rPr>
          <w:lang w:val="en-US"/>
        </w:rPr>
      </w:pPr>
      <w:r w:rsidRPr="003F470F">
        <w:rPr>
          <w:lang w:val="en-US"/>
        </w:rPr>
        <w:t>Relocation Expenses.</w:t>
      </w:r>
    </w:p>
    <w:p w14:paraId="31277F06" w14:textId="77777777" w:rsidR="00623058" w:rsidRPr="003F470F" w:rsidRDefault="00623058" w:rsidP="009B29CF">
      <w:pPr>
        <w:pStyle w:val="GG-SDated"/>
        <w:numPr>
          <w:ilvl w:val="0"/>
          <w:numId w:val="106"/>
        </w:numPr>
        <w:ind w:left="993" w:hanging="283"/>
        <w:rPr>
          <w:lang w:val="en-US"/>
        </w:rPr>
      </w:pPr>
      <w:r w:rsidRPr="003F470F">
        <w:rPr>
          <w:lang w:val="en-US"/>
        </w:rPr>
        <w:t>Fly-In-Fly-Out (FIFO) Parking.</w:t>
      </w:r>
    </w:p>
    <w:p w14:paraId="5340D1DC" w14:textId="77777777" w:rsidR="00623058" w:rsidRPr="003F470F" w:rsidRDefault="00623058" w:rsidP="009B29CF">
      <w:pPr>
        <w:pStyle w:val="GG-SDated"/>
        <w:numPr>
          <w:ilvl w:val="0"/>
          <w:numId w:val="106"/>
        </w:numPr>
        <w:spacing w:after="80"/>
        <w:ind w:left="993" w:hanging="283"/>
        <w:rPr>
          <w:lang w:val="en-US"/>
        </w:rPr>
      </w:pPr>
      <w:r w:rsidRPr="003F470F">
        <w:rPr>
          <w:lang w:val="en-US"/>
        </w:rPr>
        <w:t>Fly-In-Fly-Out (FIFO) Travel.</w:t>
      </w:r>
    </w:p>
    <w:p w14:paraId="78BFC61A" w14:textId="77777777" w:rsidR="00623058" w:rsidRPr="003F470F" w:rsidRDefault="00623058" w:rsidP="00623058">
      <w:pPr>
        <w:pStyle w:val="GG-SDated"/>
        <w:spacing w:after="80"/>
        <w:ind w:left="709"/>
        <w:rPr>
          <w:u w:val="single"/>
          <w:lang w:val="en-US"/>
        </w:rPr>
      </w:pPr>
      <w:r w:rsidRPr="003F470F">
        <w:rPr>
          <w:u w:val="single"/>
          <w:lang w:val="en-US"/>
        </w:rPr>
        <w:t>Category B – Subject to FBT (Novated Lease):</w:t>
      </w:r>
    </w:p>
    <w:p w14:paraId="701FC3D6" w14:textId="77777777" w:rsidR="00623058" w:rsidRPr="003F470F" w:rsidRDefault="00623058" w:rsidP="009B29CF">
      <w:pPr>
        <w:pStyle w:val="GG-SDated"/>
        <w:numPr>
          <w:ilvl w:val="0"/>
          <w:numId w:val="106"/>
        </w:numPr>
        <w:spacing w:after="80"/>
        <w:ind w:left="993" w:hanging="283"/>
        <w:rPr>
          <w:lang w:val="en-US"/>
        </w:rPr>
      </w:pPr>
      <w:r w:rsidRPr="003F470F">
        <w:rPr>
          <w:lang w:val="en-US"/>
        </w:rPr>
        <w:t>Own motor vehicle through a novated car lease.</w:t>
      </w:r>
    </w:p>
    <w:p w14:paraId="0DA8D445" w14:textId="77777777" w:rsidR="00623058" w:rsidRPr="003F470F" w:rsidRDefault="00623058" w:rsidP="00623058">
      <w:pPr>
        <w:pStyle w:val="GG-SDated"/>
        <w:spacing w:after="80"/>
        <w:ind w:left="709"/>
        <w:rPr>
          <w:u w:val="single"/>
          <w:lang w:val="en-US"/>
        </w:rPr>
      </w:pPr>
      <w:r w:rsidRPr="003F470F">
        <w:rPr>
          <w:u w:val="single"/>
          <w:lang w:val="en-US"/>
        </w:rPr>
        <w:t>Category C – Subject to FBT (In House Benefits):</w:t>
      </w:r>
    </w:p>
    <w:p w14:paraId="20E4015B" w14:textId="77777777" w:rsidR="00623058" w:rsidRPr="003F470F" w:rsidRDefault="00623058" w:rsidP="009B29CF">
      <w:pPr>
        <w:pStyle w:val="GG-SDated"/>
        <w:numPr>
          <w:ilvl w:val="0"/>
          <w:numId w:val="106"/>
        </w:numPr>
        <w:spacing w:after="80"/>
        <w:ind w:left="993" w:hanging="283"/>
        <w:rPr>
          <w:lang w:val="en-US"/>
        </w:rPr>
      </w:pPr>
      <w:r w:rsidRPr="003F470F">
        <w:rPr>
          <w:lang w:val="en-US"/>
        </w:rPr>
        <w:t>Other (ATO approved) in-house benefits that may be approved by Government or the Minister for the Public Sector from time to time.</w:t>
      </w:r>
    </w:p>
    <w:p w14:paraId="6614D2ED" w14:textId="77777777" w:rsidR="00623058" w:rsidRPr="003F470F" w:rsidRDefault="00623058" w:rsidP="00623058">
      <w:pPr>
        <w:pStyle w:val="GG-SDated"/>
        <w:spacing w:after="80"/>
        <w:ind w:left="709"/>
        <w:rPr>
          <w:u w:val="single"/>
          <w:lang w:val="en-US"/>
        </w:rPr>
      </w:pPr>
      <w:r w:rsidRPr="003F470F">
        <w:rPr>
          <w:u w:val="single"/>
          <w:lang w:val="en-US"/>
        </w:rPr>
        <w:t>Category D – Not subject to FBT (if employee could have claimed an income tax deduction)</w:t>
      </w:r>
    </w:p>
    <w:p w14:paraId="47ECCA41" w14:textId="77777777" w:rsidR="00623058" w:rsidRPr="003F470F" w:rsidRDefault="00623058" w:rsidP="009B29CF">
      <w:pPr>
        <w:pStyle w:val="GG-SDated"/>
        <w:numPr>
          <w:ilvl w:val="0"/>
          <w:numId w:val="106"/>
        </w:numPr>
        <w:ind w:left="993" w:hanging="283"/>
        <w:rPr>
          <w:lang w:val="en-US"/>
        </w:rPr>
      </w:pPr>
      <w:r w:rsidRPr="003F470F">
        <w:rPr>
          <w:lang w:val="en-US"/>
        </w:rPr>
        <w:t>membership fees and subscriptions to professional associations.</w:t>
      </w:r>
    </w:p>
    <w:p w14:paraId="6217F8A0" w14:textId="77777777" w:rsidR="00623058" w:rsidRPr="003F470F" w:rsidRDefault="00623058" w:rsidP="009B29CF">
      <w:pPr>
        <w:pStyle w:val="GG-SDated"/>
        <w:numPr>
          <w:ilvl w:val="0"/>
          <w:numId w:val="106"/>
        </w:numPr>
        <w:ind w:left="993" w:hanging="283"/>
        <w:rPr>
          <w:lang w:val="en-US"/>
        </w:rPr>
      </w:pPr>
      <w:r w:rsidRPr="003F470F">
        <w:rPr>
          <w:lang w:val="en-US"/>
        </w:rPr>
        <w:t>financial counselling fees.</w:t>
      </w:r>
    </w:p>
    <w:p w14:paraId="4CAA0A3C" w14:textId="77777777" w:rsidR="00623058" w:rsidRPr="003F470F" w:rsidRDefault="00623058" w:rsidP="009B29CF">
      <w:pPr>
        <w:pStyle w:val="GG-SDated"/>
        <w:numPr>
          <w:ilvl w:val="0"/>
          <w:numId w:val="106"/>
        </w:numPr>
        <w:ind w:left="993" w:hanging="283"/>
        <w:rPr>
          <w:lang w:val="en-US"/>
        </w:rPr>
      </w:pPr>
      <w:r w:rsidRPr="003F470F">
        <w:rPr>
          <w:lang w:val="en-US"/>
        </w:rPr>
        <w:t>disability/income protection insurance.</w:t>
      </w:r>
    </w:p>
    <w:p w14:paraId="32578028" w14:textId="77777777" w:rsidR="00623058" w:rsidRPr="003F470F" w:rsidRDefault="00623058" w:rsidP="009B29CF">
      <w:pPr>
        <w:pStyle w:val="GG-SDated"/>
        <w:numPr>
          <w:ilvl w:val="0"/>
          <w:numId w:val="106"/>
        </w:numPr>
        <w:spacing w:after="80"/>
        <w:ind w:left="993" w:hanging="283"/>
        <w:rPr>
          <w:lang w:val="en-US"/>
        </w:rPr>
      </w:pPr>
      <w:r w:rsidRPr="003F470F">
        <w:rPr>
          <w:lang w:val="en-US"/>
        </w:rPr>
        <w:t>self education expenses.</w:t>
      </w:r>
    </w:p>
    <w:p w14:paraId="61DC48A2" w14:textId="77777777" w:rsidR="00623058" w:rsidRPr="003F470F" w:rsidRDefault="00623058" w:rsidP="00623058">
      <w:pPr>
        <w:pStyle w:val="GG-SDated"/>
        <w:spacing w:after="80"/>
        <w:ind w:left="709"/>
        <w:rPr>
          <w:u w:val="single"/>
          <w:lang w:val="en-US"/>
        </w:rPr>
      </w:pPr>
      <w:r w:rsidRPr="003F470F">
        <w:rPr>
          <w:u w:val="single"/>
          <w:lang w:val="en-US"/>
        </w:rPr>
        <w:t>Category E – Concessionally taxed benefits</w:t>
      </w:r>
    </w:p>
    <w:p w14:paraId="5ADB6157" w14:textId="77777777" w:rsidR="00623058" w:rsidRPr="003F470F" w:rsidRDefault="00623058" w:rsidP="009B29CF">
      <w:pPr>
        <w:pStyle w:val="GG-SDated"/>
        <w:numPr>
          <w:ilvl w:val="0"/>
          <w:numId w:val="106"/>
        </w:numPr>
        <w:ind w:left="993" w:hanging="283"/>
        <w:rPr>
          <w:lang w:val="en-US"/>
        </w:rPr>
      </w:pPr>
      <w:r w:rsidRPr="003F470F">
        <w:rPr>
          <w:lang w:val="en-US"/>
        </w:rPr>
        <w:t>Remote Area Housing (employer provided).</w:t>
      </w:r>
    </w:p>
    <w:p w14:paraId="2D32356D" w14:textId="77777777" w:rsidR="00623058" w:rsidRPr="003F470F" w:rsidRDefault="00623058" w:rsidP="009B29CF">
      <w:pPr>
        <w:pStyle w:val="GG-SDated"/>
        <w:numPr>
          <w:ilvl w:val="0"/>
          <w:numId w:val="106"/>
        </w:numPr>
        <w:ind w:left="993" w:hanging="283"/>
        <w:rPr>
          <w:lang w:val="en-US"/>
        </w:rPr>
      </w:pPr>
      <w:r w:rsidRPr="003F470F">
        <w:rPr>
          <w:lang w:val="en-US"/>
        </w:rPr>
        <w:t>Remote Area Rental Assistance.</w:t>
      </w:r>
    </w:p>
    <w:p w14:paraId="7A3862DF" w14:textId="77777777" w:rsidR="00623058" w:rsidRPr="003F470F" w:rsidRDefault="00623058" w:rsidP="009B29CF">
      <w:pPr>
        <w:pStyle w:val="GG-SDated"/>
        <w:numPr>
          <w:ilvl w:val="0"/>
          <w:numId w:val="106"/>
        </w:numPr>
        <w:ind w:left="993" w:hanging="283"/>
        <w:rPr>
          <w:lang w:val="en-US"/>
        </w:rPr>
      </w:pPr>
      <w:r w:rsidRPr="003F470F">
        <w:rPr>
          <w:lang w:val="en-US"/>
        </w:rPr>
        <w:t>Remote Area Reimbursement of Interest.</w:t>
      </w:r>
    </w:p>
    <w:p w14:paraId="603601C4" w14:textId="77777777" w:rsidR="00623058" w:rsidRPr="003F470F" w:rsidRDefault="00623058" w:rsidP="009B29CF">
      <w:pPr>
        <w:pStyle w:val="GG-SDated"/>
        <w:numPr>
          <w:ilvl w:val="0"/>
          <w:numId w:val="106"/>
        </w:numPr>
        <w:ind w:left="993" w:hanging="283"/>
        <w:rPr>
          <w:lang w:val="en-US"/>
        </w:rPr>
      </w:pPr>
      <w:r w:rsidRPr="003F470F">
        <w:rPr>
          <w:lang w:val="en-US"/>
        </w:rPr>
        <w:t>Remote Area Reimbursement on Purchasing or Building a Property.</w:t>
      </w:r>
    </w:p>
    <w:p w14:paraId="12EEA6AE" w14:textId="77777777" w:rsidR="00623058" w:rsidRPr="003F470F" w:rsidRDefault="00623058" w:rsidP="009B29CF">
      <w:pPr>
        <w:pStyle w:val="GG-SDated"/>
        <w:numPr>
          <w:ilvl w:val="0"/>
          <w:numId w:val="106"/>
        </w:numPr>
        <w:spacing w:after="80"/>
        <w:ind w:left="993" w:hanging="283"/>
        <w:rPr>
          <w:lang w:val="en-US"/>
        </w:rPr>
      </w:pPr>
      <w:r w:rsidRPr="003F470F">
        <w:rPr>
          <w:lang w:val="en-US"/>
        </w:rPr>
        <w:t>Remote Area Provision of Gas and Electricity.</w:t>
      </w:r>
    </w:p>
    <w:p w14:paraId="687D18F5" w14:textId="77777777" w:rsidR="00623058" w:rsidRPr="003F470F" w:rsidRDefault="00623058" w:rsidP="00623058">
      <w:pPr>
        <w:pStyle w:val="GG-SDated"/>
        <w:spacing w:after="80"/>
        <w:ind w:left="284"/>
        <w:rPr>
          <w:b/>
          <w:bCs/>
          <w:lang w:val="en-US"/>
        </w:rPr>
      </w:pPr>
      <w:r w:rsidRPr="003F470F">
        <w:rPr>
          <w:b/>
          <w:bCs/>
          <w:lang w:val="en-US"/>
        </w:rPr>
        <w:t>“Authorised Signatory” means, in relation to:</w:t>
      </w:r>
    </w:p>
    <w:p w14:paraId="22334E3D" w14:textId="77777777" w:rsidR="00623058" w:rsidRPr="003F470F" w:rsidRDefault="00623058" w:rsidP="009B29CF">
      <w:pPr>
        <w:pStyle w:val="GG-SDated"/>
        <w:numPr>
          <w:ilvl w:val="0"/>
          <w:numId w:val="111"/>
        </w:numPr>
        <w:ind w:left="709" w:hanging="425"/>
        <w:rPr>
          <w:lang w:val="en-US"/>
        </w:rPr>
      </w:pPr>
      <w:r w:rsidRPr="003F470F">
        <w:rPr>
          <w:lang w:val="en-US"/>
        </w:rPr>
        <w:t>Court Officers and Judges other than the President and Deputy Presidents of the South Australian Employment Tribunal</w:t>
      </w:r>
    </w:p>
    <w:p w14:paraId="254D4ED5" w14:textId="77777777" w:rsidR="00623058" w:rsidRPr="003F470F" w:rsidRDefault="00623058" w:rsidP="00623058">
      <w:pPr>
        <w:pStyle w:val="GG-SDated"/>
        <w:spacing w:after="80"/>
        <w:ind w:left="709"/>
        <w:rPr>
          <w:lang w:val="en-US"/>
        </w:rPr>
      </w:pPr>
      <w:r w:rsidRPr="003F470F">
        <w:rPr>
          <w:lang w:val="en-US"/>
        </w:rPr>
        <w:t>- the State Courts Administrator;</w:t>
      </w:r>
    </w:p>
    <w:p w14:paraId="21D5FE99" w14:textId="77777777" w:rsidR="00623058" w:rsidRPr="003F470F" w:rsidRDefault="00623058" w:rsidP="009B29CF">
      <w:pPr>
        <w:pStyle w:val="GG-SDated"/>
        <w:numPr>
          <w:ilvl w:val="0"/>
          <w:numId w:val="111"/>
        </w:numPr>
        <w:ind w:left="709" w:hanging="425"/>
        <w:rPr>
          <w:lang w:val="en-US"/>
        </w:rPr>
      </w:pPr>
      <w:r w:rsidRPr="003F470F">
        <w:rPr>
          <w:lang w:val="en-US"/>
        </w:rPr>
        <w:t>President and Deputy Presidents of the South Australian Employment Tribunal</w:t>
      </w:r>
    </w:p>
    <w:p w14:paraId="2994F66B" w14:textId="77777777" w:rsidR="00623058" w:rsidRPr="003F470F" w:rsidRDefault="00623058" w:rsidP="00623058">
      <w:pPr>
        <w:pStyle w:val="GG-SDated"/>
        <w:spacing w:after="80"/>
        <w:ind w:left="709"/>
        <w:rPr>
          <w:lang w:val="en-US"/>
        </w:rPr>
      </w:pPr>
      <w:r w:rsidRPr="003F470F">
        <w:rPr>
          <w:lang w:val="en-US"/>
        </w:rPr>
        <w:t>- the Chief Executive, Department of the Premier and Cabinet;</w:t>
      </w:r>
    </w:p>
    <w:p w14:paraId="52BE419C" w14:textId="77777777" w:rsidR="00623058" w:rsidRPr="003F470F" w:rsidRDefault="00623058" w:rsidP="009B29CF">
      <w:pPr>
        <w:pStyle w:val="GG-SDated"/>
        <w:numPr>
          <w:ilvl w:val="0"/>
          <w:numId w:val="111"/>
        </w:numPr>
        <w:ind w:left="709" w:hanging="425"/>
        <w:rPr>
          <w:lang w:val="en-US"/>
        </w:rPr>
      </w:pPr>
      <w:r w:rsidRPr="003F470F">
        <w:rPr>
          <w:lang w:val="en-US"/>
        </w:rPr>
        <w:t>Auditor-General</w:t>
      </w:r>
    </w:p>
    <w:p w14:paraId="67E7D63C" w14:textId="77777777" w:rsidR="00623058" w:rsidRPr="003F470F" w:rsidRDefault="00623058" w:rsidP="00623058">
      <w:pPr>
        <w:pStyle w:val="GG-SDated"/>
        <w:spacing w:after="80"/>
        <w:ind w:left="709"/>
        <w:rPr>
          <w:lang w:val="en-US"/>
        </w:rPr>
      </w:pPr>
      <w:r w:rsidRPr="003F470F">
        <w:rPr>
          <w:lang w:val="en-US"/>
        </w:rPr>
        <w:t>- the Director, Audit (Policy, Planning and Research), Auditor-General’s Department;</w:t>
      </w:r>
    </w:p>
    <w:p w14:paraId="4412B076" w14:textId="77777777" w:rsidR="00623058" w:rsidRPr="003F470F" w:rsidRDefault="00623058" w:rsidP="009B29CF">
      <w:pPr>
        <w:pStyle w:val="GG-SDated"/>
        <w:numPr>
          <w:ilvl w:val="0"/>
          <w:numId w:val="111"/>
        </w:numPr>
        <w:ind w:left="709" w:hanging="425"/>
        <w:rPr>
          <w:lang w:val="en-US"/>
        </w:rPr>
      </w:pPr>
      <w:r w:rsidRPr="003F470F">
        <w:rPr>
          <w:lang w:val="en-US"/>
        </w:rPr>
        <w:t>the Electoral Commissioner; and the Deputy Electoral Commissioner</w:t>
      </w:r>
    </w:p>
    <w:p w14:paraId="1C087197" w14:textId="77777777" w:rsidR="00623058" w:rsidRPr="003F470F" w:rsidRDefault="00623058" w:rsidP="00623058">
      <w:pPr>
        <w:pStyle w:val="GG-SDated"/>
        <w:spacing w:after="80"/>
        <w:ind w:left="709"/>
        <w:rPr>
          <w:lang w:val="en-US"/>
        </w:rPr>
      </w:pPr>
      <w:r w:rsidRPr="003F470F">
        <w:rPr>
          <w:lang w:val="en-US"/>
        </w:rPr>
        <w:t>- the Chief Executive, Attorney General’s Department</w:t>
      </w:r>
    </w:p>
    <w:p w14:paraId="0AFA75B7" w14:textId="77777777" w:rsidR="00623058" w:rsidRPr="003F470F" w:rsidRDefault="00623058" w:rsidP="009B29CF">
      <w:pPr>
        <w:pStyle w:val="GG-SDated"/>
        <w:numPr>
          <w:ilvl w:val="0"/>
          <w:numId w:val="111"/>
        </w:numPr>
        <w:ind w:left="709" w:hanging="425"/>
        <w:rPr>
          <w:lang w:val="en-US"/>
        </w:rPr>
      </w:pPr>
      <w:r w:rsidRPr="003F470F">
        <w:rPr>
          <w:lang w:val="en-US"/>
        </w:rPr>
        <w:t>the Health and Community Services Complaints Commissioner</w:t>
      </w:r>
    </w:p>
    <w:p w14:paraId="4582A860" w14:textId="77777777" w:rsidR="00623058" w:rsidRPr="003F470F" w:rsidRDefault="00623058" w:rsidP="00623058">
      <w:pPr>
        <w:pStyle w:val="GG-SDated"/>
        <w:spacing w:after="80"/>
        <w:ind w:left="709"/>
        <w:rPr>
          <w:lang w:val="en-US"/>
        </w:rPr>
      </w:pPr>
      <w:r w:rsidRPr="003F470F">
        <w:rPr>
          <w:lang w:val="en-US"/>
        </w:rPr>
        <w:t>- the Chief Executive, Department of Health and Wellbeing</w:t>
      </w:r>
    </w:p>
    <w:p w14:paraId="40823BDF" w14:textId="77777777" w:rsidR="00623058" w:rsidRPr="003F470F" w:rsidRDefault="00623058" w:rsidP="000D6664">
      <w:pPr>
        <w:pStyle w:val="GG-SDated"/>
        <w:spacing w:after="70"/>
        <w:ind w:left="284"/>
        <w:rPr>
          <w:lang w:val="en-US"/>
        </w:rPr>
      </w:pPr>
      <w:r w:rsidRPr="003F470F">
        <w:rPr>
          <w:lang w:val="en-US"/>
        </w:rPr>
        <w:t>and includes a person authorised by that person to sign Offers on behalf of a Paying Authority.</w:t>
      </w:r>
    </w:p>
    <w:p w14:paraId="5F3FC169" w14:textId="77777777" w:rsidR="00623058" w:rsidRPr="003F470F" w:rsidRDefault="00623058" w:rsidP="000D6664">
      <w:pPr>
        <w:pStyle w:val="GG-SDated"/>
        <w:spacing w:after="70"/>
        <w:ind w:left="284"/>
        <w:rPr>
          <w:b/>
          <w:bCs/>
          <w:lang w:val="en-US"/>
        </w:rPr>
      </w:pPr>
      <w:r w:rsidRPr="003F470F">
        <w:rPr>
          <w:b/>
          <w:bCs/>
          <w:lang w:val="en-US"/>
        </w:rPr>
        <w:t xml:space="preserve">“Commissioner” </w:t>
      </w:r>
      <w:r w:rsidRPr="003F470F">
        <w:rPr>
          <w:lang w:val="en-US"/>
        </w:rPr>
        <w:t>means the person for the time being appointed to, or carrying out, the duties of the Commissioner for Public Sector Employment under the Public Sector Act 2009.</w:t>
      </w:r>
    </w:p>
    <w:p w14:paraId="2BEBCC76" w14:textId="77777777" w:rsidR="00623058" w:rsidRPr="003F470F" w:rsidRDefault="00623058" w:rsidP="000D6664">
      <w:pPr>
        <w:pStyle w:val="GG-SDated"/>
        <w:spacing w:after="70"/>
        <w:ind w:left="284"/>
        <w:rPr>
          <w:lang w:val="en-US"/>
        </w:rPr>
      </w:pPr>
      <w:r w:rsidRPr="003F470F">
        <w:rPr>
          <w:b/>
          <w:bCs/>
          <w:lang w:val="en-US"/>
        </w:rPr>
        <w:t xml:space="preserve">“Court Officer” </w:t>
      </w:r>
      <w:r w:rsidRPr="003F470F">
        <w:rPr>
          <w:lang w:val="en-US"/>
        </w:rPr>
        <w:t>means any of the following:</w:t>
      </w:r>
    </w:p>
    <w:p w14:paraId="100F9340" w14:textId="77777777" w:rsidR="00623058" w:rsidRPr="003F470F" w:rsidRDefault="00623058" w:rsidP="000D6664">
      <w:pPr>
        <w:pStyle w:val="GG-SDated"/>
        <w:spacing w:after="70"/>
        <w:ind w:left="567"/>
        <w:rPr>
          <w:lang w:val="en-US"/>
        </w:rPr>
      </w:pPr>
      <w:r w:rsidRPr="003F470F">
        <w:rPr>
          <w:lang w:val="en-US"/>
        </w:rPr>
        <w:t>the State Coroner;</w:t>
      </w:r>
    </w:p>
    <w:p w14:paraId="4090C38F" w14:textId="77777777" w:rsidR="00623058" w:rsidRPr="003F470F" w:rsidRDefault="00623058" w:rsidP="000D6664">
      <w:pPr>
        <w:pStyle w:val="GG-SDated"/>
        <w:spacing w:after="70"/>
        <w:ind w:left="567"/>
        <w:rPr>
          <w:lang w:val="en-US"/>
        </w:rPr>
      </w:pPr>
      <w:r w:rsidRPr="003F470F">
        <w:rPr>
          <w:lang w:val="en-US"/>
        </w:rPr>
        <w:t>the Commissioners of the Environment, Resources and Development Court.</w:t>
      </w:r>
    </w:p>
    <w:p w14:paraId="0CAB1F77" w14:textId="77777777" w:rsidR="00623058" w:rsidRPr="003F470F" w:rsidRDefault="00623058" w:rsidP="000D6664">
      <w:pPr>
        <w:pStyle w:val="GG-SDated"/>
        <w:spacing w:after="70"/>
        <w:ind w:left="284"/>
        <w:rPr>
          <w:lang w:val="en-US"/>
        </w:rPr>
      </w:pPr>
      <w:r w:rsidRPr="003F470F">
        <w:rPr>
          <w:b/>
          <w:bCs/>
          <w:lang w:val="en-US"/>
        </w:rPr>
        <w:t xml:space="preserve">“Crown” </w:t>
      </w:r>
      <w:r w:rsidRPr="003F470F">
        <w:rPr>
          <w:lang w:val="en-US"/>
        </w:rPr>
        <w:t>means the Crown in the right of the State of South Australia.</w:t>
      </w:r>
    </w:p>
    <w:p w14:paraId="1BE2DBE5" w14:textId="77777777" w:rsidR="00623058" w:rsidRPr="003F470F" w:rsidRDefault="00623058" w:rsidP="000D6664">
      <w:pPr>
        <w:pStyle w:val="GG-SDated"/>
        <w:spacing w:after="70"/>
        <w:ind w:left="284"/>
        <w:rPr>
          <w:lang w:val="en-US"/>
        </w:rPr>
      </w:pPr>
      <w:r w:rsidRPr="003F470F">
        <w:rPr>
          <w:b/>
          <w:bCs/>
          <w:lang w:val="en-US"/>
        </w:rPr>
        <w:t xml:space="preserve">“Determination” </w:t>
      </w:r>
      <w:r w:rsidRPr="003F470F">
        <w:rPr>
          <w:lang w:val="en-US"/>
        </w:rPr>
        <w:t>means the Determination of the Remuneration Tribunal made on 14 December 2022 in relation to salary sacrifice arrangements in respect of the office holder.</w:t>
      </w:r>
    </w:p>
    <w:p w14:paraId="691A947D" w14:textId="77777777" w:rsidR="00623058" w:rsidRPr="003F470F" w:rsidRDefault="00623058" w:rsidP="000D6664">
      <w:pPr>
        <w:pStyle w:val="GG-SDated"/>
        <w:spacing w:after="70"/>
        <w:ind w:left="284"/>
        <w:rPr>
          <w:lang w:val="en-US"/>
        </w:rPr>
      </w:pPr>
      <w:r w:rsidRPr="003F470F">
        <w:rPr>
          <w:b/>
          <w:lang w:val="en-US"/>
        </w:rPr>
        <w:t>“FBT”</w:t>
      </w:r>
      <w:r w:rsidRPr="003F470F">
        <w:rPr>
          <w:lang w:val="en-US"/>
        </w:rPr>
        <w:t xml:space="preserve"> means Fringe Benefits Tax.</w:t>
      </w:r>
    </w:p>
    <w:p w14:paraId="3BBF775F" w14:textId="77777777" w:rsidR="00623058" w:rsidRPr="003F470F" w:rsidRDefault="00623058" w:rsidP="00623058">
      <w:pPr>
        <w:pStyle w:val="GG-SDated"/>
        <w:ind w:left="284"/>
        <w:jc w:val="left"/>
      </w:pPr>
      <w:r w:rsidRPr="003F470F">
        <w:rPr>
          <w:b/>
        </w:rPr>
        <w:t>“Judges”</w:t>
      </w:r>
      <w:r w:rsidRPr="003F470F">
        <w:t xml:space="preserve"> means any of the following members of the judiciary:</w:t>
      </w:r>
      <w:r w:rsidRPr="003F470F">
        <w:br/>
        <w:t>the Chief Justice of the Supreme Court;</w:t>
      </w:r>
    </w:p>
    <w:p w14:paraId="3B5349EF" w14:textId="77777777" w:rsidR="00623058" w:rsidRPr="003F470F" w:rsidRDefault="00623058" w:rsidP="00623058">
      <w:pPr>
        <w:pStyle w:val="GG-SDated"/>
        <w:ind w:left="284"/>
      </w:pPr>
      <w:r w:rsidRPr="003F470F">
        <w:t>the President of the Court of Appeal;</w:t>
      </w:r>
    </w:p>
    <w:p w14:paraId="0548282D" w14:textId="77777777" w:rsidR="00623058" w:rsidRPr="003F470F" w:rsidRDefault="00623058" w:rsidP="00623058">
      <w:pPr>
        <w:pStyle w:val="GG-SDated"/>
        <w:ind w:left="284"/>
      </w:pPr>
      <w:r w:rsidRPr="003F470F">
        <w:t>the Puisne Judges of the Court of Appeal;</w:t>
      </w:r>
    </w:p>
    <w:p w14:paraId="3C39EB5D" w14:textId="77777777" w:rsidR="00623058" w:rsidRPr="003F470F" w:rsidRDefault="00623058" w:rsidP="00623058">
      <w:pPr>
        <w:pStyle w:val="GG-SDated"/>
        <w:ind w:left="284"/>
      </w:pPr>
      <w:r w:rsidRPr="003F470F">
        <w:t>the Puisne Judges of the Supreme Court;</w:t>
      </w:r>
    </w:p>
    <w:p w14:paraId="15071E49" w14:textId="77777777" w:rsidR="00623058" w:rsidRPr="003F470F" w:rsidRDefault="00623058" w:rsidP="00623058">
      <w:pPr>
        <w:pStyle w:val="GG-SDated"/>
        <w:ind w:left="284"/>
      </w:pPr>
      <w:r w:rsidRPr="003F470F">
        <w:t>the President of the South Australian Employment Tribunal;</w:t>
      </w:r>
    </w:p>
    <w:p w14:paraId="4D21A5A5" w14:textId="77777777" w:rsidR="00623058" w:rsidRPr="003F470F" w:rsidRDefault="00623058" w:rsidP="00623058">
      <w:pPr>
        <w:pStyle w:val="GG-SDated"/>
        <w:ind w:left="284"/>
      </w:pPr>
      <w:r w:rsidRPr="003F470F">
        <w:t>the Deputy Presidents of the South Australian Employment Tribunal;</w:t>
      </w:r>
    </w:p>
    <w:p w14:paraId="1EDC7D97" w14:textId="77777777" w:rsidR="00623058" w:rsidRPr="003F470F" w:rsidRDefault="00623058" w:rsidP="00623058">
      <w:pPr>
        <w:pStyle w:val="GG-SDated"/>
        <w:ind w:left="284"/>
      </w:pPr>
      <w:r w:rsidRPr="003F470F">
        <w:t>the Judges of the Environment, Resources and Development Court;</w:t>
      </w:r>
    </w:p>
    <w:p w14:paraId="0BCACABF" w14:textId="77777777" w:rsidR="00623058" w:rsidRPr="003F470F" w:rsidRDefault="00623058" w:rsidP="00623058">
      <w:pPr>
        <w:pStyle w:val="GG-SDated"/>
        <w:ind w:left="284"/>
      </w:pPr>
      <w:r w:rsidRPr="003F470F">
        <w:t>the Judges of the South Australian Employment Tribunal;</w:t>
      </w:r>
    </w:p>
    <w:p w14:paraId="7DD0C066" w14:textId="77777777" w:rsidR="00623058" w:rsidRPr="003F470F" w:rsidRDefault="00623058" w:rsidP="00623058">
      <w:pPr>
        <w:pStyle w:val="GG-SDated"/>
        <w:ind w:left="284"/>
      </w:pPr>
      <w:r w:rsidRPr="003F470F">
        <w:t>the Chief Judge of the District Court;</w:t>
      </w:r>
    </w:p>
    <w:p w14:paraId="4C72000A" w14:textId="77777777" w:rsidR="00623058" w:rsidRPr="003F470F" w:rsidRDefault="00623058" w:rsidP="00623058">
      <w:pPr>
        <w:pStyle w:val="GG-SDated"/>
        <w:ind w:left="284"/>
      </w:pPr>
      <w:r w:rsidRPr="003F470F">
        <w:t>the other District Court Judges;</w:t>
      </w:r>
    </w:p>
    <w:p w14:paraId="4C786A8E" w14:textId="77777777" w:rsidR="00623058" w:rsidRPr="003F470F" w:rsidRDefault="00623058" w:rsidP="00623058">
      <w:pPr>
        <w:pStyle w:val="GG-SDated"/>
        <w:ind w:left="284"/>
      </w:pPr>
      <w:r w:rsidRPr="003F470F">
        <w:t>the Chief Magistrate;</w:t>
      </w:r>
    </w:p>
    <w:p w14:paraId="429CAB25" w14:textId="77777777" w:rsidR="00623058" w:rsidRPr="003F470F" w:rsidRDefault="00623058" w:rsidP="00623058">
      <w:pPr>
        <w:pStyle w:val="GG-SDated"/>
        <w:ind w:left="284"/>
      </w:pPr>
      <w:r w:rsidRPr="003F470F">
        <w:t>the Magistrates of the South Australian Employment Tribunal;</w:t>
      </w:r>
    </w:p>
    <w:p w14:paraId="0F5E70F4" w14:textId="77777777" w:rsidR="00623058" w:rsidRPr="003F470F" w:rsidRDefault="00623058" w:rsidP="00623058">
      <w:pPr>
        <w:pStyle w:val="GG-SDated"/>
        <w:ind w:left="284"/>
      </w:pPr>
      <w:r w:rsidRPr="003F470F">
        <w:t>the other Magistrates;</w:t>
      </w:r>
    </w:p>
    <w:p w14:paraId="351FF132" w14:textId="77777777" w:rsidR="00623058" w:rsidRPr="003F470F" w:rsidRDefault="00623058" w:rsidP="00623058">
      <w:pPr>
        <w:pStyle w:val="GG-SDated"/>
        <w:ind w:left="284"/>
      </w:pPr>
      <w:r w:rsidRPr="003F470F">
        <w:t>the Masters of the Supreme Court; and</w:t>
      </w:r>
    </w:p>
    <w:p w14:paraId="2574D99E" w14:textId="77777777" w:rsidR="00623058" w:rsidRPr="003F470F" w:rsidRDefault="00623058" w:rsidP="00623058">
      <w:pPr>
        <w:pStyle w:val="GG-SDated"/>
        <w:spacing w:after="80"/>
        <w:ind w:left="284"/>
      </w:pPr>
      <w:r w:rsidRPr="003F470F">
        <w:t>the Masters of the District Court.</w:t>
      </w:r>
    </w:p>
    <w:p w14:paraId="0ECD3CB2" w14:textId="77777777" w:rsidR="00623058" w:rsidRPr="003F470F" w:rsidRDefault="00623058" w:rsidP="00623058">
      <w:pPr>
        <w:pStyle w:val="GG-SDated"/>
        <w:spacing w:after="80"/>
        <w:ind w:left="284"/>
        <w:rPr>
          <w:lang w:val="en-US"/>
        </w:rPr>
      </w:pPr>
      <w:r w:rsidRPr="003F470F">
        <w:rPr>
          <w:b/>
          <w:bCs/>
          <w:lang w:val="en-US"/>
        </w:rPr>
        <w:t xml:space="preserve">“Nominee” </w:t>
      </w:r>
      <w:r w:rsidRPr="003F470F">
        <w:rPr>
          <w:lang w:val="en-US"/>
        </w:rPr>
        <w:t>means the Panel Member selected by the office holder to administer his or her Salary Sacrifice Arrangement.</w:t>
      </w:r>
    </w:p>
    <w:p w14:paraId="729E3847" w14:textId="77777777" w:rsidR="00623058" w:rsidRPr="003F470F" w:rsidRDefault="00623058" w:rsidP="00623058">
      <w:pPr>
        <w:pStyle w:val="GG-SDated"/>
        <w:spacing w:after="80"/>
        <w:ind w:left="284"/>
        <w:rPr>
          <w:lang w:val="en-US"/>
        </w:rPr>
      </w:pPr>
      <w:r w:rsidRPr="003F470F">
        <w:rPr>
          <w:b/>
          <w:bCs/>
          <w:lang w:val="en-US"/>
        </w:rPr>
        <w:t xml:space="preserve">“Offer” </w:t>
      </w:r>
      <w:r w:rsidRPr="003F470F">
        <w:rPr>
          <w:lang w:val="en-US"/>
        </w:rPr>
        <w:t xml:space="preserve">means an offer by a Paying Authority to enter into a Salary Sacrifice Arrangement in the form set out in </w:t>
      </w:r>
      <w:r w:rsidRPr="003F470F">
        <w:rPr>
          <w:b/>
          <w:bCs/>
          <w:lang w:val="en-US"/>
        </w:rPr>
        <w:t>Schedule 1</w:t>
      </w:r>
      <w:r w:rsidRPr="003F470F">
        <w:rPr>
          <w:lang w:val="en-US"/>
        </w:rPr>
        <w:t>.</w:t>
      </w:r>
    </w:p>
    <w:p w14:paraId="3AE1DDCD" w14:textId="77777777" w:rsidR="00623058" w:rsidRPr="003F470F" w:rsidRDefault="00623058" w:rsidP="00623058">
      <w:pPr>
        <w:pStyle w:val="GG-SDated"/>
        <w:spacing w:after="80"/>
        <w:ind w:left="284"/>
        <w:rPr>
          <w:lang w:val="en-US"/>
        </w:rPr>
      </w:pPr>
      <w:r w:rsidRPr="003F470F">
        <w:rPr>
          <w:b/>
          <w:bCs/>
          <w:lang w:val="en-US"/>
        </w:rPr>
        <w:t xml:space="preserve">“Office Holder” </w:t>
      </w:r>
      <w:r w:rsidRPr="003F470F">
        <w:rPr>
          <w:lang w:val="en-US"/>
        </w:rPr>
        <w:t>means any of the judges, court officers, or statutory officers.</w:t>
      </w:r>
    </w:p>
    <w:p w14:paraId="0606CB6E" w14:textId="2691E887" w:rsidR="000D6664" w:rsidRDefault="00623058" w:rsidP="00623058">
      <w:pPr>
        <w:pStyle w:val="GG-SDated"/>
        <w:spacing w:after="80"/>
        <w:ind w:left="284"/>
        <w:rPr>
          <w:lang w:val="en-US"/>
        </w:rPr>
      </w:pPr>
      <w:r w:rsidRPr="003F470F">
        <w:rPr>
          <w:b/>
          <w:lang w:val="en-US"/>
        </w:rPr>
        <w:t>“Panel Agreement”</w:t>
      </w:r>
      <w:r w:rsidRPr="003F470F">
        <w:rPr>
          <w:lang w:val="en-US"/>
        </w:rPr>
        <w:t xml:space="preserve"> means an agreement between the Crown and a Panel Member for the purposes of engaging a person in order to implement and facilitate the performance of salary sacrifice agreements for office holders and public sector employees the terms of which are as approved from time to time by the Commissioner.</w:t>
      </w:r>
    </w:p>
    <w:p w14:paraId="46924E7F" w14:textId="77777777" w:rsidR="000D6664" w:rsidRDefault="000D6664">
      <w:pPr>
        <w:spacing w:after="0" w:line="240" w:lineRule="auto"/>
        <w:jc w:val="left"/>
        <w:rPr>
          <w:rFonts w:eastAsia="Times New Roman"/>
          <w:szCs w:val="17"/>
          <w:lang w:val="en-US"/>
        </w:rPr>
      </w:pPr>
      <w:r>
        <w:rPr>
          <w:lang w:val="en-US"/>
        </w:rPr>
        <w:br w:type="page"/>
      </w:r>
    </w:p>
    <w:p w14:paraId="4DB6F927" w14:textId="77777777" w:rsidR="00623058" w:rsidRPr="003F470F" w:rsidRDefault="00623058" w:rsidP="00623058">
      <w:pPr>
        <w:pStyle w:val="GG-SDated"/>
        <w:spacing w:after="80"/>
        <w:ind w:left="284"/>
        <w:rPr>
          <w:lang w:val="en-US"/>
        </w:rPr>
      </w:pPr>
      <w:r w:rsidRPr="003F470F">
        <w:rPr>
          <w:b/>
          <w:bCs/>
          <w:lang w:val="en-US"/>
        </w:rPr>
        <w:lastRenderedPageBreak/>
        <w:t xml:space="preserve">“Panel Member” </w:t>
      </w:r>
      <w:r w:rsidRPr="003F470F">
        <w:rPr>
          <w:lang w:val="en-US"/>
        </w:rPr>
        <w:t>means either:</w:t>
      </w:r>
    </w:p>
    <w:p w14:paraId="7F811DDD" w14:textId="77777777" w:rsidR="00623058" w:rsidRPr="003F470F" w:rsidRDefault="00623058" w:rsidP="009B29CF">
      <w:pPr>
        <w:pStyle w:val="GG-SDated"/>
        <w:numPr>
          <w:ilvl w:val="0"/>
          <w:numId w:val="107"/>
        </w:numPr>
        <w:spacing w:after="80"/>
        <w:ind w:left="709" w:hanging="425"/>
        <w:rPr>
          <w:lang w:val="en-US"/>
        </w:rPr>
      </w:pPr>
      <w:r w:rsidRPr="003F470F">
        <w:rPr>
          <w:lang w:val="en-US"/>
        </w:rPr>
        <w:t>Maxxia Pty Ltd ACN 082 449 036; or</w:t>
      </w:r>
    </w:p>
    <w:p w14:paraId="1763992E" w14:textId="77777777" w:rsidR="00623058" w:rsidRPr="003F470F" w:rsidRDefault="00623058" w:rsidP="009B29CF">
      <w:pPr>
        <w:pStyle w:val="GG-SDated"/>
        <w:numPr>
          <w:ilvl w:val="0"/>
          <w:numId w:val="107"/>
        </w:numPr>
        <w:spacing w:after="80"/>
        <w:ind w:left="709" w:hanging="425"/>
        <w:rPr>
          <w:lang w:val="en-US"/>
        </w:rPr>
      </w:pPr>
      <w:r w:rsidRPr="003F470F">
        <w:rPr>
          <w:lang w:val="en-US"/>
        </w:rPr>
        <w:t>any other person contracted by the Crown in right of the State of South Australia under a Panel Agreement for the purposes of implementing and facilitating the implementation of salary sacrifice agreements under this Determination.</w:t>
      </w:r>
    </w:p>
    <w:p w14:paraId="62F830C8" w14:textId="77777777" w:rsidR="00623058" w:rsidRPr="003F470F" w:rsidRDefault="00623058" w:rsidP="00623058">
      <w:pPr>
        <w:pStyle w:val="GG-SDated"/>
        <w:spacing w:after="80"/>
        <w:ind w:left="284"/>
        <w:rPr>
          <w:lang w:val="en-US"/>
        </w:rPr>
      </w:pPr>
      <w:r w:rsidRPr="003F470F">
        <w:rPr>
          <w:b/>
          <w:lang w:val="en-US"/>
        </w:rPr>
        <w:t>“Paying Authority”</w:t>
      </w:r>
      <w:r w:rsidRPr="003F470F">
        <w:rPr>
          <w:lang w:val="en-US"/>
        </w:rPr>
        <w:t xml:space="preserve"> means, in respect of each office holder, the person or body responsible for paying salary and allowances to the office holder on behalf of the Crown, and includes the Crown.</w:t>
      </w:r>
    </w:p>
    <w:p w14:paraId="667455E6" w14:textId="77777777" w:rsidR="00623058" w:rsidRPr="003F470F" w:rsidRDefault="00623058" w:rsidP="00623058">
      <w:pPr>
        <w:pStyle w:val="GG-SDated"/>
        <w:spacing w:after="80"/>
        <w:ind w:left="284"/>
        <w:rPr>
          <w:lang w:val="en-US"/>
        </w:rPr>
      </w:pPr>
      <w:r w:rsidRPr="003F470F">
        <w:rPr>
          <w:b/>
          <w:lang w:val="en-US"/>
        </w:rPr>
        <w:t>“Sacrificed Amount”</w:t>
      </w:r>
      <w:r w:rsidRPr="003F470F">
        <w:rPr>
          <w:lang w:val="en-US"/>
        </w:rPr>
        <w:t xml:space="preserve"> means the amount that an office holder may specify as a portion of the office holder’s salary for an FBT year that is to be sacrificed in advance prior to earning the same during the period covered by the Determination.</w:t>
      </w:r>
    </w:p>
    <w:p w14:paraId="18105251" w14:textId="77777777" w:rsidR="00623058" w:rsidRPr="003F470F" w:rsidRDefault="00623058" w:rsidP="00623058">
      <w:pPr>
        <w:pStyle w:val="GG-SDated"/>
        <w:spacing w:after="80"/>
        <w:ind w:left="284"/>
        <w:rPr>
          <w:i/>
          <w:iCs/>
          <w:lang w:val="en-US"/>
        </w:rPr>
      </w:pPr>
      <w:r w:rsidRPr="003F470F">
        <w:rPr>
          <w:b/>
          <w:bCs/>
          <w:lang w:val="en-US"/>
        </w:rPr>
        <w:t xml:space="preserve">“Salary Sacrifice Arrangement” </w:t>
      </w:r>
      <w:r w:rsidRPr="003F470F">
        <w:rPr>
          <w:lang w:val="en-US"/>
        </w:rPr>
        <w:t xml:space="preserve">means a salary sacrifice arrangement in accordance with this Determination and the </w:t>
      </w:r>
      <w:r w:rsidRPr="003F470F">
        <w:rPr>
          <w:i/>
          <w:lang w:val="en-US"/>
        </w:rPr>
        <w:t>“Guideline of the Commissioner for Public Sector Employment, Salary Sacrifice”</w:t>
      </w:r>
      <w:r w:rsidRPr="003F470F">
        <w:rPr>
          <w:lang w:val="en-US"/>
        </w:rPr>
        <w:t xml:space="preserve"> issued by the Commissioner for Public Sector Employment as updated from time to time.</w:t>
      </w:r>
    </w:p>
    <w:p w14:paraId="4532A745" w14:textId="77777777" w:rsidR="00623058" w:rsidRPr="003F470F" w:rsidRDefault="00623058" w:rsidP="00623058">
      <w:pPr>
        <w:pStyle w:val="GG-SDated"/>
        <w:spacing w:after="80"/>
        <w:ind w:left="284"/>
        <w:rPr>
          <w:lang w:val="en-US"/>
        </w:rPr>
      </w:pPr>
      <w:r w:rsidRPr="003F470F">
        <w:rPr>
          <w:b/>
          <w:bCs/>
          <w:lang w:val="en-US"/>
        </w:rPr>
        <w:t xml:space="preserve">“Service Agreement” </w:t>
      </w:r>
      <w:r w:rsidRPr="003F470F">
        <w:rPr>
          <w:lang w:val="en-US"/>
        </w:rPr>
        <w:t>means an agreement made between an office holder and a Panel Member which describes the terms and conditions under which the Panel Member will implement salary sacrifice for the office holder the terms of which will be as approved from time to time by the Commissioner for Public Sector Employment.</w:t>
      </w:r>
    </w:p>
    <w:p w14:paraId="4347E499" w14:textId="77777777" w:rsidR="00623058" w:rsidRPr="003F470F" w:rsidRDefault="00623058" w:rsidP="00623058">
      <w:pPr>
        <w:pStyle w:val="GG-SDated"/>
        <w:spacing w:after="80"/>
        <w:ind w:left="284"/>
      </w:pPr>
      <w:r w:rsidRPr="003F470F">
        <w:rPr>
          <w:b/>
        </w:rPr>
        <w:t>“Statutory</w:t>
      </w:r>
      <w:r w:rsidRPr="003F470F">
        <w:t xml:space="preserve"> </w:t>
      </w:r>
      <w:r w:rsidRPr="003F470F">
        <w:rPr>
          <w:b/>
        </w:rPr>
        <w:t>Officers</w:t>
      </w:r>
      <w:r w:rsidRPr="003F470F">
        <w:t>” means any of the following statutory office holders:</w:t>
      </w:r>
    </w:p>
    <w:p w14:paraId="381995F4" w14:textId="77777777" w:rsidR="00623058" w:rsidRPr="003F470F" w:rsidRDefault="00623058" w:rsidP="00623058">
      <w:pPr>
        <w:pStyle w:val="GG-SDated"/>
        <w:ind w:left="284"/>
      </w:pPr>
      <w:r w:rsidRPr="003F470F">
        <w:t>the Auditor-General;</w:t>
      </w:r>
    </w:p>
    <w:p w14:paraId="489A7959" w14:textId="77777777" w:rsidR="00623058" w:rsidRPr="003F470F" w:rsidRDefault="00623058" w:rsidP="00623058">
      <w:pPr>
        <w:pStyle w:val="GG-SDated"/>
        <w:ind w:left="284"/>
      </w:pPr>
      <w:r w:rsidRPr="003F470F">
        <w:t>the Electoral Commissioner;</w:t>
      </w:r>
    </w:p>
    <w:p w14:paraId="692E1EA6" w14:textId="77777777" w:rsidR="00623058" w:rsidRPr="003F470F" w:rsidRDefault="00623058" w:rsidP="00623058">
      <w:pPr>
        <w:pStyle w:val="GG-SDated"/>
        <w:ind w:left="284"/>
      </w:pPr>
      <w:r w:rsidRPr="003F470F">
        <w:t>the Deputy Electoral Commissioner; and</w:t>
      </w:r>
    </w:p>
    <w:p w14:paraId="295AC5E9" w14:textId="77777777" w:rsidR="00623058" w:rsidRPr="003F470F" w:rsidRDefault="00623058" w:rsidP="00623058">
      <w:pPr>
        <w:pStyle w:val="GG-SDated"/>
        <w:spacing w:after="80"/>
        <w:ind w:left="284"/>
      </w:pPr>
      <w:r w:rsidRPr="003F470F">
        <w:t>the Health and Community Services Complaints Commissioner.</w:t>
      </w:r>
    </w:p>
    <w:p w14:paraId="1A673BF0" w14:textId="77777777" w:rsidR="00623058" w:rsidRPr="003F470F" w:rsidRDefault="00623058" w:rsidP="00623058">
      <w:pPr>
        <w:pStyle w:val="GG-SDated"/>
        <w:spacing w:after="80"/>
        <w:ind w:left="284"/>
        <w:rPr>
          <w:lang w:val="en-US"/>
        </w:rPr>
      </w:pPr>
      <w:r w:rsidRPr="003F470F">
        <w:rPr>
          <w:b/>
          <w:bCs/>
          <w:lang w:val="en-US"/>
        </w:rPr>
        <w:t xml:space="preserve">"Triple S scheme" </w:t>
      </w:r>
      <w:r w:rsidRPr="003F470F">
        <w:rPr>
          <w:lang w:val="en-US"/>
        </w:rPr>
        <w:t>means the Southern State Superannuation Scheme</w:t>
      </w:r>
    </w:p>
    <w:p w14:paraId="057313D3" w14:textId="77777777" w:rsidR="00623058" w:rsidRPr="003F470F" w:rsidRDefault="00623058" w:rsidP="00623058">
      <w:pPr>
        <w:pStyle w:val="GG-SDated"/>
        <w:spacing w:after="80"/>
        <w:ind w:left="284"/>
        <w:rPr>
          <w:lang w:val="en-US"/>
        </w:rPr>
      </w:pPr>
      <w:r w:rsidRPr="003F470F">
        <w:rPr>
          <w:lang w:val="en-US"/>
        </w:rPr>
        <w:t xml:space="preserve">established by the </w:t>
      </w:r>
      <w:r w:rsidRPr="003F470F">
        <w:rPr>
          <w:i/>
          <w:iCs/>
          <w:lang w:val="en-US"/>
        </w:rPr>
        <w:t>Southern State Superannuation Act 2009</w:t>
      </w:r>
      <w:r w:rsidRPr="003F470F">
        <w:rPr>
          <w:lang w:val="en-US"/>
        </w:rPr>
        <w:t>.</w:t>
      </w:r>
    </w:p>
    <w:p w14:paraId="2ACC2A85" w14:textId="77777777" w:rsidR="00623058" w:rsidRPr="003F470F" w:rsidRDefault="00623058" w:rsidP="009B29CF">
      <w:pPr>
        <w:pStyle w:val="GG-SDated"/>
        <w:numPr>
          <w:ilvl w:val="0"/>
          <w:numId w:val="110"/>
        </w:numPr>
        <w:spacing w:after="80"/>
        <w:ind w:left="284" w:hanging="284"/>
        <w:rPr>
          <w:lang w:val="en-US"/>
        </w:rPr>
      </w:pPr>
      <w:r w:rsidRPr="003F470F">
        <w:rPr>
          <w:lang w:val="en-US"/>
        </w:rPr>
        <w:t xml:space="preserve">In the interpretation of this Determination and any </w:t>
      </w:r>
      <w:r w:rsidRPr="003F470F">
        <w:rPr>
          <w:b/>
          <w:bCs/>
          <w:lang w:val="en-US"/>
        </w:rPr>
        <w:t>Schedule</w:t>
      </w:r>
      <w:r w:rsidRPr="003F470F">
        <w:rPr>
          <w:lang w:val="en-US"/>
        </w:rPr>
        <w:t xml:space="preserve"> of this Determination:</w:t>
      </w:r>
    </w:p>
    <w:p w14:paraId="7587F1E0" w14:textId="77777777" w:rsidR="00623058" w:rsidRPr="003F470F" w:rsidRDefault="00623058" w:rsidP="009B29CF">
      <w:pPr>
        <w:pStyle w:val="GG-SDated"/>
        <w:numPr>
          <w:ilvl w:val="0"/>
          <w:numId w:val="112"/>
        </w:numPr>
        <w:spacing w:after="80"/>
        <w:ind w:left="567" w:hanging="283"/>
        <w:rPr>
          <w:lang w:val="en-US"/>
        </w:rPr>
      </w:pPr>
      <w:r w:rsidRPr="003F470F">
        <w:rPr>
          <w:lang w:val="en-US"/>
        </w:rPr>
        <w:t>where appropriate, words denoting the singular include the plural and vice versa;</w:t>
      </w:r>
    </w:p>
    <w:p w14:paraId="7B571C1A" w14:textId="77777777" w:rsidR="00623058" w:rsidRPr="003F470F" w:rsidRDefault="00623058" w:rsidP="009B29CF">
      <w:pPr>
        <w:pStyle w:val="GG-SDated"/>
        <w:numPr>
          <w:ilvl w:val="0"/>
          <w:numId w:val="112"/>
        </w:numPr>
        <w:spacing w:after="80"/>
        <w:ind w:left="567" w:hanging="283"/>
        <w:rPr>
          <w:lang w:val="en-US"/>
        </w:rPr>
      </w:pPr>
      <w:r w:rsidRPr="003F470F">
        <w:rPr>
          <w:lang w:val="en-US"/>
        </w:rPr>
        <w:t>words importing one gender shall include a reference to all other genders;</w:t>
      </w:r>
    </w:p>
    <w:p w14:paraId="57DE09DB" w14:textId="77777777" w:rsidR="00623058" w:rsidRPr="003F470F" w:rsidRDefault="00623058" w:rsidP="009B29CF">
      <w:pPr>
        <w:pStyle w:val="GG-SDated"/>
        <w:numPr>
          <w:ilvl w:val="0"/>
          <w:numId w:val="112"/>
        </w:numPr>
        <w:spacing w:after="80"/>
        <w:ind w:left="567" w:hanging="283"/>
        <w:rPr>
          <w:lang w:val="en-US"/>
        </w:rPr>
      </w:pPr>
      <w:r w:rsidRPr="003F470F">
        <w:rPr>
          <w:lang w:val="en-US"/>
        </w:rPr>
        <w:t>the headings to the clauses in this Determination have been inserted for convenience of reference only and are not intended to be part of or to affect the meaning or interpretation of any of the terms or conditions of this Determination;</w:t>
      </w:r>
    </w:p>
    <w:p w14:paraId="7C2CEC7F" w14:textId="77777777" w:rsidR="00623058" w:rsidRPr="003F470F" w:rsidRDefault="00623058" w:rsidP="009B29CF">
      <w:pPr>
        <w:pStyle w:val="GG-SDated"/>
        <w:numPr>
          <w:ilvl w:val="0"/>
          <w:numId w:val="112"/>
        </w:numPr>
        <w:spacing w:after="80"/>
        <w:ind w:left="567" w:hanging="283"/>
        <w:rPr>
          <w:lang w:val="en-US"/>
        </w:rPr>
      </w:pPr>
      <w:r w:rsidRPr="003F470F">
        <w:rPr>
          <w:lang w:val="en-US"/>
        </w:rPr>
        <w:t>a reference to a person includes a reference to corporations and other entities recognised by law;</w:t>
      </w:r>
    </w:p>
    <w:p w14:paraId="6279D173" w14:textId="77777777" w:rsidR="00623058" w:rsidRPr="003F470F" w:rsidRDefault="00623058" w:rsidP="009B29CF">
      <w:pPr>
        <w:pStyle w:val="GG-SDated"/>
        <w:numPr>
          <w:ilvl w:val="0"/>
          <w:numId w:val="112"/>
        </w:numPr>
        <w:spacing w:after="80"/>
        <w:ind w:left="567" w:hanging="283"/>
        <w:rPr>
          <w:lang w:val="en-US"/>
        </w:rPr>
      </w:pPr>
      <w:r w:rsidRPr="003F470F">
        <w:rPr>
          <w:lang w:val="en-US"/>
        </w:rPr>
        <w:t xml:space="preserve">reference to a clause or </w:t>
      </w:r>
      <w:r w:rsidRPr="003F470F">
        <w:rPr>
          <w:b/>
          <w:bCs/>
          <w:lang w:val="en-US"/>
        </w:rPr>
        <w:t xml:space="preserve">Schedule </w:t>
      </w:r>
      <w:r w:rsidRPr="003F470F">
        <w:rPr>
          <w:lang w:val="en-US"/>
        </w:rPr>
        <w:t xml:space="preserve">is a reference to a clause or </w:t>
      </w:r>
      <w:r w:rsidRPr="003F470F">
        <w:rPr>
          <w:b/>
          <w:lang w:val="en-US"/>
        </w:rPr>
        <w:t>S</w:t>
      </w:r>
      <w:r w:rsidRPr="003F470F">
        <w:rPr>
          <w:b/>
          <w:bCs/>
          <w:lang w:val="en-US"/>
        </w:rPr>
        <w:t xml:space="preserve">chedule </w:t>
      </w:r>
      <w:r w:rsidRPr="003F470F">
        <w:rPr>
          <w:lang w:val="en-US"/>
        </w:rPr>
        <w:t>of this Determination; and</w:t>
      </w:r>
    </w:p>
    <w:p w14:paraId="766518CB" w14:textId="77777777" w:rsidR="00623058" w:rsidRPr="003F470F" w:rsidRDefault="00623058" w:rsidP="009B29CF">
      <w:pPr>
        <w:pStyle w:val="GG-SDated"/>
        <w:numPr>
          <w:ilvl w:val="0"/>
          <w:numId w:val="112"/>
        </w:numPr>
        <w:spacing w:after="80"/>
        <w:ind w:left="567" w:hanging="283"/>
        <w:rPr>
          <w:lang w:val="en-US"/>
        </w:rPr>
      </w:pPr>
      <w:r w:rsidRPr="003F470F">
        <w:rPr>
          <w:lang w:val="en-US"/>
        </w:rPr>
        <w:t>reference to any Act, regulation, ruling or by-law shall be deemed to include all amendments thereto and all statutory provisions substituted thereafter.</w:t>
      </w:r>
    </w:p>
    <w:p w14:paraId="1F7512CB" w14:textId="77777777" w:rsidR="00623058" w:rsidRPr="003F470F" w:rsidRDefault="00623058" w:rsidP="00623058">
      <w:pPr>
        <w:pStyle w:val="GG-SDated"/>
        <w:spacing w:after="80"/>
        <w:rPr>
          <w:b/>
          <w:bCs/>
          <w:lang w:val="en-US"/>
        </w:rPr>
      </w:pPr>
      <w:bookmarkStart w:id="78" w:name="_Toc524960874"/>
      <w:r w:rsidRPr="003F470F">
        <w:rPr>
          <w:b/>
          <w:bCs/>
          <w:lang w:val="en-US"/>
        </w:rPr>
        <w:t>PRINCIPLES OF SALARY SACRIFICE</w:t>
      </w:r>
      <w:bookmarkEnd w:id="78"/>
    </w:p>
    <w:p w14:paraId="695EB0B6" w14:textId="77777777" w:rsidR="00623058" w:rsidRPr="003F470F" w:rsidRDefault="00623058" w:rsidP="009B29CF">
      <w:pPr>
        <w:pStyle w:val="GG-SDated"/>
        <w:numPr>
          <w:ilvl w:val="0"/>
          <w:numId w:val="110"/>
        </w:numPr>
        <w:spacing w:after="80"/>
        <w:ind w:left="284" w:hanging="284"/>
        <w:rPr>
          <w:lang w:val="en-US"/>
        </w:rPr>
      </w:pPr>
      <w:r w:rsidRPr="003F470F">
        <w:rPr>
          <w:lang w:val="en-US"/>
        </w:rPr>
        <w:t>A salary sacrifice arrangement is to be made available to office holders on the following basis:</w:t>
      </w:r>
    </w:p>
    <w:p w14:paraId="70AE3472" w14:textId="77777777" w:rsidR="00623058" w:rsidRPr="003F470F" w:rsidRDefault="00623058" w:rsidP="009B29CF">
      <w:pPr>
        <w:pStyle w:val="GG-SDated"/>
        <w:numPr>
          <w:ilvl w:val="0"/>
          <w:numId w:val="109"/>
        </w:numPr>
        <w:spacing w:after="80"/>
        <w:ind w:left="709" w:hanging="425"/>
        <w:rPr>
          <w:lang w:val="en-US"/>
        </w:rPr>
      </w:pPr>
      <w:r w:rsidRPr="003F470F">
        <w:rPr>
          <w:lang w:val="en-US"/>
        </w:rPr>
        <w:t>it involves no additional cost to the Paying Authority;</w:t>
      </w:r>
    </w:p>
    <w:p w14:paraId="661EDCB1" w14:textId="77777777" w:rsidR="00623058" w:rsidRPr="003F470F" w:rsidRDefault="00623058" w:rsidP="009B29CF">
      <w:pPr>
        <w:pStyle w:val="GG-SDated"/>
        <w:numPr>
          <w:ilvl w:val="0"/>
          <w:numId w:val="109"/>
        </w:numPr>
        <w:spacing w:after="80"/>
        <w:ind w:left="709" w:hanging="425"/>
        <w:rPr>
          <w:lang w:val="en-US"/>
        </w:rPr>
      </w:pPr>
      <w:r w:rsidRPr="003F470F">
        <w:rPr>
          <w:lang w:val="en-US"/>
        </w:rPr>
        <w:t>an office holder entering into a salary sacrifice arrangement (“participating officer”) must pay all costs associated with providing the salary sacrifice, including:</w:t>
      </w:r>
    </w:p>
    <w:p w14:paraId="49056611" w14:textId="77777777" w:rsidR="00623058" w:rsidRPr="003F470F" w:rsidRDefault="00623058" w:rsidP="009B29CF">
      <w:pPr>
        <w:pStyle w:val="GG-SDated"/>
        <w:numPr>
          <w:ilvl w:val="0"/>
          <w:numId w:val="108"/>
        </w:numPr>
        <w:spacing w:after="80"/>
        <w:ind w:left="1134" w:hanging="425"/>
        <w:rPr>
          <w:lang w:val="en-US"/>
        </w:rPr>
      </w:pPr>
      <w:r w:rsidRPr="003F470F">
        <w:rPr>
          <w:lang w:val="en-US"/>
        </w:rPr>
        <w:t>any taxation liability whatsoever, including (without limiting the foregoing) Fringe Benefits Tax (“FBT”), incurred by the Paying Authority as a result of the office holder entering into a salary sacrifice;</w:t>
      </w:r>
    </w:p>
    <w:p w14:paraId="6F296600" w14:textId="77777777" w:rsidR="00623058" w:rsidRPr="003F470F" w:rsidRDefault="00623058" w:rsidP="009B29CF">
      <w:pPr>
        <w:pStyle w:val="GG-SDated"/>
        <w:numPr>
          <w:ilvl w:val="0"/>
          <w:numId w:val="108"/>
        </w:numPr>
        <w:spacing w:after="80"/>
        <w:ind w:left="1134" w:hanging="425"/>
        <w:rPr>
          <w:lang w:val="en-US"/>
        </w:rPr>
      </w:pPr>
      <w:r w:rsidRPr="003F470F">
        <w:rPr>
          <w:lang w:val="en-US"/>
        </w:rPr>
        <w:t>the cost incurred by the Paying Authority in setting up each individual salary sacrifice; and</w:t>
      </w:r>
    </w:p>
    <w:p w14:paraId="223B0750" w14:textId="77777777" w:rsidR="00623058" w:rsidRPr="003F470F" w:rsidRDefault="00623058" w:rsidP="009B29CF">
      <w:pPr>
        <w:pStyle w:val="GG-SDated"/>
        <w:numPr>
          <w:ilvl w:val="0"/>
          <w:numId w:val="108"/>
        </w:numPr>
        <w:spacing w:after="80"/>
        <w:ind w:left="1134" w:hanging="425"/>
        <w:rPr>
          <w:lang w:val="en-US"/>
        </w:rPr>
      </w:pPr>
      <w:r w:rsidRPr="003F470F">
        <w:rPr>
          <w:lang w:val="en-US"/>
        </w:rPr>
        <w:t>any administration fee charged by the office holder’s nominated Panel Member;</w:t>
      </w:r>
    </w:p>
    <w:p w14:paraId="4D943E89" w14:textId="77777777" w:rsidR="00623058" w:rsidRPr="003F470F" w:rsidRDefault="00623058" w:rsidP="009B29CF">
      <w:pPr>
        <w:pStyle w:val="GG-SDated"/>
        <w:numPr>
          <w:ilvl w:val="0"/>
          <w:numId w:val="109"/>
        </w:numPr>
        <w:spacing w:after="80"/>
        <w:ind w:left="709" w:hanging="425"/>
        <w:rPr>
          <w:lang w:val="en-US"/>
        </w:rPr>
      </w:pPr>
      <w:r w:rsidRPr="003F470F">
        <w:rPr>
          <w:lang w:val="en-US"/>
        </w:rPr>
        <w:t>salary may only be sacrificed by an office holder for an Approved Purpose;</w:t>
      </w:r>
    </w:p>
    <w:p w14:paraId="4B2FE9A2" w14:textId="77777777" w:rsidR="00623058" w:rsidRPr="003F470F" w:rsidRDefault="00623058" w:rsidP="009B29CF">
      <w:pPr>
        <w:pStyle w:val="GG-SDated"/>
        <w:numPr>
          <w:ilvl w:val="0"/>
          <w:numId w:val="109"/>
        </w:numPr>
        <w:spacing w:after="80"/>
        <w:ind w:left="709" w:hanging="425"/>
        <w:rPr>
          <w:lang w:val="en-US"/>
        </w:rPr>
      </w:pPr>
      <w:r w:rsidRPr="003F470F">
        <w:rPr>
          <w:lang w:val="en-US"/>
        </w:rPr>
        <w:t>an office holder must appoint a Panel Member to administer the office holder’s salary sacrifice arrangements; except where the office holder’s Salary Sacrifice Arrangement only involves sacrifice of salary into the Triple S Scheme</w:t>
      </w:r>
      <w:bookmarkStart w:id="79" w:name="_Hlk121330934"/>
      <w:r w:rsidRPr="003F470F">
        <w:rPr>
          <w:lang w:val="en-US"/>
        </w:rPr>
        <w:t xml:space="preserve"> or a fund selected under section 21C of the </w:t>
      </w:r>
      <w:r w:rsidRPr="003F470F">
        <w:rPr>
          <w:i/>
          <w:iCs/>
          <w:lang w:val="en-US"/>
        </w:rPr>
        <w:t>Southern State Superannuation Act 2009</w:t>
      </w:r>
      <w:bookmarkEnd w:id="79"/>
      <w:r w:rsidRPr="003F470F">
        <w:rPr>
          <w:lang w:val="en-US"/>
        </w:rPr>
        <w:t>.</w:t>
      </w:r>
    </w:p>
    <w:p w14:paraId="0822B9DB" w14:textId="77777777" w:rsidR="00623058" w:rsidRPr="003F470F" w:rsidRDefault="00623058" w:rsidP="009B29CF">
      <w:pPr>
        <w:pStyle w:val="GG-SDated"/>
        <w:numPr>
          <w:ilvl w:val="0"/>
          <w:numId w:val="109"/>
        </w:numPr>
        <w:spacing w:after="80"/>
        <w:ind w:left="709" w:hanging="425"/>
        <w:rPr>
          <w:lang w:val="en-US"/>
        </w:rPr>
      </w:pPr>
      <w:r w:rsidRPr="003F470F">
        <w:rPr>
          <w:lang w:val="en-US"/>
        </w:rPr>
        <w:t>an office holder must pay to the Paying Authority the Administration Fee as specified in clause 1 herein to partially offset the Paying Authority’s administration costs in establishing the salary sacrifice arrangement, and</w:t>
      </w:r>
    </w:p>
    <w:p w14:paraId="3740BD68" w14:textId="77777777" w:rsidR="00623058" w:rsidRPr="003F470F" w:rsidRDefault="00623058" w:rsidP="009B29CF">
      <w:pPr>
        <w:pStyle w:val="GG-SDated"/>
        <w:numPr>
          <w:ilvl w:val="0"/>
          <w:numId w:val="109"/>
        </w:numPr>
        <w:spacing w:after="80"/>
        <w:ind w:left="709" w:hanging="425"/>
        <w:rPr>
          <w:lang w:val="en-US"/>
        </w:rPr>
      </w:pPr>
      <w:r w:rsidRPr="003F470F">
        <w:rPr>
          <w:lang w:val="en-US"/>
        </w:rPr>
        <w:t>the Panel Member will act as agent of the Paying Authority for the purposes of administering the salary sacrifice arrangement.</w:t>
      </w:r>
    </w:p>
    <w:p w14:paraId="49AF171F" w14:textId="77777777" w:rsidR="00623058" w:rsidRPr="003F470F" w:rsidRDefault="00623058" w:rsidP="00623058">
      <w:pPr>
        <w:pStyle w:val="GG-SDated"/>
        <w:spacing w:after="80"/>
        <w:rPr>
          <w:b/>
          <w:bCs/>
          <w:lang w:val="en-US"/>
        </w:rPr>
      </w:pPr>
      <w:bookmarkStart w:id="80" w:name="_Toc524960875"/>
      <w:r w:rsidRPr="003F470F">
        <w:rPr>
          <w:b/>
          <w:bCs/>
          <w:lang w:val="en-US"/>
        </w:rPr>
        <w:t>IMPLEMENTATION OF SALARY SACRIFICE</w:t>
      </w:r>
      <w:bookmarkEnd w:id="80"/>
    </w:p>
    <w:p w14:paraId="5D16E005" w14:textId="77777777" w:rsidR="00623058" w:rsidRPr="003F470F" w:rsidRDefault="00623058" w:rsidP="009B29CF">
      <w:pPr>
        <w:pStyle w:val="GG-SDated"/>
        <w:numPr>
          <w:ilvl w:val="0"/>
          <w:numId w:val="110"/>
        </w:numPr>
        <w:spacing w:after="80"/>
        <w:ind w:left="284" w:hanging="284"/>
        <w:rPr>
          <w:lang w:val="en-US"/>
        </w:rPr>
      </w:pPr>
      <w:r w:rsidRPr="003F470F">
        <w:rPr>
          <w:lang w:val="en-US"/>
        </w:rPr>
        <w:t>The Crown must give effect to a Salary Sacrifice Arrangement the terms of which must not be inconsistent with this Determination including Schedule 3 and as may be updated from time to time.</w:t>
      </w:r>
    </w:p>
    <w:p w14:paraId="519CFEE6" w14:textId="77777777" w:rsidR="00623058" w:rsidRPr="003F470F" w:rsidRDefault="00623058" w:rsidP="009B29CF">
      <w:pPr>
        <w:pStyle w:val="GG-SDated"/>
        <w:numPr>
          <w:ilvl w:val="0"/>
          <w:numId w:val="110"/>
        </w:numPr>
        <w:spacing w:after="80"/>
        <w:ind w:left="284" w:hanging="284"/>
        <w:rPr>
          <w:lang w:val="en-US"/>
        </w:rPr>
      </w:pPr>
      <w:r w:rsidRPr="003F470F">
        <w:rPr>
          <w:lang w:val="en-US"/>
        </w:rPr>
        <w:t>Salary and allowances otherwise payable to the office holder under a Determination of the Remuneration Tribunal are abated and reduced to the extent that payments are made by a Paying Authority in accordance with a Salary Sacrifice Arrangement. Payments so made are in satisfaction of, and will fully discharge, the obligation of the Paying Authority to pay that amount of salary to the office holder.</w:t>
      </w:r>
    </w:p>
    <w:p w14:paraId="0EEBAAA7" w14:textId="77777777" w:rsidR="00623058" w:rsidRPr="003F470F" w:rsidRDefault="00623058" w:rsidP="00623058">
      <w:pPr>
        <w:pStyle w:val="GG-SDated"/>
        <w:spacing w:after="80"/>
        <w:rPr>
          <w:b/>
          <w:bCs/>
          <w:lang w:val="en-US"/>
        </w:rPr>
      </w:pPr>
      <w:bookmarkStart w:id="81" w:name="_Toc524960876"/>
      <w:r w:rsidRPr="003F470F">
        <w:rPr>
          <w:b/>
          <w:bCs/>
          <w:lang w:val="en-US"/>
        </w:rPr>
        <w:t>COMMENCEMENT AND PERIOD OF OPERATION OF DETERMINATION</w:t>
      </w:r>
      <w:bookmarkEnd w:id="81"/>
    </w:p>
    <w:p w14:paraId="01FE8E21" w14:textId="77777777" w:rsidR="00623058" w:rsidRPr="003F470F" w:rsidRDefault="00623058" w:rsidP="009B29CF">
      <w:pPr>
        <w:pStyle w:val="GG-SDated"/>
        <w:numPr>
          <w:ilvl w:val="0"/>
          <w:numId w:val="110"/>
        </w:numPr>
        <w:spacing w:after="80"/>
        <w:ind w:left="284" w:hanging="284"/>
        <w:rPr>
          <w:lang w:val="en-US"/>
        </w:rPr>
      </w:pPr>
      <w:r w:rsidRPr="003F470F">
        <w:rPr>
          <w:lang w:val="en-US"/>
        </w:rPr>
        <w:t>This Determination comes into operation on and from 1 January 2023 and shall remain in force until further Determination by the Tribunal.</w:t>
      </w:r>
    </w:p>
    <w:p w14:paraId="1D9F4A14" w14:textId="77777777" w:rsidR="00623058" w:rsidRPr="00A51192" w:rsidRDefault="00623058" w:rsidP="00623058">
      <w:pPr>
        <w:pStyle w:val="GG-SDated"/>
      </w:pPr>
      <w:r>
        <w:t>Dated: 14 December 2022</w:t>
      </w:r>
    </w:p>
    <w:p w14:paraId="02E99CB1" w14:textId="77777777" w:rsidR="00623058" w:rsidRDefault="00623058" w:rsidP="00623058">
      <w:pPr>
        <w:pStyle w:val="GG-SName"/>
      </w:pPr>
      <w:r w:rsidRPr="00A51192">
        <w:t>Matthew O’Callaghan</w:t>
      </w:r>
    </w:p>
    <w:p w14:paraId="572CD7FD" w14:textId="77777777" w:rsidR="00623058" w:rsidRPr="00A51192" w:rsidRDefault="00623058" w:rsidP="007F7570">
      <w:pPr>
        <w:pStyle w:val="GG-Signature"/>
        <w:spacing w:after="80"/>
      </w:pPr>
      <w:r w:rsidRPr="00A51192">
        <w:t>President</w:t>
      </w:r>
    </w:p>
    <w:p w14:paraId="6E66ECC3" w14:textId="77777777" w:rsidR="00623058" w:rsidRDefault="00623058" w:rsidP="00623058">
      <w:pPr>
        <w:pStyle w:val="GG-SName"/>
      </w:pPr>
      <w:r w:rsidRPr="00A51192">
        <w:t>Deborah Black</w:t>
      </w:r>
    </w:p>
    <w:p w14:paraId="7D95DC3D" w14:textId="77777777" w:rsidR="00623058" w:rsidRPr="00A51192" w:rsidRDefault="00623058" w:rsidP="007F7570">
      <w:pPr>
        <w:pStyle w:val="GG-Signature"/>
        <w:spacing w:after="80"/>
      </w:pPr>
      <w:r w:rsidRPr="00A51192">
        <w:t>Member</w:t>
      </w:r>
    </w:p>
    <w:p w14:paraId="792F0379" w14:textId="77777777" w:rsidR="00623058" w:rsidRPr="00A51192" w:rsidRDefault="00623058" w:rsidP="00623058">
      <w:pPr>
        <w:pStyle w:val="GG-SName"/>
      </w:pPr>
      <w:r w:rsidRPr="00A51192">
        <w:t>Peter de Cure AM</w:t>
      </w:r>
    </w:p>
    <w:p w14:paraId="1BA527C7" w14:textId="77777777" w:rsidR="00623058" w:rsidRDefault="00623058" w:rsidP="00623058">
      <w:pPr>
        <w:pStyle w:val="GG-Signature"/>
      </w:pPr>
      <w:r w:rsidRPr="00A51192">
        <w:t>Member</w:t>
      </w:r>
    </w:p>
    <w:p w14:paraId="29F3C9A6" w14:textId="77777777" w:rsidR="00623058" w:rsidRDefault="00623058" w:rsidP="00623058">
      <w:pPr>
        <w:pStyle w:val="GG-Signature"/>
        <w:pBdr>
          <w:top w:val="single" w:sz="4" w:space="1" w:color="auto"/>
        </w:pBdr>
        <w:spacing w:before="100" w:line="14" w:lineRule="exact"/>
        <w:ind w:left="1080" w:right="1080"/>
        <w:jc w:val="center"/>
      </w:pPr>
    </w:p>
    <w:p w14:paraId="036F2394" w14:textId="77777777" w:rsidR="00623058" w:rsidRDefault="00623058">
      <w:pPr>
        <w:spacing w:after="0" w:line="240" w:lineRule="auto"/>
        <w:jc w:val="left"/>
        <w:rPr>
          <w:smallCaps/>
          <w:szCs w:val="17"/>
          <w:lang w:val="en-US"/>
        </w:rPr>
      </w:pPr>
      <w:r>
        <w:rPr>
          <w:lang w:val="en-US"/>
        </w:rPr>
        <w:br w:type="page"/>
      </w:r>
    </w:p>
    <w:p w14:paraId="088B9C4E" w14:textId="1F9A745F" w:rsidR="00623058" w:rsidRPr="00772536" w:rsidRDefault="00623058" w:rsidP="00623058">
      <w:pPr>
        <w:pStyle w:val="GG-Title2"/>
        <w:rPr>
          <w:lang w:val="en-US"/>
        </w:rPr>
      </w:pPr>
      <w:r w:rsidRPr="00772536">
        <w:rPr>
          <w:lang w:val="en-US"/>
        </w:rPr>
        <w:lastRenderedPageBreak/>
        <w:t>Schedule 1</w:t>
      </w:r>
    </w:p>
    <w:p w14:paraId="6EF81C3F" w14:textId="77777777" w:rsidR="00623058" w:rsidRPr="00FB579A" w:rsidRDefault="00623058" w:rsidP="00623058">
      <w:pPr>
        <w:autoSpaceDE w:val="0"/>
        <w:autoSpaceDN w:val="0"/>
        <w:adjustRightInd w:val="0"/>
        <w:jc w:val="center"/>
        <w:rPr>
          <w:b/>
          <w:bCs/>
          <w:szCs w:val="17"/>
          <w:u w:val="single"/>
        </w:rPr>
      </w:pPr>
      <w:r w:rsidRPr="00FB579A">
        <w:rPr>
          <w:b/>
          <w:bCs/>
          <w:szCs w:val="17"/>
          <w:u w:val="single"/>
          <w:lang w:val="en-US"/>
        </w:rPr>
        <w:t>OFFER BY PAYING AUTHORITY TO ENTER INTO A SALARY SACRIFICE ARRANGEMENT IN ACCORDANCE WITH THE DETERMINATION OF THE REMUNERATION TRIBUNAL</w:t>
      </w:r>
    </w:p>
    <w:p w14:paraId="3F609AC4" w14:textId="77777777" w:rsidR="00623058" w:rsidRPr="00772536" w:rsidRDefault="00623058" w:rsidP="00623058">
      <w:pPr>
        <w:pStyle w:val="BodyText"/>
        <w:spacing w:after="80"/>
        <w:rPr>
          <w:szCs w:val="17"/>
        </w:rPr>
      </w:pPr>
      <w:r w:rsidRPr="00772536">
        <w:rPr>
          <w:szCs w:val="17"/>
        </w:rPr>
        <w:t>(DETAILS TO BE FILLED IN BY THE OFFICE HOLDER AND TO BE CHECKED AND SIGNED BY THE PAYING AUTHORITY)</w:t>
      </w:r>
    </w:p>
    <w:p w14:paraId="781E3109" w14:textId="77777777" w:rsidR="00623058" w:rsidRPr="00772536" w:rsidRDefault="00623058" w:rsidP="00623058">
      <w:pPr>
        <w:autoSpaceDE w:val="0"/>
        <w:autoSpaceDN w:val="0"/>
        <w:adjustRightInd w:val="0"/>
        <w:rPr>
          <w:szCs w:val="17"/>
          <w:lang w:val="en-US"/>
        </w:rPr>
      </w:pPr>
    </w:p>
    <w:p w14:paraId="394C0C53" w14:textId="77777777" w:rsidR="00623058" w:rsidRPr="00772536" w:rsidRDefault="00623058" w:rsidP="00623058">
      <w:pPr>
        <w:autoSpaceDE w:val="0"/>
        <w:autoSpaceDN w:val="0"/>
        <w:adjustRightInd w:val="0"/>
        <w:rPr>
          <w:szCs w:val="17"/>
          <w:lang w:val="en-US"/>
        </w:rPr>
      </w:pPr>
      <w:r w:rsidRPr="00772536">
        <w:rPr>
          <w:szCs w:val="17"/>
          <w:lang w:val="en-US"/>
        </w:rPr>
        <w:t>TO: …………………………………………………</w:t>
      </w:r>
    </w:p>
    <w:p w14:paraId="35818EEA" w14:textId="77777777" w:rsidR="00623058" w:rsidRPr="00772536" w:rsidRDefault="00623058" w:rsidP="00623058">
      <w:pPr>
        <w:autoSpaceDE w:val="0"/>
        <w:autoSpaceDN w:val="0"/>
        <w:adjustRightInd w:val="0"/>
        <w:rPr>
          <w:szCs w:val="17"/>
          <w:lang w:val="en-US"/>
        </w:rPr>
      </w:pPr>
      <w:r w:rsidRPr="00772536">
        <w:rPr>
          <w:szCs w:val="17"/>
          <w:lang w:val="en-US"/>
        </w:rPr>
        <w:t>[insert name of office holder to whom offer is being made]</w:t>
      </w:r>
    </w:p>
    <w:p w14:paraId="46547AC7" w14:textId="77777777" w:rsidR="00623058" w:rsidRPr="00772536" w:rsidRDefault="00623058" w:rsidP="00623058">
      <w:pPr>
        <w:autoSpaceDE w:val="0"/>
        <w:autoSpaceDN w:val="0"/>
        <w:adjustRightInd w:val="0"/>
        <w:rPr>
          <w:szCs w:val="17"/>
          <w:lang w:val="en-US"/>
        </w:rPr>
      </w:pPr>
    </w:p>
    <w:p w14:paraId="31F700FB" w14:textId="77777777" w:rsidR="00623058" w:rsidRPr="00772536" w:rsidRDefault="00623058" w:rsidP="00623058">
      <w:pPr>
        <w:autoSpaceDE w:val="0"/>
        <w:autoSpaceDN w:val="0"/>
        <w:adjustRightInd w:val="0"/>
        <w:rPr>
          <w:szCs w:val="17"/>
          <w:lang w:val="en-US"/>
        </w:rPr>
      </w:pPr>
      <w:r w:rsidRPr="00772536">
        <w:rPr>
          <w:szCs w:val="17"/>
          <w:lang w:val="en-US"/>
        </w:rPr>
        <w:t>………………………………………………………</w:t>
      </w:r>
    </w:p>
    <w:p w14:paraId="6BED6B1B" w14:textId="77777777" w:rsidR="00623058" w:rsidRPr="00772536" w:rsidRDefault="00623058" w:rsidP="00623058">
      <w:pPr>
        <w:autoSpaceDE w:val="0"/>
        <w:autoSpaceDN w:val="0"/>
        <w:adjustRightInd w:val="0"/>
        <w:rPr>
          <w:szCs w:val="17"/>
          <w:lang w:val="en-US"/>
        </w:rPr>
      </w:pPr>
      <w:r w:rsidRPr="00772536">
        <w:rPr>
          <w:szCs w:val="17"/>
          <w:lang w:val="en-US"/>
        </w:rPr>
        <w:t>[insert name of Paying Authority making the offer]</w:t>
      </w:r>
    </w:p>
    <w:p w14:paraId="0E32E76B" w14:textId="77777777" w:rsidR="00623058" w:rsidRPr="00772536" w:rsidRDefault="00623058" w:rsidP="00623058">
      <w:pPr>
        <w:autoSpaceDE w:val="0"/>
        <w:autoSpaceDN w:val="0"/>
        <w:adjustRightInd w:val="0"/>
        <w:rPr>
          <w:szCs w:val="17"/>
          <w:lang w:val="en-US"/>
        </w:rPr>
      </w:pPr>
    </w:p>
    <w:p w14:paraId="51E4AA0B" w14:textId="77777777" w:rsidR="00623058" w:rsidRPr="00772536" w:rsidRDefault="00623058" w:rsidP="00623058">
      <w:pPr>
        <w:autoSpaceDE w:val="0"/>
        <w:autoSpaceDN w:val="0"/>
        <w:adjustRightInd w:val="0"/>
        <w:rPr>
          <w:szCs w:val="17"/>
          <w:lang w:val="en-US"/>
        </w:rPr>
      </w:pPr>
    </w:p>
    <w:p w14:paraId="4C5C4E59" w14:textId="77777777" w:rsidR="00623058" w:rsidRPr="00772536" w:rsidRDefault="00623058" w:rsidP="00623058">
      <w:pPr>
        <w:autoSpaceDE w:val="0"/>
        <w:autoSpaceDN w:val="0"/>
        <w:adjustRightInd w:val="0"/>
        <w:rPr>
          <w:szCs w:val="17"/>
          <w:lang w:val="en-US"/>
        </w:rPr>
      </w:pPr>
      <w:r w:rsidRPr="00772536">
        <w:rPr>
          <w:szCs w:val="17"/>
          <w:lang w:val="en-US"/>
        </w:rPr>
        <w:t xml:space="preserve">offers to enter into a Salary Sacrifice Arrangement on the terms and conditions set out in </w:t>
      </w:r>
      <w:r w:rsidRPr="00772536">
        <w:rPr>
          <w:b/>
          <w:bCs/>
          <w:szCs w:val="17"/>
          <w:lang w:val="en-US"/>
        </w:rPr>
        <w:t xml:space="preserve">Schedule 3 </w:t>
      </w:r>
      <w:r w:rsidRPr="00772536">
        <w:rPr>
          <w:szCs w:val="17"/>
          <w:lang w:val="en-US"/>
        </w:rPr>
        <w:t>of the Remuneration Tribunal Determination 10 of 2022 and on the basis set out below.</w:t>
      </w:r>
    </w:p>
    <w:p w14:paraId="0C368AD2" w14:textId="77777777" w:rsidR="00623058" w:rsidRPr="00772536" w:rsidRDefault="00623058" w:rsidP="00623058">
      <w:pPr>
        <w:autoSpaceDE w:val="0"/>
        <w:autoSpaceDN w:val="0"/>
        <w:adjustRightInd w:val="0"/>
        <w:rPr>
          <w:szCs w:val="17"/>
          <w:lang w:val="en-US"/>
        </w:rPr>
      </w:pPr>
    </w:p>
    <w:p w14:paraId="23784FA4" w14:textId="77777777" w:rsidR="00623058" w:rsidRPr="00772536" w:rsidRDefault="00623058" w:rsidP="00623058">
      <w:pPr>
        <w:autoSpaceDE w:val="0"/>
        <w:autoSpaceDN w:val="0"/>
        <w:adjustRightInd w:val="0"/>
        <w:rPr>
          <w:szCs w:val="17"/>
          <w:lang w:val="en-US"/>
        </w:rPr>
      </w:pPr>
      <w:r w:rsidRPr="00772536">
        <w:rPr>
          <w:szCs w:val="17"/>
          <w:lang w:val="en-US"/>
        </w:rPr>
        <w:t>This offer is only capable of acceptance by the lodgement with the Paying Authority of a</w:t>
      </w:r>
    </w:p>
    <w:p w14:paraId="599406A4" w14:textId="77777777" w:rsidR="00623058" w:rsidRPr="00772536" w:rsidRDefault="00623058" w:rsidP="00623058">
      <w:pPr>
        <w:autoSpaceDE w:val="0"/>
        <w:autoSpaceDN w:val="0"/>
        <w:adjustRightInd w:val="0"/>
        <w:rPr>
          <w:szCs w:val="17"/>
          <w:lang w:val="en-US"/>
        </w:rPr>
      </w:pPr>
      <w:r w:rsidRPr="00772536">
        <w:rPr>
          <w:szCs w:val="17"/>
          <w:lang w:val="en-US"/>
        </w:rPr>
        <w:t xml:space="preserve">correctly completed Acceptance of Offer in the form prescribed in </w:t>
      </w:r>
      <w:r w:rsidRPr="00772536">
        <w:rPr>
          <w:b/>
          <w:bCs/>
          <w:szCs w:val="17"/>
          <w:lang w:val="en-US"/>
        </w:rPr>
        <w:t xml:space="preserve">Schedule 2 </w:t>
      </w:r>
      <w:r w:rsidRPr="00772536">
        <w:rPr>
          <w:szCs w:val="17"/>
          <w:lang w:val="en-US"/>
        </w:rPr>
        <w:t>of the</w:t>
      </w:r>
    </w:p>
    <w:p w14:paraId="1ECFA709" w14:textId="77777777" w:rsidR="00623058" w:rsidRPr="00772536" w:rsidRDefault="00623058" w:rsidP="00623058">
      <w:pPr>
        <w:autoSpaceDE w:val="0"/>
        <w:autoSpaceDN w:val="0"/>
        <w:adjustRightInd w:val="0"/>
        <w:rPr>
          <w:szCs w:val="17"/>
          <w:lang w:val="en-US"/>
        </w:rPr>
      </w:pPr>
      <w:r w:rsidRPr="00772536">
        <w:rPr>
          <w:szCs w:val="17"/>
          <w:lang w:val="en-US"/>
        </w:rPr>
        <w:t>Remuneration Tribunal Determination which is to be signed by you.</w:t>
      </w:r>
    </w:p>
    <w:p w14:paraId="1F47B580" w14:textId="77777777" w:rsidR="00623058" w:rsidRPr="00772536" w:rsidRDefault="00623058" w:rsidP="00623058">
      <w:pPr>
        <w:autoSpaceDE w:val="0"/>
        <w:autoSpaceDN w:val="0"/>
        <w:adjustRightInd w:val="0"/>
        <w:rPr>
          <w:szCs w:val="17"/>
          <w:lang w:val="en-US"/>
        </w:rPr>
      </w:pPr>
    </w:p>
    <w:p w14:paraId="1D0AAFF1" w14:textId="77777777" w:rsidR="00623058" w:rsidRPr="00772536" w:rsidRDefault="00623058" w:rsidP="00623058">
      <w:pPr>
        <w:autoSpaceDE w:val="0"/>
        <w:autoSpaceDN w:val="0"/>
        <w:adjustRightInd w:val="0"/>
        <w:rPr>
          <w:szCs w:val="17"/>
          <w:lang w:val="en-US"/>
        </w:rPr>
      </w:pPr>
    </w:p>
    <w:p w14:paraId="3E0C6C1F" w14:textId="77777777" w:rsidR="00623058" w:rsidRPr="00772536" w:rsidRDefault="00623058" w:rsidP="00623058">
      <w:pPr>
        <w:autoSpaceDE w:val="0"/>
        <w:autoSpaceDN w:val="0"/>
        <w:adjustRightInd w:val="0"/>
        <w:rPr>
          <w:b/>
          <w:bCs/>
          <w:szCs w:val="17"/>
          <w:lang w:val="en-US"/>
        </w:rPr>
      </w:pPr>
      <w:r w:rsidRPr="00772536">
        <w:rPr>
          <w:b/>
          <w:bCs/>
          <w:szCs w:val="17"/>
          <w:lang w:val="en-US"/>
        </w:rPr>
        <w:t>BASIS OF SALARY SACRIFICE ARRANGEMENT:</w:t>
      </w:r>
    </w:p>
    <w:p w14:paraId="7D9CA43F" w14:textId="77777777" w:rsidR="00623058" w:rsidRPr="00772536" w:rsidRDefault="00623058" w:rsidP="00623058">
      <w:pPr>
        <w:autoSpaceDE w:val="0"/>
        <w:autoSpaceDN w:val="0"/>
        <w:adjustRightInd w:val="0"/>
        <w:rPr>
          <w:b/>
          <w:bCs/>
          <w:szCs w:val="17"/>
          <w:lang w:val="en-US"/>
        </w:rPr>
      </w:pPr>
      <w:r w:rsidRPr="00772536">
        <w:rPr>
          <w:szCs w:val="17"/>
          <w:lang w:val="en-US"/>
        </w:rPr>
        <w:t xml:space="preserve">Item 1 </w:t>
      </w:r>
      <w:r w:rsidRPr="00772536">
        <w:rPr>
          <w:szCs w:val="17"/>
          <w:lang w:val="en-US"/>
        </w:rPr>
        <w:tab/>
      </w:r>
      <w:r w:rsidRPr="00772536">
        <w:rPr>
          <w:b/>
          <w:bCs/>
          <w:szCs w:val="17"/>
          <w:lang w:val="en-US"/>
        </w:rPr>
        <w:t>THE PAYING AUTHORITY</w:t>
      </w:r>
    </w:p>
    <w:p w14:paraId="7D55ED8F" w14:textId="77777777" w:rsidR="00623058" w:rsidRPr="00772536" w:rsidRDefault="00623058" w:rsidP="00623058">
      <w:pPr>
        <w:autoSpaceDE w:val="0"/>
        <w:autoSpaceDN w:val="0"/>
        <w:adjustRightInd w:val="0"/>
        <w:rPr>
          <w:szCs w:val="17"/>
          <w:lang w:val="en-US"/>
        </w:rPr>
      </w:pPr>
      <w:r w:rsidRPr="00772536">
        <w:rPr>
          <w:szCs w:val="17"/>
          <w:lang w:val="en-US"/>
        </w:rPr>
        <w:t>The Paying Authority for this Salary Sacrifice Arrangement is:</w:t>
      </w:r>
    </w:p>
    <w:p w14:paraId="64877DB5" w14:textId="77777777" w:rsidR="00623058" w:rsidRPr="00772536" w:rsidRDefault="00623058" w:rsidP="00623058">
      <w:pPr>
        <w:autoSpaceDE w:val="0"/>
        <w:autoSpaceDN w:val="0"/>
        <w:adjustRightInd w:val="0"/>
        <w:rPr>
          <w:szCs w:val="17"/>
          <w:lang w:val="en-US"/>
        </w:rPr>
      </w:pPr>
    </w:p>
    <w:p w14:paraId="3CEE8536" w14:textId="77777777" w:rsidR="00623058" w:rsidRPr="00772536" w:rsidRDefault="00623058" w:rsidP="00623058">
      <w:pPr>
        <w:autoSpaceDE w:val="0"/>
        <w:autoSpaceDN w:val="0"/>
        <w:adjustRightInd w:val="0"/>
        <w:ind w:firstLine="720"/>
        <w:rPr>
          <w:szCs w:val="17"/>
          <w:lang w:val="en-US"/>
        </w:rPr>
      </w:pPr>
      <w:r w:rsidRPr="00772536">
        <w:rPr>
          <w:szCs w:val="17"/>
          <w:lang w:val="en-US"/>
        </w:rPr>
        <w:t>Name:</w:t>
      </w:r>
    </w:p>
    <w:p w14:paraId="25793725" w14:textId="77777777" w:rsidR="00623058" w:rsidRPr="00772536" w:rsidRDefault="00623058" w:rsidP="00623058">
      <w:pPr>
        <w:autoSpaceDE w:val="0"/>
        <w:autoSpaceDN w:val="0"/>
        <w:adjustRightInd w:val="0"/>
        <w:rPr>
          <w:szCs w:val="17"/>
          <w:lang w:val="en-US"/>
        </w:rPr>
      </w:pPr>
    </w:p>
    <w:p w14:paraId="364547B4" w14:textId="77777777" w:rsidR="00623058" w:rsidRPr="00772536" w:rsidRDefault="00623058" w:rsidP="00623058">
      <w:pPr>
        <w:autoSpaceDE w:val="0"/>
        <w:autoSpaceDN w:val="0"/>
        <w:adjustRightInd w:val="0"/>
        <w:ind w:firstLine="720"/>
        <w:rPr>
          <w:szCs w:val="17"/>
          <w:lang w:val="en-US"/>
        </w:rPr>
      </w:pPr>
      <w:r w:rsidRPr="00772536">
        <w:rPr>
          <w:szCs w:val="17"/>
          <w:lang w:val="en-US"/>
        </w:rPr>
        <w:t>Address:</w:t>
      </w:r>
    </w:p>
    <w:p w14:paraId="1ADCA640" w14:textId="77777777" w:rsidR="00623058" w:rsidRPr="00772536" w:rsidRDefault="00623058" w:rsidP="00623058">
      <w:pPr>
        <w:autoSpaceDE w:val="0"/>
        <w:autoSpaceDN w:val="0"/>
        <w:adjustRightInd w:val="0"/>
        <w:rPr>
          <w:szCs w:val="17"/>
          <w:lang w:val="en-US"/>
        </w:rPr>
      </w:pPr>
    </w:p>
    <w:p w14:paraId="1DE2A145" w14:textId="77777777" w:rsidR="00623058" w:rsidRPr="00772536" w:rsidRDefault="00623058" w:rsidP="00623058">
      <w:pPr>
        <w:autoSpaceDE w:val="0"/>
        <w:autoSpaceDN w:val="0"/>
        <w:adjustRightInd w:val="0"/>
        <w:rPr>
          <w:szCs w:val="17"/>
          <w:lang w:val="en-US"/>
        </w:rPr>
      </w:pPr>
    </w:p>
    <w:p w14:paraId="1A519A80" w14:textId="77777777" w:rsidR="00623058" w:rsidRPr="00772536" w:rsidRDefault="00623058" w:rsidP="00623058">
      <w:pPr>
        <w:autoSpaceDE w:val="0"/>
        <w:autoSpaceDN w:val="0"/>
        <w:adjustRightInd w:val="0"/>
        <w:rPr>
          <w:b/>
          <w:bCs/>
          <w:szCs w:val="17"/>
          <w:lang w:val="en-US"/>
        </w:rPr>
      </w:pPr>
      <w:r w:rsidRPr="00772536">
        <w:rPr>
          <w:szCs w:val="17"/>
          <w:lang w:val="en-US"/>
        </w:rPr>
        <w:t xml:space="preserve">Item 2 </w:t>
      </w:r>
      <w:r w:rsidRPr="00772536">
        <w:rPr>
          <w:b/>
          <w:bCs/>
          <w:szCs w:val="17"/>
          <w:lang w:val="en-US"/>
        </w:rPr>
        <w:t>THE OFFICE HOLDER</w:t>
      </w:r>
    </w:p>
    <w:p w14:paraId="47A0F073" w14:textId="77777777" w:rsidR="00623058" w:rsidRPr="00772536" w:rsidRDefault="00623058" w:rsidP="00623058">
      <w:pPr>
        <w:autoSpaceDE w:val="0"/>
        <w:autoSpaceDN w:val="0"/>
        <w:adjustRightInd w:val="0"/>
        <w:rPr>
          <w:szCs w:val="17"/>
          <w:lang w:val="en-US"/>
        </w:rPr>
      </w:pPr>
      <w:r w:rsidRPr="00772536">
        <w:rPr>
          <w:szCs w:val="17"/>
          <w:lang w:val="en-US"/>
        </w:rPr>
        <w:t>The office holder for whom this Salary Sacrifice Arrangement is to be made is:</w:t>
      </w:r>
    </w:p>
    <w:p w14:paraId="04353E5A" w14:textId="77777777" w:rsidR="00623058" w:rsidRPr="00772536" w:rsidRDefault="00623058" w:rsidP="00623058">
      <w:pPr>
        <w:autoSpaceDE w:val="0"/>
        <w:autoSpaceDN w:val="0"/>
        <w:adjustRightInd w:val="0"/>
        <w:rPr>
          <w:szCs w:val="17"/>
          <w:lang w:val="en-US"/>
        </w:rPr>
      </w:pPr>
    </w:p>
    <w:p w14:paraId="09A5BC9E" w14:textId="77777777" w:rsidR="00623058" w:rsidRPr="00772536" w:rsidRDefault="00623058" w:rsidP="00623058">
      <w:pPr>
        <w:autoSpaceDE w:val="0"/>
        <w:autoSpaceDN w:val="0"/>
        <w:adjustRightInd w:val="0"/>
        <w:ind w:firstLine="720"/>
        <w:rPr>
          <w:szCs w:val="17"/>
          <w:lang w:val="en-US"/>
        </w:rPr>
      </w:pPr>
      <w:r w:rsidRPr="00772536">
        <w:rPr>
          <w:szCs w:val="17"/>
          <w:lang w:val="en-US"/>
        </w:rPr>
        <w:t>Name:</w:t>
      </w:r>
    </w:p>
    <w:p w14:paraId="3641BC89" w14:textId="77777777" w:rsidR="00623058" w:rsidRPr="00772536" w:rsidRDefault="00623058" w:rsidP="00623058">
      <w:pPr>
        <w:autoSpaceDE w:val="0"/>
        <w:autoSpaceDN w:val="0"/>
        <w:adjustRightInd w:val="0"/>
        <w:ind w:firstLine="720"/>
        <w:rPr>
          <w:szCs w:val="17"/>
          <w:lang w:val="en-US"/>
        </w:rPr>
      </w:pPr>
      <w:r w:rsidRPr="00772536">
        <w:rPr>
          <w:szCs w:val="17"/>
          <w:lang w:val="en-US"/>
        </w:rPr>
        <w:tab/>
      </w:r>
    </w:p>
    <w:p w14:paraId="12EAA405" w14:textId="77777777" w:rsidR="00623058" w:rsidRPr="00772536" w:rsidRDefault="00623058" w:rsidP="00623058">
      <w:pPr>
        <w:autoSpaceDE w:val="0"/>
        <w:autoSpaceDN w:val="0"/>
        <w:adjustRightInd w:val="0"/>
        <w:ind w:firstLine="720"/>
        <w:rPr>
          <w:szCs w:val="17"/>
          <w:lang w:val="en-US"/>
        </w:rPr>
      </w:pPr>
      <w:r w:rsidRPr="00772536">
        <w:rPr>
          <w:szCs w:val="17"/>
          <w:lang w:val="en-US"/>
        </w:rPr>
        <w:t>Address:</w:t>
      </w:r>
    </w:p>
    <w:p w14:paraId="4EA31BE6" w14:textId="77777777" w:rsidR="00623058" w:rsidRPr="00772536" w:rsidRDefault="00623058" w:rsidP="00623058">
      <w:pPr>
        <w:autoSpaceDE w:val="0"/>
        <w:autoSpaceDN w:val="0"/>
        <w:adjustRightInd w:val="0"/>
        <w:ind w:firstLine="720"/>
        <w:rPr>
          <w:szCs w:val="17"/>
          <w:lang w:val="en-US"/>
        </w:rPr>
      </w:pPr>
    </w:p>
    <w:p w14:paraId="6272165A" w14:textId="77777777" w:rsidR="00623058" w:rsidRPr="00772536" w:rsidRDefault="00623058" w:rsidP="00623058">
      <w:pPr>
        <w:autoSpaceDE w:val="0"/>
        <w:autoSpaceDN w:val="0"/>
        <w:adjustRightInd w:val="0"/>
        <w:ind w:firstLine="720"/>
        <w:rPr>
          <w:szCs w:val="17"/>
          <w:lang w:val="en-US"/>
        </w:rPr>
      </w:pPr>
    </w:p>
    <w:p w14:paraId="4DD065B1" w14:textId="77777777" w:rsidR="00623058" w:rsidRPr="00772536" w:rsidRDefault="00623058" w:rsidP="00623058">
      <w:pPr>
        <w:autoSpaceDE w:val="0"/>
        <w:autoSpaceDN w:val="0"/>
        <w:adjustRightInd w:val="0"/>
        <w:rPr>
          <w:b/>
          <w:bCs/>
          <w:szCs w:val="17"/>
          <w:lang w:val="en-US"/>
        </w:rPr>
      </w:pPr>
      <w:r w:rsidRPr="00772536">
        <w:rPr>
          <w:szCs w:val="17"/>
          <w:lang w:val="en-US"/>
        </w:rPr>
        <w:t xml:space="preserve">Item 3 </w:t>
      </w:r>
      <w:r w:rsidRPr="00772536">
        <w:rPr>
          <w:b/>
          <w:bCs/>
          <w:szCs w:val="17"/>
          <w:lang w:val="en-US"/>
        </w:rPr>
        <w:t>THE NOMINEE</w:t>
      </w:r>
    </w:p>
    <w:p w14:paraId="4EDA1FD3" w14:textId="77777777" w:rsidR="00623058" w:rsidRPr="00772536" w:rsidRDefault="00623058" w:rsidP="00623058">
      <w:pPr>
        <w:autoSpaceDE w:val="0"/>
        <w:autoSpaceDN w:val="0"/>
        <w:adjustRightInd w:val="0"/>
        <w:rPr>
          <w:b/>
          <w:bCs/>
          <w:szCs w:val="17"/>
          <w:lang w:val="en-US"/>
        </w:rPr>
      </w:pPr>
    </w:p>
    <w:p w14:paraId="2103CA68" w14:textId="77777777" w:rsidR="00623058" w:rsidRPr="00772536" w:rsidRDefault="00623058" w:rsidP="00623058">
      <w:pPr>
        <w:autoSpaceDE w:val="0"/>
        <w:autoSpaceDN w:val="0"/>
        <w:adjustRightInd w:val="0"/>
        <w:rPr>
          <w:bCs/>
          <w:szCs w:val="17"/>
          <w:lang w:val="en-US"/>
        </w:rPr>
      </w:pPr>
      <w:r w:rsidRPr="00772536">
        <w:rPr>
          <w:bCs/>
          <w:szCs w:val="17"/>
          <w:lang w:val="en-US"/>
        </w:rPr>
        <w:t xml:space="preserve">Please note that a nominee is not to be selected if the office holder’s Salary Sacrifice Arrangement only involves sacrifice of salary into the Triple S Scheme or a fund selected under section 21C of the </w:t>
      </w:r>
      <w:r w:rsidRPr="00772536">
        <w:rPr>
          <w:bCs/>
          <w:i/>
          <w:iCs/>
          <w:szCs w:val="17"/>
          <w:lang w:val="en-US"/>
        </w:rPr>
        <w:t>Southern State Superannuation Act 2009</w:t>
      </w:r>
      <w:r w:rsidRPr="00772536">
        <w:rPr>
          <w:bCs/>
          <w:szCs w:val="17"/>
          <w:lang w:val="en-US"/>
        </w:rPr>
        <w:t>, or other in house benefits administered by the Paying Authority.</w:t>
      </w:r>
    </w:p>
    <w:p w14:paraId="2978A8B6" w14:textId="77777777" w:rsidR="00623058" w:rsidRPr="00772536" w:rsidRDefault="00623058" w:rsidP="00623058">
      <w:pPr>
        <w:autoSpaceDE w:val="0"/>
        <w:autoSpaceDN w:val="0"/>
        <w:adjustRightInd w:val="0"/>
        <w:rPr>
          <w:szCs w:val="17"/>
          <w:lang w:val="en-US"/>
        </w:rPr>
      </w:pPr>
      <w:r w:rsidRPr="00772536">
        <w:rPr>
          <w:szCs w:val="17"/>
          <w:lang w:val="en-US"/>
        </w:rPr>
        <w:t>The nominee for this Salary Sacrifice Arrangement is:</w:t>
      </w:r>
    </w:p>
    <w:p w14:paraId="14ED190C" w14:textId="77777777" w:rsidR="00623058" w:rsidRPr="00772536" w:rsidRDefault="00623058" w:rsidP="00623058">
      <w:pPr>
        <w:autoSpaceDE w:val="0"/>
        <w:autoSpaceDN w:val="0"/>
        <w:adjustRightInd w:val="0"/>
        <w:rPr>
          <w:szCs w:val="17"/>
          <w:lang w:val="en-US"/>
        </w:rPr>
      </w:pPr>
    </w:p>
    <w:p w14:paraId="66E6AD69" w14:textId="77777777" w:rsidR="00623058" w:rsidRPr="00772536" w:rsidRDefault="00623058" w:rsidP="00623058">
      <w:pPr>
        <w:autoSpaceDE w:val="0"/>
        <w:autoSpaceDN w:val="0"/>
        <w:adjustRightInd w:val="0"/>
        <w:ind w:firstLine="720"/>
        <w:rPr>
          <w:szCs w:val="17"/>
          <w:lang w:val="en-US"/>
        </w:rPr>
      </w:pPr>
      <w:r w:rsidRPr="00772536">
        <w:rPr>
          <w:szCs w:val="17"/>
          <w:lang w:val="en-US"/>
        </w:rPr>
        <w:t>Name:</w:t>
      </w:r>
    </w:p>
    <w:p w14:paraId="3A977CFF" w14:textId="77777777" w:rsidR="00623058" w:rsidRPr="00772536" w:rsidRDefault="00623058" w:rsidP="00623058">
      <w:pPr>
        <w:autoSpaceDE w:val="0"/>
        <w:autoSpaceDN w:val="0"/>
        <w:adjustRightInd w:val="0"/>
        <w:ind w:firstLine="720"/>
        <w:rPr>
          <w:szCs w:val="17"/>
          <w:lang w:val="en-US"/>
        </w:rPr>
      </w:pPr>
    </w:p>
    <w:p w14:paraId="60A31308" w14:textId="77777777" w:rsidR="00623058" w:rsidRPr="00772536" w:rsidRDefault="00623058" w:rsidP="00623058">
      <w:pPr>
        <w:autoSpaceDE w:val="0"/>
        <w:autoSpaceDN w:val="0"/>
        <w:adjustRightInd w:val="0"/>
        <w:ind w:firstLine="720"/>
        <w:rPr>
          <w:szCs w:val="17"/>
          <w:lang w:val="en-US"/>
        </w:rPr>
      </w:pPr>
      <w:r w:rsidRPr="00772536">
        <w:rPr>
          <w:szCs w:val="17"/>
          <w:lang w:val="en-US"/>
        </w:rPr>
        <w:t>Address:</w:t>
      </w:r>
    </w:p>
    <w:p w14:paraId="6B1E1649" w14:textId="77777777" w:rsidR="00623058" w:rsidRPr="00772536" w:rsidRDefault="00623058" w:rsidP="00623058">
      <w:pPr>
        <w:autoSpaceDE w:val="0"/>
        <w:autoSpaceDN w:val="0"/>
        <w:adjustRightInd w:val="0"/>
        <w:ind w:firstLine="720"/>
        <w:rPr>
          <w:szCs w:val="17"/>
          <w:lang w:val="en-US"/>
        </w:rPr>
      </w:pPr>
    </w:p>
    <w:p w14:paraId="7C49DC70" w14:textId="77777777" w:rsidR="00623058" w:rsidRPr="00772536" w:rsidRDefault="00623058" w:rsidP="00623058">
      <w:pPr>
        <w:autoSpaceDE w:val="0"/>
        <w:autoSpaceDN w:val="0"/>
        <w:adjustRightInd w:val="0"/>
        <w:ind w:firstLine="720"/>
        <w:rPr>
          <w:szCs w:val="17"/>
          <w:lang w:val="en-US"/>
        </w:rPr>
      </w:pPr>
      <w:r w:rsidRPr="00772536">
        <w:rPr>
          <w:szCs w:val="17"/>
          <w:lang w:val="en-US"/>
        </w:rPr>
        <w:t>Attention:</w:t>
      </w:r>
    </w:p>
    <w:p w14:paraId="389AA083" w14:textId="77777777" w:rsidR="00623058" w:rsidRPr="00772536" w:rsidRDefault="00623058" w:rsidP="00623058">
      <w:pPr>
        <w:autoSpaceDE w:val="0"/>
        <w:autoSpaceDN w:val="0"/>
        <w:adjustRightInd w:val="0"/>
        <w:ind w:firstLine="720"/>
        <w:rPr>
          <w:szCs w:val="17"/>
          <w:lang w:val="en-US"/>
        </w:rPr>
      </w:pPr>
    </w:p>
    <w:p w14:paraId="1F0C83C1" w14:textId="77777777" w:rsidR="00623058" w:rsidRPr="00772536" w:rsidRDefault="00623058" w:rsidP="00623058">
      <w:pPr>
        <w:autoSpaceDE w:val="0"/>
        <w:autoSpaceDN w:val="0"/>
        <w:adjustRightInd w:val="0"/>
        <w:ind w:firstLine="720"/>
        <w:rPr>
          <w:szCs w:val="17"/>
          <w:lang w:val="en-US"/>
        </w:rPr>
      </w:pPr>
    </w:p>
    <w:p w14:paraId="3E274580" w14:textId="77777777" w:rsidR="00623058" w:rsidRPr="00772536" w:rsidRDefault="00623058" w:rsidP="00623058">
      <w:pPr>
        <w:autoSpaceDE w:val="0"/>
        <w:autoSpaceDN w:val="0"/>
        <w:adjustRightInd w:val="0"/>
        <w:rPr>
          <w:b/>
          <w:bCs/>
          <w:szCs w:val="17"/>
          <w:lang w:val="en-US"/>
        </w:rPr>
      </w:pPr>
      <w:r w:rsidRPr="00772536">
        <w:rPr>
          <w:szCs w:val="17"/>
          <w:lang w:val="en-US"/>
        </w:rPr>
        <w:t xml:space="preserve">Item 4 </w:t>
      </w:r>
      <w:r w:rsidRPr="00772536">
        <w:rPr>
          <w:b/>
          <w:bCs/>
          <w:szCs w:val="17"/>
          <w:lang w:val="en-US"/>
        </w:rPr>
        <w:t>SALARY</w:t>
      </w:r>
    </w:p>
    <w:p w14:paraId="03A216CC" w14:textId="77777777" w:rsidR="00623058" w:rsidRPr="00772536" w:rsidRDefault="00623058" w:rsidP="00623058">
      <w:pPr>
        <w:autoSpaceDE w:val="0"/>
        <w:autoSpaceDN w:val="0"/>
        <w:adjustRightInd w:val="0"/>
        <w:rPr>
          <w:szCs w:val="17"/>
          <w:lang w:val="en-US"/>
        </w:rPr>
      </w:pPr>
      <w:r w:rsidRPr="00772536">
        <w:rPr>
          <w:szCs w:val="17"/>
          <w:lang w:val="en-US"/>
        </w:rPr>
        <w:t>The office holder’s salary upon which the Salary Sacrifice Arrangement is to be based is:</w:t>
      </w:r>
    </w:p>
    <w:p w14:paraId="7C5134AC" w14:textId="77777777" w:rsidR="00623058" w:rsidRPr="00772536" w:rsidRDefault="00623058" w:rsidP="00623058">
      <w:pPr>
        <w:autoSpaceDE w:val="0"/>
        <w:autoSpaceDN w:val="0"/>
        <w:adjustRightInd w:val="0"/>
        <w:rPr>
          <w:szCs w:val="17"/>
          <w:lang w:val="en-US"/>
        </w:rPr>
      </w:pPr>
    </w:p>
    <w:p w14:paraId="525E9CE6" w14:textId="77777777" w:rsidR="00623058" w:rsidRPr="00772536" w:rsidRDefault="00623058" w:rsidP="00623058">
      <w:pPr>
        <w:autoSpaceDE w:val="0"/>
        <w:autoSpaceDN w:val="0"/>
        <w:adjustRightInd w:val="0"/>
        <w:rPr>
          <w:szCs w:val="17"/>
          <w:lang w:val="en-US"/>
        </w:rPr>
      </w:pPr>
      <w:r w:rsidRPr="00772536">
        <w:rPr>
          <w:szCs w:val="17"/>
          <w:lang w:val="en-US"/>
        </w:rPr>
        <w:t>$………………………..</w:t>
      </w:r>
    </w:p>
    <w:p w14:paraId="12B60B7C" w14:textId="77777777" w:rsidR="00623058" w:rsidRPr="00772536" w:rsidRDefault="00623058" w:rsidP="00623058">
      <w:pPr>
        <w:autoSpaceDE w:val="0"/>
        <w:autoSpaceDN w:val="0"/>
        <w:adjustRightInd w:val="0"/>
        <w:rPr>
          <w:szCs w:val="17"/>
          <w:lang w:val="en-US"/>
        </w:rPr>
      </w:pPr>
    </w:p>
    <w:p w14:paraId="6CE3450C" w14:textId="77777777" w:rsidR="00623058" w:rsidRPr="00772536" w:rsidRDefault="00623058" w:rsidP="00623058">
      <w:pPr>
        <w:autoSpaceDE w:val="0"/>
        <w:autoSpaceDN w:val="0"/>
        <w:adjustRightInd w:val="0"/>
        <w:rPr>
          <w:b/>
          <w:bCs/>
          <w:szCs w:val="17"/>
          <w:lang w:val="en-US"/>
        </w:rPr>
      </w:pPr>
      <w:r w:rsidRPr="00772536">
        <w:rPr>
          <w:szCs w:val="17"/>
          <w:lang w:val="en-US"/>
        </w:rPr>
        <w:lastRenderedPageBreak/>
        <w:t xml:space="preserve">Item 5 </w:t>
      </w:r>
      <w:r w:rsidRPr="00772536">
        <w:rPr>
          <w:b/>
          <w:bCs/>
          <w:szCs w:val="17"/>
          <w:lang w:val="en-US"/>
        </w:rPr>
        <w:t>APPROVED BENEFITS</w:t>
      </w:r>
    </w:p>
    <w:p w14:paraId="65DCD59E" w14:textId="77777777" w:rsidR="00623058" w:rsidRPr="00772536" w:rsidRDefault="00623058" w:rsidP="00623058">
      <w:pPr>
        <w:autoSpaceDE w:val="0"/>
        <w:autoSpaceDN w:val="0"/>
        <w:adjustRightInd w:val="0"/>
        <w:rPr>
          <w:szCs w:val="17"/>
          <w:lang w:val="en-US"/>
        </w:rPr>
      </w:pPr>
      <w:r w:rsidRPr="00772536">
        <w:rPr>
          <w:szCs w:val="17"/>
          <w:lang w:val="en-US"/>
        </w:rPr>
        <w:t>The Approved benefits in this Salary Sacrifice Arrangement are:</w:t>
      </w:r>
    </w:p>
    <w:p w14:paraId="63FBFCC4" w14:textId="77777777" w:rsidR="00623058" w:rsidRPr="00772536" w:rsidRDefault="00623058" w:rsidP="00623058">
      <w:pPr>
        <w:autoSpaceDE w:val="0"/>
        <w:autoSpaceDN w:val="0"/>
        <w:adjustRightInd w:val="0"/>
        <w:ind w:firstLine="720"/>
        <w:rPr>
          <w:szCs w:val="17"/>
          <w:lang w:val="en-US"/>
        </w:rPr>
      </w:pPr>
      <w:r w:rsidRPr="00772536">
        <w:rPr>
          <w:szCs w:val="17"/>
          <w:lang w:val="en-US"/>
        </w:rPr>
        <w:t>A payment for any Approved Benefit, being a payment for any of the following:</w:t>
      </w:r>
    </w:p>
    <w:p w14:paraId="551CDA65" w14:textId="77777777" w:rsidR="00623058" w:rsidRPr="00772536" w:rsidRDefault="00623058" w:rsidP="00623058">
      <w:pPr>
        <w:autoSpaceDE w:val="0"/>
        <w:autoSpaceDN w:val="0"/>
        <w:adjustRightInd w:val="0"/>
        <w:ind w:firstLine="720"/>
        <w:rPr>
          <w:szCs w:val="17"/>
          <w:lang w:val="en-US"/>
        </w:rPr>
      </w:pPr>
      <w:r w:rsidRPr="00772536">
        <w:rPr>
          <w:szCs w:val="17"/>
          <w:lang w:val="en-US"/>
        </w:rPr>
        <w:t>[</w:t>
      </w:r>
      <w:r w:rsidRPr="00772536">
        <w:rPr>
          <w:i/>
          <w:iCs/>
          <w:szCs w:val="17"/>
          <w:lang w:val="en-US"/>
        </w:rPr>
        <w:t>Delete those that do not apply</w:t>
      </w:r>
      <w:r w:rsidRPr="00772536">
        <w:rPr>
          <w:szCs w:val="17"/>
          <w:lang w:val="en-US"/>
        </w:rPr>
        <w:t>]</w:t>
      </w:r>
    </w:p>
    <w:p w14:paraId="4EF343CF" w14:textId="77777777" w:rsidR="00623058" w:rsidRPr="00772536" w:rsidRDefault="00623058" w:rsidP="00623058">
      <w:pPr>
        <w:autoSpaceDE w:val="0"/>
        <w:autoSpaceDN w:val="0"/>
        <w:adjustRightInd w:val="0"/>
        <w:ind w:left="1134"/>
        <w:rPr>
          <w:szCs w:val="17"/>
          <w:u w:val="single"/>
          <w:lang w:val="en-US"/>
        </w:rPr>
      </w:pPr>
      <w:r w:rsidRPr="00772536">
        <w:rPr>
          <w:szCs w:val="17"/>
          <w:u w:val="single"/>
          <w:lang w:val="en-US"/>
        </w:rPr>
        <w:t>Category A – Exempt from FBT</w:t>
      </w:r>
    </w:p>
    <w:p w14:paraId="657D4459" w14:textId="77777777" w:rsidR="00623058" w:rsidRPr="00772536" w:rsidRDefault="00623058" w:rsidP="009B29CF">
      <w:pPr>
        <w:numPr>
          <w:ilvl w:val="0"/>
          <w:numId w:val="106"/>
        </w:numPr>
        <w:tabs>
          <w:tab w:val="left" w:pos="1560"/>
        </w:tabs>
        <w:autoSpaceDE w:val="0"/>
        <w:autoSpaceDN w:val="0"/>
        <w:adjustRightInd w:val="0"/>
        <w:ind w:left="1559" w:hanging="425"/>
        <w:rPr>
          <w:szCs w:val="17"/>
          <w:lang w:val="en-US"/>
        </w:rPr>
      </w:pPr>
      <w:r w:rsidRPr="00772536">
        <w:rPr>
          <w:szCs w:val="17"/>
          <w:lang w:val="en-US"/>
        </w:rPr>
        <w:t>Contributions to a private superannuation fund that is complying, in that, it complies with the relevant laws regulating superannuation, including the Triple S scheme.</w:t>
      </w:r>
    </w:p>
    <w:p w14:paraId="11B3F69B" w14:textId="77777777" w:rsidR="00623058" w:rsidRPr="00772536" w:rsidRDefault="00623058" w:rsidP="009B29CF">
      <w:pPr>
        <w:numPr>
          <w:ilvl w:val="0"/>
          <w:numId w:val="106"/>
        </w:numPr>
        <w:tabs>
          <w:tab w:val="left" w:pos="1560"/>
        </w:tabs>
        <w:autoSpaceDE w:val="0"/>
        <w:autoSpaceDN w:val="0"/>
        <w:adjustRightInd w:val="0"/>
        <w:ind w:left="1559" w:hanging="425"/>
        <w:rPr>
          <w:szCs w:val="17"/>
          <w:lang w:val="en-US"/>
        </w:rPr>
      </w:pPr>
      <w:r w:rsidRPr="00772536">
        <w:rPr>
          <w:szCs w:val="17"/>
          <w:lang w:val="en-US"/>
        </w:rPr>
        <w:t>Work related items (portable electronic device, computer software, protective clothing, briefcase, tools of trade). Primarily for use in the employee’s employment and does not apply where the employer otherwise provides the item.</w:t>
      </w:r>
    </w:p>
    <w:p w14:paraId="40085DD8"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Taxi Travel to and from Work.</w:t>
      </w:r>
    </w:p>
    <w:p w14:paraId="1C04F087"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Staff Fitness and Gym (in House).</w:t>
      </w:r>
    </w:p>
    <w:p w14:paraId="048C2258"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Airport Lounge Membership.</w:t>
      </w:r>
    </w:p>
    <w:p w14:paraId="0F0E3F65"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Relocation Expenses.</w:t>
      </w:r>
    </w:p>
    <w:p w14:paraId="30A2CCBA"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Fly-In-Fly-Out (FIFO) Parking.</w:t>
      </w:r>
    </w:p>
    <w:p w14:paraId="7094B689"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Fly-In-Fly-Out (FIFO) Travel.</w:t>
      </w:r>
    </w:p>
    <w:p w14:paraId="142BA41A" w14:textId="77777777" w:rsidR="00623058" w:rsidRPr="00772536" w:rsidRDefault="00623058" w:rsidP="00623058">
      <w:pPr>
        <w:autoSpaceDE w:val="0"/>
        <w:autoSpaceDN w:val="0"/>
        <w:adjustRightInd w:val="0"/>
        <w:ind w:left="1134"/>
        <w:rPr>
          <w:szCs w:val="17"/>
          <w:u w:val="single"/>
          <w:lang w:val="en-US"/>
        </w:rPr>
      </w:pPr>
      <w:r w:rsidRPr="00772536">
        <w:rPr>
          <w:szCs w:val="17"/>
          <w:u w:val="single"/>
          <w:lang w:val="en-US"/>
        </w:rPr>
        <w:t>Category B – Subject to FBT (Novated Lease):</w:t>
      </w:r>
    </w:p>
    <w:p w14:paraId="69433682"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Own motor vehicle through a novated car lease.</w:t>
      </w:r>
    </w:p>
    <w:p w14:paraId="528F1ADA" w14:textId="77777777" w:rsidR="00623058" w:rsidRPr="00772536" w:rsidRDefault="00623058" w:rsidP="00623058">
      <w:pPr>
        <w:autoSpaceDE w:val="0"/>
        <w:autoSpaceDN w:val="0"/>
        <w:adjustRightInd w:val="0"/>
        <w:ind w:left="1134"/>
        <w:rPr>
          <w:szCs w:val="17"/>
          <w:u w:val="single"/>
          <w:lang w:val="en-US"/>
        </w:rPr>
      </w:pPr>
      <w:r w:rsidRPr="00772536">
        <w:rPr>
          <w:szCs w:val="17"/>
          <w:u w:val="single"/>
          <w:lang w:val="en-US"/>
        </w:rPr>
        <w:t>Category C – Subject to FBT (In House Benefits):</w:t>
      </w:r>
    </w:p>
    <w:p w14:paraId="5706002D"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Other (ATO approved) in-house benefits that may be approved by Government or the Minister for the Public Sector from time to time.</w:t>
      </w:r>
    </w:p>
    <w:p w14:paraId="1C41962B" w14:textId="77777777" w:rsidR="00623058" w:rsidRPr="00772536" w:rsidRDefault="00623058" w:rsidP="00623058">
      <w:pPr>
        <w:autoSpaceDE w:val="0"/>
        <w:autoSpaceDN w:val="0"/>
        <w:adjustRightInd w:val="0"/>
        <w:ind w:left="1134"/>
        <w:rPr>
          <w:szCs w:val="17"/>
          <w:u w:val="single"/>
          <w:lang w:val="en-US"/>
        </w:rPr>
      </w:pPr>
      <w:r w:rsidRPr="00772536">
        <w:rPr>
          <w:szCs w:val="17"/>
          <w:u w:val="single"/>
          <w:lang w:val="en-US"/>
        </w:rPr>
        <w:t>Category D – Not subject to FBT (if employee could have claimed an income tax deduction)</w:t>
      </w:r>
    </w:p>
    <w:p w14:paraId="1B2A9E9B"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membership fees and subscriptions to professional associations.</w:t>
      </w:r>
    </w:p>
    <w:p w14:paraId="4D134F83"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financial counselling fees.</w:t>
      </w:r>
    </w:p>
    <w:p w14:paraId="78DE3F0F"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disability/income protection insurance.</w:t>
      </w:r>
    </w:p>
    <w:p w14:paraId="012626ED"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self education expenses.</w:t>
      </w:r>
    </w:p>
    <w:p w14:paraId="2FB00AF8" w14:textId="77777777" w:rsidR="00623058" w:rsidRPr="00772536" w:rsidRDefault="00623058" w:rsidP="00623058">
      <w:pPr>
        <w:autoSpaceDE w:val="0"/>
        <w:autoSpaceDN w:val="0"/>
        <w:adjustRightInd w:val="0"/>
        <w:ind w:left="1134"/>
        <w:rPr>
          <w:szCs w:val="17"/>
          <w:u w:val="single"/>
          <w:lang w:val="en-US"/>
        </w:rPr>
      </w:pPr>
      <w:r w:rsidRPr="00772536">
        <w:rPr>
          <w:szCs w:val="17"/>
          <w:u w:val="single"/>
          <w:lang w:val="en-US"/>
        </w:rPr>
        <w:t>Category E – Concessionally taxed benefits</w:t>
      </w:r>
    </w:p>
    <w:p w14:paraId="0FA1A0C4"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Remote Area Housing (employer provided).</w:t>
      </w:r>
    </w:p>
    <w:p w14:paraId="46A147EC"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Remote Area Rental Assistance.</w:t>
      </w:r>
    </w:p>
    <w:p w14:paraId="3450FA38"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Remote Area Reimbursement of Interest.</w:t>
      </w:r>
    </w:p>
    <w:p w14:paraId="219C1175"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Remote Area Reimbursement on Purchasing or Building a Property.</w:t>
      </w:r>
    </w:p>
    <w:p w14:paraId="7B568A8B" w14:textId="77777777" w:rsidR="00623058" w:rsidRPr="00772536" w:rsidRDefault="00623058" w:rsidP="009B29CF">
      <w:pPr>
        <w:numPr>
          <w:ilvl w:val="0"/>
          <w:numId w:val="106"/>
        </w:numPr>
        <w:tabs>
          <w:tab w:val="left" w:pos="1560"/>
        </w:tabs>
        <w:autoSpaceDE w:val="0"/>
        <w:autoSpaceDN w:val="0"/>
        <w:adjustRightInd w:val="0"/>
        <w:ind w:left="1559" w:hanging="425"/>
        <w:jc w:val="left"/>
        <w:rPr>
          <w:szCs w:val="17"/>
          <w:lang w:val="en-US"/>
        </w:rPr>
      </w:pPr>
      <w:r w:rsidRPr="00772536">
        <w:rPr>
          <w:szCs w:val="17"/>
          <w:lang w:val="en-US"/>
        </w:rPr>
        <w:t>Remote Area Provision of Gas and Electricity.</w:t>
      </w:r>
    </w:p>
    <w:p w14:paraId="420DFCEB" w14:textId="77777777" w:rsidR="00623058" w:rsidRPr="00772536" w:rsidRDefault="00623058" w:rsidP="00623058">
      <w:pPr>
        <w:autoSpaceDE w:val="0"/>
        <w:autoSpaceDN w:val="0"/>
        <w:adjustRightInd w:val="0"/>
        <w:rPr>
          <w:szCs w:val="17"/>
          <w:lang w:val="en-US"/>
        </w:rPr>
      </w:pPr>
      <w:r w:rsidRPr="00772536">
        <w:rPr>
          <w:szCs w:val="17"/>
          <w:lang w:val="en-US"/>
        </w:rPr>
        <w:t>This offer is made on the ………………...day of …………………..20   .</w:t>
      </w:r>
    </w:p>
    <w:p w14:paraId="2DAC981E" w14:textId="77777777" w:rsidR="00623058" w:rsidRPr="00772536" w:rsidRDefault="00623058" w:rsidP="00623058">
      <w:pPr>
        <w:autoSpaceDE w:val="0"/>
        <w:autoSpaceDN w:val="0"/>
        <w:adjustRightInd w:val="0"/>
        <w:rPr>
          <w:szCs w:val="17"/>
          <w:lang w:val="en-US"/>
        </w:rPr>
      </w:pPr>
    </w:p>
    <w:p w14:paraId="51547B15" w14:textId="77777777" w:rsidR="00623058" w:rsidRPr="00772536" w:rsidRDefault="00623058" w:rsidP="00623058">
      <w:pPr>
        <w:autoSpaceDE w:val="0"/>
        <w:autoSpaceDN w:val="0"/>
        <w:adjustRightInd w:val="0"/>
        <w:rPr>
          <w:szCs w:val="17"/>
          <w:lang w:val="en-US"/>
        </w:rPr>
      </w:pPr>
    </w:p>
    <w:p w14:paraId="3102B9B5" w14:textId="77777777" w:rsidR="00623058" w:rsidRPr="00772536" w:rsidRDefault="00623058" w:rsidP="00623058">
      <w:pPr>
        <w:autoSpaceDE w:val="0"/>
        <w:autoSpaceDN w:val="0"/>
        <w:adjustRightInd w:val="0"/>
        <w:rPr>
          <w:szCs w:val="17"/>
          <w:lang w:val="en-US"/>
        </w:rPr>
      </w:pPr>
      <w:r w:rsidRPr="00772536">
        <w:rPr>
          <w:szCs w:val="17"/>
          <w:lang w:val="en-US"/>
        </w:rPr>
        <w:t>Signed for the Paying Authority by:</w:t>
      </w:r>
    </w:p>
    <w:p w14:paraId="509B2FDE" w14:textId="77777777" w:rsidR="00623058" w:rsidRPr="00772536" w:rsidRDefault="00623058" w:rsidP="00623058">
      <w:pPr>
        <w:autoSpaceDE w:val="0"/>
        <w:autoSpaceDN w:val="0"/>
        <w:adjustRightInd w:val="0"/>
        <w:rPr>
          <w:szCs w:val="17"/>
          <w:lang w:val="en-US"/>
        </w:rPr>
      </w:pPr>
    </w:p>
    <w:p w14:paraId="6C882CB1" w14:textId="77777777" w:rsidR="00623058" w:rsidRPr="00772536" w:rsidRDefault="00623058" w:rsidP="00623058">
      <w:pPr>
        <w:autoSpaceDE w:val="0"/>
        <w:autoSpaceDN w:val="0"/>
        <w:adjustRightInd w:val="0"/>
        <w:rPr>
          <w:szCs w:val="17"/>
          <w:lang w:val="en-US"/>
        </w:rPr>
      </w:pPr>
    </w:p>
    <w:p w14:paraId="3F27625C" w14:textId="77777777" w:rsidR="00623058" w:rsidRPr="00772536" w:rsidRDefault="00623058" w:rsidP="00623058">
      <w:pPr>
        <w:autoSpaceDE w:val="0"/>
        <w:autoSpaceDN w:val="0"/>
        <w:adjustRightInd w:val="0"/>
        <w:rPr>
          <w:szCs w:val="17"/>
          <w:lang w:val="en-US"/>
        </w:rPr>
      </w:pPr>
    </w:p>
    <w:p w14:paraId="64F5382A" w14:textId="77777777" w:rsidR="00623058" w:rsidRPr="00772536" w:rsidRDefault="00623058" w:rsidP="00623058">
      <w:pPr>
        <w:autoSpaceDE w:val="0"/>
        <w:autoSpaceDN w:val="0"/>
        <w:adjustRightInd w:val="0"/>
        <w:rPr>
          <w:szCs w:val="17"/>
          <w:lang w:val="en-US"/>
        </w:rPr>
      </w:pPr>
      <w:r w:rsidRPr="00772536">
        <w:rPr>
          <w:szCs w:val="17"/>
          <w:lang w:val="en-US"/>
        </w:rPr>
        <w:t>…………………………………….</w:t>
      </w:r>
    </w:p>
    <w:p w14:paraId="2E788DCF" w14:textId="77777777" w:rsidR="00623058" w:rsidRPr="00772536" w:rsidRDefault="00623058" w:rsidP="00623058">
      <w:pPr>
        <w:autoSpaceDE w:val="0"/>
        <w:autoSpaceDN w:val="0"/>
        <w:adjustRightInd w:val="0"/>
        <w:rPr>
          <w:szCs w:val="17"/>
          <w:lang w:val="en-US"/>
        </w:rPr>
      </w:pPr>
      <w:r w:rsidRPr="00772536">
        <w:rPr>
          <w:szCs w:val="17"/>
          <w:lang w:val="en-US"/>
        </w:rPr>
        <w:t>[Authorised Signatory]</w:t>
      </w:r>
    </w:p>
    <w:p w14:paraId="61E4FCEA" w14:textId="77777777" w:rsidR="00623058" w:rsidRPr="00772536" w:rsidRDefault="00623058" w:rsidP="00623058">
      <w:pPr>
        <w:autoSpaceDE w:val="0"/>
        <w:autoSpaceDN w:val="0"/>
        <w:adjustRightInd w:val="0"/>
        <w:rPr>
          <w:szCs w:val="17"/>
          <w:lang w:val="en-US"/>
        </w:rPr>
      </w:pPr>
    </w:p>
    <w:p w14:paraId="28C7781F" w14:textId="77777777" w:rsidR="00623058" w:rsidRPr="00772536" w:rsidRDefault="00623058" w:rsidP="00623058">
      <w:pPr>
        <w:autoSpaceDE w:val="0"/>
        <w:autoSpaceDN w:val="0"/>
        <w:adjustRightInd w:val="0"/>
        <w:rPr>
          <w:szCs w:val="17"/>
          <w:lang w:val="en-US"/>
        </w:rPr>
      </w:pPr>
    </w:p>
    <w:p w14:paraId="0758124F" w14:textId="77777777" w:rsidR="00623058" w:rsidRPr="00772536" w:rsidRDefault="00623058" w:rsidP="00623058">
      <w:pPr>
        <w:autoSpaceDE w:val="0"/>
        <w:autoSpaceDN w:val="0"/>
        <w:adjustRightInd w:val="0"/>
        <w:rPr>
          <w:szCs w:val="17"/>
          <w:lang w:val="en-US"/>
        </w:rPr>
      </w:pPr>
    </w:p>
    <w:p w14:paraId="58C31A65" w14:textId="77777777" w:rsidR="00623058" w:rsidRPr="00772536" w:rsidRDefault="00623058" w:rsidP="00623058">
      <w:pPr>
        <w:autoSpaceDE w:val="0"/>
        <w:autoSpaceDN w:val="0"/>
        <w:adjustRightInd w:val="0"/>
        <w:rPr>
          <w:szCs w:val="17"/>
          <w:lang w:val="en-US"/>
        </w:rPr>
      </w:pPr>
      <w:r w:rsidRPr="00772536">
        <w:rPr>
          <w:szCs w:val="17"/>
          <w:lang w:val="en-US"/>
        </w:rPr>
        <w:t>…………………………………….</w:t>
      </w:r>
    </w:p>
    <w:p w14:paraId="4FD86949" w14:textId="77777777" w:rsidR="00623058" w:rsidRPr="00772536" w:rsidRDefault="00623058" w:rsidP="00623058">
      <w:pPr>
        <w:autoSpaceDE w:val="0"/>
        <w:autoSpaceDN w:val="0"/>
        <w:adjustRightInd w:val="0"/>
        <w:rPr>
          <w:szCs w:val="17"/>
          <w:lang w:val="en-US"/>
        </w:rPr>
      </w:pPr>
      <w:r w:rsidRPr="00772536">
        <w:rPr>
          <w:szCs w:val="17"/>
          <w:lang w:val="en-US"/>
        </w:rPr>
        <w:t>[Print name and title]</w:t>
      </w:r>
    </w:p>
    <w:p w14:paraId="3C4BF222" w14:textId="77777777" w:rsidR="00623058" w:rsidRPr="00FB579A" w:rsidRDefault="00623058" w:rsidP="00623058">
      <w:pPr>
        <w:pStyle w:val="GG-Title2"/>
      </w:pPr>
      <w:r w:rsidRPr="00772536">
        <w:br w:type="page"/>
      </w:r>
      <w:r w:rsidRPr="00EB4136">
        <w:rPr>
          <w:rStyle w:val="GG-Title2Char"/>
          <w:smallCaps/>
        </w:rPr>
        <w:lastRenderedPageBreak/>
        <w:t>Schedule 2</w:t>
      </w:r>
      <w:r w:rsidRPr="00FB579A">
        <w:t xml:space="preserve"> (</w:t>
      </w:r>
      <w:r w:rsidRPr="00FB579A">
        <w:rPr>
          <w:smallCaps w:val="0"/>
        </w:rPr>
        <w:t>and as updated from time to time</w:t>
      </w:r>
      <w:r w:rsidRPr="00FB579A">
        <w:t>)</w:t>
      </w:r>
    </w:p>
    <w:p w14:paraId="4894C94F" w14:textId="77777777" w:rsidR="00623058" w:rsidRPr="00772536" w:rsidRDefault="00623058" w:rsidP="00623058">
      <w:pPr>
        <w:autoSpaceDE w:val="0"/>
        <w:autoSpaceDN w:val="0"/>
        <w:adjustRightInd w:val="0"/>
        <w:rPr>
          <w:szCs w:val="17"/>
          <w:lang w:eastAsia="en-AU"/>
        </w:rPr>
      </w:pPr>
      <w:r w:rsidRPr="00772536">
        <w:rPr>
          <w:b/>
          <w:bCs/>
          <w:szCs w:val="17"/>
          <w:lang w:eastAsia="en-AU"/>
        </w:rPr>
        <w:t xml:space="preserve">ACCEPTANCE OF OFFER OF SALARY SACRIFICE </w:t>
      </w:r>
    </w:p>
    <w:p w14:paraId="0EFBB611" w14:textId="77777777" w:rsidR="00623058" w:rsidRPr="00772536" w:rsidRDefault="00623058" w:rsidP="00623058">
      <w:pPr>
        <w:autoSpaceDE w:val="0"/>
        <w:autoSpaceDN w:val="0"/>
        <w:adjustRightInd w:val="0"/>
        <w:rPr>
          <w:szCs w:val="17"/>
          <w:lang w:eastAsia="en-AU"/>
        </w:rPr>
      </w:pPr>
      <w:r w:rsidRPr="00772536">
        <w:rPr>
          <w:b/>
          <w:bCs/>
          <w:iCs/>
          <w:szCs w:val="17"/>
          <w:lang w:eastAsia="en-AU"/>
        </w:rPr>
        <w:t>PAYING AUTHORITY’S COPY / OFFICE HOLDER’S COPY / NOMINEE’S COPY</w:t>
      </w:r>
    </w:p>
    <w:p w14:paraId="69845FE6" w14:textId="77777777" w:rsidR="00623058" w:rsidRPr="00772536" w:rsidRDefault="00623058" w:rsidP="00623058">
      <w:pPr>
        <w:autoSpaceDE w:val="0"/>
        <w:autoSpaceDN w:val="0"/>
        <w:adjustRightInd w:val="0"/>
        <w:rPr>
          <w:szCs w:val="17"/>
          <w:lang w:eastAsia="en-AU"/>
        </w:rPr>
      </w:pPr>
      <w:r w:rsidRPr="00772536">
        <w:rPr>
          <w:szCs w:val="17"/>
          <w:lang w:eastAsia="en-AU"/>
        </w:rPr>
        <w:t xml:space="preserve">To: </w:t>
      </w:r>
      <w:r w:rsidRPr="00772536">
        <w:rPr>
          <w:szCs w:val="17"/>
          <w:lang w:eastAsia="en-AU"/>
        </w:rPr>
        <w:tab/>
      </w:r>
      <w:r w:rsidRPr="00772536">
        <w:rPr>
          <w:szCs w:val="17"/>
          <w:lang w:eastAsia="en-AU"/>
        </w:rPr>
        <w:tab/>
      </w:r>
      <w:r w:rsidRPr="00772536">
        <w:rPr>
          <w:szCs w:val="17"/>
          <w:lang w:eastAsia="en-AU"/>
        </w:rPr>
        <w:tab/>
      </w:r>
      <w:r w:rsidRPr="00772536">
        <w:rPr>
          <w:szCs w:val="17"/>
          <w:lang w:eastAsia="en-AU"/>
        </w:rPr>
        <w:tab/>
      </w:r>
      <w:r w:rsidRPr="00772536">
        <w:rPr>
          <w:szCs w:val="17"/>
          <w:lang w:eastAsia="en-AU"/>
        </w:rPr>
        <w:tab/>
        <w:t xml:space="preserve">of </w:t>
      </w:r>
    </w:p>
    <w:p w14:paraId="165FDD77" w14:textId="77777777" w:rsidR="00623058" w:rsidRPr="00772536" w:rsidRDefault="00623058" w:rsidP="00623058">
      <w:pPr>
        <w:autoSpaceDE w:val="0"/>
        <w:autoSpaceDN w:val="0"/>
        <w:adjustRightInd w:val="0"/>
        <w:rPr>
          <w:szCs w:val="17"/>
          <w:lang w:eastAsia="en-AU"/>
        </w:rPr>
      </w:pPr>
      <w:r w:rsidRPr="00772536">
        <w:rPr>
          <w:szCs w:val="17"/>
          <w:lang w:eastAsia="en-AU"/>
        </w:rPr>
        <w:t>I, (name) of (address)  have read, and accept, the offer to enter into a Salary Sacrifice Arrangement made by the Paying Authority on the (date) day of 20(year).</w:t>
      </w:r>
    </w:p>
    <w:p w14:paraId="76BFC8B6" w14:textId="77777777" w:rsidR="00623058" w:rsidRPr="00772536" w:rsidRDefault="00623058" w:rsidP="00623058">
      <w:pPr>
        <w:autoSpaceDE w:val="0"/>
        <w:autoSpaceDN w:val="0"/>
        <w:adjustRightInd w:val="0"/>
        <w:rPr>
          <w:szCs w:val="17"/>
          <w:lang w:eastAsia="en-AU"/>
        </w:rPr>
      </w:pPr>
      <w:r w:rsidRPr="00772536">
        <w:rPr>
          <w:szCs w:val="17"/>
          <w:lang w:eastAsia="en-AU"/>
        </w:rPr>
        <w:t xml:space="preserve">I have also read, and accept, the terms and conditions detailed in the document headed “Salary Sacrifice Terms and Conditions” being </w:t>
      </w:r>
      <w:r w:rsidRPr="00772536">
        <w:rPr>
          <w:b/>
          <w:bCs/>
          <w:szCs w:val="17"/>
          <w:lang w:eastAsia="en-AU"/>
        </w:rPr>
        <w:t xml:space="preserve">Schedule 3 </w:t>
      </w:r>
      <w:r w:rsidRPr="00772536">
        <w:rPr>
          <w:szCs w:val="17"/>
          <w:lang w:eastAsia="en-AU"/>
        </w:rPr>
        <w:t xml:space="preserve">of the Remuneration Tribunal Determination 10 of 2022, (“Salary Sacrifice Terms and Conditions”). I agree to abide by the Salary Sacrifice Terms and Conditions irrespective of whether the Determination is effective, or remains in effect. </w:t>
      </w:r>
    </w:p>
    <w:p w14:paraId="3683EDF2" w14:textId="77777777" w:rsidR="00623058" w:rsidRPr="00772536" w:rsidRDefault="00623058" w:rsidP="00623058">
      <w:pPr>
        <w:autoSpaceDE w:val="0"/>
        <w:autoSpaceDN w:val="0"/>
        <w:adjustRightInd w:val="0"/>
        <w:rPr>
          <w:szCs w:val="17"/>
          <w:lang w:eastAsia="en-AU"/>
        </w:rPr>
      </w:pPr>
      <w:r w:rsidRPr="00772536">
        <w:rPr>
          <w:szCs w:val="17"/>
          <w:lang w:eastAsia="en-AU"/>
        </w:rPr>
        <w:t>I agree to pay the applicable Administration Fee.</w:t>
      </w:r>
    </w:p>
    <w:p w14:paraId="7E4C3241" w14:textId="77777777" w:rsidR="00623058" w:rsidRPr="00772536" w:rsidRDefault="00623058" w:rsidP="00623058">
      <w:pPr>
        <w:autoSpaceDE w:val="0"/>
        <w:autoSpaceDN w:val="0"/>
        <w:adjustRightInd w:val="0"/>
        <w:rPr>
          <w:szCs w:val="17"/>
          <w:lang w:eastAsia="en-AU"/>
        </w:rPr>
      </w:pPr>
      <w:r w:rsidRPr="00772536">
        <w:rPr>
          <w:szCs w:val="17"/>
          <w:lang w:eastAsia="en-AU"/>
        </w:rPr>
        <w:t xml:space="preserve">I understand that, for the purposes of the Australian Taxation Office, the Paying Authority is not a Public Benevolent Institution (“PBI”). </w:t>
      </w:r>
    </w:p>
    <w:p w14:paraId="4C30E38B" w14:textId="77777777" w:rsidR="00623058" w:rsidRPr="00772536" w:rsidRDefault="00623058" w:rsidP="00623058">
      <w:pPr>
        <w:rPr>
          <w:szCs w:val="17"/>
          <w:lang w:val="en-US"/>
        </w:rPr>
      </w:pPr>
      <w:r w:rsidRPr="00772536">
        <w:rPr>
          <w:szCs w:val="17"/>
          <w:lang w:val="en-US"/>
        </w:rPr>
        <w:t xml:space="preserve">The Office Holder will advise the Nominee of their selected approved benefits and benefit amounts excluding where only sacrificing to Triple S or a fund selected under section 21C of the </w:t>
      </w:r>
      <w:r w:rsidRPr="00772536">
        <w:rPr>
          <w:i/>
          <w:iCs/>
          <w:szCs w:val="17"/>
          <w:lang w:val="en-US"/>
        </w:rPr>
        <w:t>Southern State Superannuation Act 2009</w:t>
      </w:r>
      <w:r w:rsidRPr="00772536">
        <w:rPr>
          <w:szCs w:val="17"/>
          <w:lang w:val="en-US"/>
        </w:rPr>
        <w:t xml:space="preserve">, or selecting In House Benefits subject to FBT which will be managed by the Paying Authority.  </w:t>
      </w:r>
    </w:p>
    <w:p w14:paraId="0A96361F" w14:textId="77777777" w:rsidR="00623058" w:rsidRPr="00772536" w:rsidRDefault="00623058" w:rsidP="00623058">
      <w:pPr>
        <w:rPr>
          <w:szCs w:val="17"/>
          <w:lang w:val="en-US"/>
        </w:rPr>
      </w:pPr>
      <w:r w:rsidRPr="00772536">
        <w:rPr>
          <w:szCs w:val="17"/>
          <w:lang w:val="en-US"/>
        </w:rPr>
        <w:t>The nominee will confirm in writing the benefits selected by and any subsequent amendments made by the Office Holder.</w:t>
      </w:r>
    </w:p>
    <w:p w14:paraId="3FA708F2" w14:textId="77777777" w:rsidR="00623058" w:rsidRPr="00772536" w:rsidRDefault="00623058" w:rsidP="00623058">
      <w:pPr>
        <w:rPr>
          <w:szCs w:val="17"/>
          <w:lang w:val="en-US"/>
        </w:rPr>
      </w:pPr>
      <w:r w:rsidRPr="00772536">
        <w:rPr>
          <w:szCs w:val="17"/>
          <w:lang w:val="en-US"/>
        </w:rPr>
        <w:t xml:space="preserve">The Office Holder agrees and acknowledges that any Fringe Benefits Tax Liability which is incurred by the Employer or Office Holder in connection with the Salary Sacrifice Agreement will be a liability payable and due to be paid directly by the Office Holder (employee). </w:t>
      </w:r>
    </w:p>
    <w:p w14:paraId="060F02E9" w14:textId="77777777" w:rsidR="00623058" w:rsidRPr="00772536" w:rsidRDefault="00623058" w:rsidP="00623058">
      <w:pPr>
        <w:autoSpaceDE w:val="0"/>
        <w:autoSpaceDN w:val="0"/>
        <w:adjustRightInd w:val="0"/>
        <w:rPr>
          <w:szCs w:val="17"/>
          <w:lang w:eastAsia="en-AU"/>
        </w:rPr>
      </w:pPr>
      <w:r w:rsidRPr="00772536">
        <w:rPr>
          <w:szCs w:val="17"/>
          <w:lang w:eastAsia="en-AU"/>
        </w:rPr>
        <w:t xml:space="preserve">I acknowledge, and warrant to the Paying Authority, that I have elected to appoint ………(Nominee Company Name………. of ……Address…………….. to be my nominee within the meaning of the </w:t>
      </w:r>
      <w:r w:rsidRPr="00772536">
        <w:rPr>
          <w:b/>
          <w:bCs/>
          <w:szCs w:val="17"/>
          <w:lang w:eastAsia="en-AU"/>
        </w:rPr>
        <w:t xml:space="preserve">SALARY SACRIFICE TERMS AND CONDITIONS </w:t>
      </w:r>
      <w:r w:rsidRPr="00772536">
        <w:rPr>
          <w:szCs w:val="17"/>
          <w:lang w:eastAsia="en-AU"/>
        </w:rPr>
        <w:t xml:space="preserve">for all purposes associated with and in relation to the </w:t>
      </w:r>
      <w:r w:rsidRPr="00772536">
        <w:rPr>
          <w:b/>
          <w:bCs/>
          <w:szCs w:val="17"/>
          <w:lang w:eastAsia="en-AU"/>
        </w:rPr>
        <w:t xml:space="preserve">SALARY SACRIFICE TERMS AND CONDITIONS </w:t>
      </w:r>
      <w:r w:rsidRPr="00772536">
        <w:rPr>
          <w:szCs w:val="17"/>
          <w:lang w:eastAsia="en-AU"/>
        </w:rPr>
        <w:t xml:space="preserve">and I acknowledge that all correspondence to the nominee will be directed to the attention of Name…………………… . </w:t>
      </w:r>
    </w:p>
    <w:p w14:paraId="08EF53B4" w14:textId="77777777" w:rsidR="00623058" w:rsidRPr="00772536" w:rsidRDefault="00623058" w:rsidP="00623058">
      <w:pPr>
        <w:autoSpaceDE w:val="0"/>
        <w:autoSpaceDN w:val="0"/>
        <w:adjustRightInd w:val="0"/>
        <w:rPr>
          <w:szCs w:val="17"/>
          <w:lang w:eastAsia="en-AU"/>
        </w:rPr>
      </w:pPr>
      <w:r w:rsidRPr="00772536">
        <w:rPr>
          <w:szCs w:val="17"/>
          <w:lang w:eastAsia="en-AU"/>
        </w:rPr>
        <w:t>I acknowledge that the appointed Nominee may require additional documentation and agreements to be effected in order to establish and administer my salary sacrifice arrangements.</w:t>
      </w:r>
    </w:p>
    <w:p w14:paraId="606AD690" w14:textId="77777777" w:rsidR="00623058" w:rsidRPr="00772536" w:rsidRDefault="00623058" w:rsidP="00623058">
      <w:pPr>
        <w:autoSpaceDE w:val="0"/>
        <w:autoSpaceDN w:val="0"/>
        <w:adjustRightInd w:val="0"/>
        <w:rPr>
          <w:szCs w:val="17"/>
          <w:lang w:eastAsia="en-AU"/>
        </w:rPr>
      </w:pPr>
      <w:r w:rsidRPr="00772536">
        <w:rPr>
          <w:szCs w:val="17"/>
          <w:lang w:eastAsia="en-AU"/>
        </w:rPr>
        <w:t>I further acknowledge that I will notify and endeavour to resolve all of the complaints, disputes and grievances in respect of the Salary Sacrifice Arrangement with the nominee or Paying Authority, whichever authority is responsible for administering the salary sacrifice benefit arrangements in question.</w:t>
      </w:r>
    </w:p>
    <w:p w14:paraId="7DB638A9" w14:textId="77777777" w:rsidR="00623058" w:rsidRPr="00772536" w:rsidRDefault="00623058" w:rsidP="00623058">
      <w:pPr>
        <w:autoSpaceDE w:val="0"/>
        <w:autoSpaceDN w:val="0"/>
        <w:adjustRightInd w:val="0"/>
        <w:rPr>
          <w:i/>
          <w:iCs/>
          <w:szCs w:val="17"/>
          <w:lang w:val="en-US"/>
        </w:rPr>
      </w:pPr>
      <w:r w:rsidRPr="00772536">
        <w:rPr>
          <w:i/>
          <w:iCs/>
          <w:szCs w:val="17"/>
          <w:lang w:val="en-US"/>
        </w:rPr>
        <w:t>Please note that the paragraph noted below applies only to an office holder who is sacrificing solely into the Triple S Scheme or a fund selected under section 21C of the Southern State Superannuation Act 2009.</w:t>
      </w:r>
    </w:p>
    <w:p w14:paraId="52A8B03E" w14:textId="77777777" w:rsidR="00623058" w:rsidRPr="00772536" w:rsidRDefault="00623058" w:rsidP="00623058">
      <w:pPr>
        <w:autoSpaceDE w:val="0"/>
        <w:autoSpaceDN w:val="0"/>
        <w:adjustRightInd w:val="0"/>
        <w:rPr>
          <w:szCs w:val="17"/>
          <w:lang w:val="en-US"/>
        </w:rPr>
      </w:pPr>
      <w:r w:rsidRPr="00772536">
        <w:rPr>
          <w:szCs w:val="17"/>
          <w:lang w:val="en-US"/>
        </w:rPr>
        <w:t>I acknowledge that all contact and correspondence regarding my Salary Sacrifice Arrangement will be with the following contact in the paying authority:</w:t>
      </w:r>
    </w:p>
    <w:p w14:paraId="2C7E1650" w14:textId="77777777" w:rsidR="00623058" w:rsidRPr="00772536" w:rsidRDefault="00623058" w:rsidP="00623058">
      <w:pPr>
        <w:autoSpaceDE w:val="0"/>
        <w:autoSpaceDN w:val="0"/>
        <w:adjustRightInd w:val="0"/>
        <w:rPr>
          <w:szCs w:val="17"/>
          <w:lang w:val="en-US"/>
        </w:rPr>
      </w:pPr>
    </w:p>
    <w:p w14:paraId="7C2AC217" w14:textId="77777777" w:rsidR="00623058" w:rsidRPr="00772536" w:rsidRDefault="00623058" w:rsidP="00623058">
      <w:pPr>
        <w:autoSpaceDE w:val="0"/>
        <w:autoSpaceDN w:val="0"/>
        <w:adjustRightInd w:val="0"/>
        <w:rPr>
          <w:szCs w:val="17"/>
          <w:lang w:val="en-US"/>
        </w:rPr>
      </w:pPr>
      <w:r w:rsidRPr="00772536">
        <w:rPr>
          <w:szCs w:val="17"/>
          <w:lang w:val="en-US"/>
        </w:rPr>
        <w:t>[Name] …………………………………………..</w:t>
      </w:r>
    </w:p>
    <w:p w14:paraId="0F64F40E" w14:textId="77777777" w:rsidR="00623058" w:rsidRPr="00772536" w:rsidRDefault="00623058" w:rsidP="00623058">
      <w:pPr>
        <w:autoSpaceDE w:val="0"/>
        <w:autoSpaceDN w:val="0"/>
        <w:adjustRightInd w:val="0"/>
        <w:rPr>
          <w:szCs w:val="17"/>
          <w:lang w:val="en-US"/>
        </w:rPr>
      </w:pPr>
    </w:p>
    <w:p w14:paraId="2EF36EC4" w14:textId="77777777" w:rsidR="00623058" w:rsidRPr="00772536" w:rsidRDefault="00623058" w:rsidP="00623058">
      <w:pPr>
        <w:autoSpaceDE w:val="0"/>
        <w:autoSpaceDN w:val="0"/>
        <w:adjustRightInd w:val="0"/>
        <w:rPr>
          <w:szCs w:val="17"/>
          <w:lang w:val="en-US"/>
        </w:rPr>
      </w:pPr>
      <w:r w:rsidRPr="00772536">
        <w:rPr>
          <w:szCs w:val="17"/>
          <w:lang w:val="en-US"/>
        </w:rPr>
        <w:t>[Office] ……………………………………………</w:t>
      </w:r>
    </w:p>
    <w:p w14:paraId="4BED1916" w14:textId="77777777" w:rsidR="00623058" w:rsidRPr="00772536" w:rsidRDefault="00623058" w:rsidP="00623058">
      <w:pPr>
        <w:autoSpaceDE w:val="0"/>
        <w:autoSpaceDN w:val="0"/>
        <w:adjustRightInd w:val="0"/>
        <w:rPr>
          <w:szCs w:val="17"/>
          <w:lang w:val="en-US"/>
        </w:rPr>
      </w:pPr>
    </w:p>
    <w:p w14:paraId="61E8508F" w14:textId="77777777" w:rsidR="00623058" w:rsidRPr="00772536" w:rsidRDefault="00623058" w:rsidP="00623058">
      <w:pPr>
        <w:autoSpaceDE w:val="0"/>
        <w:autoSpaceDN w:val="0"/>
        <w:adjustRightInd w:val="0"/>
        <w:rPr>
          <w:szCs w:val="17"/>
          <w:lang w:val="en-US"/>
        </w:rPr>
      </w:pPr>
      <w:r w:rsidRPr="00772536">
        <w:rPr>
          <w:szCs w:val="17"/>
          <w:lang w:val="en-US"/>
        </w:rPr>
        <w:t>[Phone number] …………………………………..</w:t>
      </w:r>
    </w:p>
    <w:p w14:paraId="2867698C" w14:textId="77777777" w:rsidR="00623058" w:rsidRPr="00772536" w:rsidRDefault="00623058" w:rsidP="00623058">
      <w:pPr>
        <w:autoSpaceDE w:val="0"/>
        <w:autoSpaceDN w:val="0"/>
        <w:adjustRightInd w:val="0"/>
        <w:rPr>
          <w:szCs w:val="17"/>
          <w:lang w:val="en-US"/>
        </w:rPr>
      </w:pPr>
    </w:p>
    <w:p w14:paraId="2248F368" w14:textId="77777777" w:rsidR="00623058" w:rsidRPr="00772536" w:rsidRDefault="00623058" w:rsidP="00623058">
      <w:pPr>
        <w:autoSpaceDE w:val="0"/>
        <w:autoSpaceDN w:val="0"/>
        <w:adjustRightInd w:val="0"/>
        <w:rPr>
          <w:szCs w:val="17"/>
          <w:lang w:val="en-US"/>
        </w:rPr>
      </w:pPr>
      <w:r w:rsidRPr="00772536">
        <w:rPr>
          <w:szCs w:val="17"/>
          <w:lang w:val="en-US"/>
        </w:rPr>
        <w:t>[Facsimile] …………………………….………….</w:t>
      </w:r>
    </w:p>
    <w:p w14:paraId="63AEA490" w14:textId="77777777" w:rsidR="00623058" w:rsidRPr="00772536" w:rsidRDefault="00623058" w:rsidP="00623058">
      <w:pPr>
        <w:autoSpaceDE w:val="0"/>
        <w:autoSpaceDN w:val="0"/>
        <w:adjustRightInd w:val="0"/>
        <w:rPr>
          <w:szCs w:val="17"/>
          <w:lang w:val="en-US"/>
        </w:rPr>
      </w:pPr>
    </w:p>
    <w:p w14:paraId="3DEC029A" w14:textId="77777777" w:rsidR="00623058" w:rsidRPr="00772536" w:rsidRDefault="00623058" w:rsidP="00623058">
      <w:pPr>
        <w:autoSpaceDE w:val="0"/>
        <w:autoSpaceDN w:val="0"/>
        <w:adjustRightInd w:val="0"/>
        <w:rPr>
          <w:szCs w:val="17"/>
          <w:lang w:val="en-US"/>
        </w:rPr>
      </w:pPr>
      <w:r w:rsidRPr="00772536">
        <w:rPr>
          <w:szCs w:val="17"/>
          <w:lang w:val="en-US"/>
        </w:rPr>
        <w:t>Signed: .................................………………….</w:t>
      </w:r>
    </w:p>
    <w:p w14:paraId="222CA311" w14:textId="77777777" w:rsidR="00623058" w:rsidRPr="00772536" w:rsidRDefault="00623058" w:rsidP="00623058">
      <w:pPr>
        <w:autoSpaceDE w:val="0"/>
        <w:autoSpaceDN w:val="0"/>
        <w:adjustRightInd w:val="0"/>
        <w:rPr>
          <w:szCs w:val="17"/>
          <w:lang w:val="en-US"/>
        </w:rPr>
      </w:pPr>
    </w:p>
    <w:p w14:paraId="257883D7" w14:textId="77777777" w:rsidR="00623058" w:rsidRPr="00772536" w:rsidRDefault="00623058" w:rsidP="00623058">
      <w:pPr>
        <w:autoSpaceDE w:val="0"/>
        <w:autoSpaceDN w:val="0"/>
        <w:adjustRightInd w:val="0"/>
        <w:rPr>
          <w:szCs w:val="17"/>
          <w:lang w:val="en-US"/>
        </w:rPr>
      </w:pPr>
      <w:r w:rsidRPr="00772536">
        <w:rPr>
          <w:szCs w:val="17"/>
          <w:lang w:val="en-US"/>
        </w:rPr>
        <w:t>Print name: .................................……………</w:t>
      </w:r>
    </w:p>
    <w:p w14:paraId="1B669F95" w14:textId="77777777" w:rsidR="00623058" w:rsidRPr="00772536" w:rsidRDefault="00623058" w:rsidP="00623058">
      <w:pPr>
        <w:autoSpaceDE w:val="0"/>
        <w:autoSpaceDN w:val="0"/>
        <w:adjustRightInd w:val="0"/>
        <w:rPr>
          <w:szCs w:val="17"/>
          <w:lang w:val="en-US"/>
        </w:rPr>
      </w:pPr>
    </w:p>
    <w:p w14:paraId="4B04CDC0" w14:textId="77777777" w:rsidR="00623058" w:rsidRDefault="00623058" w:rsidP="00623058">
      <w:pPr>
        <w:autoSpaceDE w:val="0"/>
        <w:autoSpaceDN w:val="0"/>
        <w:adjustRightInd w:val="0"/>
        <w:rPr>
          <w:szCs w:val="17"/>
          <w:lang w:val="en-US"/>
        </w:rPr>
      </w:pPr>
      <w:r w:rsidRPr="00772536">
        <w:rPr>
          <w:szCs w:val="17"/>
          <w:lang w:val="en-US"/>
        </w:rPr>
        <w:t>Dated: ......../......../........</w:t>
      </w:r>
    </w:p>
    <w:p w14:paraId="1256288D" w14:textId="77777777" w:rsidR="00623058" w:rsidRDefault="00623058" w:rsidP="00623058">
      <w:pPr>
        <w:spacing w:after="0" w:line="240" w:lineRule="auto"/>
        <w:jc w:val="left"/>
        <w:rPr>
          <w:szCs w:val="17"/>
          <w:lang w:val="en-US"/>
        </w:rPr>
      </w:pPr>
      <w:r>
        <w:rPr>
          <w:szCs w:val="17"/>
          <w:lang w:val="en-US"/>
        </w:rPr>
        <w:br w:type="page"/>
      </w:r>
    </w:p>
    <w:p w14:paraId="0E5E6EFC" w14:textId="77777777" w:rsidR="00623058" w:rsidRPr="00772536" w:rsidRDefault="00623058" w:rsidP="00623058">
      <w:pPr>
        <w:pStyle w:val="GG-Title2"/>
        <w:rPr>
          <w:lang w:val="en-US"/>
        </w:rPr>
      </w:pPr>
      <w:r w:rsidRPr="00772536">
        <w:rPr>
          <w:lang w:val="en-US"/>
        </w:rPr>
        <w:lastRenderedPageBreak/>
        <w:t>Schedule 3</w:t>
      </w:r>
    </w:p>
    <w:p w14:paraId="57D47124" w14:textId="77777777" w:rsidR="00623058" w:rsidRPr="00772536" w:rsidRDefault="00623058" w:rsidP="00623058">
      <w:pPr>
        <w:autoSpaceDE w:val="0"/>
        <w:autoSpaceDN w:val="0"/>
        <w:adjustRightInd w:val="0"/>
        <w:jc w:val="center"/>
        <w:rPr>
          <w:b/>
          <w:bCs/>
          <w:szCs w:val="17"/>
          <w:u w:val="single"/>
          <w:lang w:val="en-US"/>
        </w:rPr>
      </w:pPr>
      <w:r w:rsidRPr="00772536">
        <w:rPr>
          <w:b/>
          <w:bCs/>
          <w:szCs w:val="17"/>
          <w:u w:val="single"/>
          <w:lang w:val="en-US"/>
        </w:rPr>
        <w:t>TERMS AND CONDITIONS OF SALARY SACRIFICE ARRANGEMENT</w:t>
      </w:r>
    </w:p>
    <w:p w14:paraId="0C0569BE" w14:textId="77777777" w:rsidR="00623058" w:rsidRPr="00FB579A" w:rsidRDefault="00623058" w:rsidP="009B29CF">
      <w:pPr>
        <w:pStyle w:val="GG-Title1"/>
        <w:numPr>
          <w:ilvl w:val="0"/>
          <w:numId w:val="113"/>
        </w:numPr>
        <w:ind w:left="567" w:hanging="567"/>
        <w:jc w:val="left"/>
        <w:rPr>
          <w:b/>
          <w:bCs/>
        </w:rPr>
      </w:pPr>
      <w:bookmarkStart w:id="82" w:name="_Toc524960878"/>
      <w:r w:rsidRPr="00FB579A">
        <w:rPr>
          <w:b/>
          <w:bCs/>
        </w:rPr>
        <w:t>INTERPRETATION</w:t>
      </w:r>
      <w:bookmarkEnd w:id="82"/>
    </w:p>
    <w:p w14:paraId="46B65492"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 xml:space="preserve">1.1 </w:t>
      </w:r>
      <w:r w:rsidRPr="00772536">
        <w:rPr>
          <w:szCs w:val="17"/>
          <w:lang w:val="en-US"/>
        </w:rPr>
        <w:tab/>
        <w:t xml:space="preserve">In this </w:t>
      </w:r>
      <w:r w:rsidRPr="00772536">
        <w:rPr>
          <w:b/>
          <w:bCs/>
          <w:szCs w:val="17"/>
          <w:lang w:val="en-US"/>
        </w:rPr>
        <w:t>Schedule</w:t>
      </w:r>
      <w:r w:rsidRPr="00772536">
        <w:rPr>
          <w:szCs w:val="17"/>
          <w:lang w:val="en-US"/>
        </w:rPr>
        <w:t>, unless the context otherwise requires or a contrary intention appears, the following terms have the following meanings:</w:t>
      </w:r>
    </w:p>
    <w:p w14:paraId="5BD747DE"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w:t>
      </w:r>
      <w:r w:rsidRPr="00772536">
        <w:rPr>
          <w:szCs w:val="17"/>
          <w:lang w:val="en-US"/>
        </w:rPr>
        <w:tab/>
        <w:t>“books and records” means either copies or originals of all documents whether written, electronic or otherwise which are associated with or related to the Salary Sacrifice Arrangement and such books and records include but are not limited to books of account, statements, financial accounts, charges, securities, guarantees, invoices, receipts, proposals, approvals, cheque butts, deposit books, correspondence, memoranda, notes, depreciation schedules, deeds, contracts, minutes and notices.</w:t>
      </w:r>
    </w:p>
    <w:p w14:paraId="6CECFFE3"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w:t>
      </w:r>
      <w:r w:rsidRPr="00772536">
        <w:rPr>
          <w:szCs w:val="17"/>
          <w:lang w:val="en-US"/>
        </w:rPr>
        <w:tab/>
        <w:t>“charges and costs” means all amounts, expenses and disbursements incurred by the Paying Authority in respect of the establishment, administration, delivery and provision of the Salary Sacrifice Arrangement pursuant to the Remuneration Tribunal Determination 10 of 2022.</w:t>
      </w:r>
    </w:p>
    <w:p w14:paraId="5B21AB6A"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1.1.3</w:t>
      </w:r>
      <w:r w:rsidRPr="00772536">
        <w:rPr>
          <w:szCs w:val="17"/>
          <w:lang w:val="en-US"/>
        </w:rPr>
        <w:tab/>
        <w:t>"expiry date" means the date upon which the Salary Sacrifice Arrangement made between the office holder and the Crown is terminated.</w:t>
      </w:r>
    </w:p>
    <w:p w14:paraId="35B9D667"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1.1.4</w:t>
      </w:r>
      <w:r w:rsidRPr="00772536">
        <w:rPr>
          <w:szCs w:val="17"/>
          <w:lang w:val="en-US"/>
        </w:rPr>
        <w:tab/>
        <w:t>“FBT year” means the year ended 31 March of each year occurring during the life of the Salary Sacrifice Arrangement.</w:t>
      </w:r>
    </w:p>
    <w:p w14:paraId="3562FF8A"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1.1.5</w:t>
      </w:r>
      <w:r w:rsidRPr="00772536">
        <w:rPr>
          <w:szCs w:val="17"/>
          <w:lang w:val="en-US"/>
        </w:rPr>
        <w:tab/>
        <w:t>“losses” means losses, damages, penalties, interest or costs.</w:t>
      </w:r>
    </w:p>
    <w:p w14:paraId="31F22DF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1.1.6</w:t>
      </w:r>
      <w:r w:rsidRPr="00772536">
        <w:rPr>
          <w:szCs w:val="17"/>
          <w:lang w:val="en-US"/>
        </w:rPr>
        <w:tab/>
        <w:t>“offer” means the offer to enter into a Salary Sacrifice Arrangement made by the Paying Authority in the form set out in Schedule 1.</w:t>
      </w:r>
    </w:p>
    <w:p w14:paraId="32DA5EF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1.1.7</w:t>
      </w:r>
      <w:r w:rsidRPr="00772536">
        <w:rPr>
          <w:szCs w:val="17"/>
          <w:lang w:val="en-US"/>
        </w:rPr>
        <w:tab/>
        <w:t>“parties” means the Paying Authority and the office holder who are participating in a Salary Sacrifice Arrangement made under this Determination.</w:t>
      </w:r>
    </w:p>
    <w:p w14:paraId="7E79AB00"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1.1.8</w:t>
      </w:r>
      <w:r w:rsidRPr="00772536">
        <w:rPr>
          <w:szCs w:val="17"/>
          <w:lang w:val="en-US"/>
        </w:rPr>
        <w:tab/>
        <w:t>“pre-determined review date” means each anniversary of the date upon which the Remuneration Tribunal Determination implementing salary sacrifice commences.</w:t>
      </w:r>
    </w:p>
    <w:p w14:paraId="1CA22294"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1.1.9</w:t>
      </w:r>
      <w:r w:rsidRPr="00772536">
        <w:rPr>
          <w:szCs w:val="17"/>
          <w:lang w:val="en-US"/>
        </w:rPr>
        <w:tab/>
        <w:t>“relevant taxation legislation and rulings” means any legislation dealing with the imposition of and recovery of tax and includes, but is not limited to the:</w:t>
      </w:r>
    </w:p>
    <w:p w14:paraId="131539BF" w14:textId="77777777" w:rsidR="00623058" w:rsidRPr="00772536" w:rsidRDefault="00623058" w:rsidP="00623058">
      <w:pPr>
        <w:tabs>
          <w:tab w:val="left" w:pos="2268"/>
        </w:tabs>
        <w:autoSpaceDE w:val="0"/>
        <w:autoSpaceDN w:val="0"/>
        <w:adjustRightInd w:val="0"/>
        <w:ind w:left="567" w:firstLine="720"/>
        <w:rPr>
          <w:szCs w:val="17"/>
          <w:lang w:val="en-US"/>
        </w:rPr>
      </w:pPr>
      <w:r w:rsidRPr="00772536">
        <w:rPr>
          <w:szCs w:val="17"/>
          <w:lang w:val="en-US"/>
        </w:rPr>
        <w:t>1.1.9.1</w:t>
      </w:r>
      <w:r w:rsidRPr="00772536">
        <w:rPr>
          <w:szCs w:val="17"/>
          <w:lang w:val="en-US"/>
        </w:rPr>
        <w:tab/>
      </w:r>
      <w:r w:rsidRPr="00772536">
        <w:rPr>
          <w:i/>
          <w:iCs/>
          <w:szCs w:val="17"/>
          <w:lang w:val="en-US"/>
        </w:rPr>
        <w:t>Income Tax Assessment Act 1936</w:t>
      </w:r>
      <w:r w:rsidRPr="00772536">
        <w:rPr>
          <w:szCs w:val="17"/>
          <w:lang w:val="en-US"/>
        </w:rPr>
        <w:t>; and</w:t>
      </w:r>
    </w:p>
    <w:p w14:paraId="30550DC8" w14:textId="77777777" w:rsidR="00623058" w:rsidRPr="00772536" w:rsidRDefault="00623058" w:rsidP="00623058">
      <w:pPr>
        <w:tabs>
          <w:tab w:val="left" w:pos="2268"/>
        </w:tabs>
        <w:autoSpaceDE w:val="0"/>
        <w:autoSpaceDN w:val="0"/>
        <w:adjustRightInd w:val="0"/>
        <w:ind w:left="567" w:firstLine="720"/>
        <w:rPr>
          <w:szCs w:val="17"/>
          <w:lang w:val="en-US"/>
        </w:rPr>
      </w:pPr>
      <w:r w:rsidRPr="00772536">
        <w:rPr>
          <w:szCs w:val="17"/>
          <w:lang w:val="en-US"/>
        </w:rPr>
        <w:t xml:space="preserve">1.1.9.2 </w:t>
      </w:r>
      <w:r w:rsidRPr="00772536">
        <w:rPr>
          <w:szCs w:val="17"/>
          <w:lang w:val="en-US"/>
        </w:rPr>
        <w:tab/>
      </w:r>
      <w:r w:rsidRPr="00772536">
        <w:rPr>
          <w:i/>
          <w:iCs/>
          <w:szCs w:val="17"/>
          <w:lang w:val="en-US"/>
        </w:rPr>
        <w:t>Income Tax Assessment Act 1997</w:t>
      </w:r>
      <w:r w:rsidRPr="00772536">
        <w:rPr>
          <w:szCs w:val="17"/>
          <w:lang w:val="en-US"/>
        </w:rPr>
        <w:t>; and</w:t>
      </w:r>
    </w:p>
    <w:p w14:paraId="49FE90BD" w14:textId="77777777" w:rsidR="00623058" w:rsidRPr="00772536" w:rsidRDefault="00623058" w:rsidP="00623058">
      <w:pPr>
        <w:tabs>
          <w:tab w:val="left" w:pos="2268"/>
        </w:tabs>
        <w:autoSpaceDE w:val="0"/>
        <w:autoSpaceDN w:val="0"/>
        <w:adjustRightInd w:val="0"/>
        <w:ind w:left="567" w:firstLine="720"/>
        <w:rPr>
          <w:szCs w:val="17"/>
          <w:lang w:val="en-US"/>
        </w:rPr>
      </w:pPr>
      <w:r w:rsidRPr="00772536">
        <w:rPr>
          <w:szCs w:val="17"/>
          <w:lang w:val="en-US"/>
        </w:rPr>
        <w:t xml:space="preserve">1.1.9.3 </w:t>
      </w:r>
      <w:r w:rsidRPr="00772536">
        <w:rPr>
          <w:szCs w:val="17"/>
          <w:lang w:val="en-US"/>
        </w:rPr>
        <w:tab/>
      </w:r>
      <w:r w:rsidRPr="00772536">
        <w:rPr>
          <w:i/>
          <w:iCs/>
          <w:szCs w:val="17"/>
          <w:lang w:val="en-US"/>
        </w:rPr>
        <w:t>Fringe Benefits Tax Assessment Act 1986</w:t>
      </w:r>
      <w:r w:rsidRPr="00772536">
        <w:rPr>
          <w:szCs w:val="17"/>
          <w:lang w:val="en-US"/>
        </w:rPr>
        <w:t>; and</w:t>
      </w:r>
    </w:p>
    <w:p w14:paraId="46038FC1" w14:textId="77777777" w:rsidR="00623058" w:rsidRPr="00772536" w:rsidRDefault="00623058" w:rsidP="00623058">
      <w:pPr>
        <w:tabs>
          <w:tab w:val="left" w:pos="2268"/>
        </w:tabs>
        <w:autoSpaceDE w:val="0"/>
        <w:autoSpaceDN w:val="0"/>
        <w:adjustRightInd w:val="0"/>
        <w:ind w:left="567" w:firstLine="720"/>
        <w:rPr>
          <w:szCs w:val="17"/>
          <w:lang w:val="en-US"/>
        </w:rPr>
      </w:pPr>
      <w:r w:rsidRPr="00772536">
        <w:rPr>
          <w:szCs w:val="17"/>
          <w:lang w:val="en-US"/>
        </w:rPr>
        <w:t xml:space="preserve">1.1.9.4 </w:t>
      </w:r>
      <w:r w:rsidRPr="00772536">
        <w:rPr>
          <w:szCs w:val="17"/>
          <w:lang w:val="en-US"/>
        </w:rPr>
        <w:tab/>
        <w:t>Taxation Rulings.</w:t>
      </w:r>
    </w:p>
    <w:p w14:paraId="11AECAF0"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1.1.10</w:t>
      </w:r>
      <w:r w:rsidRPr="00772536">
        <w:rPr>
          <w:szCs w:val="17"/>
          <w:lang w:val="en-US"/>
        </w:rPr>
        <w:tab/>
        <w:t>“sacrificed amount” means the amount that an office holder may specify as a portion of the office holder’s salary for a FBT year that is to be sacrificed in advance prior to earning the same during the period covered by the Determination.</w:t>
      </w:r>
    </w:p>
    <w:p w14:paraId="79AC1B4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1.1.11</w:t>
      </w:r>
      <w:r w:rsidRPr="00772536">
        <w:rPr>
          <w:szCs w:val="17"/>
          <w:lang w:val="en-US"/>
        </w:rPr>
        <w:tab/>
        <w:t>“salary” means the gross or pre-tax wage rate and salary payable to the office holder as detailed by the Paying Authority at Item 4 of its offer contained in Schedule 1 herein.</w:t>
      </w:r>
    </w:p>
    <w:p w14:paraId="5A9F2E36"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1.1.12</w:t>
      </w:r>
      <w:r w:rsidRPr="00772536">
        <w:rPr>
          <w:szCs w:val="17"/>
          <w:lang w:val="en-US"/>
        </w:rPr>
        <w:tab/>
        <w:t>“Salary Sacrifice” means the Salary Sacrifice Arrangement to be offered by the Paying Authority to the office holder to elect pursuant to this Determination.</w:t>
      </w:r>
    </w:p>
    <w:p w14:paraId="27BCA91B"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1.1.13</w:t>
      </w:r>
      <w:r w:rsidRPr="00772536">
        <w:rPr>
          <w:szCs w:val="17"/>
          <w:lang w:val="en-US"/>
        </w:rPr>
        <w:tab/>
        <w:t>“Salary Sacrifice Arrangement”:</w:t>
      </w:r>
    </w:p>
    <w:p w14:paraId="0BB04256" w14:textId="77777777" w:rsidR="00623058" w:rsidRPr="00772536" w:rsidRDefault="00623058" w:rsidP="00623058">
      <w:pPr>
        <w:tabs>
          <w:tab w:val="left" w:pos="2268"/>
        </w:tabs>
        <w:autoSpaceDE w:val="0"/>
        <w:autoSpaceDN w:val="0"/>
        <w:adjustRightInd w:val="0"/>
        <w:ind w:left="2268" w:hanging="992"/>
        <w:rPr>
          <w:szCs w:val="17"/>
          <w:lang w:val="en-US"/>
        </w:rPr>
      </w:pPr>
      <w:r w:rsidRPr="00772536">
        <w:rPr>
          <w:szCs w:val="17"/>
          <w:lang w:val="en-US"/>
        </w:rPr>
        <w:t>1.1.13.1</w:t>
      </w:r>
      <w:r w:rsidRPr="00772536">
        <w:rPr>
          <w:szCs w:val="17"/>
          <w:lang w:val="en-US"/>
        </w:rPr>
        <w:tab/>
      </w:r>
      <w:r w:rsidRPr="00772536">
        <w:rPr>
          <w:iCs/>
          <w:szCs w:val="17"/>
          <w:lang w:val="en-US"/>
        </w:rPr>
        <w:t>means</w:t>
      </w:r>
      <w:r w:rsidRPr="00772536">
        <w:rPr>
          <w:szCs w:val="17"/>
          <w:lang w:val="en-US"/>
        </w:rPr>
        <w:t xml:space="preserve"> the establishment and the administration of the amount of salary sacrificed by the office holder pursuant to this Determination;</w:t>
      </w:r>
    </w:p>
    <w:p w14:paraId="03ED8256" w14:textId="77777777" w:rsidR="00623058" w:rsidRPr="00772536" w:rsidRDefault="00623058" w:rsidP="00623058">
      <w:pPr>
        <w:tabs>
          <w:tab w:val="left" w:pos="2268"/>
        </w:tabs>
        <w:autoSpaceDE w:val="0"/>
        <w:autoSpaceDN w:val="0"/>
        <w:adjustRightInd w:val="0"/>
        <w:ind w:left="2268" w:hanging="992"/>
        <w:rPr>
          <w:szCs w:val="17"/>
          <w:lang w:val="en-US"/>
        </w:rPr>
      </w:pPr>
      <w:r w:rsidRPr="00772536">
        <w:rPr>
          <w:szCs w:val="17"/>
          <w:lang w:val="en-US"/>
        </w:rPr>
        <w:t>1.1.13.2</w:t>
      </w:r>
      <w:r w:rsidRPr="00772536">
        <w:rPr>
          <w:szCs w:val="17"/>
          <w:lang w:val="en-US"/>
        </w:rPr>
        <w:tab/>
        <w:t xml:space="preserve">is the </w:t>
      </w:r>
      <w:r w:rsidRPr="00772536">
        <w:rPr>
          <w:iCs/>
          <w:szCs w:val="17"/>
          <w:lang w:val="en-US"/>
        </w:rPr>
        <w:t>total</w:t>
      </w:r>
      <w:r w:rsidRPr="00772536">
        <w:rPr>
          <w:szCs w:val="17"/>
          <w:lang w:val="en-US"/>
        </w:rPr>
        <w:t xml:space="preserve"> of salary sacrifice benefits which are offered under this Determination to the office holder; and,</w:t>
      </w:r>
    </w:p>
    <w:p w14:paraId="49ADCD59" w14:textId="77777777" w:rsidR="00623058" w:rsidRPr="00772536" w:rsidRDefault="00623058" w:rsidP="00623058">
      <w:pPr>
        <w:autoSpaceDE w:val="0"/>
        <w:autoSpaceDN w:val="0"/>
        <w:adjustRightInd w:val="0"/>
        <w:ind w:left="2268" w:hanging="992"/>
        <w:rPr>
          <w:szCs w:val="17"/>
          <w:lang w:val="en-US"/>
        </w:rPr>
      </w:pPr>
      <w:r w:rsidRPr="00772536">
        <w:rPr>
          <w:szCs w:val="17"/>
          <w:lang w:val="en-US"/>
        </w:rPr>
        <w:t>1.1.13.3</w:t>
      </w:r>
      <w:r w:rsidRPr="00772536">
        <w:rPr>
          <w:szCs w:val="17"/>
          <w:lang w:val="en-US"/>
        </w:rPr>
        <w:tab/>
        <w:t>may be the subject of the Panel Agreement and the Service Agreement.</w:t>
      </w:r>
    </w:p>
    <w:p w14:paraId="2BAB9A56"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1.1.14</w:t>
      </w:r>
      <w:r w:rsidRPr="00772536">
        <w:rPr>
          <w:szCs w:val="17"/>
          <w:lang w:val="en-US"/>
        </w:rPr>
        <w:tab/>
        <w:t xml:space="preserve">“Schedule” means the Schedule attached to the Salary Sacrifice </w:t>
      </w:r>
      <w:r w:rsidRPr="00324E32">
        <w:rPr>
          <w:szCs w:val="17"/>
          <w:lang w:val="en-US"/>
        </w:rPr>
        <w:t>Arrangement</w:t>
      </w:r>
      <w:r w:rsidRPr="00772536">
        <w:rPr>
          <w:szCs w:val="17"/>
          <w:lang w:val="en-US"/>
        </w:rPr>
        <w:t>;</w:t>
      </w:r>
    </w:p>
    <w:p w14:paraId="714CA843"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1.1.15</w:t>
      </w:r>
      <w:r w:rsidRPr="00772536">
        <w:rPr>
          <w:szCs w:val="17"/>
          <w:lang w:val="en-US"/>
        </w:rPr>
        <w:tab/>
        <w:t>“services” means the services provided by the Nominee pursuant to the Service Agreement in respect of the establishment, administration, delivery and provision of the Salary Sacrifice Arrangement;</w:t>
      </w:r>
    </w:p>
    <w:p w14:paraId="24DFF612"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1.1.16</w:t>
      </w:r>
      <w:r w:rsidRPr="00772536">
        <w:rPr>
          <w:szCs w:val="17"/>
          <w:lang w:val="en-US"/>
        </w:rPr>
        <w:tab/>
        <w:t>“taxation liability” means any liability of any description that may be pursuant to a Tax Act however so described.</w:t>
      </w:r>
    </w:p>
    <w:p w14:paraId="3EEFE163" w14:textId="77777777" w:rsidR="00623058" w:rsidRPr="00324E32" w:rsidRDefault="00623058" w:rsidP="009B29CF">
      <w:pPr>
        <w:pStyle w:val="GG-Title1"/>
        <w:numPr>
          <w:ilvl w:val="0"/>
          <w:numId w:val="113"/>
        </w:numPr>
        <w:ind w:left="567" w:hanging="567"/>
        <w:jc w:val="left"/>
        <w:rPr>
          <w:b/>
          <w:bCs/>
        </w:rPr>
      </w:pPr>
      <w:bookmarkStart w:id="83" w:name="_Toc524960879"/>
      <w:r w:rsidRPr="00324E32">
        <w:rPr>
          <w:b/>
          <w:bCs/>
        </w:rPr>
        <w:t>SALARY SACRIFICE</w:t>
      </w:r>
      <w:bookmarkEnd w:id="83"/>
    </w:p>
    <w:p w14:paraId="13A66C6F"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2.1</w:t>
      </w:r>
      <w:r w:rsidRPr="00772536">
        <w:rPr>
          <w:szCs w:val="17"/>
          <w:lang w:val="en-US"/>
        </w:rPr>
        <w:tab/>
        <w:t>The office holder may specify a proportion of the office holder’s salary for a FBT year that is to be sacrificed in advance (the sacrificed amount) prior to earning the same during the period covered by the Arrangement.</w:t>
      </w:r>
    </w:p>
    <w:p w14:paraId="729A8D27"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2.2</w:t>
      </w:r>
      <w:r w:rsidRPr="00772536">
        <w:rPr>
          <w:szCs w:val="17"/>
          <w:lang w:val="en-US"/>
        </w:rPr>
        <w:tab/>
        <w:t>The office holder may elect to take one or more Approved Benefits.</w:t>
      </w:r>
    </w:p>
    <w:p w14:paraId="2E25FF2A"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2.3</w:t>
      </w:r>
      <w:r w:rsidRPr="00772536">
        <w:rPr>
          <w:szCs w:val="17"/>
          <w:lang w:val="en-US"/>
        </w:rPr>
        <w:tab/>
        <w:t>It is agreed between the parties that:</w:t>
      </w:r>
    </w:p>
    <w:p w14:paraId="02BABA9D"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2.3.1</w:t>
      </w:r>
      <w:r w:rsidRPr="00772536">
        <w:rPr>
          <w:szCs w:val="17"/>
          <w:lang w:val="en-US"/>
        </w:rPr>
        <w:tab/>
        <w:t>the office holder’s option and election to participate in Salary Sacrifice shall be at no cost or expense to the Paying Authority;</w:t>
      </w:r>
    </w:p>
    <w:p w14:paraId="5095D00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2.3.2</w:t>
      </w:r>
      <w:r w:rsidRPr="00772536">
        <w:rPr>
          <w:szCs w:val="17"/>
          <w:lang w:val="en-US"/>
        </w:rPr>
        <w:tab/>
        <w:t>all charges, costs, disbursements, fees or other similar expenses incurred by the Paying Authority for the purpose of establishing and the administration of the Salary Sacrifice Arrangement and any administration thereafter shall be deducted from the sacrificed amount withheld from the office holder’s salary, or failing that the said charges, costs, disbursements, fees or other similar expenses incurred by the Paying Authority shall be deducted from the sacrificed amount withheld from the office holder’s salary and failing that will become payable by the office holder within 21 days of the issuing of a written demand by the Paying Authority to the office holder;</w:t>
      </w:r>
    </w:p>
    <w:p w14:paraId="1E5AA930"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2.3.3</w:t>
      </w:r>
      <w:r w:rsidRPr="00772536">
        <w:rPr>
          <w:szCs w:val="17"/>
          <w:lang w:val="en-US"/>
        </w:rPr>
        <w:tab/>
        <w:t>the Paying Authority reserves the right to impose such charges, costs, disbursements, fees or other similar expenses in respect of the Salary Sacrifice Arrangement as it sees fit to be payable by the office holder, which charges, costs, disbursements, fees or other similar expenses incurred by the Paying Authority shall be deducted from the sacrificed amount withheld from the office holder’s salary and failing that will become payable by the office holder within 21 days of the issuing of a written demand by the Paying Authority to the office holder;</w:t>
      </w:r>
    </w:p>
    <w:p w14:paraId="17195E99"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2.3.4</w:t>
      </w:r>
      <w:r w:rsidRPr="00772536">
        <w:rPr>
          <w:szCs w:val="17"/>
          <w:lang w:val="en-US"/>
        </w:rPr>
        <w:tab/>
        <w:t xml:space="preserve">each fortnight the Paying Authority will distribute and/or transfer the appropriate proportion of the office holder’s salary to the Nominee in respect of the office holder’s Salary Sacrifice Arrangement, except where the office holder’s Salary Sacrifice Arrangement involves only sacrifice of salary into the Triple S Scheme or a fund selected under section 21C </w:t>
      </w:r>
      <w:r w:rsidRPr="00772536">
        <w:rPr>
          <w:szCs w:val="17"/>
          <w:lang w:val="en-US"/>
        </w:rPr>
        <w:lastRenderedPageBreak/>
        <w:t xml:space="preserve">of the </w:t>
      </w:r>
      <w:r w:rsidRPr="00324E32">
        <w:rPr>
          <w:i/>
          <w:iCs/>
          <w:szCs w:val="17"/>
          <w:lang w:val="en-US"/>
        </w:rPr>
        <w:t>Southern State Superannuation Act 2009</w:t>
      </w:r>
      <w:r w:rsidRPr="00772536">
        <w:rPr>
          <w:szCs w:val="17"/>
          <w:lang w:val="en-US"/>
        </w:rPr>
        <w:t>, when the Paying Authority will make the payment directly into the said scheme or selected fund.</w:t>
      </w:r>
    </w:p>
    <w:p w14:paraId="434EC3FC"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2.3.5</w:t>
      </w:r>
      <w:r w:rsidRPr="00772536">
        <w:rPr>
          <w:szCs w:val="17"/>
          <w:lang w:val="en-US"/>
        </w:rPr>
        <w:tab/>
        <w:t>the balance of the office holder’s salary will continue to be paid in accordance with the Salary Determination;</w:t>
      </w:r>
    </w:p>
    <w:p w14:paraId="3FC1816C"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2.3.6</w:t>
      </w:r>
      <w:r w:rsidRPr="00772536">
        <w:rPr>
          <w:szCs w:val="17"/>
          <w:lang w:val="en-US"/>
        </w:rPr>
        <w:tab/>
        <w:t>the Salary Sacrifice Arrangement commences on the date specified in the offer, and ends on the earliest of:</w:t>
      </w:r>
    </w:p>
    <w:p w14:paraId="7D8EF521" w14:textId="77777777" w:rsidR="00623058" w:rsidRPr="00772536" w:rsidRDefault="00623058" w:rsidP="00623058">
      <w:pPr>
        <w:tabs>
          <w:tab w:val="left" w:pos="2410"/>
        </w:tabs>
        <w:autoSpaceDE w:val="0"/>
        <w:autoSpaceDN w:val="0"/>
        <w:adjustRightInd w:val="0"/>
        <w:ind w:left="1276"/>
        <w:rPr>
          <w:szCs w:val="17"/>
          <w:lang w:val="en-US"/>
        </w:rPr>
      </w:pPr>
      <w:r w:rsidRPr="00772536">
        <w:rPr>
          <w:szCs w:val="17"/>
          <w:lang w:val="en-US"/>
        </w:rPr>
        <w:t>2.3.6.1</w:t>
      </w:r>
      <w:r w:rsidRPr="00772536">
        <w:rPr>
          <w:szCs w:val="17"/>
          <w:lang w:val="en-US"/>
        </w:rPr>
        <w:tab/>
        <w:t>the Expiry Date; or</w:t>
      </w:r>
    </w:p>
    <w:p w14:paraId="705EFE94"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2.3.6.2</w:t>
      </w:r>
      <w:r w:rsidRPr="00772536">
        <w:rPr>
          <w:szCs w:val="17"/>
          <w:lang w:val="en-US"/>
        </w:rPr>
        <w:tab/>
        <w:t>the date upon which the Salary Sacrifice Arrangement is terminated in accordance with this Schedule; or</w:t>
      </w:r>
    </w:p>
    <w:p w14:paraId="07595CE5" w14:textId="77777777" w:rsidR="00623058" w:rsidRPr="00772536" w:rsidRDefault="00623058" w:rsidP="00623058">
      <w:pPr>
        <w:tabs>
          <w:tab w:val="left" w:pos="2410"/>
        </w:tabs>
        <w:autoSpaceDE w:val="0"/>
        <w:autoSpaceDN w:val="0"/>
        <w:adjustRightInd w:val="0"/>
        <w:ind w:left="1276"/>
        <w:rPr>
          <w:szCs w:val="17"/>
          <w:lang w:val="en-US"/>
        </w:rPr>
      </w:pPr>
      <w:r w:rsidRPr="00772536">
        <w:rPr>
          <w:szCs w:val="17"/>
          <w:lang w:val="en-US"/>
        </w:rPr>
        <w:t>2.3.6.3</w:t>
      </w:r>
      <w:r w:rsidRPr="00772536">
        <w:rPr>
          <w:szCs w:val="17"/>
          <w:lang w:val="en-US"/>
        </w:rPr>
        <w:tab/>
        <w:t>the date upon which the Ruling ceases to operate.</w:t>
      </w:r>
    </w:p>
    <w:p w14:paraId="0A4D6AAD" w14:textId="77777777" w:rsidR="00623058" w:rsidRPr="00324E32" w:rsidRDefault="00623058" w:rsidP="009B29CF">
      <w:pPr>
        <w:pStyle w:val="GG-Title1"/>
        <w:numPr>
          <w:ilvl w:val="0"/>
          <w:numId w:val="113"/>
        </w:numPr>
        <w:ind w:left="567" w:hanging="567"/>
        <w:jc w:val="left"/>
        <w:rPr>
          <w:b/>
          <w:bCs/>
        </w:rPr>
      </w:pPr>
      <w:bookmarkStart w:id="84" w:name="_Toc524960880"/>
      <w:r w:rsidRPr="00324E32">
        <w:rPr>
          <w:b/>
          <w:bCs/>
        </w:rPr>
        <w:t>REVIEW OF SALARY SACRIFICE</w:t>
      </w:r>
      <w:bookmarkEnd w:id="84"/>
    </w:p>
    <w:p w14:paraId="57022C23"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3.1</w:t>
      </w:r>
      <w:r w:rsidRPr="00772536">
        <w:rPr>
          <w:szCs w:val="17"/>
          <w:lang w:val="en-US"/>
        </w:rPr>
        <w:tab/>
        <w:t>the office holder may vary or terminate their Salary Sacrifice Arrangement by contacting the Nominee and/or the Paying Authority which administers their selected benefit arrangements.</w:t>
      </w:r>
    </w:p>
    <w:p w14:paraId="09642AE3"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3.2</w:t>
      </w:r>
      <w:r w:rsidRPr="00772536">
        <w:rPr>
          <w:szCs w:val="17"/>
          <w:lang w:val="en-US"/>
        </w:rPr>
        <w:tab/>
        <w:t>In the event of a liability arising or expected to arise in relation to Salary Sacrifice on the part of the Paying Authority by reason of:</w:t>
      </w:r>
    </w:p>
    <w:p w14:paraId="62CDF6B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3.2.1</w:t>
      </w:r>
      <w:r w:rsidRPr="00772536">
        <w:rPr>
          <w:szCs w:val="17"/>
          <w:lang w:val="en-US"/>
        </w:rPr>
        <w:tab/>
        <w:t>any relevant taxation legislation and rulings including, but not limited to, any assessment in respect of:</w:t>
      </w:r>
    </w:p>
    <w:p w14:paraId="127EC9C9" w14:textId="77777777" w:rsidR="00623058" w:rsidRPr="00772536" w:rsidRDefault="00623058" w:rsidP="00623058">
      <w:pPr>
        <w:tabs>
          <w:tab w:val="left" w:pos="2410"/>
        </w:tabs>
        <w:autoSpaceDE w:val="0"/>
        <w:autoSpaceDN w:val="0"/>
        <w:adjustRightInd w:val="0"/>
        <w:ind w:left="709" w:firstLine="720"/>
        <w:rPr>
          <w:szCs w:val="17"/>
          <w:lang w:val="en-US"/>
        </w:rPr>
      </w:pPr>
      <w:r w:rsidRPr="00772536">
        <w:rPr>
          <w:szCs w:val="17"/>
          <w:lang w:val="en-US"/>
        </w:rPr>
        <w:t>3.2.1.1</w:t>
      </w:r>
      <w:r w:rsidRPr="00772536">
        <w:rPr>
          <w:szCs w:val="17"/>
          <w:lang w:val="en-US"/>
        </w:rPr>
        <w:tab/>
        <w:t>a fringe benefit;</w:t>
      </w:r>
    </w:p>
    <w:p w14:paraId="250FEECD" w14:textId="77777777" w:rsidR="00623058" w:rsidRPr="00772536" w:rsidRDefault="00623058" w:rsidP="00623058">
      <w:pPr>
        <w:tabs>
          <w:tab w:val="left" w:pos="2410"/>
        </w:tabs>
        <w:autoSpaceDE w:val="0"/>
        <w:autoSpaceDN w:val="0"/>
        <w:adjustRightInd w:val="0"/>
        <w:ind w:left="709" w:firstLine="720"/>
        <w:rPr>
          <w:szCs w:val="17"/>
          <w:lang w:val="en-US"/>
        </w:rPr>
      </w:pPr>
      <w:r w:rsidRPr="00772536">
        <w:rPr>
          <w:szCs w:val="17"/>
          <w:lang w:val="en-US"/>
        </w:rPr>
        <w:t>3.2.1.2</w:t>
      </w:r>
      <w:r w:rsidRPr="00772536">
        <w:rPr>
          <w:szCs w:val="17"/>
          <w:lang w:val="en-US"/>
        </w:rPr>
        <w:tab/>
        <w:t>income in the hands of the office holder or otherwise; or</w:t>
      </w:r>
    </w:p>
    <w:p w14:paraId="6F48EC96" w14:textId="77777777" w:rsidR="00623058" w:rsidRPr="00772536" w:rsidRDefault="00623058" w:rsidP="00623058">
      <w:pPr>
        <w:tabs>
          <w:tab w:val="left" w:pos="2410"/>
        </w:tabs>
        <w:autoSpaceDE w:val="0"/>
        <w:autoSpaceDN w:val="0"/>
        <w:adjustRightInd w:val="0"/>
        <w:ind w:left="709" w:firstLine="720"/>
        <w:rPr>
          <w:szCs w:val="17"/>
          <w:lang w:val="en-US"/>
        </w:rPr>
      </w:pPr>
      <w:r w:rsidRPr="00772536">
        <w:rPr>
          <w:szCs w:val="17"/>
          <w:lang w:val="en-US"/>
        </w:rPr>
        <w:t>3.2.1.3</w:t>
      </w:r>
      <w:r w:rsidRPr="00772536">
        <w:rPr>
          <w:szCs w:val="17"/>
          <w:lang w:val="en-US"/>
        </w:rPr>
        <w:tab/>
        <w:t>any taxation liability,</w:t>
      </w:r>
    </w:p>
    <w:p w14:paraId="5BA92695" w14:textId="77777777" w:rsidR="00623058" w:rsidRPr="00772536" w:rsidRDefault="00623058" w:rsidP="00623058">
      <w:pPr>
        <w:autoSpaceDE w:val="0"/>
        <w:autoSpaceDN w:val="0"/>
        <w:adjustRightInd w:val="0"/>
        <w:ind w:left="709" w:firstLine="720"/>
        <w:rPr>
          <w:szCs w:val="17"/>
          <w:lang w:val="en-US"/>
        </w:rPr>
      </w:pPr>
      <w:r w:rsidRPr="00772536">
        <w:rPr>
          <w:szCs w:val="17"/>
          <w:lang w:val="en-US"/>
        </w:rPr>
        <w:t>however so described,</w:t>
      </w:r>
    </w:p>
    <w:p w14:paraId="033A182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3.2.2</w:t>
      </w:r>
      <w:r w:rsidRPr="00772536">
        <w:rPr>
          <w:szCs w:val="17"/>
          <w:lang w:val="en-US"/>
        </w:rPr>
        <w:tab/>
        <w:t>any legislation passed by the South Australian Parliament which enacts equivalent taxation legislation to the extent that the liability may arise or be expected to arise by reason of an assessment of:</w:t>
      </w:r>
    </w:p>
    <w:p w14:paraId="66BCFA23" w14:textId="77777777" w:rsidR="00623058" w:rsidRPr="00772536" w:rsidRDefault="00623058" w:rsidP="00623058">
      <w:pPr>
        <w:tabs>
          <w:tab w:val="left" w:pos="2410"/>
        </w:tabs>
        <w:autoSpaceDE w:val="0"/>
        <w:autoSpaceDN w:val="0"/>
        <w:adjustRightInd w:val="0"/>
        <w:ind w:left="1441" w:hanging="23"/>
        <w:rPr>
          <w:szCs w:val="17"/>
          <w:lang w:val="en-US"/>
        </w:rPr>
      </w:pPr>
      <w:r w:rsidRPr="00772536">
        <w:rPr>
          <w:szCs w:val="17"/>
          <w:lang w:val="en-US"/>
        </w:rPr>
        <w:t>3.2.2.1</w:t>
      </w:r>
      <w:r w:rsidRPr="00772536">
        <w:rPr>
          <w:szCs w:val="17"/>
          <w:lang w:val="en-US"/>
        </w:rPr>
        <w:tab/>
        <w:t>a fringe benefit; or</w:t>
      </w:r>
    </w:p>
    <w:p w14:paraId="7AD5017B" w14:textId="77777777" w:rsidR="00623058" w:rsidRPr="00772536" w:rsidRDefault="00623058" w:rsidP="00623058">
      <w:pPr>
        <w:tabs>
          <w:tab w:val="left" w:pos="2410"/>
        </w:tabs>
        <w:autoSpaceDE w:val="0"/>
        <w:autoSpaceDN w:val="0"/>
        <w:adjustRightInd w:val="0"/>
        <w:ind w:left="1441" w:hanging="23"/>
        <w:rPr>
          <w:szCs w:val="17"/>
          <w:lang w:val="en-US"/>
        </w:rPr>
      </w:pPr>
      <w:r w:rsidRPr="00772536">
        <w:rPr>
          <w:szCs w:val="17"/>
          <w:lang w:val="en-US"/>
        </w:rPr>
        <w:t>3.2.2.2</w:t>
      </w:r>
      <w:r w:rsidRPr="00772536">
        <w:rPr>
          <w:szCs w:val="17"/>
          <w:lang w:val="en-US"/>
        </w:rPr>
        <w:tab/>
        <w:t>income in the hands of the office holder; or</w:t>
      </w:r>
    </w:p>
    <w:p w14:paraId="58A6CAB0" w14:textId="77777777" w:rsidR="00623058" w:rsidRPr="00772536" w:rsidRDefault="00623058" w:rsidP="00623058">
      <w:pPr>
        <w:tabs>
          <w:tab w:val="left" w:pos="2410"/>
        </w:tabs>
        <w:autoSpaceDE w:val="0"/>
        <w:autoSpaceDN w:val="0"/>
        <w:adjustRightInd w:val="0"/>
        <w:ind w:left="1441" w:hanging="23"/>
        <w:rPr>
          <w:szCs w:val="17"/>
          <w:lang w:val="en-US"/>
        </w:rPr>
      </w:pPr>
      <w:r w:rsidRPr="00772536">
        <w:rPr>
          <w:szCs w:val="17"/>
          <w:lang w:val="en-US"/>
        </w:rPr>
        <w:t>3.2.2.3</w:t>
      </w:r>
      <w:r w:rsidRPr="00772536">
        <w:rPr>
          <w:szCs w:val="17"/>
          <w:lang w:val="en-US"/>
        </w:rPr>
        <w:tab/>
        <w:t>any taxation liability or otherwise,</w:t>
      </w:r>
    </w:p>
    <w:p w14:paraId="11BA9749" w14:textId="77777777" w:rsidR="00623058" w:rsidRPr="00772536" w:rsidRDefault="00623058" w:rsidP="00623058">
      <w:pPr>
        <w:autoSpaceDE w:val="0"/>
        <w:autoSpaceDN w:val="0"/>
        <w:adjustRightInd w:val="0"/>
        <w:ind w:left="1418"/>
        <w:rPr>
          <w:szCs w:val="17"/>
          <w:lang w:val="en-US"/>
        </w:rPr>
      </w:pPr>
      <w:r w:rsidRPr="00772536">
        <w:rPr>
          <w:szCs w:val="17"/>
          <w:lang w:val="en-US"/>
        </w:rPr>
        <w:t>however so described; or</w:t>
      </w:r>
    </w:p>
    <w:p w14:paraId="3E4A7ABA"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3.2.3</w:t>
      </w:r>
      <w:r w:rsidRPr="00772536">
        <w:rPr>
          <w:szCs w:val="17"/>
          <w:lang w:val="en-US"/>
        </w:rPr>
        <w:tab/>
        <w:t>any conduct of the office holder in relation to the office holder’s Salary Sacrifice Arrangement which is in contravention of the Arrangement, then:</w:t>
      </w:r>
    </w:p>
    <w:p w14:paraId="4A52F5AE"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3.2.4</w:t>
      </w:r>
      <w:r w:rsidRPr="00772536">
        <w:rPr>
          <w:szCs w:val="17"/>
          <w:lang w:val="en-US"/>
        </w:rPr>
        <w:tab/>
        <w:t>notwithstanding this Determination and the Salary Sacrifice Arrangement, the Paying Authority, without incurring any liability to the office holder, may terminate the Salary Sacrifice Arrangement forthwith upon the giving of a written notification to the office holder.</w:t>
      </w:r>
    </w:p>
    <w:p w14:paraId="6BA7F252" w14:textId="77777777" w:rsidR="00623058" w:rsidRPr="00324E32" w:rsidRDefault="00623058" w:rsidP="009B29CF">
      <w:pPr>
        <w:pStyle w:val="GG-Title1"/>
        <w:numPr>
          <w:ilvl w:val="0"/>
          <w:numId w:val="113"/>
        </w:numPr>
        <w:ind w:left="567" w:hanging="567"/>
        <w:jc w:val="left"/>
        <w:rPr>
          <w:b/>
          <w:bCs/>
        </w:rPr>
      </w:pPr>
      <w:bookmarkStart w:id="85" w:name="_Toc524960881"/>
      <w:r w:rsidRPr="00324E32">
        <w:rPr>
          <w:b/>
          <w:bCs/>
        </w:rPr>
        <w:t>ADMINISTRATION</w:t>
      </w:r>
      <w:bookmarkEnd w:id="85"/>
    </w:p>
    <w:p w14:paraId="25081306" w14:textId="77777777" w:rsidR="00623058" w:rsidRPr="00772536" w:rsidRDefault="00623058" w:rsidP="00623058">
      <w:pPr>
        <w:ind w:left="567" w:hanging="567"/>
        <w:rPr>
          <w:szCs w:val="17"/>
          <w:lang w:val="en-US"/>
        </w:rPr>
      </w:pPr>
      <w:r w:rsidRPr="00772536">
        <w:rPr>
          <w:szCs w:val="17"/>
          <w:lang w:val="en-US"/>
        </w:rPr>
        <w:t>4.1</w:t>
      </w:r>
      <w:r w:rsidRPr="00772536">
        <w:rPr>
          <w:szCs w:val="17"/>
          <w:lang w:val="en-US"/>
        </w:rPr>
        <w:tab/>
        <w:t xml:space="preserve">Except where the officer holder’s Salary Sacrifice Arrangement involves only the sacrifice of salary into the Triple S Scheme or a fund selected under section 21C of the </w:t>
      </w:r>
      <w:r w:rsidRPr="00772536">
        <w:rPr>
          <w:i/>
          <w:iCs/>
          <w:szCs w:val="17"/>
          <w:lang w:val="en-US"/>
        </w:rPr>
        <w:t>Southern State Superannuation Act 2009</w:t>
      </w:r>
      <w:r w:rsidRPr="00772536">
        <w:rPr>
          <w:szCs w:val="17"/>
          <w:lang w:val="en-US"/>
        </w:rPr>
        <w:t>, or access in-house benefits via the Paying Authority and where no nominee needs to be appointed by the office holder, the office holder will notify the Paying Authority in writing of the name and the details of the Nominee appointed by the officer holder to establish and administer the Salary Sacrifice Arrangement on behalf of the office holder.</w:t>
      </w:r>
    </w:p>
    <w:p w14:paraId="41CEA1EC" w14:textId="77777777" w:rsidR="00623058" w:rsidRPr="00B90AA5" w:rsidRDefault="00623058" w:rsidP="00623058">
      <w:pPr>
        <w:autoSpaceDE w:val="0"/>
        <w:autoSpaceDN w:val="0"/>
        <w:adjustRightInd w:val="0"/>
        <w:ind w:left="567"/>
        <w:rPr>
          <w:i/>
          <w:iCs/>
          <w:szCs w:val="17"/>
          <w:u w:val="single"/>
          <w:lang w:val="en-US"/>
        </w:rPr>
      </w:pPr>
      <w:r w:rsidRPr="00772536">
        <w:rPr>
          <w:i/>
          <w:iCs/>
          <w:szCs w:val="17"/>
          <w:u w:val="single"/>
          <w:lang w:val="en-US"/>
        </w:rPr>
        <w:t>It follows that all references to the Nominee herein do not in any way concern an</w:t>
      </w:r>
      <w:r>
        <w:rPr>
          <w:i/>
          <w:iCs/>
          <w:szCs w:val="17"/>
          <w:u w:val="single"/>
          <w:lang w:val="en-US"/>
        </w:rPr>
        <w:t xml:space="preserve"> </w:t>
      </w:r>
      <w:r w:rsidRPr="00772536">
        <w:rPr>
          <w:i/>
          <w:iCs/>
          <w:szCs w:val="17"/>
          <w:u w:val="single"/>
          <w:lang w:val="en-US"/>
        </w:rPr>
        <w:t>office holder whose Salary Sacrifice Arrangement only involves sacrifice into the</w:t>
      </w:r>
      <w:r>
        <w:rPr>
          <w:i/>
          <w:iCs/>
          <w:szCs w:val="17"/>
          <w:u w:val="single"/>
          <w:lang w:val="en-US"/>
        </w:rPr>
        <w:t xml:space="preserve"> </w:t>
      </w:r>
      <w:r w:rsidRPr="00772536">
        <w:rPr>
          <w:i/>
          <w:iCs/>
          <w:szCs w:val="17"/>
          <w:u w:val="single"/>
          <w:lang w:val="en-US"/>
        </w:rPr>
        <w:t>Triple S Scheme or a fund selected under section 21C of the Southern State Superannuation Act 2009.</w:t>
      </w:r>
    </w:p>
    <w:p w14:paraId="2F26C549" w14:textId="77777777" w:rsidR="00623058" w:rsidRPr="00772536" w:rsidRDefault="00623058" w:rsidP="00623058">
      <w:pPr>
        <w:autoSpaceDE w:val="0"/>
        <w:autoSpaceDN w:val="0"/>
        <w:adjustRightInd w:val="0"/>
        <w:ind w:left="567" w:hanging="567"/>
        <w:rPr>
          <w:szCs w:val="17"/>
        </w:rPr>
      </w:pPr>
      <w:r w:rsidRPr="00772536">
        <w:rPr>
          <w:szCs w:val="17"/>
        </w:rPr>
        <w:t>4.2</w:t>
      </w:r>
      <w:r w:rsidRPr="00772536">
        <w:rPr>
          <w:szCs w:val="17"/>
        </w:rPr>
        <w:tab/>
        <w:t xml:space="preserve">It is a condition precedent to the Salary Sacrifice Arrangement commencing, that the office holder must complete the forms and documents referred to in Items 1 to 5 of </w:t>
      </w:r>
      <w:r w:rsidRPr="00772536">
        <w:rPr>
          <w:b/>
          <w:bCs/>
          <w:szCs w:val="17"/>
        </w:rPr>
        <w:t xml:space="preserve">Schedule 1 </w:t>
      </w:r>
      <w:r w:rsidRPr="00772536">
        <w:rPr>
          <w:szCs w:val="17"/>
        </w:rPr>
        <w:t>to this Determination and forward a copy of the relevant forms and documents to the Paying Authority and the Nominee and where no Nominee has been appointed, to the paying authority.</w:t>
      </w:r>
    </w:p>
    <w:p w14:paraId="7D6B403B"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4.3</w:t>
      </w:r>
      <w:r w:rsidRPr="00772536">
        <w:rPr>
          <w:szCs w:val="17"/>
          <w:lang w:val="en-US"/>
        </w:rPr>
        <w:tab/>
        <w:t xml:space="preserve">The office </w:t>
      </w:r>
      <w:r w:rsidRPr="00772536">
        <w:rPr>
          <w:szCs w:val="17"/>
        </w:rPr>
        <w:t>holder</w:t>
      </w:r>
      <w:r w:rsidRPr="00772536">
        <w:rPr>
          <w:szCs w:val="17"/>
          <w:lang w:val="en-US"/>
        </w:rPr>
        <w:t xml:space="preserve"> must obtain agreement from the Nominee where a Nominee has been appointed that all amounts distributed and/or transferred by the Paying Authority to the Nominee pursuant to the Salary Sacrifice Arrangement:</w:t>
      </w:r>
    </w:p>
    <w:p w14:paraId="168C18EA"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4.3.1</w:t>
      </w:r>
      <w:r w:rsidRPr="00772536">
        <w:rPr>
          <w:szCs w:val="17"/>
          <w:lang w:val="en-US"/>
        </w:rPr>
        <w:tab/>
        <w:t>shall be held in trust by the Nominee in accordance with the terms and provisions of the Service Agreement;</w:t>
      </w:r>
    </w:p>
    <w:p w14:paraId="17A477B1"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4.3.2</w:t>
      </w:r>
      <w:r w:rsidRPr="00772536">
        <w:rPr>
          <w:szCs w:val="17"/>
          <w:lang w:val="en-US"/>
        </w:rPr>
        <w:tab/>
        <w:t>shall not be mingled by the Nominee with any other money paid into any other bank account operated by the Nominee pursuant to the Salary Sacrifice Arrangement;</w:t>
      </w:r>
    </w:p>
    <w:p w14:paraId="1B907B00"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4.3.3</w:t>
      </w:r>
      <w:r w:rsidRPr="00772536">
        <w:rPr>
          <w:szCs w:val="17"/>
          <w:lang w:val="en-US"/>
        </w:rPr>
        <w:tab/>
        <w:t>shall at all times be identifiable and attributable to the office holder for the purpose of distribution and/or transfer by the Nominee pursuant to the terms of the Salary Sacrifice Arrangement toward Approved Benefits selected by the office holder in respect of the office holder’s Salary Sacrifice Arrangement; and</w:t>
      </w:r>
    </w:p>
    <w:p w14:paraId="10CB5D3C"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4.3.4</w:t>
      </w:r>
      <w:r w:rsidRPr="00772536">
        <w:rPr>
          <w:szCs w:val="17"/>
          <w:lang w:val="en-US"/>
        </w:rPr>
        <w:tab/>
        <w:t>shall at all times be held in a manner that would enable at any given time an accounting of:</w:t>
      </w:r>
    </w:p>
    <w:p w14:paraId="64C47D0B" w14:textId="77777777" w:rsidR="00623058" w:rsidRPr="00772536" w:rsidRDefault="00623058" w:rsidP="00623058">
      <w:pPr>
        <w:tabs>
          <w:tab w:val="left" w:pos="2410"/>
        </w:tabs>
        <w:autoSpaceDE w:val="0"/>
        <w:autoSpaceDN w:val="0"/>
        <w:adjustRightInd w:val="0"/>
        <w:ind w:left="2410" w:hanging="992"/>
        <w:rPr>
          <w:szCs w:val="17"/>
          <w:lang w:val="en-US"/>
        </w:rPr>
      </w:pPr>
      <w:r w:rsidRPr="00772536">
        <w:rPr>
          <w:szCs w:val="17"/>
          <w:lang w:val="en-US"/>
        </w:rPr>
        <w:t>4.3.4.1</w:t>
      </w:r>
      <w:r w:rsidRPr="00772536">
        <w:rPr>
          <w:szCs w:val="17"/>
          <w:lang w:val="en-US"/>
        </w:rPr>
        <w:tab/>
        <w:t>the total sacrificed amount distributed and/or transferred to</w:t>
      </w:r>
      <w:r>
        <w:rPr>
          <w:szCs w:val="17"/>
          <w:lang w:val="en-US"/>
        </w:rPr>
        <w:t xml:space="preserve"> </w:t>
      </w:r>
      <w:r w:rsidRPr="00772536">
        <w:rPr>
          <w:szCs w:val="17"/>
          <w:lang w:val="en-US"/>
        </w:rPr>
        <w:t>the Nominee by the Paying Authority, applied by the Nominee to Salary Sacrifice benefits and/or applied in any other manner whatsoever;</w:t>
      </w:r>
    </w:p>
    <w:p w14:paraId="60FDFC51" w14:textId="77777777" w:rsidR="00623058" w:rsidRPr="00772536" w:rsidRDefault="00623058" w:rsidP="00623058">
      <w:pPr>
        <w:tabs>
          <w:tab w:val="left" w:pos="2410"/>
        </w:tabs>
        <w:autoSpaceDE w:val="0"/>
        <w:autoSpaceDN w:val="0"/>
        <w:adjustRightInd w:val="0"/>
        <w:ind w:left="1418"/>
        <w:rPr>
          <w:szCs w:val="17"/>
          <w:lang w:val="en-US"/>
        </w:rPr>
      </w:pPr>
      <w:r w:rsidRPr="00772536">
        <w:rPr>
          <w:szCs w:val="17"/>
          <w:lang w:val="en-US"/>
        </w:rPr>
        <w:t>4.3.4.2</w:t>
      </w:r>
      <w:r w:rsidRPr="00772536">
        <w:rPr>
          <w:szCs w:val="17"/>
          <w:lang w:val="en-US"/>
        </w:rPr>
        <w:tab/>
        <w:t>the balance of the sacrificed amount remaining.</w:t>
      </w:r>
    </w:p>
    <w:p w14:paraId="0AC589CB"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4.4</w:t>
      </w:r>
      <w:r w:rsidRPr="00772536">
        <w:rPr>
          <w:szCs w:val="17"/>
          <w:lang w:val="en-US"/>
        </w:rPr>
        <w:tab/>
        <w:t xml:space="preserve">The distribution </w:t>
      </w:r>
      <w:r w:rsidRPr="00772536">
        <w:rPr>
          <w:szCs w:val="17"/>
        </w:rPr>
        <w:t>and</w:t>
      </w:r>
      <w:r w:rsidRPr="00772536">
        <w:rPr>
          <w:szCs w:val="17"/>
          <w:lang w:val="en-US"/>
        </w:rPr>
        <w:t>/or transfer of any amount by the Paying Authority to the Nominee pursuant to the Salary Sacrifice Arrangement is:</w:t>
      </w:r>
    </w:p>
    <w:p w14:paraId="5743E67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4.4.1</w:t>
      </w:r>
      <w:r w:rsidRPr="00772536">
        <w:rPr>
          <w:szCs w:val="17"/>
          <w:lang w:val="en-US"/>
        </w:rPr>
        <w:tab/>
        <w:t>for the sole purpose of the distribution and/or transfer of the said amount in respect of any Salary Sacrifice benefits in the Salary Sacrifice Arrangement; and</w:t>
      </w:r>
    </w:p>
    <w:p w14:paraId="62ED6C7F"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4.4.2</w:t>
      </w:r>
      <w:r w:rsidRPr="00772536">
        <w:rPr>
          <w:szCs w:val="17"/>
          <w:lang w:val="en-US"/>
        </w:rPr>
        <w:tab/>
        <w:t>not income or salary payable to the office holder.</w:t>
      </w:r>
    </w:p>
    <w:p w14:paraId="49683B59"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4.5</w:t>
      </w:r>
      <w:r w:rsidRPr="00772536">
        <w:rPr>
          <w:szCs w:val="17"/>
          <w:lang w:val="en-US"/>
        </w:rPr>
        <w:tab/>
        <w:t>All charges, costs, disbursements, fees or other similar expenses charged by the Nominee for administering the Salary Sacrifice Arrangement shall be deducted from the sacrificed amount withheld from the office holder’s salary upon proper authorisation of the Nominee by the Paying Authority.</w:t>
      </w:r>
    </w:p>
    <w:p w14:paraId="3EB99ECC"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4.6</w:t>
      </w:r>
      <w:r w:rsidRPr="00772536">
        <w:rPr>
          <w:szCs w:val="17"/>
          <w:lang w:val="en-US"/>
        </w:rPr>
        <w:tab/>
        <w:t xml:space="preserve">The office holder acknowledges that he/she will not expressly or impliedly, directly, indirectly order, instruct or otherwise require the Nominee to distribute and/or transfer or re-direct any amount distributed and/or transferred by the Paying Authority to the Nominee pursuant to the Salary Sacrifice Arrangement for the purpose of the distribution and/or transfer of the said amount in </w:t>
      </w:r>
      <w:r w:rsidRPr="00772536">
        <w:rPr>
          <w:szCs w:val="17"/>
          <w:lang w:val="en-US"/>
        </w:rPr>
        <w:lastRenderedPageBreak/>
        <w:t>respect of any Approved Benefits in the Salary Sacrifice Arrangement to the office holder or any other person otherwise than in accordance with terms and provisions of the Salary Sacrifice Arrangement.</w:t>
      </w:r>
    </w:p>
    <w:p w14:paraId="720DCD4D"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4.7</w:t>
      </w:r>
      <w:r w:rsidRPr="00772536">
        <w:rPr>
          <w:szCs w:val="17"/>
          <w:lang w:val="en-US"/>
        </w:rPr>
        <w:tab/>
        <w:t>If any part of the Salary Sacrifice has been distributed and/or transferred in advance to the Nominee and the Salary Sacrifice Arrangement is subsequently revoked, superseded or terminated for whatever reason, then that amount that has been distributed and/or transferred which is more than the pro-rata entitlement as at the date of revocation or termination of the Salary Sacrifice Arrangement, shall be:</w:t>
      </w:r>
    </w:p>
    <w:p w14:paraId="1689F0F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4.7.1</w:t>
      </w:r>
      <w:r w:rsidRPr="00772536">
        <w:rPr>
          <w:szCs w:val="17"/>
          <w:lang w:val="en-US"/>
        </w:rPr>
        <w:tab/>
        <w:t>re-distributed and/or re-transferred to the Paying Authority by the Nominee; or</w:t>
      </w:r>
    </w:p>
    <w:p w14:paraId="44EE2672"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4.7.2</w:t>
      </w:r>
      <w:r w:rsidRPr="00772536">
        <w:rPr>
          <w:szCs w:val="17"/>
          <w:lang w:val="en-US"/>
        </w:rPr>
        <w:tab/>
        <w:t>recoverable by the Paying Authority from the Nominee.</w:t>
      </w:r>
    </w:p>
    <w:p w14:paraId="7F45C0C5"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4.8</w:t>
      </w:r>
      <w:r w:rsidRPr="00772536">
        <w:rPr>
          <w:szCs w:val="17"/>
          <w:lang w:val="en-US"/>
        </w:rPr>
        <w:tab/>
        <w:t>In the event of termination of employment with the Paying Authority for any reason whatsoever, the calculation of all statutory leave entitlements such as long service leave and annual leave shall be at the rate applicable to the office holder’s salary pursuant to the relevant legislative requirements.</w:t>
      </w:r>
    </w:p>
    <w:p w14:paraId="32015235"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4.9</w:t>
      </w:r>
      <w:r w:rsidRPr="00772536">
        <w:rPr>
          <w:szCs w:val="17"/>
          <w:lang w:val="en-US"/>
        </w:rPr>
        <w:tab/>
        <w:t>For the purpose of the Salary Sacrifice Arrangement, the Paying Authority:</w:t>
      </w:r>
    </w:p>
    <w:p w14:paraId="77BB92D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4.9.1</w:t>
      </w:r>
      <w:r w:rsidRPr="00772536">
        <w:rPr>
          <w:szCs w:val="17"/>
          <w:lang w:val="en-US"/>
        </w:rPr>
        <w:tab/>
        <w:t>will provide to the office holder; and</w:t>
      </w:r>
    </w:p>
    <w:p w14:paraId="71FD4F4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4.9.2</w:t>
      </w:r>
      <w:r w:rsidRPr="00772536">
        <w:rPr>
          <w:szCs w:val="17"/>
          <w:lang w:val="en-US"/>
        </w:rPr>
        <w:tab/>
        <w:t>unreservedly authorises the Nominee to provide to the office holder, upon written request by the office holder, all books and records associated or related to Salary Sacrifice and the Salary Sacrifice arrangement including but not limited to the Salary Sacrifice benefits taken up by the office holder, and, the parties agree that this sub-clause operates and has full effect at all other times and survives the revocation or termination of the Salary Sacrifice Arrangement.</w:t>
      </w:r>
    </w:p>
    <w:p w14:paraId="1DD6EC00"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4.10</w:t>
      </w:r>
      <w:r w:rsidRPr="00772536">
        <w:rPr>
          <w:szCs w:val="17"/>
          <w:lang w:val="en-US"/>
        </w:rPr>
        <w:tab/>
        <w:t>For the purpose of the Salary Sacrifice Arrangement, the office holder unreservedly consents to the Paying Authority or the Nominee disclosing any books and records for the purpose of the Salary Sacrifice Arrangement and for the purpose of complying with any relevant taxation law or rulings and any audit by the Australian Taxation Office or the Auditor-General of South Australia or auditors authorised by the Paying Authority.</w:t>
      </w:r>
    </w:p>
    <w:p w14:paraId="59287F0F"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4.11</w:t>
      </w:r>
      <w:r w:rsidRPr="00772536">
        <w:rPr>
          <w:szCs w:val="17"/>
          <w:lang w:val="en-US"/>
        </w:rPr>
        <w:tab/>
        <w:t xml:space="preserve">A $44.00 (inclusive of GST) </w:t>
      </w:r>
      <w:r w:rsidRPr="00772536">
        <w:rPr>
          <w:b/>
          <w:bCs/>
          <w:szCs w:val="17"/>
          <w:lang w:val="en-US"/>
        </w:rPr>
        <w:t xml:space="preserve">administration </w:t>
      </w:r>
      <w:r w:rsidRPr="00772536">
        <w:rPr>
          <w:szCs w:val="17"/>
          <w:lang w:val="en-US"/>
        </w:rPr>
        <w:t>fee may apply for the administration of the Salary Sacrifice Arrangement and will be deducted by the Paying Authority from the first amount of salary which is sacrificed by the office holder.</w:t>
      </w:r>
    </w:p>
    <w:p w14:paraId="019F5219" w14:textId="77777777" w:rsidR="00623058" w:rsidRPr="00324E32" w:rsidRDefault="00623058" w:rsidP="009B29CF">
      <w:pPr>
        <w:pStyle w:val="GG-Title1"/>
        <w:numPr>
          <w:ilvl w:val="0"/>
          <w:numId w:val="113"/>
        </w:numPr>
        <w:ind w:left="567" w:hanging="567"/>
        <w:jc w:val="left"/>
        <w:rPr>
          <w:b/>
          <w:bCs/>
        </w:rPr>
      </w:pPr>
      <w:bookmarkStart w:id="86" w:name="_Toc524960882"/>
      <w:r w:rsidRPr="00324E32">
        <w:rPr>
          <w:b/>
          <w:bCs/>
        </w:rPr>
        <w:t>FINANCIAL ADVICE</w:t>
      </w:r>
      <w:bookmarkEnd w:id="86"/>
    </w:p>
    <w:p w14:paraId="581D2EEB"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5.1</w:t>
      </w:r>
      <w:r w:rsidRPr="00772536">
        <w:rPr>
          <w:szCs w:val="17"/>
          <w:lang w:val="en-US"/>
        </w:rPr>
        <w:tab/>
        <w:t>The office holder acknowledges that he/she has sole responsibility for seeking independent and personal financial advice with respect to his or her acceptance of Salary Sacrifice and the Salary Sacrifice Arrangement and that this is not a matter for the Paying Authority at all.</w:t>
      </w:r>
    </w:p>
    <w:p w14:paraId="729DE328" w14:textId="77777777" w:rsidR="00623058" w:rsidRPr="00324E32" w:rsidRDefault="00623058" w:rsidP="009B29CF">
      <w:pPr>
        <w:pStyle w:val="GG-Title1"/>
        <w:numPr>
          <w:ilvl w:val="0"/>
          <w:numId w:val="113"/>
        </w:numPr>
        <w:ind w:left="567" w:hanging="567"/>
        <w:jc w:val="left"/>
        <w:rPr>
          <w:b/>
          <w:bCs/>
        </w:rPr>
      </w:pPr>
      <w:bookmarkStart w:id="87" w:name="_Toc524960883"/>
      <w:r w:rsidRPr="00324E32">
        <w:rPr>
          <w:b/>
          <w:bCs/>
        </w:rPr>
        <w:t>SUPERANNUATION</w:t>
      </w:r>
      <w:bookmarkEnd w:id="87"/>
    </w:p>
    <w:p w14:paraId="2E206F84"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6.1</w:t>
      </w:r>
      <w:r w:rsidRPr="00772536">
        <w:rPr>
          <w:szCs w:val="17"/>
          <w:lang w:val="en-US"/>
        </w:rPr>
        <w:tab/>
        <w:t xml:space="preserve">The Paying Authority shall make contributions in respect of the Paying Authority share of the liability accruing for benefits in relation to their obligations to the office holder under the </w:t>
      </w:r>
      <w:r w:rsidRPr="00772536">
        <w:rPr>
          <w:i/>
          <w:iCs/>
          <w:szCs w:val="17"/>
          <w:lang w:val="en-US"/>
        </w:rPr>
        <w:t xml:space="preserve">Superannuation Act 1988 </w:t>
      </w:r>
      <w:r w:rsidRPr="00772536">
        <w:rPr>
          <w:szCs w:val="17"/>
          <w:lang w:val="en-US"/>
        </w:rPr>
        <w:t xml:space="preserve">and/or the </w:t>
      </w:r>
      <w:r w:rsidRPr="00772536">
        <w:rPr>
          <w:i/>
          <w:iCs/>
          <w:szCs w:val="17"/>
          <w:lang w:val="en-US"/>
        </w:rPr>
        <w:t>Southern State Superannuation Act 2009</w:t>
      </w:r>
      <w:r w:rsidRPr="00772536">
        <w:rPr>
          <w:szCs w:val="17"/>
          <w:lang w:val="en-US"/>
        </w:rPr>
        <w:t>, on the same terms and conditions as applied as at the date of commencement of the Salary Sacrifice Arrangement, subject to the office holder making any election required under the relevant superannuation legislation to maintain benefits applicable to salary (as defined in the relevant superannuation legislation) applying at the date of the commencement of the Salary Sacrifice Arrangement.</w:t>
      </w:r>
    </w:p>
    <w:p w14:paraId="2D62E9B4" w14:textId="77777777" w:rsidR="00623058" w:rsidRPr="00324E32" w:rsidRDefault="00623058" w:rsidP="009B29CF">
      <w:pPr>
        <w:pStyle w:val="GG-Title1"/>
        <w:numPr>
          <w:ilvl w:val="0"/>
          <w:numId w:val="113"/>
        </w:numPr>
        <w:ind w:left="567" w:hanging="567"/>
        <w:jc w:val="left"/>
        <w:rPr>
          <w:b/>
          <w:bCs/>
        </w:rPr>
      </w:pPr>
      <w:bookmarkStart w:id="88" w:name="_Toc524960884"/>
      <w:r w:rsidRPr="00324E32">
        <w:rPr>
          <w:b/>
          <w:bCs/>
        </w:rPr>
        <w:t>ACKNOWLEDGMENTS</w:t>
      </w:r>
      <w:bookmarkEnd w:id="88"/>
    </w:p>
    <w:p w14:paraId="46AC748F"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7.1</w:t>
      </w:r>
      <w:r w:rsidRPr="00772536">
        <w:rPr>
          <w:szCs w:val="17"/>
          <w:lang w:val="en-US"/>
        </w:rPr>
        <w:tab/>
        <w:t>In electing to Salary Sacrifice, the office holder acknowledges and undertakes:</w:t>
      </w:r>
    </w:p>
    <w:p w14:paraId="61006771"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7.1.1</w:t>
      </w:r>
      <w:r w:rsidRPr="00772536">
        <w:rPr>
          <w:szCs w:val="17"/>
          <w:lang w:val="en-US"/>
        </w:rPr>
        <w:tab/>
        <w:t>that the Approved Benefits selected are the only items available for selection in the Salary Sacrifice Arrangement;</w:t>
      </w:r>
    </w:p>
    <w:p w14:paraId="678D3D8E"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7.1.2</w:t>
      </w:r>
      <w:r w:rsidRPr="00772536">
        <w:rPr>
          <w:szCs w:val="17"/>
          <w:lang w:val="en-US"/>
        </w:rPr>
        <w:tab/>
        <w:t>that amounts transferred by the Paying Authority to its Nominee pursuant to the Salary Sacrifice arrangement will only be used to pay the Approved Benefits selected by the office holder; and</w:t>
      </w:r>
    </w:p>
    <w:p w14:paraId="307F52D1"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7.1.3</w:t>
      </w:r>
      <w:r w:rsidRPr="00772536">
        <w:rPr>
          <w:szCs w:val="17"/>
          <w:lang w:val="en-US"/>
        </w:rPr>
        <w:tab/>
        <w:t>not to enter into any agreements which are contrary to the terms of the Salary Sacrifice Arrangement and the Service Agreement (if applicable), and in the event that such an agreement is entered into, then the Service Agreement (if applicable) and the Salary Sacrifice Arrangement shall take precedence.</w:t>
      </w:r>
    </w:p>
    <w:p w14:paraId="1F98FACA"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7.2</w:t>
      </w:r>
      <w:r w:rsidRPr="00772536">
        <w:rPr>
          <w:szCs w:val="17"/>
          <w:lang w:val="en-US"/>
        </w:rPr>
        <w:tab/>
        <w:t>The office holder acknowledges that in the event of being appointed to a different office, that he or she may be subject to a different offer of Salary Sacrifice.</w:t>
      </w:r>
    </w:p>
    <w:p w14:paraId="4AD9C936"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7.3</w:t>
      </w:r>
      <w:r w:rsidRPr="00772536">
        <w:rPr>
          <w:szCs w:val="17"/>
          <w:lang w:val="en-US"/>
        </w:rPr>
        <w:tab/>
        <w:t>The office holder acknowledges that in the event of:</w:t>
      </w:r>
    </w:p>
    <w:p w14:paraId="2008EE71"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7.3.1</w:t>
      </w:r>
      <w:r w:rsidRPr="00772536">
        <w:rPr>
          <w:szCs w:val="17"/>
          <w:lang w:val="en-US"/>
        </w:rPr>
        <w:tab/>
        <w:t>cessation of appointment; or</w:t>
      </w:r>
    </w:p>
    <w:p w14:paraId="11B02604"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7.3.2</w:t>
      </w:r>
      <w:r w:rsidRPr="00772536">
        <w:rPr>
          <w:szCs w:val="17"/>
          <w:lang w:val="en-US"/>
        </w:rPr>
        <w:tab/>
        <w:t>appointment to a different office,</w:t>
      </w:r>
    </w:p>
    <w:p w14:paraId="2DAF2D70" w14:textId="77777777" w:rsidR="00623058" w:rsidRPr="00772536" w:rsidRDefault="00623058" w:rsidP="00623058">
      <w:pPr>
        <w:autoSpaceDE w:val="0"/>
        <w:autoSpaceDN w:val="0"/>
        <w:adjustRightInd w:val="0"/>
        <w:ind w:left="567"/>
        <w:rPr>
          <w:szCs w:val="17"/>
          <w:lang w:val="en-US"/>
        </w:rPr>
      </w:pPr>
      <w:r w:rsidRPr="00772536">
        <w:rPr>
          <w:szCs w:val="17"/>
          <w:lang w:val="en-US"/>
        </w:rPr>
        <w:t>he or she must notify the Nominee administering the Salary Sacrifice Arrangement or the Paying Authority in the event that no Nominee has been appointed by the office holder, at least 7 days prior to such an event occurring where such matter or thing is within the knowledge of the office holder.</w:t>
      </w:r>
    </w:p>
    <w:p w14:paraId="346EEE31"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7.4</w:t>
      </w:r>
      <w:r w:rsidRPr="00772536">
        <w:rPr>
          <w:szCs w:val="17"/>
          <w:lang w:val="en-US"/>
        </w:rPr>
        <w:tab/>
        <w:t>The parties acknowledge and accept that any cost, loss, expense or liability incurred by either party, pursuant to the relevant taxation legislation and rulings will be the responsibility of that party and will be met by that party.</w:t>
      </w:r>
    </w:p>
    <w:p w14:paraId="1EB492BD"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7.5</w:t>
      </w:r>
      <w:r w:rsidRPr="00772536">
        <w:rPr>
          <w:szCs w:val="17"/>
          <w:lang w:val="en-US"/>
        </w:rPr>
        <w:tab/>
      </w:r>
      <w:r w:rsidRPr="00772536">
        <w:rPr>
          <w:szCs w:val="17"/>
        </w:rPr>
        <w:t>The office holder must comply with the terms and provisions of the Salary Sacrifice Agreement. The parties acknowledge and agree that the office holder will enter into agreements with the Nominee to facilitate the administration of the office holder’s salary packaging arrangement and any such agreements must be consistent at all times with the terms of the Salary Sacrifice Arrangement.</w:t>
      </w:r>
    </w:p>
    <w:p w14:paraId="106E1456"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7.6</w:t>
      </w:r>
      <w:r w:rsidRPr="00772536">
        <w:rPr>
          <w:szCs w:val="17"/>
          <w:lang w:val="en-US"/>
        </w:rPr>
        <w:tab/>
        <w:t>The office holder acknowledges that the total and sole responsibility for the administration of the Salary Sacrifice Arrangement rests with the Nominee where a Nominee has been appointed and that the office holder will notify and endeavour to resolve all of its complaints, disputes and grievances in respect of the Salary Sacrifice Arrangements with the Nominee only if a Nominee has been appointed and not the Paying Authority.</w:t>
      </w:r>
    </w:p>
    <w:p w14:paraId="6A0ED924" w14:textId="77777777" w:rsidR="00623058" w:rsidRPr="00772536" w:rsidRDefault="00623058" w:rsidP="00623058">
      <w:pPr>
        <w:autoSpaceDE w:val="0"/>
        <w:autoSpaceDN w:val="0"/>
        <w:adjustRightInd w:val="0"/>
        <w:ind w:left="567" w:hanging="567"/>
        <w:rPr>
          <w:szCs w:val="17"/>
        </w:rPr>
      </w:pPr>
      <w:r w:rsidRPr="00772536">
        <w:rPr>
          <w:szCs w:val="17"/>
          <w:lang w:val="en-US"/>
        </w:rPr>
        <w:t>7.7</w:t>
      </w:r>
      <w:r w:rsidRPr="00772536">
        <w:rPr>
          <w:szCs w:val="17"/>
          <w:lang w:val="en-US"/>
        </w:rPr>
        <w:tab/>
        <w:t>The parties agree and acknowledge that the terms of this Agreement are subject at all times to the Panel Agreement and the Service Agreement.</w:t>
      </w:r>
      <w:r w:rsidRPr="00772536">
        <w:rPr>
          <w:szCs w:val="17"/>
        </w:rPr>
        <w:t xml:space="preserve"> </w:t>
      </w:r>
    </w:p>
    <w:p w14:paraId="56AD393B" w14:textId="77777777" w:rsidR="00623058" w:rsidRPr="00324E32" w:rsidRDefault="00623058" w:rsidP="009B29CF">
      <w:pPr>
        <w:pStyle w:val="GG-Title1"/>
        <w:numPr>
          <w:ilvl w:val="0"/>
          <w:numId w:val="113"/>
        </w:numPr>
        <w:ind w:left="567" w:hanging="567"/>
        <w:jc w:val="left"/>
        <w:rPr>
          <w:b/>
          <w:bCs/>
        </w:rPr>
      </w:pPr>
      <w:bookmarkStart w:id="89" w:name="_Toc524960885"/>
      <w:r w:rsidRPr="00324E32">
        <w:rPr>
          <w:b/>
          <w:bCs/>
        </w:rPr>
        <w:t>CONFIDENTIALITY</w:t>
      </w:r>
      <w:bookmarkEnd w:id="89"/>
    </w:p>
    <w:p w14:paraId="4E796FA3"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8.1</w:t>
      </w:r>
      <w:r w:rsidRPr="00772536">
        <w:rPr>
          <w:szCs w:val="17"/>
          <w:lang w:val="en-US"/>
        </w:rPr>
        <w:tab/>
        <w:t>The terms of the Salary Sacrifice Arrangement are to remain confidential between the parties.</w:t>
      </w:r>
    </w:p>
    <w:p w14:paraId="23BCACF0"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8.2</w:t>
      </w:r>
      <w:r w:rsidRPr="00772536">
        <w:rPr>
          <w:szCs w:val="17"/>
          <w:lang w:val="en-US"/>
        </w:rPr>
        <w:tab/>
        <w:t>The Paying Authority shall treat as strictly confidential all information obtained from the office holder or any other information acquired by it for the purposes of the Salary Sacrifice Arrangement and shall not divulge such information to any person without the office holder’s prior written consent.</w:t>
      </w:r>
    </w:p>
    <w:p w14:paraId="18433C2C" w14:textId="77777777" w:rsidR="00623058" w:rsidRPr="00772536" w:rsidRDefault="00623058" w:rsidP="00623058">
      <w:pPr>
        <w:autoSpaceDE w:val="0"/>
        <w:autoSpaceDN w:val="0"/>
        <w:adjustRightInd w:val="0"/>
        <w:rPr>
          <w:szCs w:val="17"/>
          <w:lang w:val="en-US"/>
        </w:rPr>
      </w:pPr>
    </w:p>
    <w:p w14:paraId="66681450"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lastRenderedPageBreak/>
        <w:t>8.3</w:t>
      </w:r>
      <w:r w:rsidRPr="00772536">
        <w:rPr>
          <w:szCs w:val="17"/>
          <w:lang w:val="en-US"/>
        </w:rPr>
        <w:tab/>
        <w:t>The Paying Authority shall:</w:t>
      </w:r>
    </w:p>
    <w:p w14:paraId="41E020F9"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8.3.1</w:t>
      </w:r>
      <w:r w:rsidRPr="00772536">
        <w:rPr>
          <w:szCs w:val="17"/>
          <w:lang w:val="en-US"/>
        </w:rPr>
        <w:tab/>
        <w:t>keep access to any data collected in the course of performing the Salary Sacrifice Arrangement, whether stored in manual files or on a computer data base, for the purposes of the Salary Sacrifice Arrangement, confidential;</w:t>
      </w:r>
    </w:p>
    <w:p w14:paraId="4E5DB71D"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8.3.2</w:t>
      </w:r>
      <w:r w:rsidRPr="00772536">
        <w:rPr>
          <w:szCs w:val="17"/>
          <w:lang w:val="en-US"/>
        </w:rPr>
        <w:tab/>
        <w:t>keep any record used by it for purposes of the Salary Sacrifice Arrangement confidential;</w:t>
      </w:r>
    </w:p>
    <w:p w14:paraId="7C46B863"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8.3.3</w:t>
      </w:r>
      <w:r w:rsidRPr="00772536">
        <w:rPr>
          <w:szCs w:val="17"/>
          <w:lang w:val="en-US"/>
        </w:rPr>
        <w:tab/>
        <w:t>not divulge such computer passwords to any person without the office holder’s prior written consent; and</w:t>
      </w:r>
    </w:p>
    <w:p w14:paraId="401C9A89"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8.3.4</w:t>
      </w:r>
      <w:r w:rsidRPr="00772536">
        <w:rPr>
          <w:szCs w:val="17"/>
          <w:lang w:val="en-US"/>
        </w:rPr>
        <w:tab/>
        <w:t>immediately inform the office holder of any unauthorised use of a computer password.</w:t>
      </w:r>
    </w:p>
    <w:p w14:paraId="24615B41"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8.4</w:t>
      </w:r>
      <w:r w:rsidRPr="00772536">
        <w:rPr>
          <w:szCs w:val="17"/>
          <w:lang w:val="en-US"/>
        </w:rPr>
        <w:tab/>
        <w:t>The Paying Authority shall, if requested by the office holder provide the office holder with written undertakings not to divulge any confidential information or any computer password to any other person.</w:t>
      </w:r>
    </w:p>
    <w:p w14:paraId="45F68C27"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8.5</w:t>
      </w:r>
      <w:r w:rsidRPr="00772536">
        <w:rPr>
          <w:szCs w:val="17"/>
          <w:lang w:val="en-US"/>
        </w:rPr>
        <w:tab/>
        <w:t>The Paying Authority shall immediately notify the office holder if it becomes aware of any disclosure or distribution of information or breach of this clause 8 by any person and shall give the office holder all reasonable assistance in connection with any proceedings which the office holder may institute against such person in respect of such disclosure or distribution.</w:t>
      </w:r>
    </w:p>
    <w:p w14:paraId="1E6B8F35"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8.6</w:t>
      </w:r>
      <w:r w:rsidRPr="00772536">
        <w:rPr>
          <w:szCs w:val="17"/>
          <w:lang w:val="en-US"/>
        </w:rPr>
        <w:tab/>
        <w:t>The obligations as to confidentiality pursuant to this clause shall survive any expiry, revocation or termination of the Salary Sacrifice Arrangement.</w:t>
      </w:r>
    </w:p>
    <w:p w14:paraId="1F61B255" w14:textId="77777777" w:rsidR="00623058" w:rsidRPr="00324E32" w:rsidRDefault="00623058" w:rsidP="009B29CF">
      <w:pPr>
        <w:pStyle w:val="GG-Title1"/>
        <w:numPr>
          <w:ilvl w:val="0"/>
          <w:numId w:val="113"/>
        </w:numPr>
        <w:ind w:left="567" w:hanging="567"/>
        <w:jc w:val="left"/>
        <w:rPr>
          <w:b/>
          <w:bCs/>
        </w:rPr>
      </w:pPr>
      <w:bookmarkStart w:id="90" w:name="_Toc524960886"/>
      <w:r w:rsidRPr="00324E32">
        <w:rPr>
          <w:b/>
          <w:bCs/>
        </w:rPr>
        <w:t>SECURITY</w:t>
      </w:r>
      <w:bookmarkEnd w:id="90"/>
    </w:p>
    <w:p w14:paraId="020324B3"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9.1</w:t>
      </w:r>
      <w:r w:rsidRPr="00772536">
        <w:rPr>
          <w:szCs w:val="17"/>
          <w:lang w:val="en-US"/>
        </w:rPr>
        <w:tab/>
        <w:t>The Paying Authority shall only use those manual files and books and records of the office holder, which the office holder specifically authorises for performance of the Salary Sacrifice Arrangement, and only in a manner as directed by the office holder from time to time.</w:t>
      </w:r>
    </w:p>
    <w:p w14:paraId="4DA394E2"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9.2</w:t>
      </w:r>
      <w:r w:rsidRPr="00772536">
        <w:rPr>
          <w:szCs w:val="17"/>
          <w:lang w:val="en-US"/>
        </w:rPr>
        <w:tab/>
        <w:t>The Paying Authority shall immediately notify the office holder of any unauthorized use of the office holder’s books and records.</w:t>
      </w:r>
    </w:p>
    <w:p w14:paraId="1793823D" w14:textId="77777777" w:rsidR="00623058" w:rsidRPr="00324E32" w:rsidRDefault="00623058" w:rsidP="009B29CF">
      <w:pPr>
        <w:pStyle w:val="GG-Title1"/>
        <w:numPr>
          <w:ilvl w:val="0"/>
          <w:numId w:val="113"/>
        </w:numPr>
        <w:ind w:left="567" w:hanging="567"/>
        <w:jc w:val="left"/>
        <w:rPr>
          <w:b/>
          <w:bCs/>
        </w:rPr>
      </w:pPr>
      <w:bookmarkStart w:id="91" w:name="_Toc524960887"/>
      <w:r w:rsidRPr="00324E32">
        <w:rPr>
          <w:b/>
          <w:bCs/>
        </w:rPr>
        <w:t>NATURE OF RELATIONSHIP BETWEEN THE PARTIES AND LIABILITY</w:t>
      </w:r>
      <w:bookmarkEnd w:id="91"/>
    </w:p>
    <w:p w14:paraId="10F82A5E"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10.1</w:t>
      </w:r>
      <w:r w:rsidRPr="00772536">
        <w:rPr>
          <w:szCs w:val="17"/>
          <w:lang w:val="en-US"/>
        </w:rPr>
        <w:tab/>
        <w:t>Neither of the parties has the authority to act for or to incur any liability or obligation on behalf of the other except as expressly provided in the Salary Sacrifice Arrangement.</w:t>
      </w:r>
    </w:p>
    <w:p w14:paraId="1B7E0136"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10.2</w:t>
      </w:r>
      <w:r w:rsidRPr="00772536">
        <w:rPr>
          <w:szCs w:val="17"/>
          <w:lang w:val="en-US"/>
        </w:rPr>
        <w:tab/>
        <w:t>The Nominee (where appointed) is nominated by the office holder to receive the sacrificed amount and to apply it for the benefit of the office holder.</w:t>
      </w:r>
    </w:p>
    <w:p w14:paraId="4C013CC6"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10.3</w:t>
      </w:r>
      <w:r w:rsidRPr="00772536">
        <w:rPr>
          <w:szCs w:val="17"/>
          <w:lang w:val="en-US"/>
        </w:rPr>
        <w:tab/>
        <w:t>The office holder acknowledges and agrees that the Paying Authority is not liable to the office holder either directly or indirectly in respect of any matter touching or concerning the selection of the Nominee (where appointed), or in any manner whatsoever in respect of the Salary Sacrifice arrangement.</w:t>
      </w:r>
    </w:p>
    <w:p w14:paraId="66854EB2"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10.4</w:t>
      </w:r>
      <w:r w:rsidRPr="00772536">
        <w:rPr>
          <w:szCs w:val="17"/>
          <w:lang w:val="en-US"/>
        </w:rPr>
        <w:tab/>
        <w:t>The office holder further acknowledges and agrees that the Paying Authority is not liable to the office holder at all either directly or indirectly for any acts or omissions whatsoever of the Nominee (where appointed) or any other person however so described in respect of the administration or any matter touching upon or concerning the administration of the Salary Sacrifice arrangement.</w:t>
      </w:r>
    </w:p>
    <w:p w14:paraId="2328E98B"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10.5</w:t>
      </w:r>
      <w:r w:rsidRPr="00772536">
        <w:rPr>
          <w:szCs w:val="17"/>
          <w:lang w:val="en-US"/>
        </w:rPr>
        <w:tab/>
        <w:t>The office holder shall indemnify the Paying Authority from and against any income tax or any other taxation liability whatsoever (including any administrative penalty, fine or other amount) that may become payable pursuant to any relevant taxation legislation and rulings in respect of any monies transferred or distributed:</w:t>
      </w:r>
    </w:p>
    <w:p w14:paraId="73943C0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10.5.1</w:t>
      </w:r>
      <w:r w:rsidRPr="00772536">
        <w:rPr>
          <w:szCs w:val="17"/>
          <w:lang w:val="en-US"/>
        </w:rPr>
        <w:tab/>
        <w:t>by the Paying Authority to the Nominee;</w:t>
      </w:r>
    </w:p>
    <w:p w14:paraId="18CFE423"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10.5.2</w:t>
      </w:r>
      <w:r w:rsidRPr="00772536">
        <w:rPr>
          <w:szCs w:val="17"/>
          <w:lang w:val="en-US"/>
        </w:rPr>
        <w:tab/>
        <w:t xml:space="preserve">by the Paying Authority to the Triple S Scheme or a fund selected under section 21C of the </w:t>
      </w:r>
      <w:r w:rsidRPr="00B90AA5">
        <w:rPr>
          <w:i/>
          <w:iCs/>
          <w:szCs w:val="17"/>
          <w:lang w:val="en-US"/>
        </w:rPr>
        <w:t>Southern State Superannuation Act 2009</w:t>
      </w:r>
      <w:r w:rsidRPr="00772536">
        <w:rPr>
          <w:szCs w:val="17"/>
          <w:lang w:val="en-US"/>
        </w:rPr>
        <w:t>; or</w:t>
      </w:r>
    </w:p>
    <w:p w14:paraId="7A6FD579"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10.5.3</w:t>
      </w:r>
      <w:r w:rsidRPr="00772536">
        <w:rPr>
          <w:szCs w:val="17"/>
          <w:lang w:val="en-US"/>
        </w:rPr>
        <w:tab/>
        <w:t>by the Nominee (where appointed) to any other person (including the office holder), in respect of any of the office holder’s salary distributed and/or transferred to the Nominee in respect of Approved Benefits in accordance with the Salary Sacrifice Arrangement.</w:t>
      </w:r>
    </w:p>
    <w:p w14:paraId="2F5D7D17"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10.6</w:t>
      </w:r>
      <w:r w:rsidRPr="00772536">
        <w:rPr>
          <w:szCs w:val="17"/>
          <w:lang w:val="en-US"/>
        </w:rPr>
        <w:tab/>
        <w:t>The office holder will indemnify the Paying Authority from and against all charges, costs, damages, disbursements, fees, losses suffered or incurred by the Paying Authority as a consequence of any:</w:t>
      </w:r>
    </w:p>
    <w:p w14:paraId="3094B831"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10.6.1</w:t>
      </w:r>
      <w:r w:rsidRPr="00772536">
        <w:rPr>
          <w:szCs w:val="17"/>
          <w:lang w:val="en-US"/>
        </w:rPr>
        <w:tab/>
        <w:t>misappropriation;</w:t>
      </w:r>
    </w:p>
    <w:p w14:paraId="546B0BA9"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10.6.2</w:t>
      </w:r>
      <w:r w:rsidRPr="00772536">
        <w:rPr>
          <w:szCs w:val="17"/>
          <w:lang w:val="en-US"/>
        </w:rPr>
        <w:tab/>
        <w:t>defalcation;</w:t>
      </w:r>
    </w:p>
    <w:p w14:paraId="29AB46C3"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10.6.3</w:t>
      </w:r>
      <w:r w:rsidRPr="00772536">
        <w:rPr>
          <w:szCs w:val="17"/>
          <w:lang w:val="en-US"/>
        </w:rPr>
        <w:tab/>
        <w:t>failure to account; or</w:t>
      </w:r>
    </w:p>
    <w:p w14:paraId="2AC65DB0"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10.6.4</w:t>
      </w:r>
      <w:r w:rsidRPr="00772536">
        <w:rPr>
          <w:szCs w:val="17"/>
          <w:lang w:val="en-US"/>
        </w:rPr>
        <w:tab/>
        <w:t>any other breach/es of the Salary Sacrifice Arrangement or the Agency Agreement; by the Nominee (where appointed) of or in relation to any moneys it holds as trustee; or</w:t>
      </w:r>
    </w:p>
    <w:p w14:paraId="17050148"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10.6.5</w:t>
      </w:r>
      <w:r w:rsidRPr="00772536">
        <w:rPr>
          <w:szCs w:val="17"/>
          <w:lang w:val="en-US"/>
        </w:rPr>
        <w:tab/>
        <w:t>failure by the Nominee (where appointed) to make any payments as directed by the Paying Authority on the office holder’s behalf or office holder pursuant to or as authorised by the Salary Sacrifice Arrangement; or</w:t>
      </w:r>
    </w:p>
    <w:p w14:paraId="360EE08D"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10.6.6</w:t>
      </w:r>
      <w:r w:rsidRPr="00772536">
        <w:rPr>
          <w:szCs w:val="17"/>
          <w:lang w:val="en-US"/>
        </w:rPr>
        <w:tab/>
        <w:t>any other matter or thing done or omitted to be done by the Nominee (where appointed) in relation to the office holder.</w:t>
      </w:r>
    </w:p>
    <w:p w14:paraId="73C9604E"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10.7</w:t>
      </w:r>
      <w:r w:rsidRPr="00772536">
        <w:rPr>
          <w:szCs w:val="17"/>
          <w:lang w:val="en-US"/>
        </w:rPr>
        <w:tab/>
        <w:t>The office holder acknowledges that she/he will indemnify the Paying Authority in respect of any and all charges, costs, damages, disbursements, fees, losses suffered or incurred by the Paying Authority as a result of the establishment, administration, delivery or provision of the Salary Sacrifice Arrangement or the Salary Sacrifice arrangement.</w:t>
      </w:r>
    </w:p>
    <w:p w14:paraId="0F807D6F" w14:textId="77777777" w:rsidR="00623058" w:rsidRPr="00324E32" w:rsidRDefault="00623058" w:rsidP="009B29CF">
      <w:pPr>
        <w:pStyle w:val="GG-Title1"/>
        <w:numPr>
          <w:ilvl w:val="0"/>
          <w:numId w:val="113"/>
        </w:numPr>
        <w:ind w:left="567" w:hanging="567"/>
        <w:jc w:val="left"/>
        <w:rPr>
          <w:b/>
          <w:bCs/>
        </w:rPr>
      </w:pPr>
      <w:bookmarkStart w:id="92" w:name="_Toc524960888"/>
      <w:r w:rsidRPr="00324E32">
        <w:rPr>
          <w:b/>
          <w:bCs/>
        </w:rPr>
        <w:t>TERMINATION</w:t>
      </w:r>
      <w:bookmarkEnd w:id="92"/>
    </w:p>
    <w:p w14:paraId="4F58D0C8"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11.1</w:t>
      </w:r>
      <w:r w:rsidRPr="00772536">
        <w:rPr>
          <w:szCs w:val="17"/>
          <w:lang w:val="en-US"/>
        </w:rPr>
        <w:tab/>
        <w:t>Except as provided herein, the office holder does not have the right to revoke or terminate the Salary Sacrifice Arrangement.</w:t>
      </w:r>
    </w:p>
    <w:p w14:paraId="1D4E711C"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11.2</w:t>
      </w:r>
      <w:r w:rsidRPr="00772536">
        <w:rPr>
          <w:szCs w:val="17"/>
          <w:lang w:val="en-US"/>
        </w:rPr>
        <w:tab/>
        <w:t>The Salary Sacrifice Arrangement shall expire and terminate:</w:t>
      </w:r>
    </w:p>
    <w:p w14:paraId="6555FA97"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11.2.1</w:t>
      </w:r>
      <w:r w:rsidRPr="00772536">
        <w:rPr>
          <w:szCs w:val="17"/>
          <w:lang w:val="en-US"/>
        </w:rPr>
        <w:tab/>
        <w:t>at any time by written agreement between the parties;</w:t>
      </w:r>
    </w:p>
    <w:p w14:paraId="2E7B4E4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11.2.2</w:t>
      </w:r>
      <w:r w:rsidRPr="00772536">
        <w:rPr>
          <w:szCs w:val="17"/>
          <w:lang w:val="en-US"/>
        </w:rPr>
        <w:tab/>
        <w:t>on the pre-determined review date;</w:t>
      </w:r>
    </w:p>
    <w:p w14:paraId="4B76779F"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11.2.3</w:t>
      </w:r>
      <w:r w:rsidRPr="00772536">
        <w:rPr>
          <w:szCs w:val="17"/>
          <w:lang w:val="en-US"/>
        </w:rPr>
        <w:tab/>
        <w:t xml:space="preserve">pursuant to any one of the events listed in clause 3.1 and/or 3.2 of this </w:t>
      </w:r>
      <w:r w:rsidRPr="00324E32">
        <w:rPr>
          <w:szCs w:val="17"/>
          <w:lang w:val="en-US"/>
        </w:rPr>
        <w:t>Schedule</w:t>
      </w:r>
      <w:r w:rsidRPr="00772536">
        <w:rPr>
          <w:szCs w:val="17"/>
          <w:lang w:val="en-US"/>
        </w:rPr>
        <w:t>;</w:t>
      </w:r>
    </w:p>
    <w:p w14:paraId="1AD7DE57"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11.2.4</w:t>
      </w:r>
      <w:r w:rsidRPr="00772536">
        <w:rPr>
          <w:szCs w:val="17"/>
          <w:lang w:val="en-US"/>
        </w:rPr>
        <w:tab/>
        <w:t>if the Paying Authority gives to the office holder not less than twenty-one (21) days prior written notice terminating the Salary Sacrifice Arrangement at any time prior to the pre-determined review date;</w:t>
      </w:r>
    </w:p>
    <w:p w14:paraId="66795F55"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11.2.5</w:t>
      </w:r>
      <w:r w:rsidRPr="00772536">
        <w:rPr>
          <w:szCs w:val="17"/>
          <w:lang w:val="en-US"/>
        </w:rPr>
        <w:tab/>
        <w:t>at any time and without notice (except as otherwise stated) by the Paying Authority if the office holder:</w:t>
      </w:r>
    </w:p>
    <w:p w14:paraId="594B34C4"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11.2.5.1</w:t>
      </w:r>
      <w:r w:rsidRPr="00772536">
        <w:rPr>
          <w:szCs w:val="17"/>
          <w:lang w:val="en-US"/>
        </w:rPr>
        <w:tab/>
        <w:t>is in default of any term in the Salary Sacrifice Arrangement and such default remains unremedied seven (7) days after a notice in writing specifying the default complained of has been given by the Paying Authority to the office holder;</w:t>
      </w:r>
    </w:p>
    <w:p w14:paraId="35342AD4"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lastRenderedPageBreak/>
        <w:t>11.2.5.2</w:t>
      </w:r>
      <w:r w:rsidRPr="00772536">
        <w:rPr>
          <w:szCs w:val="17"/>
          <w:lang w:val="en-US"/>
        </w:rPr>
        <w:tab/>
        <w:t>fails in the opinion of the Paying Authority to comply with any provision of the Salary Sacrifice Arrangement;</w:t>
      </w:r>
    </w:p>
    <w:p w14:paraId="2D5BE8E0"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11.2.5.3</w:t>
      </w:r>
      <w:r w:rsidRPr="00772536">
        <w:rPr>
          <w:szCs w:val="17"/>
          <w:lang w:val="en-US"/>
        </w:rPr>
        <w:tab/>
        <w:t>threatens to do or does any of the following:</w:t>
      </w:r>
    </w:p>
    <w:p w14:paraId="3A019565" w14:textId="77777777" w:rsidR="00623058" w:rsidRPr="00772536" w:rsidRDefault="00623058" w:rsidP="00623058">
      <w:pPr>
        <w:autoSpaceDE w:val="0"/>
        <w:autoSpaceDN w:val="0"/>
        <w:adjustRightInd w:val="0"/>
        <w:ind w:left="3544" w:hanging="1134"/>
        <w:rPr>
          <w:szCs w:val="17"/>
          <w:lang w:val="en-US"/>
        </w:rPr>
      </w:pPr>
      <w:r w:rsidRPr="00772536">
        <w:rPr>
          <w:szCs w:val="17"/>
          <w:lang w:val="en-US"/>
        </w:rPr>
        <w:t>11.2.5.3.1</w:t>
      </w:r>
      <w:r w:rsidRPr="00772536">
        <w:rPr>
          <w:szCs w:val="17"/>
          <w:lang w:val="en-US"/>
        </w:rPr>
        <w:tab/>
        <w:t xml:space="preserve">enters into bankruptcy either compulsorily or by virtue of Part X of the </w:t>
      </w:r>
      <w:r w:rsidRPr="00772536">
        <w:rPr>
          <w:i/>
          <w:iCs/>
          <w:szCs w:val="17"/>
          <w:lang w:val="en-US"/>
        </w:rPr>
        <w:t>Bankruptcy Act</w:t>
      </w:r>
      <w:r w:rsidRPr="00772536">
        <w:rPr>
          <w:szCs w:val="17"/>
          <w:lang w:val="en-US"/>
        </w:rPr>
        <w:t>;</w:t>
      </w:r>
    </w:p>
    <w:p w14:paraId="69CD0A1F" w14:textId="77777777" w:rsidR="00623058" w:rsidRPr="00772536" w:rsidRDefault="00623058" w:rsidP="00623058">
      <w:pPr>
        <w:autoSpaceDE w:val="0"/>
        <w:autoSpaceDN w:val="0"/>
        <w:adjustRightInd w:val="0"/>
        <w:ind w:left="3544" w:hanging="1134"/>
        <w:rPr>
          <w:szCs w:val="17"/>
          <w:lang w:val="en-US"/>
        </w:rPr>
      </w:pPr>
      <w:r w:rsidRPr="00772536">
        <w:rPr>
          <w:szCs w:val="17"/>
          <w:lang w:val="en-US"/>
        </w:rPr>
        <w:t>11.2.5.3.2</w:t>
      </w:r>
      <w:r w:rsidRPr="00772536">
        <w:rPr>
          <w:szCs w:val="17"/>
          <w:lang w:val="en-US"/>
        </w:rPr>
        <w:tab/>
        <w:t>makes an assignment for the benefit of his or her creditors, or makes an arrangement of composition with his or her creditors;</w:t>
      </w:r>
    </w:p>
    <w:p w14:paraId="7A0A3D92" w14:textId="77777777" w:rsidR="00623058" w:rsidRPr="00772536" w:rsidRDefault="00623058" w:rsidP="00623058">
      <w:pPr>
        <w:autoSpaceDE w:val="0"/>
        <w:autoSpaceDN w:val="0"/>
        <w:adjustRightInd w:val="0"/>
        <w:ind w:left="3544" w:hanging="1134"/>
        <w:rPr>
          <w:szCs w:val="17"/>
          <w:lang w:val="en-US"/>
        </w:rPr>
      </w:pPr>
      <w:r w:rsidRPr="00772536">
        <w:rPr>
          <w:szCs w:val="17"/>
          <w:lang w:val="en-US"/>
        </w:rPr>
        <w:t>11.2.5.3.3</w:t>
      </w:r>
      <w:r w:rsidRPr="00772536">
        <w:rPr>
          <w:szCs w:val="17"/>
          <w:lang w:val="en-US"/>
        </w:rPr>
        <w:tab/>
        <w:t xml:space="preserve">has a sequestration order made against his or her estate whether pursuant to the </w:t>
      </w:r>
      <w:r w:rsidRPr="00772536">
        <w:rPr>
          <w:i/>
          <w:iCs/>
          <w:szCs w:val="17"/>
          <w:lang w:val="en-US"/>
        </w:rPr>
        <w:t>Bankruptcy Act</w:t>
      </w:r>
      <w:r w:rsidRPr="00772536">
        <w:rPr>
          <w:szCs w:val="17"/>
          <w:lang w:val="en-US"/>
        </w:rPr>
        <w:t xml:space="preserve">, the </w:t>
      </w:r>
      <w:r w:rsidRPr="00772536">
        <w:rPr>
          <w:i/>
          <w:iCs/>
          <w:szCs w:val="17"/>
          <w:lang w:val="en-US"/>
        </w:rPr>
        <w:t xml:space="preserve">Family Law Act </w:t>
      </w:r>
      <w:r w:rsidRPr="00772536">
        <w:rPr>
          <w:szCs w:val="17"/>
          <w:lang w:val="en-US"/>
        </w:rPr>
        <w:t>or any other law of the Commonwealth or the State of the Commonwealth of Australia;</w:t>
      </w:r>
    </w:p>
    <w:p w14:paraId="75E902F8"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11.2.5.4</w:t>
      </w:r>
      <w:r w:rsidRPr="00772536">
        <w:rPr>
          <w:szCs w:val="17"/>
          <w:lang w:val="en-US"/>
        </w:rPr>
        <w:tab/>
        <w:t>has any judgment entered or made against it or any similar occurrence under any jurisdiction which affects the Paying Authority;</w:t>
      </w:r>
    </w:p>
    <w:p w14:paraId="0723EAE5"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11.2.5.5</w:t>
      </w:r>
      <w:r w:rsidRPr="00772536">
        <w:rPr>
          <w:szCs w:val="17"/>
          <w:lang w:val="en-US"/>
        </w:rPr>
        <w:tab/>
        <w:t>engages in any conduct prejudicial to the interests of the Paying Authority in respect of the Salary Sacrifice Arrangement;</w:t>
      </w:r>
    </w:p>
    <w:p w14:paraId="07F6FDFB"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11.2.5.6</w:t>
      </w:r>
      <w:r w:rsidRPr="00772536">
        <w:rPr>
          <w:szCs w:val="17"/>
          <w:lang w:val="en-US"/>
        </w:rPr>
        <w:tab/>
        <w:t>dies;</w:t>
      </w:r>
    </w:p>
    <w:p w14:paraId="297A2ECC"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11.2.5.7</w:t>
      </w:r>
      <w:r w:rsidRPr="00772536">
        <w:rPr>
          <w:szCs w:val="17"/>
          <w:lang w:val="en-US"/>
        </w:rPr>
        <w:tab/>
        <w:t>becomes in the opinion of the Paying Authority mentally incapable;</w:t>
      </w:r>
    </w:p>
    <w:p w14:paraId="4F620CD1" w14:textId="77777777" w:rsidR="00623058" w:rsidRPr="00772536" w:rsidRDefault="00623058" w:rsidP="00623058">
      <w:pPr>
        <w:tabs>
          <w:tab w:val="left" w:pos="2410"/>
        </w:tabs>
        <w:autoSpaceDE w:val="0"/>
        <w:autoSpaceDN w:val="0"/>
        <w:adjustRightInd w:val="0"/>
        <w:ind w:left="2410" w:hanging="1134"/>
        <w:rPr>
          <w:szCs w:val="17"/>
          <w:lang w:val="en-US"/>
        </w:rPr>
      </w:pPr>
      <w:r w:rsidRPr="00772536">
        <w:rPr>
          <w:szCs w:val="17"/>
          <w:lang w:val="en-US"/>
        </w:rPr>
        <w:t>11.2.5.8</w:t>
      </w:r>
      <w:r w:rsidRPr="00772536">
        <w:rPr>
          <w:szCs w:val="17"/>
          <w:lang w:val="en-US"/>
        </w:rPr>
        <w:tab/>
        <w:t>fails to comply with the terms of any default notice within the time stipulated, but without prejudice to any right of action or remedy which shall have accrued or which shall accrue thereafter in favour of the Paying Authority.</w:t>
      </w:r>
    </w:p>
    <w:p w14:paraId="7F929D6A"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11.3</w:t>
      </w:r>
      <w:r w:rsidRPr="00772536">
        <w:rPr>
          <w:szCs w:val="17"/>
          <w:lang w:val="en-US"/>
        </w:rPr>
        <w:tab/>
        <w:t xml:space="preserve">Notwithstanding anything to the contrary contained in the Salary Sacrifice Arrangement, in the event of any breach or suspected contravention by the office holder of any of clause 11.2.5.1 to 11.2.5.5 inclusive, 11.2.5.7 and 11.2.5.8 of this </w:t>
      </w:r>
      <w:r w:rsidRPr="00772536">
        <w:rPr>
          <w:b/>
          <w:bCs/>
          <w:szCs w:val="17"/>
          <w:lang w:val="en-US"/>
        </w:rPr>
        <w:t>Schedule</w:t>
      </w:r>
      <w:r w:rsidRPr="00772536">
        <w:rPr>
          <w:szCs w:val="17"/>
          <w:lang w:val="en-US"/>
        </w:rPr>
        <w:t>, the Paying Authority has the option to terminate the Salary Sacrifice Arrangement forthwith by written notice to the office holder.</w:t>
      </w:r>
    </w:p>
    <w:p w14:paraId="36ADF680" w14:textId="77777777" w:rsidR="00623058" w:rsidRPr="00324E32" w:rsidRDefault="00623058" w:rsidP="009B29CF">
      <w:pPr>
        <w:pStyle w:val="GG-Title1"/>
        <w:numPr>
          <w:ilvl w:val="0"/>
          <w:numId w:val="113"/>
        </w:numPr>
        <w:ind w:left="567" w:hanging="567"/>
        <w:jc w:val="left"/>
        <w:rPr>
          <w:b/>
          <w:bCs/>
        </w:rPr>
      </w:pPr>
      <w:bookmarkStart w:id="93" w:name="_Toc524960889"/>
      <w:r w:rsidRPr="00324E32">
        <w:rPr>
          <w:b/>
          <w:bCs/>
        </w:rPr>
        <w:t>SEVERABILITY</w:t>
      </w:r>
      <w:bookmarkEnd w:id="93"/>
    </w:p>
    <w:p w14:paraId="4AD6643E"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12.1</w:t>
      </w:r>
      <w:r w:rsidRPr="00772536">
        <w:rPr>
          <w:szCs w:val="17"/>
          <w:lang w:val="en-US"/>
        </w:rPr>
        <w:tab/>
        <w:t>If any clause or part thereof is held by a court to be invalid or unenforceable such clause or part thereof shall be deemed deleted from the Salary Sacrifice Arrangement and the Salary Sacrifice Arrangement shall otherwise remain in full force and effect.</w:t>
      </w:r>
    </w:p>
    <w:p w14:paraId="1DD06CE7" w14:textId="77777777" w:rsidR="00623058" w:rsidRPr="00324E32" w:rsidRDefault="00623058" w:rsidP="009B29CF">
      <w:pPr>
        <w:pStyle w:val="GG-Title1"/>
        <w:numPr>
          <w:ilvl w:val="0"/>
          <w:numId w:val="113"/>
        </w:numPr>
        <w:ind w:left="567" w:hanging="567"/>
        <w:jc w:val="left"/>
        <w:rPr>
          <w:b/>
          <w:bCs/>
        </w:rPr>
      </w:pPr>
      <w:bookmarkStart w:id="94" w:name="_Toc524960890"/>
      <w:r w:rsidRPr="00324E32">
        <w:rPr>
          <w:b/>
          <w:bCs/>
        </w:rPr>
        <w:t>ASSIGNMENT</w:t>
      </w:r>
      <w:bookmarkEnd w:id="94"/>
    </w:p>
    <w:p w14:paraId="5FEE8D3E"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13.1</w:t>
      </w:r>
      <w:r w:rsidRPr="00772536">
        <w:rPr>
          <w:szCs w:val="17"/>
          <w:lang w:val="en-US"/>
        </w:rPr>
        <w:tab/>
        <w:t>Neither the Paying Authority nor the office holder shall assign sub-contract or otherwise transfer any of its rights or obligations pursuant to the Salary Sacrifice Arrangement whether in whole or in part without the prior written consent of the other party.</w:t>
      </w:r>
    </w:p>
    <w:p w14:paraId="5DAD6D9F" w14:textId="77777777" w:rsidR="00623058" w:rsidRPr="00324E32" w:rsidRDefault="00623058" w:rsidP="009B29CF">
      <w:pPr>
        <w:pStyle w:val="GG-Title1"/>
        <w:numPr>
          <w:ilvl w:val="0"/>
          <w:numId w:val="113"/>
        </w:numPr>
        <w:ind w:left="567" w:hanging="567"/>
        <w:jc w:val="left"/>
        <w:rPr>
          <w:b/>
          <w:bCs/>
        </w:rPr>
      </w:pPr>
      <w:bookmarkStart w:id="95" w:name="_Toc524960891"/>
      <w:r w:rsidRPr="00324E32">
        <w:rPr>
          <w:b/>
          <w:bCs/>
        </w:rPr>
        <w:t>GOVERNING LAW</w:t>
      </w:r>
      <w:bookmarkEnd w:id="95"/>
    </w:p>
    <w:p w14:paraId="61534E64"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14.1</w:t>
      </w:r>
      <w:r w:rsidRPr="00772536">
        <w:rPr>
          <w:szCs w:val="17"/>
          <w:lang w:val="en-US"/>
        </w:rPr>
        <w:tab/>
        <w:t>The Salary Sacrifice Arrangement shall be governed by and construed in accordance with the laws for the time being in force in South Australia and the parties agree to submit to the jurisdiction of the courts of that State.</w:t>
      </w:r>
    </w:p>
    <w:p w14:paraId="53F3462B" w14:textId="77777777" w:rsidR="00623058" w:rsidRPr="00324E32" w:rsidRDefault="00623058" w:rsidP="009B29CF">
      <w:pPr>
        <w:pStyle w:val="GG-Title1"/>
        <w:numPr>
          <w:ilvl w:val="0"/>
          <w:numId w:val="113"/>
        </w:numPr>
        <w:ind w:left="567" w:hanging="567"/>
        <w:jc w:val="left"/>
        <w:rPr>
          <w:b/>
          <w:bCs/>
        </w:rPr>
      </w:pPr>
      <w:bookmarkStart w:id="96" w:name="_Toc524960892"/>
      <w:r w:rsidRPr="00324E32">
        <w:rPr>
          <w:b/>
          <w:bCs/>
        </w:rPr>
        <w:t>WAIVER</w:t>
      </w:r>
      <w:bookmarkEnd w:id="96"/>
    </w:p>
    <w:p w14:paraId="36D7B26B"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15.1</w:t>
      </w:r>
      <w:r w:rsidRPr="00772536">
        <w:rPr>
          <w:szCs w:val="17"/>
          <w:lang w:val="en-US"/>
        </w:rPr>
        <w:tab/>
        <w:t>A waiver of any provision of the Salary Sacrifice Arrangement must be in writing.</w:t>
      </w:r>
    </w:p>
    <w:p w14:paraId="0BE481B3"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15.2</w:t>
      </w:r>
      <w:r w:rsidRPr="00772536">
        <w:rPr>
          <w:szCs w:val="17"/>
          <w:lang w:val="en-US"/>
        </w:rPr>
        <w:tab/>
        <w:t>No waiver by either of the parties of any breach of a term or condition contained in the Salary Sacrifice Arrangement shall operate as a waiver of another breach of the same or of any other term or condition contained in the Salary Sacrifice Arrangement.</w:t>
      </w:r>
    </w:p>
    <w:p w14:paraId="585066CC"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15.3</w:t>
      </w:r>
      <w:r w:rsidRPr="00772536">
        <w:rPr>
          <w:szCs w:val="17"/>
          <w:lang w:val="en-US"/>
        </w:rPr>
        <w:tab/>
        <w:t>No forbearance, delay or indulgence by either of the parties in enforcing the provisions of the Salary Sacrifice Arrangement shall prejudice or restrict the rights of that party.</w:t>
      </w:r>
    </w:p>
    <w:p w14:paraId="1F8497D9" w14:textId="77777777" w:rsidR="00623058" w:rsidRPr="00324E32" w:rsidRDefault="00623058" w:rsidP="009B29CF">
      <w:pPr>
        <w:pStyle w:val="GG-Title1"/>
        <w:numPr>
          <w:ilvl w:val="0"/>
          <w:numId w:val="113"/>
        </w:numPr>
        <w:ind w:left="567" w:hanging="567"/>
        <w:jc w:val="left"/>
        <w:rPr>
          <w:b/>
          <w:bCs/>
        </w:rPr>
      </w:pPr>
      <w:bookmarkStart w:id="97" w:name="_Toc524960893"/>
      <w:r w:rsidRPr="00324E32">
        <w:rPr>
          <w:b/>
          <w:bCs/>
        </w:rPr>
        <w:t>NOTICES</w:t>
      </w:r>
      <w:bookmarkEnd w:id="97"/>
    </w:p>
    <w:p w14:paraId="3CC21D59" w14:textId="77777777" w:rsidR="00623058" w:rsidRPr="00772536" w:rsidRDefault="00623058" w:rsidP="00623058">
      <w:pPr>
        <w:autoSpaceDE w:val="0"/>
        <w:autoSpaceDN w:val="0"/>
        <w:adjustRightInd w:val="0"/>
        <w:ind w:left="567" w:hanging="567"/>
        <w:rPr>
          <w:szCs w:val="17"/>
          <w:lang w:val="en-US"/>
        </w:rPr>
      </w:pPr>
      <w:r w:rsidRPr="00772536">
        <w:rPr>
          <w:szCs w:val="17"/>
          <w:lang w:val="en-US"/>
        </w:rPr>
        <w:t>16.1</w:t>
      </w:r>
      <w:r w:rsidRPr="00772536">
        <w:rPr>
          <w:szCs w:val="17"/>
          <w:lang w:val="en-US"/>
        </w:rPr>
        <w:tab/>
        <w:t>Any notice or other communication to or by either of the parties shall be:</w:t>
      </w:r>
    </w:p>
    <w:p w14:paraId="7DECBE0A" w14:textId="77777777" w:rsidR="00623058" w:rsidRPr="00772536" w:rsidRDefault="00623058" w:rsidP="00623058">
      <w:pPr>
        <w:autoSpaceDE w:val="0"/>
        <w:autoSpaceDN w:val="0"/>
        <w:adjustRightInd w:val="0"/>
        <w:ind w:left="1276" w:hanging="709"/>
        <w:rPr>
          <w:szCs w:val="17"/>
          <w:lang w:val="en-US"/>
        </w:rPr>
      </w:pPr>
      <w:r w:rsidRPr="00772536">
        <w:rPr>
          <w:szCs w:val="17"/>
          <w:lang w:val="en-US"/>
        </w:rPr>
        <w:t>16.1.1</w:t>
      </w:r>
      <w:r w:rsidRPr="00772536">
        <w:rPr>
          <w:szCs w:val="17"/>
          <w:lang w:val="en-US"/>
        </w:rPr>
        <w:tab/>
        <w:t>in writing addressed:</w:t>
      </w:r>
    </w:p>
    <w:p w14:paraId="7E43763F" w14:textId="77777777" w:rsidR="00623058" w:rsidRPr="00772536" w:rsidRDefault="00623058" w:rsidP="00623058">
      <w:pPr>
        <w:tabs>
          <w:tab w:val="left" w:pos="2552"/>
        </w:tabs>
        <w:autoSpaceDE w:val="0"/>
        <w:autoSpaceDN w:val="0"/>
        <w:adjustRightInd w:val="0"/>
        <w:ind w:left="2552" w:hanging="1276"/>
        <w:rPr>
          <w:szCs w:val="17"/>
          <w:lang w:val="en-US"/>
        </w:rPr>
      </w:pPr>
      <w:r w:rsidRPr="00772536">
        <w:rPr>
          <w:szCs w:val="17"/>
          <w:lang w:val="en-US"/>
        </w:rPr>
        <w:t>16.1.1.1</w:t>
      </w:r>
      <w:r w:rsidRPr="00772536">
        <w:rPr>
          <w:szCs w:val="17"/>
          <w:lang w:val="en-US"/>
        </w:rPr>
        <w:tab/>
        <w:t>in the case of a body corporate, to the registered or principal office of that body corporate in South Australia;</w:t>
      </w:r>
    </w:p>
    <w:p w14:paraId="7D1C4F63" w14:textId="77777777" w:rsidR="00623058" w:rsidRPr="00772536" w:rsidRDefault="00623058" w:rsidP="00623058">
      <w:pPr>
        <w:tabs>
          <w:tab w:val="left" w:pos="2552"/>
        </w:tabs>
        <w:autoSpaceDE w:val="0"/>
        <w:autoSpaceDN w:val="0"/>
        <w:adjustRightInd w:val="0"/>
        <w:ind w:left="2552" w:hanging="1276"/>
        <w:rPr>
          <w:szCs w:val="17"/>
          <w:lang w:val="en-US"/>
        </w:rPr>
      </w:pPr>
      <w:r w:rsidRPr="00772536">
        <w:rPr>
          <w:szCs w:val="17"/>
          <w:lang w:val="en-US"/>
        </w:rPr>
        <w:t>16.1.1.2</w:t>
      </w:r>
      <w:r w:rsidRPr="00772536">
        <w:rPr>
          <w:szCs w:val="17"/>
          <w:lang w:val="en-US"/>
        </w:rPr>
        <w:tab/>
        <w:t>in the case of a natural person, to the last known address of that person;</w:t>
      </w:r>
    </w:p>
    <w:p w14:paraId="421E7696" w14:textId="77777777" w:rsidR="00623058" w:rsidRPr="00772536" w:rsidRDefault="00623058" w:rsidP="00623058">
      <w:pPr>
        <w:tabs>
          <w:tab w:val="left" w:pos="2552"/>
        </w:tabs>
        <w:autoSpaceDE w:val="0"/>
        <w:autoSpaceDN w:val="0"/>
        <w:adjustRightInd w:val="0"/>
        <w:ind w:left="2552" w:hanging="1276"/>
        <w:rPr>
          <w:szCs w:val="17"/>
          <w:lang w:val="en-US"/>
        </w:rPr>
      </w:pPr>
      <w:r w:rsidRPr="00772536">
        <w:rPr>
          <w:szCs w:val="17"/>
          <w:lang w:val="en-US"/>
        </w:rPr>
        <w:t>16.1.1.3</w:t>
      </w:r>
      <w:r w:rsidRPr="00772536">
        <w:rPr>
          <w:szCs w:val="17"/>
          <w:lang w:val="en-US"/>
        </w:rPr>
        <w:tab/>
        <w:t>in the case of the Paying Authority, with the contact specified in the Acceptance Form contained in Schedule 2 of the Determination of the Remuneration Tribunal;</w:t>
      </w:r>
    </w:p>
    <w:p w14:paraId="25B82871" w14:textId="77777777" w:rsidR="00623058" w:rsidRPr="00324E32" w:rsidRDefault="00623058" w:rsidP="009B29CF">
      <w:pPr>
        <w:pStyle w:val="GG-Title1"/>
        <w:numPr>
          <w:ilvl w:val="0"/>
          <w:numId w:val="113"/>
        </w:numPr>
        <w:ind w:left="567" w:hanging="567"/>
        <w:jc w:val="left"/>
        <w:rPr>
          <w:b/>
          <w:bCs/>
        </w:rPr>
      </w:pPr>
      <w:bookmarkStart w:id="98" w:name="_Toc524960894"/>
      <w:r>
        <w:rPr>
          <w:b/>
          <w:bCs/>
        </w:rPr>
        <w:t>E</w:t>
      </w:r>
      <w:r w:rsidRPr="00324E32">
        <w:rPr>
          <w:b/>
          <w:bCs/>
        </w:rPr>
        <w:t>NTIRE AGREEMENT AND MODIFICATIONS</w:t>
      </w:r>
      <w:bookmarkEnd w:id="98"/>
    </w:p>
    <w:p w14:paraId="24F449A0" w14:textId="77777777" w:rsidR="00623058" w:rsidRPr="00772536" w:rsidRDefault="00623058" w:rsidP="00623058">
      <w:pPr>
        <w:keepNext/>
        <w:autoSpaceDE w:val="0"/>
        <w:autoSpaceDN w:val="0"/>
        <w:adjustRightInd w:val="0"/>
        <w:ind w:left="567" w:hanging="567"/>
        <w:rPr>
          <w:szCs w:val="17"/>
          <w:lang w:val="en-US"/>
        </w:rPr>
      </w:pPr>
      <w:r w:rsidRPr="00772536">
        <w:rPr>
          <w:szCs w:val="17"/>
          <w:lang w:val="en-US"/>
        </w:rPr>
        <w:t>17.1</w:t>
      </w:r>
      <w:r w:rsidRPr="00772536">
        <w:rPr>
          <w:szCs w:val="17"/>
          <w:lang w:val="en-US"/>
        </w:rPr>
        <w:tab/>
        <w:t xml:space="preserve">Subject to this clause 17, the documents in the form set out in </w:t>
      </w:r>
      <w:r w:rsidRPr="00772536">
        <w:rPr>
          <w:b/>
          <w:bCs/>
          <w:szCs w:val="17"/>
          <w:lang w:val="en-US"/>
        </w:rPr>
        <w:t xml:space="preserve">Schedules 1, 2 and 3 </w:t>
      </w:r>
      <w:r w:rsidRPr="00772536">
        <w:rPr>
          <w:szCs w:val="17"/>
          <w:lang w:val="en-US"/>
        </w:rPr>
        <w:t>when completed and signed by the parties respectively, and the Service Agreement (where applicable), and the Panel Agreement (where applicable) are incorporated into and form part of the Salary Sacrifice Arrangement and are binding on the parties.</w:t>
      </w:r>
    </w:p>
    <w:p w14:paraId="4AB9390B" w14:textId="77777777" w:rsidR="00623058" w:rsidRDefault="00623058" w:rsidP="00623058">
      <w:pPr>
        <w:autoSpaceDE w:val="0"/>
        <w:autoSpaceDN w:val="0"/>
        <w:adjustRightInd w:val="0"/>
        <w:ind w:left="567" w:hanging="567"/>
        <w:rPr>
          <w:szCs w:val="17"/>
          <w:lang w:val="en-US"/>
        </w:rPr>
      </w:pPr>
      <w:r w:rsidRPr="00772536">
        <w:rPr>
          <w:szCs w:val="17"/>
          <w:lang w:val="en-US"/>
        </w:rPr>
        <w:t>17.2</w:t>
      </w:r>
      <w:r w:rsidRPr="00772536">
        <w:rPr>
          <w:szCs w:val="17"/>
          <w:lang w:val="en-US"/>
        </w:rPr>
        <w:tab/>
        <w:t>No addition to or modification of any provision of the Salary Sacrifice Arrangement shall be binding upon the parties unless agreed to in writing by the Paying Authority and the office holder in the first instance and confirmed by written instruction signed by or on behalf of the parties.</w:t>
      </w:r>
    </w:p>
    <w:p w14:paraId="3ECE447F" w14:textId="77777777" w:rsidR="00623058" w:rsidRDefault="00623058" w:rsidP="00623058">
      <w:pPr>
        <w:pBdr>
          <w:top w:val="single" w:sz="4" w:space="1" w:color="auto"/>
        </w:pBdr>
        <w:autoSpaceDE w:val="0"/>
        <w:autoSpaceDN w:val="0"/>
        <w:adjustRightInd w:val="0"/>
        <w:spacing w:before="100" w:after="0" w:line="14" w:lineRule="exact"/>
        <w:jc w:val="center"/>
        <w:rPr>
          <w:szCs w:val="17"/>
          <w:lang w:val="en-US"/>
        </w:rPr>
      </w:pPr>
    </w:p>
    <w:p w14:paraId="53EFA3F6" w14:textId="606BD759" w:rsidR="00622654" w:rsidRDefault="00622654">
      <w:pPr>
        <w:spacing w:after="0" w:line="240" w:lineRule="auto"/>
        <w:jc w:val="left"/>
        <w:rPr>
          <w:rFonts w:eastAsia="Times New Roman"/>
          <w:szCs w:val="17"/>
          <w:lang w:val="en-US"/>
        </w:rPr>
      </w:pPr>
      <w:r>
        <w:rPr>
          <w:lang w:val="en-US"/>
        </w:rPr>
        <w:br w:type="page"/>
      </w:r>
    </w:p>
    <w:p w14:paraId="1E000357" w14:textId="77777777" w:rsidR="00622654" w:rsidRPr="004F33B9" w:rsidRDefault="00622654" w:rsidP="00622654">
      <w:pPr>
        <w:pStyle w:val="GG-Title1"/>
      </w:pPr>
      <w:r w:rsidRPr="004F33B9">
        <w:lastRenderedPageBreak/>
        <w:t>The Remuneration Tribunal</w:t>
      </w:r>
    </w:p>
    <w:p w14:paraId="018CE5FE" w14:textId="77777777" w:rsidR="00622654" w:rsidRPr="00A51192" w:rsidRDefault="00622654" w:rsidP="00622654">
      <w:pPr>
        <w:pStyle w:val="GG-Title2"/>
      </w:pPr>
      <w:r w:rsidRPr="00A51192">
        <w:t>Report</w:t>
      </w:r>
      <w:r>
        <w:t>—</w:t>
      </w:r>
      <w:r w:rsidRPr="00A51192">
        <w:t xml:space="preserve">No. </w:t>
      </w:r>
      <w:r>
        <w:t>11</w:t>
      </w:r>
      <w:r w:rsidRPr="00A51192">
        <w:t xml:space="preserve"> </w:t>
      </w:r>
      <w:r>
        <w:t>o</w:t>
      </w:r>
      <w:r w:rsidRPr="00A51192">
        <w:t>f 2022</w:t>
      </w:r>
    </w:p>
    <w:p w14:paraId="155FFC65" w14:textId="77777777" w:rsidR="00622654" w:rsidRPr="00F82226" w:rsidRDefault="00622654" w:rsidP="00622654">
      <w:pPr>
        <w:pStyle w:val="GG-Title3"/>
      </w:pPr>
      <w:r w:rsidRPr="00F82226">
        <w:t>2022 Review of Berri Country Magistrate Housing Allowance</w:t>
      </w:r>
    </w:p>
    <w:p w14:paraId="1E626E3C" w14:textId="77777777" w:rsidR="00622654" w:rsidRPr="00A51192" w:rsidRDefault="00622654" w:rsidP="00622654">
      <w:pPr>
        <w:pStyle w:val="GG-body"/>
        <w:rPr>
          <w:b/>
          <w:bCs/>
          <w:smallCaps/>
        </w:rPr>
      </w:pPr>
      <w:r w:rsidRPr="00A51192">
        <w:rPr>
          <w:b/>
          <w:bCs/>
          <w:smallCaps/>
        </w:rPr>
        <w:t>Report</w:t>
      </w:r>
    </w:p>
    <w:p w14:paraId="412BB3F9" w14:textId="77777777" w:rsidR="00622654" w:rsidRPr="00E52685" w:rsidRDefault="00622654" w:rsidP="00622654">
      <w:pPr>
        <w:jc w:val="left"/>
        <w:rPr>
          <w:b/>
          <w:bCs/>
          <w:szCs w:val="17"/>
        </w:rPr>
      </w:pPr>
      <w:r w:rsidRPr="00E52685">
        <w:rPr>
          <w:b/>
          <w:bCs/>
          <w:szCs w:val="17"/>
        </w:rPr>
        <w:t>INTRODUCTION</w:t>
      </w:r>
    </w:p>
    <w:p w14:paraId="44A4342E" w14:textId="77777777" w:rsidR="00622654" w:rsidRPr="00F82226" w:rsidRDefault="00622654" w:rsidP="009B29CF">
      <w:pPr>
        <w:pStyle w:val="GG-body"/>
        <w:numPr>
          <w:ilvl w:val="0"/>
          <w:numId w:val="116"/>
        </w:numPr>
        <w:ind w:left="364"/>
      </w:pPr>
      <w:r w:rsidRPr="003040E3">
        <w:t>The Remuneration Tribunal (</w:t>
      </w:r>
      <w:r w:rsidRPr="003040E3">
        <w:rPr>
          <w:b/>
          <w:bCs/>
        </w:rPr>
        <w:t>Tribunal</w:t>
      </w:r>
      <w:r w:rsidRPr="003040E3">
        <w:t xml:space="preserve">) has conducted a review of Determination </w:t>
      </w:r>
      <w:r>
        <w:t>1</w:t>
      </w:r>
      <w:r w:rsidRPr="003040E3">
        <w:t xml:space="preserve"> of 202</w:t>
      </w:r>
      <w:r>
        <w:t>1</w:t>
      </w:r>
      <w:r w:rsidRPr="003040E3">
        <w:rPr>
          <w:vertAlign w:val="superscript"/>
        </w:rPr>
        <w:t>1</w:t>
      </w:r>
      <w:r w:rsidRPr="003040E3">
        <w:t xml:space="preserve"> </w:t>
      </w:r>
      <w:r w:rsidRPr="00F82226">
        <w:t>which sets a housing allowance for the Berri Country Magistrate.</w:t>
      </w:r>
    </w:p>
    <w:p w14:paraId="6A72AD43" w14:textId="77777777" w:rsidR="00622654" w:rsidRDefault="00622654" w:rsidP="009B29CF">
      <w:pPr>
        <w:pStyle w:val="GG-body"/>
        <w:numPr>
          <w:ilvl w:val="0"/>
          <w:numId w:val="116"/>
        </w:numPr>
        <w:ind w:left="364"/>
      </w:pPr>
      <w:r w:rsidRPr="00F82226">
        <w:t>As explained in this report, the Tribunal has decided not to make any amendments to the current determination which will continue in force. The Tribunal is in fact minded to revoke the determination, however will defer a decision on this until next year’s review in order to afford Magistrates who would potentially be affected by such a decision the opportunity to comment on the necessity for the determination to continue</w:t>
      </w:r>
      <w:r w:rsidRPr="00E52685">
        <w:t>.</w:t>
      </w:r>
    </w:p>
    <w:p w14:paraId="4C6DDA67" w14:textId="77777777" w:rsidR="00622654" w:rsidRDefault="00622654" w:rsidP="00622654">
      <w:pPr>
        <w:pStyle w:val="GG-body"/>
      </w:pPr>
      <w:r>
        <w:rPr>
          <w:noProof/>
        </w:rPr>
        <mc:AlternateContent>
          <mc:Choice Requires="wps">
            <w:drawing>
              <wp:anchor distT="0" distB="0" distL="114300" distR="114300" simplePos="0" relativeHeight="251672576" behindDoc="0" locked="0" layoutInCell="1" allowOverlap="1" wp14:anchorId="23766FB7" wp14:editId="11A89427">
                <wp:simplePos x="0" y="0"/>
                <wp:positionH relativeFrom="column">
                  <wp:posOffset>9839</wp:posOffset>
                </wp:positionH>
                <wp:positionV relativeFrom="paragraph">
                  <wp:posOffset>55914</wp:posOffset>
                </wp:positionV>
                <wp:extent cx="1708220" cy="0"/>
                <wp:effectExtent l="0" t="0" r="0" b="0"/>
                <wp:wrapNone/>
                <wp:docPr id="13" name="Straight Connector 13"/>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5210A3" id="Straight Connector 13"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2D606CF2" w14:textId="77777777" w:rsidR="00622654" w:rsidRPr="00A51192" w:rsidRDefault="00622654" w:rsidP="00622654">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F82226">
        <w:rPr>
          <w:rFonts w:ascii="Times New Roman" w:hAnsi="Times New Roman" w:cs="Times New Roman"/>
          <w:sz w:val="16"/>
          <w:szCs w:val="16"/>
          <w:lang w:val="en-AU"/>
        </w:rPr>
        <w:t>Berri Country Magistrate Housing Allowance</w:t>
      </w:r>
      <w:r w:rsidRPr="00A51192">
        <w:rPr>
          <w:rFonts w:ascii="Times New Roman" w:hAnsi="Times New Roman" w:cs="Times New Roman"/>
          <w:sz w:val="16"/>
          <w:szCs w:val="16"/>
          <w:lang w:val="en-AU"/>
        </w:rPr>
        <w:t>.</w:t>
      </w:r>
    </w:p>
    <w:p w14:paraId="67405D59" w14:textId="77777777" w:rsidR="00622654" w:rsidRPr="00E52685" w:rsidRDefault="00622654" w:rsidP="00622654">
      <w:pPr>
        <w:jc w:val="left"/>
        <w:rPr>
          <w:b/>
          <w:bCs/>
          <w:szCs w:val="17"/>
        </w:rPr>
      </w:pPr>
      <w:r w:rsidRPr="00E52685">
        <w:rPr>
          <w:b/>
          <w:bCs/>
          <w:szCs w:val="17"/>
        </w:rPr>
        <w:t>THE REVIEW PROCESS</w:t>
      </w:r>
    </w:p>
    <w:p w14:paraId="2B4A0C94" w14:textId="77777777" w:rsidR="00622654" w:rsidRPr="00F82226" w:rsidRDefault="00622654" w:rsidP="009B29CF">
      <w:pPr>
        <w:pStyle w:val="GG-body"/>
        <w:numPr>
          <w:ilvl w:val="0"/>
          <w:numId w:val="116"/>
        </w:numPr>
        <w:ind w:left="364"/>
      </w:pPr>
      <w:r w:rsidRPr="00F82226">
        <w:t xml:space="preserve">On 20 September 2022, in accordance with sections 10(2) and 10(4) of the </w:t>
      </w:r>
      <w:r w:rsidRPr="00F82226">
        <w:rPr>
          <w:i/>
          <w:iCs/>
        </w:rPr>
        <w:t>Remuneration Act 1990</w:t>
      </w:r>
      <w:r w:rsidRPr="00F82226">
        <w:t xml:space="preserve"> (</w:t>
      </w:r>
      <w:r w:rsidRPr="00F82226">
        <w:rPr>
          <w:b/>
          <w:bCs/>
        </w:rPr>
        <w:t>Act</w:t>
      </w:r>
      <w:r w:rsidRPr="00F82226">
        <w:t>), the Tribunal wrote to and invited submissions by 17 October 2022 in respect of this review from:</w:t>
      </w:r>
    </w:p>
    <w:p w14:paraId="52D15D29" w14:textId="77777777" w:rsidR="00622654" w:rsidRPr="00F82226" w:rsidRDefault="00622654" w:rsidP="009B29CF">
      <w:pPr>
        <w:pStyle w:val="GG-body"/>
        <w:numPr>
          <w:ilvl w:val="0"/>
          <w:numId w:val="115"/>
        </w:numPr>
      </w:pPr>
      <w:r w:rsidRPr="00F82226">
        <w:t>the Honourable Premier of South Australia – as the Minister responsible for the Act who may make submissions or introduce evidence in the public interest</w:t>
      </w:r>
    </w:p>
    <w:p w14:paraId="44EFCE1A" w14:textId="77777777" w:rsidR="00622654" w:rsidRPr="00F82226" w:rsidRDefault="00622654" w:rsidP="009B29CF">
      <w:pPr>
        <w:pStyle w:val="GG-body"/>
        <w:numPr>
          <w:ilvl w:val="0"/>
          <w:numId w:val="115"/>
        </w:numPr>
      </w:pPr>
      <w:r w:rsidRPr="00F82226">
        <w:t>the Judicial Remuneration Coordinating Committee (</w:t>
      </w:r>
      <w:r w:rsidRPr="00F82226">
        <w:rPr>
          <w:b/>
          <w:bCs/>
        </w:rPr>
        <w:t>JRCC</w:t>
      </w:r>
      <w:r w:rsidRPr="00F82226">
        <w:t>)</w:t>
      </w:r>
    </w:p>
    <w:p w14:paraId="3EC29DFA" w14:textId="77777777" w:rsidR="00622654" w:rsidRPr="00F82226" w:rsidRDefault="00622654" w:rsidP="009B29CF">
      <w:pPr>
        <w:pStyle w:val="GG-body"/>
        <w:numPr>
          <w:ilvl w:val="0"/>
          <w:numId w:val="115"/>
        </w:numPr>
      </w:pPr>
      <w:r w:rsidRPr="00F82226">
        <w:t>members of the judiciary and relevant office holders</w:t>
      </w:r>
    </w:p>
    <w:p w14:paraId="4B335430" w14:textId="77777777" w:rsidR="00622654" w:rsidRPr="00F82226" w:rsidRDefault="00622654" w:rsidP="009B29CF">
      <w:pPr>
        <w:pStyle w:val="GG-body"/>
        <w:numPr>
          <w:ilvl w:val="0"/>
          <w:numId w:val="116"/>
        </w:numPr>
        <w:ind w:left="364"/>
      </w:pPr>
      <w:r w:rsidRPr="00F82226">
        <w:t>The Tribunal also placed a notice on its website from 20 September 2022 calling for submissions from affected persons by 17 October 2022.</w:t>
      </w:r>
    </w:p>
    <w:p w14:paraId="0B31A383" w14:textId="77777777" w:rsidR="00622654" w:rsidRPr="00F82226" w:rsidRDefault="00622654" w:rsidP="009B29CF">
      <w:pPr>
        <w:pStyle w:val="GG-body"/>
        <w:numPr>
          <w:ilvl w:val="0"/>
          <w:numId w:val="116"/>
        </w:numPr>
        <w:ind w:left="364"/>
      </w:pPr>
      <w:r w:rsidRPr="00F82226">
        <w:t>The JRCC confirmed on 17 October 2022 that it did not wish to be heard on this review.</w:t>
      </w:r>
    </w:p>
    <w:p w14:paraId="0A5A858D" w14:textId="77777777" w:rsidR="00622654" w:rsidRPr="00F82226" w:rsidRDefault="00622654" w:rsidP="009B29CF">
      <w:pPr>
        <w:pStyle w:val="GG-body"/>
        <w:numPr>
          <w:ilvl w:val="0"/>
          <w:numId w:val="116"/>
        </w:numPr>
        <w:ind w:left="364"/>
      </w:pPr>
      <w:r w:rsidRPr="00F82226">
        <w:t>On 31 October 2022, after an extension was granted, the Premier’s representative confirmed that the Premier did not intend to make a submission.</w:t>
      </w:r>
    </w:p>
    <w:p w14:paraId="4DC22519" w14:textId="77777777" w:rsidR="00622654" w:rsidRPr="00F82226" w:rsidRDefault="00622654" w:rsidP="009B29CF">
      <w:pPr>
        <w:pStyle w:val="GG-body"/>
        <w:numPr>
          <w:ilvl w:val="0"/>
          <w:numId w:val="116"/>
        </w:numPr>
        <w:ind w:left="364"/>
      </w:pPr>
      <w:r w:rsidRPr="00F82226">
        <w:t>Accordingly no submissions were received, and no oral submissions were made about this review at the Tribunal’s hearing on 14 November 2022.</w:t>
      </w:r>
    </w:p>
    <w:p w14:paraId="2C1616BC" w14:textId="77777777" w:rsidR="00622654" w:rsidRPr="00E52685" w:rsidRDefault="00622654" w:rsidP="009B29CF">
      <w:pPr>
        <w:pStyle w:val="GG-body"/>
        <w:numPr>
          <w:ilvl w:val="0"/>
          <w:numId w:val="116"/>
        </w:numPr>
        <w:ind w:left="364"/>
      </w:pPr>
      <w:r w:rsidRPr="00F82226">
        <w:t>On 31 October 2022, the Tribunal wrote to the Courts Administration Authority (</w:t>
      </w:r>
      <w:r w:rsidRPr="00F82226">
        <w:rPr>
          <w:b/>
          <w:bCs/>
        </w:rPr>
        <w:t>CAA</w:t>
      </w:r>
      <w:r w:rsidRPr="00F82226">
        <w:t>) to confirm whether the current Berri Country Resident Magistrate is being paid the allowance provided for by Determination 1 of 2021, or whether that Magistrate is instead being provided with State funded accommodation at Berri. On 9 November 2022, the CAA confirmed that the current Berri Country Resident Magistrate is provided with accommodation by the CAA and accordingly is not being paid the allowance provided for by Determination 1 of 2021</w:t>
      </w:r>
      <w:r w:rsidRPr="00E52685">
        <w:t>.</w:t>
      </w:r>
    </w:p>
    <w:p w14:paraId="6672FE4A" w14:textId="77777777" w:rsidR="00622654" w:rsidRPr="00E52685" w:rsidRDefault="00622654" w:rsidP="00622654">
      <w:pPr>
        <w:jc w:val="left"/>
        <w:rPr>
          <w:b/>
          <w:bCs/>
          <w:szCs w:val="17"/>
        </w:rPr>
      </w:pPr>
      <w:r w:rsidRPr="00E52685">
        <w:rPr>
          <w:b/>
          <w:bCs/>
          <w:szCs w:val="17"/>
        </w:rPr>
        <w:t>CONSIDERATION AND CONCLUSION</w:t>
      </w:r>
    </w:p>
    <w:p w14:paraId="64924E79" w14:textId="77777777" w:rsidR="00622654" w:rsidRPr="00F82226" w:rsidRDefault="00622654" w:rsidP="009B29CF">
      <w:pPr>
        <w:pStyle w:val="GG-body"/>
        <w:numPr>
          <w:ilvl w:val="0"/>
          <w:numId w:val="116"/>
        </w:numPr>
        <w:ind w:left="364"/>
      </w:pPr>
      <w:r w:rsidRPr="00F82226">
        <w:t>The Tribunal notes that Determination 1 of 2021 was made following application by Magistrate Deland who sought the allowance due to her personal dissatisfaction with the State provided rental accommodation, having regard to: privacy, security, ongoing maintenance issues, and personal preference for owning her own home.</w:t>
      </w:r>
    </w:p>
    <w:p w14:paraId="5BD95FE2" w14:textId="77777777" w:rsidR="00622654" w:rsidRPr="00F82226" w:rsidRDefault="00622654" w:rsidP="009B29CF">
      <w:pPr>
        <w:pStyle w:val="GG-body"/>
        <w:numPr>
          <w:ilvl w:val="0"/>
          <w:numId w:val="116"/>
        </w:numPr>
        <w:ind w:left="364"/>
      </w:pPr>
      <w:r w:rsidRPr="00F82226">
        <w:t>The Tribunal has been advised that Magistrate Deland has since retired, and the CAA has advised the current Berri Country Resident Magistrate is making use of the traditional arrangements for Resident Magistrates which involves the CAA providing accommodation at the country court locations. The Tribunal notes that Resident Magistrates at Mount Gambier and Port Augusta are also provided with CAA funded accommodation, and no determination of the Tribunal allows them to receive an allowance similar to that set by Determination 1 of 2021.</w:t>
      </w:r>
    </w:p>
    <w:p w14:paraId="3D403878" w14:textId="77777777" w:rsidR="00622654" w:rsidRPr="00F82226" w:rsidRDefault="00622654" w:rsidP="009B29CF">
      <w:pPr>
        <w:pStyle w:val="GG-body"/>
        <w:numPr>
          <w:ilvl w:val="0"/>
          <w:numId w:val="116"/>
        </w:numPr>
        <w:ind w:left="364"/>
      </w:pPr>
      <w:r w:rsidRPr="00F82226">
        <w:t>In these circumstances, the Tribunal is of the view that Determination 1 of 2021 should be revoked, bearing in mind that it would be open to a future Resident Magistrate to apply to the Tribunal to make a new determination on similar terms as Determination 1 of 2021.</w:t>
      </w:r>
    </w:p>
    <w:p w14:paraId="63C3257D" w14:textId="77777777" w:rsidR="00622654" w:rsidRDefault="00622654" w:rsidP="009B29CF">
      <w:pPr>
        <w:pStyle w:val="GG-body"/>
        <w:numPr>
          <w:ilvl w:val="0"/>
          <w:numId w:val="116"/>
        </w:numPr>
        <w:ind w:left="364"/>
      </w:pPr>
      <w:r w:rsidRPr="00F82226">
        <w:t>The Tribunal however has decided to defer making a final decision on this topic under next year’s review, in order to afford Magistrates the opportunity to comment on the necessity for the determination to continue</w:t>
      </w:r>
      <w:r>
        <w:t>.</w:t>
      </w:r>
    </w:p>
    <w:p w14:paraId="50821AB4" w14:textId="77777777" w:rsidR="00622654" w:rsidRPr="00A51192" w:rsidRDefault="00622654" w:rsidP="00622654">
      <w:pPr>
        <w:pStyle w:val="GG-SDated"/>
      </w:pPr>
      <w:r>
        <w:t>Dated: 14 December 2022</w:t>
      </w:r>
    </w:p>
    <w:p w14:paraId="2A47539E" w14:textId="77777777" w:rsidR="00622654" w:rsidRDefault="00622654" w:rsidP="00622654">
      <w:pPr>
        <w:pStyle w:val="GG-SName"/>
      </w:pPr>
      <w:r w:rsidRPr="00A51192">
        <w:t>Matthew O’Callaghan</w:t>
      </w:r>
    </w:p>
    <w:p w14:paraId="0D5FA147" w14:textId="77777777" w:rsidR="00622654" w:rsidRPr="00A51192" w:rsidRDefault="00622654" w:rsidP="007F7570">
      <w:pPr>
        <w:pStyle w:val="GG-Signature"/>
        <w:spacing w:after="80"/>
      </w:pPr>
      <w:r w:rsidRPr="00A51192">
        <w:t>President</w:t>
      </w:r>
    </w:p>
    <w:p w14:paraId="28BAE235" w14:textId="77777777" w:rsidR="00622654" w:rsidRDefault="00622654" w:rsidP="00622654">
      <w:pPr>
        <w:pStyle w:val="GG-SName"/>
      </w:pPr>
      <w:r w:rsidRPr="00A51192">
        <w:t>Deborah Black</w:t>
      </w:r>
    </w:p>
    <w:p w14:paraId="2484D4B0" w14:textId="77777777" w:rsidR="00622654" w:rsidRPr="00A51192" w:rsidRDefault="00622654" w:rsidP="007F7570">
      <w:pPr>
        <w:pStyle w:val="GG-Signature"/>
        <w:spacing w:after="80"/>
      </w:pPr>
      <w:r w:rsidRPr="00A51192">
        <w:t>Member</w:t>
      </w:r>
    </w:p>
    <w:p w14:paraId="16E017B7" w14:textId="77777777" w:rsidR="00622654" w:rsidRPr="00A51192" w:rsidRDefault="00622654" w:rsidP="00622654">
      <w:pPr>
        <w:pStyle w:val="GG-SName"/>
      </w:pPr>
      <w:r w:rsidRPr="00A51192">
        <w:t>Peter de Cure AM</w:t>
      </w:r>
    </w:p>
    <w:p w14:paraId="2DFA8EAA" w14:textId="77777777" w:rsidR="00622654" w:rsidRDefault="00622654" w:rsidP="00622654">
      <w:pPr>
        <w:pStyle w:val="GG-Signature"/>
      </w:pPr>
      <w:r w:rsidRPr="00A51192">
        <w:t>Member</w:t>
      </w:r>
    </w:p>
    <w:p w14:paraId="003FD8AB" w14:textId="77777777" w:rsidR="00622654" w:rsidRDefault="00622654" w:rsidP="00622654">
      <w:pPr>
        <w:pStyle w:val="GG-Signature"/>
        <w:pBdr>
          <w:top w:val="single" w:sz="4" w:space="1" w:color="auto"/>
        </w:pBdr>
        <w:spacing w:before="100" w:line="14" w:lineRule="exact"/>
        <w:jc w:val="center"/>
      </w:pPr>
    </w:p>
    <w:p w14:paraId="3133847D" w14:textId="5D6ACC82" w:rsidR="00EB4136" w:rsidRDefault="00EB4136" w:rsidP="00965F17">
      <w:pPr>
        <w:pStyle w:val="GG-body"/>
        <w:spacing w:after="0"/>
        <w:rPr>
          <w:lang w:val="en-US"/>
        </w:rPr>
      </w:pPr>
    </w:p>
    <w:p w14:paraId="2F0C46A6" w14:textId="77777777" w:rsidR="00622654" w:rsidRPr="004F33B9" w:rsidRDefault="00622654" w:rsidP="00622654">
      <w:pPr>
        <w:pStyle w:val="GG-Title1"/>
      </w:pPr>
      <w:r w:rsidRPr="004F33B9">
        <w:t>The Remuneration Tribunal</w:t>
      </w:r>
    </w:p>
    <w:p w14:paraId="04FF1E68" w14:textId="77777777" w:rsidR="00622654" w:rsidRPr="00A51192" w:rsidRDefault="00622654" w:rsidP="00622654">
      <w:pPr>
        <w:pStyle w:val="GG-Title2"/>
      </w:pPr>
      <w:r w:rsidRPr="00A51192">
        <w:t>Report</w:t>
      </w:r>
      <w:r>
        <w:t>—</w:t>
      </w:r>
      <w:r w:rsidRPr="00A51192">
        <w:t xml:space="preserve">No. </w:t>
      </w:r>
      <w:r>
        <w:t>12</w:t>
      </w:r>
      <w:r w:rsidRPr="00A51192">
        <w:t xml:space="preserve"> </w:t>
      </w:r>
      <w:r>
        <w:t>o</w:t>
      </w:r>
      <w:r w:rsidRPr="00A51192">
        <w:t>f 2022</w:t>
      </w:r>
    </w:p>
    <w:p w14:paraId="4A3E416D" w14:textId="77777777" w:rsidR="00622654" w:rsidRPr="00DC7EB8" w:rsidRDefault="00622654" w:rsidP="00622654">
      <w:pPr>
        <w:pStyle w:val="GG-Title3"/>
      </w:pPr>
      <w:r w:rsidRPr="00DC7EB8">
        <w:t>Application for Overseas Accommodation and Daily Allowance</w:t>
      </w:r>
      <w:r>
        <w:t>—</w:t>
      </w:r>
      <w:r>
        <w:br/>
      </w:r>
      <w:r w:rsidRPr="00DC7EB8">
        <w:t xml:space="preserve">2023 Supreme and Federal Court Judges’ conference in Christchurch </w:t>
      </w:r>
    </w:p>
    <w:p w14:paraId="5160D949" w14:textId="77777777" w:rsidR="00622654" w:rsidRPr="00A51192" w:rsidRDefault="00622654" w:rsidP="00622654">
      <w:pPr>
        <w:pStyle w:val="GG-body"/>
        <w:rPr>
          <w:b/>
          <w:bCs/>
          <w:smallCaps/>
        </w:rPr>
      </w:pPr>
      <w:r w:rsidRPr="00A51192">
        <w:rPr>
          <w:b/>
          <w:bCs/>
          <w:smallCaps/>
        </w:rPr>
        <w:t>Report</w:t>
      </w:r>
    </w:p>
    <w:p w14:paraId="0B7CB039" w14:textId="77777777" w:rsidR="00622654" w:rsidRPr="00E52685" w:rsidRDefault="00622654" w:rsidP="00622654">
      <w:pPr>
        <w:jc w:val="left"/>
        <w:rPr>
          <w:b/>
          <w:bCs/>
          <w:szCs w:val="17"/>
        </w:rPr>
      </w:pPr>
      <w:r w:rsidRPr="00E52685">
        <w:rPr>
          <w:b/>
          <w:bCs/>
          <w:szCs w:val="17"/>
        </w:rPr>
        <w:t>INTRODUCTION</w:t>
      </w:r>
    </w:p>
    <w:p w14:paraId="498120FF" w14:textId="77777777" w:rsidR="00622654" w:rsidRPr="00DC7EB8" w:rsidRDefault="00622654" w:rsidP="009B29CF">
      <w:pPr>
        <w:pStyle w:val="GG-body"/>
        <w:numPr>
          <w:ilvl w:val="0"/>
          <w:numId w:val="121"/>
        </w:numPr>
        <w:ind w:left="364"/>
      </w:pPr>
      <w:r w:rsidRPr="00DC7EB8">
        <w:t>On 29 August 2022, the Remuneration Tribunal (</w:t>
      </w:r>
      <w:r w:rsidRPr="00DC7EB8">
        <w:rPr>
          <w:b/>
          <w:bCs/>
        </w:rPr>
        <w:t>Tribunal</w:t>
      </w:r>
      <w:r w:rsidRPr="00DC7EB8">
        <w:t>) received an application from the Judicial Remuneration Coordinating Committee (</w:t>
      </w:r>
      <w:r w:rsidRPr="00DC7EB8">
        <w:rPr>
          <w:b/>
          <w:bCs/>
        </w:rPr>
        <w:t>JRCC</w:t>
      </w:r>
      <w:r w:rsidRPr="00DC7EB8">
        <w:t>) asking the Tribunal to make a determination fixing a per diem accommodation and meal allowance for Supreme Court Judges attending the annual Supreme and Federal Court Judges’ conference which will be held in January 2023 in Christchurch, New Zealand.</w:t>
      </w:r>
    </w:p>
    <w:p w14:paraId="79DBA981" w14:textId="77777777" w:rsidR="00622654" w:rsidRPr="00DC7EB8" w:rsidRDefault="00622654" w:rsidP="009B29CF">
      <w:pPr>
        <w:pStyle w:val="GG-body"/>
        <w:numPr>
          <w:ilvl w:val="0"/>
          <w:numId w:val="121"/>
        </w:numPr>
        <w:ind w:left="364"/>
      </w:pPr>
      <w:r w:rsidRPr="00DC7EB8">
        <w:lastRenderedPageBreak/>
        <w:t>This specific determination has been sought, as the Tribunal’s existing determination for the payment of accommodation and meal allowances does not cover international travel. In recent years, the Tribunal’s practice has been to instead make specific determinations for international travel.</w:t>
      </w:r>
    </w:p>
    <w:p w14:paraId="7B02B604" w14:textId="77777777" w:rsidR="00622654" w:rsidRPr="00DC7EB8" w:rsidRDefault="00622654" w:rsidP="009B29CF">
      <w:pPr>
        <w:pStyle w:val="GG-body"/>
        <w:numPr>
          <w:ilvl w:val="0"/>
          <w:numId w:val="121"/>
        </w:numPr>
        <w:ind w:left="364"/>
      </w:pPr>
      <w:r w:rsidRPr="00DC7EB8">
        <w:t>As explained in this report, the Tribunal has decided to grant the application. The Tribunal has accordingly issued an accompanying determination, which applies from 29 August 2022 being the date the application was received</w:t>
      </w:r>
      <w:r w:rsidRPr="00E52685">
        <w:t>.</w:t>
      </w:r>
    </w:p>
    <w:p w14:paraId="320DB6E8" w14:textId="77777777" w:rsidR="00622654" w:rsidRPr="00E52685" w:rsidRDefault="00622654" w:rsidP="00622654">
      <w:pPr>
        <w:jc w:val="left"/>
        <w:rPr>
          <w:b/>
          <w:bCs/>
          <w:szCs w:val="17"/>
        </w:rPr>
      </w:pPr>
      <w:r w:rsidRPr="00E52685">
        <w:rPr>
          <w:b/>
          <w:bCs/>
          <w:szCs w:val="17"/>
        </w:rPr>
        <w:t>THE REVIEW PROCESS</w:t>
      </w:r>
    </w:p>
    <w:p w14:paraId="532EBB12" w14:textId="77777777" w:rsidR="00622654" w:rsidRPr="00DC7EB8" w:rsidRDefault="00622654" w:rsidP="009B29CF">
      <w:pPr>
        <w:pStyle w:val="GG-body"/>
        <w:numPr>
          <w:ilvl w:val="0"/>
          <w:numId w:val="121"/>
        </w:numPr>
        <w:ind w:left="364"/>
      </w:pPr>
      <w:r w:rsidRPr="00DC7EB8">
        <w:t xml:space="preserve">On 20 September 2022, in accordance with sections 10(2) and 10(4) of the </w:t>
      </w:r>
      <w:r w:rsidRPr="00DC7EB8">
        <w:rPr>
          <w:i/>
          <w:iCs/>
        </w:rPr>
        <w:t>Remuneration Act 1990</w:t>
      </w:r>
      <w:r w:rsidRPr="00DC7EB8">
        <w:t xml:space="preserve"> (</w:t>
      </w:r>
      <w:r w:rsidRPr="00DC7EB8">
        <w:rPr>
          <w:b/>
          <w:bCs/>
        </w:rPr>
        <w:t>Act</w:t>
      </w:r>
      <w:r w:rsidRPr="00DC7EB8">
        <w:t>), the Tribunal wrote to and invited submissions by 17 October 2022 in respect of this application from:</w:t>
      </w:r>
    </w:p>
    <w:p w14:paraId="42CB84BF" w14:textId="77777777" w:rsidR="00622654" w:rsidRPr="00DC7EB8" w:rsidRDefault="00622654" w:rsidP="009B29CF">
      <w:pPr>
        <w:pStyle w:val="GG-body"/>
        <w:numPr>
          <w:ilvl w:val="0"/>
          <w:numId w:val="117"/>
        </w:numPr>
      </w:pPr>
      <w:r w:rsidRPr="00DC7EB8">
        <w:t>the Honourable Premier of South Australia – as the Minister responsible for the Act who may make submissions or introduce evidence in the public interest</w:t>
      </w:r>
    </w:p>
    <w:p w14:paraId="14B059BF" w14:textId="77777777" w:rsidR="00622654" w:rsidRPr="00DC7EB8" w:rsidRDefault="00622654" w:rsidP="009B29CF">
      <w:pPr>
        <w:pStyle w:val="GG-body"/>
        <w:numPr>
          <w:ilvl w:val="0"/>
          <w:numId w:val="117"/>
        </w:numPr>
      </w:pPr>
      <w:r w:rsidRPr="00DC7EB8">
        <w:t>the JRCC</w:t>
      </w:r>
    </w:p>
    <w:p w14:paraId="4C6FBD5E" w14:textId="77777777" w:rsidR="00622654" w:rsidRPr="00DC7EB8" w:rsidRDefault="00622654" w:rsidP="009B29CF">
      <w:pPr>
        <w:pStyle w:val="GG-body"/>
        <w:numPr>
          <w:ilvl w:val="0"/>
          <w:numId w:val="117"/>
        </w:numPr>
      </w:pPr>
      <w:r w:rsidRPr="00DC7EB8">
        <w:t>members of the judiciary</w:t>
      </w:r>
    </w:p>
    <w:p w14:paraId="75C095D6" w14:textId="77777777" w:rsidR="00622654" w:rsidRPr="00DC7EB8" w:rsidRDefault="00622654" w:rsidP="009B29CF">
      <w:pPr>
        <w:pStyle w:val="GG-body"/>
        <w:numPr>
          <w:ilvl w:val="0"/>
          <w:numId w:val="121"/>
        </w:numPr>
        <w:ind w:left="364"/>
      </w:pPr>
      <w:r w:rsidRPr="00DC7EB8">
        <w:t>The Tribunal also placed a notice on its website from 20 September 2022 calling for submissions from affected persons by 17 October 2022.</w:t>
      </w:r>
    </w:p>
    <w:p w14:paraId="78413903" w14:textId="77777777" w:rsidR="00622654" w:rsidRPr="00DC7EB8" w:rsidRDefault="00622654" w:rsidP="009B29CF">
      <w:pPr>
        <w:pStyle w:val="GG-body"/>
        <w:numPr>
          <w:ilvl w:val="0"/>
          <w:numId w:val="121"/>
        </w:numPr>
        <w:ind w:left="364"/>
      </w:pPr>
      <w:r w:rsidRPr="00DC7EB8">
        <w:t xml:space="preserve">The JRCC provided a written submission on 17 October 2022, on behalf of the Chief Justice, Judges and Masters of the Supreme Court. </w:t>
      </w:r>
    </w:p>
    <w:p w14:paraId="7935151B" w14:textId="77777777" w:rsidR="00622654" w:rsidRPr="00DC7EB8" w:rsidRDefault="00622654" w:rsidP="009B29CF">
      <w:pPr>
        <w:pStyle w:val="GG-body"/>
        <w:numPr>
          <w:ilvl w:val="0"/>
          <w:numId w:val="121"/>
        </w:numPr>
        <w:ind w:left="364"/>
      </w:pPr>
      <w:r w:rsidRPr="00DC7EB8">
        <w:t>On 31 October 2022, after an extension was granted, the Premier’s representative confirmed that the Premier did not intend to make a submission.</w:t>
      </w:r>
    </w:p>
    <w:p w14:paraId="0477B81B" w14:textId="77777777" w:rsidR="00622654" w:rsidRPr="00DC7EB8" w:rsidRDefault="00622654" w:rsidP="009B29CF">
      <w:pPr>
        <w:pStyle w:val="GG-body"/>
        <w:numPr>
          <w:ilvl w:val="0"/>
          <w:numId w:val="121"/>
        </w:numPr>
        <w:ind w:left="364"/>
      </w:pPr>
      <w:r w:rsidRPr="00DC7EB8">
        <w:t>No other submissions were received.</w:t>
      </w:r>
    </w:p>
    <w:p w14:paraId="7FDE8AB1" w14:textId="77777777" w:rsidR="00622654" w:rsidRPr="00DC7EB8" w:rsidRDefault="00622654" w:rsidP="009B29CF">
      <w:pPr>
        <w:pStyle w:val="GG-body"/>
        <w:numPr>
          <w:ilvl w:val="0"/>
          <w:numId w:val="121"/>
        </w:numPr>
        <w:ind w:left="364"/>
      </w:pPr>
      <w:r w:rsidRPr="00DC7EB8">
        <w:t>The Tribunal convened a hearing on this and related matters on 14 November 2022. This hearing was attended by the Honourable Justice Tim Stanley as chair of the JRCC, Magistrate Jay Pandya as President of the Magistrates Association of South Australia, and Ms Carly Cooper from the Crown Solicitor’s Office as representative of the Premier.</w:t>
      </w:r>
    </w:p>
    <w:p w14:paraId="177BB2EC" w14:textId="77777777" w:rsidR="00622654" w:rsidRPr="00DC7EB8" w:rsidRDefault="00622654" w:rsidP="009B29CF">
      <w:pPr>
        <w:pStyle w:val="GG-body"/>
        <w:numPr>
          <w:ilvl w:val="0"/>
          <w:numId w:val="121"/>
        </w:numPr>
        <w:ind w:left="364"/>
      </w:pPr>
      <w:r w:rsidRPr="00DC7EB8">
        <w:t xml:space="preserve">Justice Stanley spoke to the written submissions received from the JRCC. Ms Cooper attended, and confirmed the Premier’s instructions. </w:t>
      </w:r>
    </w:p>
    <w:p w14:paraId="7F8BBCB5" w14:textId="77777777" w:rsidR="00622654" w:rsidRPr="00DC7EB8" w:rsidRDefault="00622654" w:rsidP="009B29CF">
      <w:pPr>
        <w:pStyle w:val="GG-body"/>
        <w:numPr>
          <w:ilvl w:val="0"/>
          <w:numId w:val="121"/>
        </w:numPr>
        <w:ind w:left="364"/>
      </w:pPr>
      <w:r w:rsidRPr="00DC7EB8">
        <w:t>In summary, the JRCC submitted that it seeks:</w:t>
      </w:r>
    </w:p>
    <w:p w14:paraId="2ED355B4" w14:textId="77777777" w:rsidR="00622654" w:rsidRPr="00DC7EB8" w:rsidRDefault="00622654" w:rsidP="009B29CF">
      <w:pPr>
        <w:pStyle w:val="GG-body"/>
        <w:numPr>
          <w:ilvl w:val="0"/>
          <w:numId w:val="118"/>
        </w:numPr>
      </w:pPr>
      <w:r w:rsidRPr="00DC7EB8">
        <w:t>for the Tribunal to fix overseas accommodation and daily allowances for Judges and Masters of the Supreme Court attending the Supreme and Federal Court Judges’ Conference to be held in Christchurch, New Zealand, from 22 to 25 January 2023</w:t>
      </w:r>
    </w:p>
    <w:p w14:paraId="7C8BAE3B" w14:textId="77777777" w:rsidR="00622654" w:rsidRPr="00DC7EB8" w:rsidRDefault="00622654" w:rsidP="009B29CF">
      <w:pPr>
        <w:pStyle w:val="GG-body"/>
        <w:numPr>
          <w:ilvl w:val="0"/>
          <w:numId w:val="118"/>
        </w:numPr>
      </w:pPr>
      <w:r w:rsidRPr="00DC7EB8">
        <w:t>a determination essentially on the same terms as Determination 13 of 2019, to the effect of entitling a Judge and Master to:</w:t>
      </w:r>
    </w:p>
    <w:p w14:paraId="15A81774" w14:textId="77777777" w:rsidR="00622654" w:rsidRPr="005D2155" w:rsidRDefault="00622654" w:rsidP="009B29CF">
      <w:pPr>
        <w:pStyle w:val="ListParagraph"/>
        <w:numPr>
          <w:ilvl w:val="2"/>
          <w:numId w:val="87"/>
        </w:numPr>
        <w:contextualSpacing w:val="0"/>
        <w:rPr>
          <w:szCs w:val="17"/>
        </w:rPr>
      </w:pPr>
      <w:r w:rsidRPr="005D2155">
        <w:rPr>
          <w:szCs w:val="17"/>
        </w:rPr>
        <w:t>be provided with accommodation at the State’s expense at a standard reasonably equivalent to that provided for the Judge and Master when accommodated outside of Adelaide</w:t>
      </w:r>
    </w:p>
    <w:p w14:paraId="6C988718" w14:textId="77777777" w:rsidR="00622654" w:rsidRPr="005D2155" w:rsidRDefault="00622654" w:rsidP="009B29CF">
      <w:pPr>
        <w:pStyle w:val="ListParagraph"/>
        <w:numPr>
          <w:ilvl w:val="2"/>
          <w:numId w:val="87"/>
        </w:numPr>
        <w:contextualSpacing w:val="0"/>
        <w:rPr>
          <w:szCs w:val="17"/>
        </w:rPr>
      </w:pPr>
      <w:r w:rsidRPr="005D2155">
        <w:rPr>
          <w:szCs w:val="17"/>
        </w:rPr>
        <w:t>be paid meal and incidentals in an amount set out in Taxation Determination TD 2022/10 in a daily amount of $285 payable for a period of six days comprising the outward flight day of 21 January 2023, the conference days, and the return flight day of 26 January 2023.</w:t>
      </w:r>
    </w:p>
    <w:p w14:paraId="32838846" w14:textId="77777777" w:rsidR="00622654" w:rsidRPr="00E52685" w:rsidRDefault="00622654" w:rsidP="009B29CF">
      <w:pPr>
        <w:pStyle w:val="GG-body"/>
        <w:numPr>
          <w:ilvl w:val="0"/>
          <w:numId w:val="121"/>
        </w:numPr>
        <w:ind w:left="364"/>
      </w:pPr>
      <w:r w:rsidRPr="00DC7EB8">
        <w:t xml:space="preserve">The Tribunal has observed that the </w:t>
      </w:r>
      <w:r w:rsidRPr="00DC7EB8">
        <w:rPr>
          <w:i/>
          <w:iCs/>
        </w:rPr>
        <w:t>Commonwealth Remuneration Tribunal (Official Travel) Determination 2019</w:t>
      </w:r>
      <w:r w:rsidRPr="00DC7EB8">
        <w:t xml:space="preserve"> has since been replaced by the </w:t>
      </w:r>
      <w:r w:rsidRPr="00DC7EB8">
        <w:rPr>
          <w:i/>
          <w:iCs/>
        </w:rPr>
        <w:t>Commonwealth Remuneration Tribunal (Official Travel) Determination 2022</w:t>
      </w:r>
      <w:r w:rsidRPr="00DC7EB8">
        <w:t>. That updated version refers to the current Australian Taxation Office determination (TD 2022/10) identified by the JRCC</w:t>
      </w:r>
      <w:r w:rsidRPr="00E52685">
        <w:t>.</w:t>
      </w:r>
    </w:p>
    <w:p w14:paraId="7B0FB646" w14:textId="77777777" w:rsidR="00622654" w:rsidRPr="00E52685" w:rsidRDefault="00622654" w:rsidP="00622654">
      <w:pPr>
        <w:jc w:val="left"/>
        <w:rPr>
          <w:b/>
          <w:bCs/>
          <w:szCs w:val="17"/>
        </w:rPr>
      </w:pPr>
      <w:r w:rsidRPr="00E52685">
        <w:rPr>
          <w:b/>
          <w:bCs/>
          <w:szCs w:val="17"/>
        </w:rPr>
        <w:t>CONSIDERATION AND CONCLUSION</w:t>
      </w:r>
    </w:p>
    <w:p w14:paraId="24D09B42" w14:textId="77777777" w:rsidR="00622654" w:rsidRPr="00DC7EB8" w:rsidRDefault="00622654" w:rsidP="009B29CF">
      <w:pPr>
        <w:pStyle w:val="GG-body"/>
        <w:numPr>
          <w:ilvl w:val="0"/>
          <w:numId w:val="121"/>
        </w:numPr>
        <w:ind w:left="364"/>
      </w:pPr>
      <w:r w:rsidRPr="00DC7EB8">
        <w:t>The Tribunal has previously dealt with requests made for the determination of overseas travel entitlements according to the unique circumstances of each instance of travel, so that any determination made by the Tribunal is limited in effect to each such circumstance. In the Tribunal’s view, that approach continues to be appropriate, given that the necessity for judicial officers to travel internationally in the course of their official duties is infrequent.</w:t>
      </w:r>
    </w:p>
    <w:p w14:paraId="71E10851" w14:textId="77777777" w:rsidR="00622654" w:rsidRPr="00DC7EB8" w:rsidRDefault="00622654" w:rsidP="009B29CF">
      <w:pPr>
        <w:pStyle w:val="GG-body"/>
        <w:numPr>
          <w:ilvl w:val="0"/>
          <w:numId w:val="121"/>
        </w:numPr>
        <w:ind w:left="364"/>
      </w:pPr>
      <w:r w:rsidRPr="00DC7EB8">
        <w:t>The Tribunal considers that accommodation and daily allowance provisions are appropriately payable in circumstances whereby there is an official requirement for international travel by a Judge or Master in the course of his or her duties as a judicial officer. The Tribunal is satisfied that attendance at the annual Supreme and Federal Court Judges’ conference fits this description.</w:t>
      </w:r>
    </w:p>
    <w:p w14:paraId="6109075B" w14:textId="77777777" w:rsidR="00622654" w:rsidRPr="00DC7EB8" w:rsidRDefault="00622654" w:rsidP="009B29CF">
      <w:pPr>
        <w:pStyle w:val="GG-body"/>
        <w:numPr>
          <w:ilvl w:val="0"/>
          <w:numId w:val="121"/>
        </w:numPr>
        <w:ind w:left="364"/>
      </w:pPr>
      <w:r w:rsidRPr="00DC7EB8">
        <w:t xml:space="preserve">The Tribunal is also satisfied that the </w:t>
      </w:r>
      <w:r w:rsidRPr="00DC7EB8">
        <w:rPr>
          <w:i/>
          <w:iCs/>
        </w:rPr>
        <w:t>Commonwealth Remuneration Tribunal (Official Travel) Determination 2022</w:t>
      </w:r>
      <w:r w:rsidRPr="00DC7EB8">
        <w:t xml:space="preserve"> sets a reasonable basis for determining an appropriate overseas daily allowance for meals and incidentals and entitlements to accommodation for this trip.</w:t>
      </w:r>
    </w:p>
    <w:p w14:paraId="326C18AF" w14:textId="77777777" w:rsidR="00622654" w:rsidRPr="00DC7EB8" w:rsidRDefault="00622654" w:rsidP="009B29CF">
      <w:pPr>
        <w:pStyle w:val="GG-body"/>
        <w:numPr>
          <w:ilvl w:val="0"/>
          <w:numId w:val="121"/>
        </w:numPr>
        <w:ind w:left="364"/>
      </w:pPr>
      <w:r w:rsidRPr="00DC7EB8">
        <w:t>With respect to accommodation, the Tribunal notes that while it usually would have been appropriate for the State to have booked and paid directly for overseas accommodation, that has probably not occurred in this case as accommodation most likely needed to be booked in advance of the Tribunal deciding this application.</w:t>
      </w:r>
    </w:p>
    <w:p w14:paraId="77FBB741" w14:textId="77777777" w:rsidR="00622654" w:rsidRPr="00DC7EB8" w:rsidRDefault="00622654" w:rsidP="009B29CF">
      <w:pPr>
        <w:pStyle w:val="GG-body"/>
        <w:numPr>
          <w:ilvl w:val="0"/>
          <w:numId w:val="121"/>
        </w:numPr>
        <w:ind w:left="364"/>
      </w:pPr>
      <w:r w:rsidRPr="00DC7EB8">
        <w:t>Accordingly, the accompanying determination provides for a daily allowance and either reimbursement or direct payment of accommodation expenses as sought.</w:t>
      </w:r>
    </w:p>
    <w:p w14:paraId="1A94A1B9" w14:textId="77777777" w:rsidR="00622654" w:rsidRDefault="00622654" w:rsidP="009B29CF">
      <w:pPr>
        <w:pStyle w:val="GG-body"/>
        <w:numPr>
          <w:ilvl w:val="0"/>
          <w:numId w:val="121"/>
        </w:numPr>
        <w:ind w:left="364"/>
      </w:pPr>
      <w:r w:rsidRPr="00DC7EB8">
        <w:t>The determination will apply from 29 August 2022 being the date the application was received</w:t>
      </w:r>
      <w:r>
        <w:t>.</w:t>
      </w:r>
    </w:p>
    <w:p w14:paraId="0E339E00" w14:textId="530CE932" w:rsidR="00622654" w:rsidRPr="00A51192" w:rsidRDefault="00622654" w:rsidP="00622654">
      <w:pPr>
        <w:pStyle w:val="GG-body"/>
        <w:ind w:left="4"/>
      </w:pPr>
      <w:r>
        <w:t>Dated: 14 December 2022</w:t>
      </w:r>
    </w:p>
    <w:p w14:paraId="6D4121DE" w14:textId="77777777" w:rsidR="00622654" w:rsidRDefault="00622654" w:rsidP="00622654">
      <w:pPr>
        <w:pStyle w:val="GG-SName"/>
      </w:pPr>
      <w:r w:rsidRPr="00A51192">
        <w:t>Matthew O’Callaghan</w:t>
      </w:r>
    </w:p>
    <w:p w14:paraId="76BD2081" w14:textId="77777777" w:rsidR="00622654" w:rsidRPr="00A51192" w:rsidRDefault="00622654" w:rsidP="007F7570">
      <w:pPr>
        <w:pStyle w:val="GG-Signature"/>
        <w:spacing w:after="80"/>
      </w:pPr>
      <w:r w:rsidRPr="00A51192">
        <w:t>President</w:t>
      </w:r>
    </w:p>
    <w:p w14:paraId="5094F391" w14:textId="77777777" w:rsidR="00622654" w:rsidRDefault="00622654" w:rsidP="00622654">
      <w:pPr>
        <w:pStyle w:val="GG-SName"/>
      </w:pPr>
      <w:r w:rsidRPr="00A51192">
        <w:t>Deborah Black</w:t>
      </w:r>
    </w:p>
    <w:p w14:paraId="7D50E181" w14:textId="77777777" w:rsidR="00622654" w:rsidRPr="00A51192" w:rsidRDefault="00622654" w:rsidP="007F7570">
      <w:pPr>
        <w:pStyle w:val="GG-Signature"/>
        <w:spacing w:after="80"/>
      </w:pPr>
      <w:r w:rsidRPr="00A51192">
        <w:t>Member</w:t>
      </w:r>
    </w:p>
    <w:p w14:paraId="22E81E48" w14:textId="77777777" w:rsidR="00622654" w:rsidRPr="00A51192" w:rsidRDefault="00622654" w:rsidP="00622654">
      <w:pPr>
        <w:pStyle w:val="GG-SName"/>
      </w:pPr>
      <w:r w:rsidRPr="00A51192">
        <w:t>Peter de Cure AM</w:t>
      </w:r>
    </w:p>
    <w:p w14:paraId="3DDE72EB" w14:textId="77777777" w:rsidR="00622654" w:rsidRDefault="00622654" w:rsidP="00622654">
      <w:pPr>
        <w:pStyle w:val="GG-Signature"/>
      </w:pPr>
      <w:r w:rsidRPr="00A51192">
        <w:t>Member</w:t>
      </w:r>
    </w:p>
    <w:p w14:paraId="19EB7525" w14:textId="77777777" w:rsidR="00622654" w:rsidRDefault="00622654" w:rsidP="00622654">
      <w:pPr>
        <w:pStyle w:val="GG-Signature"/>
        <w:pBdr>
          <w:top w:val="single" w:sz="4" w:space="1" w:color="auto"/>
        </w:pBdr>
        <w:spacing w:before="100" w:line="14" w:lineRule="exact"/>
        <w:ind w:left="1080" w:right="1080"/>
        <w:jc w:val="center"/>
      </w:pPr>
    </w:p>
    <w:p w14:paraId="0B4589F4" w14:textId="77777777" w:rsidR="00622654" w:rsidRDefault="00622654">
      <w:pPr>
        <w:spacing w:after="0" w:line="240" w:lineRule="auto"/>
        <w:jc w:val="left"/>
        <w:rPr>
          <w:caps/>
          <w:szCs w:val="17"/>
        </w:rPr>
      </w:pPr>
      <w:r>
        <w:br w:type="page"/>
      </w:r>
    </w:p>
    <w:p w14:paraId="78F9C2C3" w14:textId="315B0117" w:rsidR="00622654" w:rsidRPr="004F33B9" w:rsidRDefault="00622654" w:rsidP="00622654">
      <w:pPr>
        <w:pStyle w:val="GG-Title1"/>
      </w:pPr>
      <w:r w:rsidRPr="004F33B9">
        <w:lastRenderedPageBreak/>
        <w:t>The Remuneration Tribunal</w:t>
      </w:r>
    </w:p>
    <w:p w14:paraId="20B1A721" w14:textId="77777777" w:rsidR="00622654" w:rsidRPr="00A51192" w:rsidRDefault="00622654" w:rsidP="00622654">
      <w:pPr>
        <w:pStyle w:val="GG-Title2"/>
      </w:pPr>
      <w:r>
        <w:t>Determination—</w:t>
      </w:r>
      <w:r w:rsidRPr="00A51192">
        <w:t xml:space="preserve">No. </w:t>
      </w:r>
      <w:r>
        <w:t>12</w:t>
      </w:r>
      <w:r w:rsidRPr="00A51192">
        <w:t xml:space="preserve"> </w:t>
      </w:r>
      <w:r>
        <w:t>o</w:t>
      </w:r>
      <w:r w:rsidRPr="00A51192">
        <w:t>f 2022</w:t>
      </w:r>
    </w:p>
    <w:p w14:paraId="5A65733B" w14:textId="77777777" w:rsidR="00622654" w:rsidRDefault="00622654" w:rsidP="00622654">
      <w:pPr>
        <w:pStyle w:val="GG-Title3"/>
      </w:pPr>
      <w:r w:rsidRPr="00D95131">
        <w:t>Overseas Accommodation and Daily Allowance</w:t>
      </w:r>
      <w:r>
        <w:t>—</w:t>
      </w:r>
      <w:r>
        <w:br/>
        <w:t xml:space="preserve">2023 </w:t>
      </w:r>
      <w:r w:rsidRPr="00D95131">
        <w:t xml:space="preserve">Supreme and Federal Court Judges’ conference </w:t>
      </w:r>
      <w:r>
        <w:t xml:space="preserve">in </w:t>
      </w:r>
      <w:r w:rsidRPr="00D95131">
        <w:t>Christchurch</w:t>
      </w:r>
    </w:p>
    <w:p w14:paraId="01027AE6" w14:textId="77777777" w:rsidR="00622654" w:rsidRPr="00E52685" w:rsidRDefault="00622654" w:rsidP="00622654">
      <w:pPr>
        <w:jc w:val="left"/>
        <w:rPr>
          <w:b/>
          <w:bCs/>
          <w:szCs w:val="17"/>
        </w:rPr>
      </w:pPr>
      <w:r w:rsidRPr="000332CB">
        <w:rPr>
          <w:b/>
          <w:bCs/>
          <w:szCs w:val="17"/>
        </w:rPr>
        <w:t>SCOPE OF DETERMINATION</w:t>
      </w:r>
    </w:p>
    <w:p w14:paraId="57318293" w14:textId="77777777" w:rsidR="00622654" w:rsidRPr="00DC7EB8" w:rsidRDefault="00622654" w:rsidP="009B29CF">
      <w:pPr>
        <w:pStyle w:val="GG-body"/>
        <w:numPr>
          <w:ilvl w:val="0"/>
          <w:numId w:val="119"/>
        </w:numPr>
        <w:ind w:left="364"/>
      </w:pPr>
      <w:r w:rsidRPr="000332CB">
        <w:t>This Determination applies to Judges and Masters of the Supreme Court of South Australia</w:t>
      </w:r>
      <w:r w:rsidRPr="00E52685">
        <w:t>.</w:t>
      </w:r>
    </w:p>
    <w:p w14:paraId="216B2403" w14:textId="77777777" w:rsidR="00622654" w:rsidRPr="00E52685" w:rsidRDefault="00622654" w:rsidP="00622654">
      <w:pPr>
        <w:jc w:val="left"/>
        <w:rPr>
          <w:b/>
          <w:bCs/>
          <w:szCs w:val="17"/>
        </w:rPr>
      </w:pPr>
      <w:r w:rsidRPr="000332CB">
        <w:rPr>
          <w:b/>
          <w:bCs/>
          <w:szCs w:val="17"/>
        </w:rPr>
        <w:t>DETERMINATION</w:t>
      </w:r>
    </w:p>
    <w:p w14:paraId="26514788" w14:textId="77777777" w:rsidR="00622654" w:rsidRPr="00DC7EB8" w:rsidRDefault="00622654" w:rsidP="009B29CF">
      <w:pPr>
        <w:pStyle w:val="GG-body"/>
        <w:numPr>
          <w:ilvl w:val="0"/>
          <w:numId w:val="119"/>
        </w:numPr>
        <w:ind w:left="364"/>
      </w:pPr>
      <w:r w:rsidRPr="000332CB">
        <w:t>Judges and Masters are entitled to the following, in respect of their attendance at the Supreme and Federal Court Judges’ Conference to be held in Christchurch, New Zealand, from 22 to 25 January 2023</w:t>
      </w:r>
      <w:r w:rsidRPr="00DC7EB8">
        <w:t>:</w:t>
      </w:r>
    </w:p>
    <w:p w14:paraId="1731E7FA" w14:textId="77777777" w:rsidR="00622654" w:rsidRDefault="00622654" w:rsidP="009B29CF">
      <w:pPr>
        <w:pStyle w:val="GG-body"/>
        <w:numPr>
          <w:ilvl w:val="0"/>
          <w:numId w:val="120"/>
        </w:numPr>
      </w:pPr>
      <w:r>
        <w:t>a daily allowance of A$285 by reference to the most recent Australian Taxation Office taxation determination (TD 2022/10) concerning reasonable meals and incidentals. This will be for six days, comprising the outward flight day of 21 January 2023, the conference days, and the return flight day of 26 January 2023</w:t>
      </w:r>
    </w:p>
    <w:p w14:paraId="709D24CE" w14:textId="77777777" w:rsidR="00622654" w:rsidRDefault="00622654" w:rsidP="009B29CF">
      <w:pPr>
        <w:pStyle w:val="GG-body"/>
        <w:numPr>
          <w:ilvl w:val="0"/>
          <w:numId w:val="120"/>
        </w:numPr>
      </w:pPr>
      <w:r>
        <w:t>reimbursement of accommodation directly associated with their attendance at the conference, provided the reimbursement does not exceed the costs of accommodation of a standard reasonably equivalent to that provided to them in Australia but outside of Adelaide for official duties (as determined by the Chief Justice of the Supreme Court). The costs are to be fully substantiated</w:t>
      </w:r>
    </w:p>
    <w:p w14:paraId="5799DB82" w14:textId="77777777" w:rsidR="00622654" w:rsidRDefault="00622654" w:rsidP="009B29CF">
      <w:pPr>
        <w:pStyle w:val="GG-body"/>
        <w:numPr>
          <w:ilvl w:val="0"/>
          <w:numId w:val="120"/>
        </w:numPr>
      </w:pPr>
      <w:r>
        <w:t>if accommodation has not already been paid for, a Judge or Master may alternatively have such accommodation paid directly by the Courts Administration Authority.</w:t>
      </w:r>
    </w:p>
    <w:p w14:paraId="448700FD" w14:textId="77777777" w:rsidR="00622654" w:rsidRPr="00E52685" w:rsidRDefault="00622654" w:rsidP="00622654">
      <w:pPr>
        <w:jc w:val="left"/>
        <w:rPr>
          <w:b/>
          <w:bCs/>
          <w:szCs w:val="17"/>
        </w:rPr>
      </w:pPr>
      <w:r w:rsidRPr="000332CB">
        <w:rPr>
          <w:b/>
          <w:bCs/>
          <w:szCs w:val="17"/>
        </w:rPr>
        <w:t>DETERMINATION</w:t>
      </w:r>
    </w:p>
    <w:p w14:paraId="0A3DBFEE" w14:textId="77777777" w:rsidR="00622654" w:rsidRPr="00DC7EB8" w:rsidRDefault="00622654" w:rsidP="009B29CF">
      <w:pPr>
        <w:pStyle w:val="GG-body"/>
        <w:numPr>
          <w:ilvl w:val="0"/>
          <w:numId w:val="119"/>
        </w:numPr>
        <w:ind w:left="364"/>
      </w:pPr>
      <w:r w:rsidRPr="000332CB">
        <w:t>The Determination operates from 29 August 2022</w:t>
      </w:r>
      <w:r w:rsidRPr="00DC7EB8">
        <w:t>.</w:t>
      </w:r>
    </w:p>
    <w:p w14:paraId="7DF8D504" w14:textId="77777777" w:rsidR="00622654" w:rsidRPr="00A51192" w:rsidRDefault="00622654" w:rsidP="00622654">
      <w:pPr>
        <w:pStyle w:val="GG-SDated"/>
      </w:pPr>
      <w:r>
        <w:t>Dated: 14 December 2022</w:t>
      </w:r>
    </w:p>
    <w:p w14:paraId="4E10E633" w14:textId="77777777" w:rsidR="00622654" w:rsidRDefault="00622654" w:rsidP="00622654">
      <w:pPr>
        <w:pStyle w:val="GG-SName"/>
      </w:pPr>
      <w:r w:rsidRPr="00A51192">
        <w:t>Matthew O’Callaghan</w:t>
      </w:r>
    </w:p>
    <w:p w14:paraId="795C1428" w14:textId="77777777" w:rsidR="00622654" w:rsidRPr="00A51192" w:rsidRDefault="00622654" w:rsidP="007F7570">
      <w:pPr>
        <w:pStyle w:val="GG-Signature"/>
        <w:spacing w:after="80"/>
      </w:pPr>
      <w:r w:rsidRPr="00A51192">
        <w:t>President</w:t>
      </w:r>
    </w:p>
    <w:p w14:paraId="5C7E365E" w14:textId="77777777" w:rsidR="00622654" w:rsidRDefault="00622654" w:rsidP="00622654">
      <w:pPr>
        <w:pStyle w:val="GG-SName"/>
      </w:pPr>
      <w:r w:rsidRPr="00A51192">
        <w:t>Deborah Black</w:t>
      </w:r>
    </w:p>
    <w:p w14:paraId="70F8AD74" w14:textId="77777777" w:rsidR="00622654" w:rsidRPr="00A51192" w:rsidRDefault="00622654" w:rsidP="007F7570">
      <w:pPr>
        <w:pStyle w:val="GG-Signature"/>
        <w:spacing w:after="80"/>
      </w:pPr>
      <w:r w:rsidRPr="00A51192">
        <w:t>Member</w:t>
      </w:r>
    </w:p>
    <w:p w14:paraId="0F233E45" w14:textId="77777777" w:rsidR="00622654" w:rsidRPr="00A51192" w:rsidRDefault="00622654" w:rsidP="00622654">
      <w:pPr>
        <w:pStyle w:val="GG-SName"/>
      </w:pPr>
      <w:r w:rsidRPr="00A51192">
        <w:t>Peter de Cure AM</w:t>
      </w:r>
    </w:p>
    <w:p w14:paraId="56188BBF" w14:textId="77777777" w:rsidR="00622654" w:rsidRDefault="00622654" w:rsidP="00622654">
      <w:pPr>
        <w:pStyle w:val="GG-Signature"/>
      </w:pPr>
      <w:r w:rsidRPr="00A51192">
        <w:t>Member</w:t>
      </w:r>
    </w:p>
    <w:p w14:paraId="06B5FE73" w14:textId="77777777" w:rsidR="00622654" w:rsidRDefault="00622654" w:rsidP="00622654">
      <w:pPr>
        <w:pStyle w:val="GG-Signature"/>
        <w:pBdr>
          <w:top w:val="single" w:sz="4" w:space="1" w:color="auto"/>
        </w:pBdr>
        <w:spacing w:before="100" w:line="14" w:lineRule="exact"/>
        <w:jc w:val="center"/>
      </w:pPr>
    </w:p>
    <w:p w14:paraId="65347569" w14:textId="1C57AF72" w:rsidR="00622654" w:rsidRDefault="00622654" w:rsidP="00965F17">
      <w:pPr>
        <w:pStyle w:val="GG-body"/>
        <w:spacing w:after="0"/>
        <w:rPr>
          <w:lang w:val="en-US"/>
        </w:rPr>
      </w:pPr>
    </w:p>
    <w:p w14:paraId="74AF0F35" w14:textId="77777777" w:rsidR="00822145" w:rsidRPr="004F33B9" w:rsidRDefault="00822145" w:rsidP="00822145">
      <w:pPr>
        <w:pStyle w:val="GG-Title1"/>
      </w:pPr>
      <w:r w:rsidRPr="004F33B9">
        <w:t>The Remuneration Tribunal</w:t>
      </w:r>
    </w:p>
    <w:p w14:paraId="7AE76B1F" w14:textId="77777777" w:rsidR="00822145" w:rsidRPr="00A51192" w:rsidRDefault="00822145" w:rsidP="00822145">
      <w:pPr>
        <w:pStyle w:val="GG-Title2"/>
      </w:pPr>
      <w:r w:rsidRPr="00A51192">
        <w:t>Report</w:t>
      </w:r>
      <w:r>
        <w:t>—</w:t>
      </w:r>
      <w:r w:rsidRPr="00A51192">
        <w:t xml:space="preserve">No. </w:t>
      </w:r>
      <w:r>
        <w:t>13</w:t>
      </w:r>
      <w:r w:rsidRPr="00A51192">
        <w:t xml:space="preserve"> </w:t>
      </w:r>
      <w:r>
        <w:t>o</w:t>
      </w:r>
      <w:r w:rsidRPr="00A51192">
        <w:t>f 2022</w:t>
      </w:r>
    </w:p>
    <w:p w14:paraId="1B0582AB" w14:textId="77777777" w:rsidR="00822145" w:rsidRPr="00F82226" w:rsidRDefault="00822145" w:rsidP="00822145">
      <w:pPr>
        <w:pStyle w:val="GG-Title3"/>
      </w:pPr>
      <w:r w:rsidRPr="0029072A">
        <w:t xml:space="preserve">Application for supply of a Four-Wheel Drive Vehicle to the Resident Magistrate, </w:t>
      </w:r>
      <w:r>
        <w:br/>
      </w:r>
      <w:r w:rsidRPr="0029072A">
        <w:t>Berri, at a cost equal to the Conveyance Allowance provided by Determination No 14 of 2021</w:t>
      </w:r>
    </w:p>
    <w:p w14:paraId="3D729E15" w14:textId="77777777" w:rsidR="00822145" w:rsidRPr="00A51192" w:rsidRDefault="00822145" w:rsidP="00822145">
      <w:pPr>
        <w:pStyle w:val="GG-body"/>
        <w:rPr>
          <w:b/>
          <w:bCs/>
          <w:smallCaps/>
        </w:rPr>
      </w:pPr>
      <w:r w:rsidRPr="00A51192">
        <w:rPr>
          <w:b/>
          <w:bCs/>
          <w:smallCaps/>
        </w:rPr>
        <w:t>Report</w:t>
      </w:r>
    </w:p>
    <w:p w14:paraId="71275BCD" w14:textId="77777777" w:rsidR="00822145" w:rsidRPr="00E52685" w:rsidRDefault="00822145" w:rsidP="00822145">
      <w:pPr>
        <w:jc w:val="left"/>
        <w:rPr>
          <w:b/>
          <w:bCs/>
          <w:szCs w:val="17"/>
        </w:rPr>
      </w:pPr>
      <w:r w:rsidRPr="00E52685">
        <w:rPr>
          <w:b/>
          <w:bCs/>
          <w:szCs w:val="17"/>
        </w:rPr>
        <w:t>INTRODUCTION</w:t>
      </w:r>
    </w:p>
    <w:p w14:paraId="0DF9AEF4" w14:textId="77777777" w:rsidR="00822145" w:rsidRPr="0029072A" w:rsidRDefault="00822145" w:rsidP="009B29CF">
      <w:pPr>
        <w:pStyle w:val="GG-body"/>
        <w:numPr>
          <w:ilvl w:val="0"/>
          <w:numId w:val="124"/>
        </w:numPr>
        <w:ind w:left="364"/>
      </w:pPr>
      <w:r w:rsidRPr="0029072A">
        <w:t>On 19 October 2022 the Remuneration Tribunal (</w:t>
      </w:r>
      <w:r w:rsidRPr="0029072A">
        <w:rPr>
          <w:b/>
          <w:bCs/>
        </w:rPr>
        <w:t>Tribunal</w:t>
      </w:r>
      <w:r w:rsidRPr="0029072A">
        <w:t>) received an application and submission from the Resident Magistrate, Berri (</w:t>
      </w:r>
      <w:r w:rsidRPr="0029072A">
        <w:rPr>
          <w:b/>
          <w:bCs/>
        </w:rPr>
        <w:t>Berri Magistrate</w:t>
      </w:r>
      <w:r w:rsidRPr="0029072A">
        <w:t>) to grant the supply of a Four-Wheel Drive (</w:t>
      </w:r>
      <w:r w:rsidRPr="0029072A">
        <w:rPr>
          <w:b/>
          <w:bCs/>
        </w:rPr>
        <w:t>4WD</w:t>
      </w:r>
      <w:r w:rsidRPr="0029072A">
        <w:t>) vehicle at a cost equal to the conveyance allowance provided by Tribunal Report and Determination No 14 of 2021 (as may be amended from time to time).</w:t>
      </w:r>
    </w:p>
    <w:p w14:paraId="3EB97446" w14:textId="77777777" w:rsidR="00822145" w:rsidRDefault="00822145" w:rsidP="009B29CF">
      <w:pPr>
        <w:pStyle w:val="GG-body"/>
        <w:numPr>
          <w:ilvl w:val="0"/>
          <w:numId w:val="124"/>
        </w:numPr>
        <w:ind w:left="364"/>
      </w:pPr>
      <w:r w:rsidRPr="0029072A">
        <w:t>The Tribunal has duly considered this application, however for the reasons given in this report the Tribunal has decided not to make a determination as sought</w:t>
      </w:r>
      <w:r w:rsidRPr="00E52685">
        <w:t>.</w:t>
      </w:r>
    </w:p>
    <w:p w14:paraId="6BAE6CA8" w14:textId="77777777" w:rsidR="00822145" w:rsidRPr="00E52685" w:rsidRDefault="00822145" w:rsidP="00822145">
      <w:pPr>
        <w:jc w:val="left"/>
        <w:rPr>
          <w:b/>
          <w:bCs/>
          <w:szCs w:val="17"/>
        </w:rPr>
      </w:pPr>
      <w:r w:rsidRPr="00E52685">
        <w:rPr>
          <w:b/>
          <w:bCs/>
          <w:szCs w:val="17"/>
        </w:rPr>
        <w:t>THE REVIEW PROCESS</w:t>
      </w:r>
    </w:p>
    <w:p w14:paraId="1D8B50F6" w14:textId="77777777" w:rsidR="00822145" w:rsidRPr="0029072A" w:rsidRDefault="00822145" w:rsidP="009B29CF">
      <w:pPr>
        <w:pStyle w:val="GG-body"/>
        <w:numPr>
          <w:ilvl w:val="0"/>
          <w:numId w:val="124"/>
        </w:numPr>
        <w:ind w:left="364"/>
      </w:pPr>
      <w:r w:rsidRPr="0029072A">
        <w:t xml:space="preserve">On 20 October 2022, in accordance with sections 10(2) and 10(4) of the </w:t>
      </w:r>
      <w:r w:rsidRPr="0029072A">
        <w:rPr>
          <w:i/>
          <w:iCs/>
        </w:rPr>
        <w:t>Remuneration Act 1990</w:t>
      </w:r>
      <w:r w:rsidRPr="0029072A">
        <w:t xml:space="preserve"> (</w:t>
      </w:r>
      <w:r w:rsidRPr="0029072A">
        <w:rPr>
          <w:b/>
          <w:bCs/>
        </w:rPr>
        <w:t>Act</w:t>
      </w:r>
      <w:r w:rsidRPr="0029072A">
        <w:t>), the Tribunal wrote to and invited submissions by 18 November 2022 in respect of this application from:</w:t>
      </w:r>
    </w:p>
    <w:p w14:paraId="04AD9E73" w14:textId="77777777" w:rsidR="00822145" w:rsidRPr="0029072A" w:rsidRDefault="00822145" w:rsidP="009B29CF">
      <w:pPr>
        <w:pStyle w:val="GG-body"/>
        <w:numPr>
          <w:ilvl w:val="0"/>
          <w:numId w:val="122"/>
        </w:numPr>
      </w:pPr>
      <w:r w:rsidRPr="0029072A">
        <w:t>the Honourable Premier of South Australia – as the Minister responsible for the Act who may make submissions or introduce evidence in the public interest</w:t>
      </w:r>
    </w:p>
    <w:p w14:paraId="13A45448" w14:textId="77777777" w:rsidR="00822145" w:rsidRPr="0029072A" w:rsidRDefault="00822145" w:rsidP="009B29CF">
      <w:pPr>
        <w:pStyle w:val="GG-body"/>
        <w:numPr>
          <w:ilvl w:val="0"/>
          <w:numId w:val="122"/>
        </w:numPr>
      </w:pPr>
      <w:r w:rsidRPr="0029072A">
        <w:t>the Judicial Remuneration Coordinating Committee (</w:t>
      </w:r>
      <w:r w:rsidRPr="0029072A">
        <w:rPr>
          <w:b/>
          <w:bCs/>
        </w:rPr>
        <w:t>JRCC</w:t>
      </w:r>
      <w:r w:rsidRPr="0029072A">
        <w:t>)</w:t>
      </w:r>
    </w:p>
    <w:p w14:paraId="224211F8" w14:textId="77777777" w:rsidR="00822145" w:rsidRPr="0029072A" w:rsidRDefault="00822145" w:rsidP="009B29CF">
      <w:pPr>
        <w:pStyle w:val="GG-body"/>
        <w:numPr>
          <w:ilvl w:val="0"/>
          <w:numId w:val="122"/>
        </w:numPr>
      </w:pPr>
      <w:r w:rsidRPr="0029072A">
        <w:t>the Magistrates Association of South Australia</w:t>
      </w:r>
    </w:p>
    <w:p w14:paraId="5BB81954" w14:textId="77777777" w:rsidR="00822145" w:rsidRPr="0029072A" w:rsidRDefault="00822145" w:rsidP="009B29CF">
      <w:pPr>
        <w:pStyle w:val="GG-body"/>
        <w:numPr>
          <w:ilvl w:val="0"/>
          <w:numId w:val="122"/>
        </w:numPr>
      </w:pPr>
      <w:r w:rsidRPr="0029072A">
        <w:t>the Chief Magistrate</w:t>
      </w:r>
    </w:p>
    <w:p w14:paraId="40B09B3C" w14:textId="77777777" w:rsidR="00822145" w:rsidRPr="0029072A" w:rsidRDefault="00822145" w:rsidP="009B29CF">
      <w:pPr>
        <w:pStyle w:val="GG-body"/>
        <w:numPr>
          <w:ilvl w:val="0"/>
          <w:numId w:val="124"/>
        </w:numPr>
        <w:ind w:left="364"/>
      </w:pPr>
      <w:r w:rsidRPr="0029072A">
        <w:t>The Tribunal also placed a notice on its website from 20 October 2022 calling for submissions from affected persons by 18 November 2022.</w:t>
      </w:r>
    </w:p>
    <w:p w14:paraId="52401FF7" w14:textId="77777777" w:rsidR="00822145" w:rsidRPr="0029072A" w:rsidRDefault="00822145" w:rsidP="009B29CF">
      <w:pPr>
        <w:pStyle w:val="GG-body"/>
        <w:numPr>
          <w:ilvl w:val="0"/>
          <w:numId w:val="124"/>
        </w:numPr>
        <w:ind w:left="364"/>
      </w:pPr>
      <w:r w:rsidRPr="0029072A">
        <w:t>On 28 October 2022 the JRCC provided a submission stating that it supported the application for provision of the vehicle while the Magistrate is Resident Magistrate in the Riverland.</w:t>
      </w:r>
    </w:p>
    <w:p w14:paraId="01173867" w14:textId="77777777" w:rsidR="00822145" w:rsidRPr="0029072A" w:rsidRDefault="00822145" w:rsidP="009B29CF">
      <w:pPr>
        <w:pStyle w:val="GG-body"/>
        <w:numPr>
          <w:ilvl w:val="0"/>
          <w:numId w:val="124"/>
        </w:numPr>
        <w:ind w:left="364"/>
      </w:pPr>
      <w:r w:rsidRPr="0029072A">
        <w:t>On 3 November 2022 the Chief Magistrate provided a submission in support of the application which agreed with the reasons and submissions of the Berri Magistrate.</w:t>
      </w:r>
    </w:p>
    <w:p w14:paraId="72DB6995" w14:textId="77777777" w:rsidR="00822145" w:rsidRPr="0029072A" w:rsidRDefault="00822145" w:rsidP="009B29CF">
      <w:pPr>
        <w:pStyle w:val="GG-body"/>
        <w:numPr>
          <w:ilvl w:val="0"/>
          <w:numId w:val="124"/>
        </w:numPr>
        <w:ind w:left="364"/>
      </w:pPr>
      <w:r w:rsidRPr="0029072A">
        <w:t>On 8 November 2022 the Premier’s representative confirmed that the Premier did not intend to provide any submissions in respect of this application.</w:t>
      </w:r>
    </w:p>
    <w:p w14:paraId="666E72BD" w14:textId="77777777" w:rsidR="00822145" w:rsidRPr="0029072A" w:rsidRDefault="00822145" w:rsidP="009B29CF">
      <w:pPr>
        <w:pStyle w:val="GG-body"/>
        <w:numPr>
          <w:ilvl w:val="0"/>
          <w:numId w:val="124"/>
        </w:numPr>
        <w:ind w:left="364"/>
      </w:pPr>
      <w:r w:rsidRPr="0029072A">
        <w:t>No other submissions were received.</w:t>
      </w:r>
    </w:p>
    <w:p w14:paraId="36349A8C" w14:textId="77777777" w:rsidR="00822145" w:rsidRPr="0029072A" w:rsidRDefault="00822145" w:rsidP="009B29CF">
      <w:pPr>
        <w:pStyle w:val="GG-body"/>
        <w:numPr>
          <w:ilvl w:val="0"/>
          <w:numId w:val="124"/>
        </w:numPr>
        <w:ind w:left="364"/>
      </w:pPr>
      <w:r w:rsidRPr="0029072A">
        <w:t>No hearing was convened by the Tribunal in respect of this application, as the Berri Magistrate did not seek to make oral submissions and nor did any other interested person. The Tribunal did however briefly raise the matter at its hearing on 14 November 2022, and the Honourable Justice Tim Stanley as chair of the JRCC briefly explained that they supported the application.</w:t>
      </w:r>
    </w:p>
    <w:p w14:paraId="1B19B731" w14:textId="77777777" w:rsidR="00822145" w:rsidRPr="0029072A" w:rsidRDefault="00822145" w:rsidP="009B29CF">
      <w:pPr>
        <w:pStyle w:val="GG-body"/>
        <w:numPr>
          <w:ilvl w:val="0"/>
          <w:numId w:val="124"/>
        </w:numPr>
        <w:ind w:left="364"/>
      </w:pPr>
      <w:r w:rsidRPr="0029072A">
        <w:t>In summary, the Berri Magistrate has sought this determination for a variety of reasons, including:</w:t>
      </w:r>
    </w:p>
    <w:p w14:paraId="44958D78" w14:textId="77777777" w:rsidR="00822145" w:rsidRPr="0029072A" w:rsidRDefault="00822145" w:rsidP="009B29CF">
      <w:pPr>
        <w:pStyle w:val="GG-body"/>
        <w:numPr>
          <w:ilvl w:val="0"/>
          <w:numId w:val="123"/>
        </w:numPr>
      </w:pPr>
      <w:r w:rsidRPr="0029072A">
        <w:t>The Berri Magistrate currently uses a 4WD vehicle, but has to pay $5,626 per annum in addition to the conveyance allowance set by the Tribunal.</w:t>
      </w:r>
    </w:p>
    <w:p w14:paraId="3861170D" w14:textId="77777777" w:rsidR="00822145" w:rsidRPr="0029072A" w:rsidRDefault="00822145" w:rsidP="009B29CF">
      <w:pPr>
        <w:pStyle w:val="GG-body"/>
        <w:numPr>
          <w:ilvl w:val="0"/>
          <w:numId w:val="123"/>
        </w:numPr>
      </w:pPr>
      <w:r w:rsidRPr="0029072A">
        <w:t>Resident Magistrates at Port Augusta and Mount Gambier have for many years been entitled, by previous Tribunal determinations, to have a 4WD supplied at a cost equal to the conveyance allowance.</w:t>
      </w:r>
    </w:p>
    <w:p w14:paraId="7FBE1B1F" w14:textId="77777777" w:rsidR="00822145" w:rsidRPr="0029072A" w:rsidRDefault="00822145" w:rsidP="009B29CF">
      <w:pPr>
        <w:pStyle w:val="GG-body"/>
        <w:numPr>
          <w:ilvl w:val="0"/>
          <w:numId w:val="123"/>
        </w:numPr>
      </w:pPr>
      <w:r w:rsidRPr="0029072A">
        <w:lastRenderedPageBreak/>
        <w:t>The supply of a 4WD vehicle is highly desirable for reasons that go beyond the initial justification for the supply of such vehicles adopted by the Tribunal. Those reasons include, safety, reliability, comfort as well as suitability for use, when required on unsealed roads or off-road.</w:t>
      </w:r>
    </w:p>
    <w:p w14:paraId="3B236674" w14:textId="77777777" w:rsidR="00822145" w:rsidRPr="00E52685" w:rsidRDefault="00822145" w:rsidP="009B29CF">
      <w:pPr>
        <w:pStyle w:val="GG-body"/>
        <w:numPr>
          <w:ilvl w:val="0"/>
          <w:numId w:val="123"/>
        </w:numPr>
      </w:pPr>
      <w:r w:rsidRPr="0029072A">
        <w:t>The Berri Magistrate is required as part of his or her duties to undertake a return trip between Adelaide and Berri once a month, and is likely to return to Adelaide frequently on the weekends to spend time with family. The Berri Magistrate is also required to travel to Waikerie at least once each month</w:t>
      </w:r>
    </w:p>
    <w:p w14:paraId="581E4316" w14:textId="77777777" w:rsidR="00822145" w:rsidRPr="00E52685" w:rsidRDefault="00822145" w:rsidP="00822145">
      <w:pPr>
        <w:jc w:val="left"/>
        <w:rPr>
          <w:b/>
          <w:bCs/>
          <w:szCs w:val="17"/>
        </w:rPr>
      </w:pPr>
      <w:r w:rsidRPr="00E52685">
        <w:rPr>
          <w:b/>
          <w:bCs/>
          <w:szCs w:val="17"/>
        </w:rPr>
        <w:t>CONSIDERATION AND CONCLUSION</w:t>
      </w:r>
    </w:p>
    <w:p w14:paraId="1C007FC2" w14:textId="77777777" w:rsidR="00822145" w:rsidRPr="0029072A" w:rsidRDefault="00822145" w:rsidP="009B29CF">
      <w:pPr>
        <w:pStyle w:val="GG-body"/>
        <w:numPr>
          <w:ilvl w:val="0"/>
          <w:numId w:val="124"/>
        </w:numPr>
        <w:ind w:left="364"/>
      </w:pPr>
      <w:r w:rsidRPr="0029072A">
        <w:t>The Tribunal has initially considered this request from a safety  perspective. The Tribunal notes the assertions that a 4WD vehicle is safer, more reliable and more comfortable, as well as being more suitable for use on unsealed roads. The Berri Magistrate notes that the position requires travelling considerable distances with heavy traffic volumes, on roads in variable conditions such that a 4WD is asserted to be considerably safer than a normal passenger vehicle. The potential for collisions with wildlife or livestock is also proposed as a safety consideration in favour of a 4WD vehicle.</w:t>
      </w:r>
    </w:p>
    <w:p w14:paraId="5A31E401" w14:textId="77777777" w:rsidR="00822145" w:rsidRPr="0029072A" w:rsidRDefault="00822145" w:rsidP="009B29CF">
      <w:pPr>
        <w:pStyle w:val="GG-body"/>
        <w:numPr>
          <w:ilvl w:val="0"/>
          <w:numId w:val="124"/>
        </w:numPr>
        <w:ind w:left="364"/>
      </w:pPr>
      <w:r w:rsidRPr="0029072A">
        <w:t>The Tribunal acknowledges that the Berri Magistrate is only occasionally required to travel on unsealed roads</w:t>
      </w:r>
    </w:p>
    <w:p w14:paraId="4704F2D9" w14:textId="77777777" w:rsidR="00822145" w:rsidRPr="0029072A" w:rsidRDefault="00822145" w:rsidP="009B29CF">
      <w:pPr>
        <w:pStyle w:val="GG-body"/>
        <w:numPr>
          <w:ilvl w:val="0"/>
          <w:numId w:val="124"/>
        </w:numPr>
        <w:ind w:left="364"/>
      </w:pPr>
      <w:r w:rsidRPr="0029072A">
        <w:t>The proposition that 4WD vehicles are inherently safer than traditional passenger vehicles has been the subject of significant research and debate. A key element in this respect relates to the make of the vehicle and the safety equipment associated with it. However, issues associated with poorer handling and comparatively fewer safety features are also significant issues.</w:t>
      </w:r>
    </w:p>
    <w:p w14:paraId="23E54BAC" w14:textId="77777777" w:rsidR="00822145" w:rsidRPr="0029072A" w:rsidRDefault="00822145" w:rsidP="009B29CF">
      <w:pPr>
        <w:pStyle w:val="GG-body"/>
        <w:numPr>
          <w:ilvl w:val="0"/>
          <w:numId w:val="124"/>
        </w:numPr>
        <w:ind w:left="364"/>
      </w:pPr>
      <w:r w:rsidRPr="0029072A">
        <w:t>The Tribunal is not persuaded that a 4WD vehicle is necessarily safer on a highway with common heavy vehicle than a normal passenger vehicle.</w:t>
      </w:r>
    </w:p>
    <w:p w14:paraId="2E94BAFC" w14:textId="77777777" w:rsidR="00822145" w:rsidRPr="0029072A" w:rsidRDefault="00822145" w:rsidP="009B29CF">
      <w:pPr>
        <w:pStyle w:val="GG-body"/>
        <w:numPr>
          <w:ilvl w:val="0"/>
          <w:numId w:val="124"/>
        </w:numPr>
        <w:ind w:left="364"/>
      </w:pPr>
      <w:r w:rsidRPr="0029072A">
        <w:t>It may be the case that a 4WD vehicle is better able to withstand a collision with either wildlife or livestock, but this may be offset by both safety equipment and manoeuvrability issues. As the Berri Magistrate has drawn to the Tribunal’s attention, issues of road speed are also fundamental.</w:t>
      </w:r>
    </w:p>
    <w:p w14:paraId="1AD6238D" w14:textId="77777777" w:rsidR="00822145" w:rsidRPr="0029072A" w:rsidRDefault="00822145" w:rsidP="009B29CF">
      <w:pPr>
        <w:pStyle w:val="GG-body"/>
        <w:numPr>
          <w:ilvl w:val="0"/>
          <w:numId w:val="124"/>
        </w:numPr>
        <w:ind w:left="364"/>
      </w:pPr>
      <w:r w:rsidRPr="0029072A">
        <w:t>Apart from situations where there is substantial off-road use, the Tribunal is not persuaded that the provision of a 4WD vehicle creates a significant safety benefit. Further, the Tribunal rejects any notion that passenger vehicles of the nature available to Magistrates are inherently less safe for either Magistrates or other public sector employees who regularly use them.</w:t>
      </w:r>
    </w:p>
    <w:p w14:paraId="241E8F12" w14:textId="77777777" w:rsidR="00822145" w:rsidRPr="0029072A" w:rsidRDefault="00822145" w:rsidP="009B29CF">
      <w:pPr>
        <w:pStyle w:val="GG-body"/>
        <w:numPr>
          <w:ilvl w:val="0"/>
          <w:numId w:val="124"/>
        </w:numPr>
        <w:ind w:left="364"/>
      </w:pPr>
      <w:r w:rsidRPr="0029072A">
        <w:t>The Berri Magistrate relies on a comparative argument based on the provision of 4WD vehicles to the Resident Magistrates in Port Augusta and Mt Gambier.</w:t>
      </w:r>
    </w:p>
    <w:p w14:paraId="43637DE1" w14:textId="77777777" w:rsidR="00822145" w:rsidRPr="0029072A" w:rsidRDefault="00822145" w:rsidP="009B29CF">
      <w:pPr>
        <w:pStyle w:val="GG-body"/>
        <w:numPr>
          <w:ilvl w:val="0"/>
          <w:numId w:val="124"/>
        </w:numPr>
        <w:ind w:left="364"/>
      </w:pPr>
      <w:r w:rsidRPr="0029072A">
        <w:t>In 2002</w:t>
      </w:r>
      <w:r>
        <w:rPr>
          <w:vertAlign w:val="superscript"/>
        </w:rPr>
        <w:t>1</w:t>
      </w:r>
      <w:r w:rsidRPr="0029072A">
        <w:t xml:space="preserve"> the Tribunal agreed that the then Magistrate based at Port Augusta who was undertaking trial Regional Management duties, should be supplied with a 4WD vehicle without being required to pay the additional costs for that vehicle. In reaching that decision the Tribunal noted that the trial position required travel, over hundreds of kilometres on un</w:t>
      </w:r>
      <w:r w:rsidRPr="0029072A">
        <w:noBreakHyphen/>
        <w:t>bituminised roads. The Tribunal did not establish this arrangement as an automatic component of remuneration for Magistrates in other areas.</w:t>
      </w:r>
    </w:p>
    <w:p w14:paraId="5AE1007F" w14:textId="77777777" w:rsidR="00822145" w:rsidRPr="0029072A" w:rsidRDefault="00822145" w:rsidP="009B29CF">
      <w:pPr>
        <w:pStyle w:val="GG-body"/>
        <w:numPr>
          <w:ilvl w:val="0"/>
          <w:numId w:val="124"/>
        </w:numPr>
        <w:ind w:left="364"/>
      </w:pPr>
      <w:r w:rsidRPr="0029072A">
        <w:t>In 2003</w:t>
      </w:r>
      <w:r>
        <w:rPr>
          <w:vertAlign w:val="superscript"/>
        </w:rPr>
        <w:t>2</w:t>
      </w:r>
      <w:r w:rsidRPr="0029072A">
        <w:t xml:space="preserve"> that Tribunal considered remuneration arrangements for country Resident Magistrates in Port Augusta and Mount Gambier. A 4WD vehicle was requested for the Port Augusta based Magistrate but not for the Mt Gambier based Magistrate. As a part of those arrangements the Tribunal confirmed the provision of a 4WD vehicle to the Port Augusta Magistrate, at no additional cost.</w:t>
      </w:r>
    </w:p>
    <w:p w14:paraId="04DCE73A" w14:textId="77777777" w:rsidR="00822145" w:rsidRPr="0029072A" w:rsidRDefault="00822145" w:rsidP="009B29CF">
      <w:pPr>
        <w:pStyle w:val="GG-body"/>
        <w:numPr>
          <w:ilvl w:val="0"/>
          <w:numId w:val="124"/>
        </w:numPr>
        <w:ind w:left="364"/>
      </w:pPr>
      <w:r w:rsidRPr="0029072A">
        <w:t>In 2006</w:t>
      </w:r>
      <w:r>
        <w:rPr>
          <w:vertAlign w:val="superscript"/>
        </w:rPr>
        <w:t>3</w:t>
      </w:r>
      <w:r w:rsidRPr="0029072A">
        <w:t xml:space="preserve"> the Tribunal considered and agreed to the provision of a 4WD vehicle for the Mt Gambier Resident Magistrate because of the then Magistrate’s argument that he was involved in prosecutions under the </w:t>
      </w:r>
      <w:r w:rsidRPr="0029072A">
        <w:rPr>
          <w:i/>
          <w:iCs/>
        </w:rPr>
        <w:t>Native Vegetation Management Act 1985</w:t>
      </w:r>
      <w:r w:rsidRPr="0029072A">
        <w:t xml:space="preserve"> and the </w:t>
      </w:r>
      <w:r w:rsidRPr="0029072A">
        <w:rPr>
          <w:i/>
          <w:iCs/>
        </w:rPr>
        <w:t>Fisheries Act 1982</w:t>
      </w:r>
      <w:r w:rsidRPr="0029072A">
        <w:t xml:space="preserve">, both of which required viewing off road locations. The Resident Magistrate argued that the principles of judicial independence meant that it was inappropriate for him to travel to those sites with the contesting parties. The Resident Magistrate also referred to the risk of wildlife on roads. The Tribunal agreed to the provision of a 4WD vehicle at no additional cost to the Magistrate on the basis of the judicial independence principle. </w:t>
      </w:r>
    </w:p>
    <w:p w14:paraId="299F3C71" w14:textId="77777777" w:rsidR="00822145" w:rsidRDefault="00822145" w:rsidP="009B29CF">
      <w:pPr>
        <w:pStyle w:val="GG-body"/>
        <w:numPr>
          <w:ilvl w:val="0"/>
          <w:numId w:val="124"/>
        </w:numPr>
        <w:ind w:left="364"/>
      </w:pPr>
      <w:r w:rsidRPr="0029072A">
        <w:t>The Tribunal acknowledges that issues of judicial independence might arise if a Magistrate is frequently required to travel off road as part of their conduct of matters and travel with parties involved in a matter is inappropriate. That issue has not been seriously argued in this instance. The Tribunal is not satisfied that the circumstances applicable to the Berri Magistrate are necessarily comparable to those of the Magistrates in Port Augusta or Mt Gambier in 2003 and 2006 respectively. Indeed, the Tribunal is uncertain about the continuing relevance of those 2003 and 2006 provisions. If the Berri Magistrate has a vehicle unsuited to off-road use it appears to the Tribunal that the hire of an appropriate vehicle to deal with occasional off-road use to avoid the need to travel to a site with the parties to a matter would be more economical. To this end, the Tribunal has amended the determination providing for a conveyance allowances and related entitlements, to enable the State Courts Administrator to allow the hire of a vehicle at the State’s expense in circumstances where the vehicle available to a member of the judiciary for official and private use cannot travel safely to a designated location</w:t>
      </w:r>
      <w:r>
        <w:t>.</w:t>
      </w:r>
    </w:p>
    <w:p w14:paraId="5CDE8082" w14:textId="77777777" w:rsidR="00822145" w:rsidRPr="0029072A" w:rsidRDefault="00822145" w:rsidP="009B29CF">
      <w:pPr>
        <w:pStyle w:val="GG-body"/>
        <w:numPr>
          <w:ilvl w:val="0"/>
          <w:numId w:val="124"/>
        </w:numPr>
        <w:ind w:left="364"/>
      </w:pPr>
      <w:r w:rsidRPr="0029072A">
        <w:t>The Tribunal has also noted a further factor relevant to its deliberations on this issue. The current conveyance allowance for Magistrates is $16,063 per annum, as set by Determination 9 of 2022. Magistrates can select a wide range of vehicles, including 4WD vehicles at different costs and pay for the difference themselves. That is the arrangement currently adopted by the Berri Magistrate. Depending on the costs of a 4WD vehicle selected, the additional annual cost could amount to over $5,000 per annum. The effect of the Berri Magistrate’s request would effectively result in that additional cost being met by the State government through one of its agencies. The Tribunal is not satisfied that the information before it justifies such a potential expenditure.</w:t>
      </w:r>
    </w:p>
    <w:p w14:paraId="5EF4E3AD" w14:textId="77777777" w:rsidR="00822145" w:rsidRDefault="00822145" w:rsidP="009B29CF">
      <w:pPr>
        <w:pStyle w:val="GG-body"/>
        <w:numPr>
          <w:ilvl w:val="0"/>
          <w:numId w:val="124"/>
        </w:numPr>
        <w:ind w:left="364"/>
      </w:pPr>
      <w:r w:rsidRPr="0029072A">
        <w:t>For these reasons the Tribunal is not prepared to grant the Berri Magistrate’s request. Given this conclusion no determination is appropriate</w:t>
      </w:r>
      <w:r>
        <w:t>.</w:t>
      </w:r>
    </w:p>
    <w:p w14:paraId="73CF45A0" w14:textId="77777777" w:rsidR="00822145" w:rsidRDefault="00822145" w:rsidP="00822145">
      <w:pPr>
        <w:pStyle w:val="GG-body"/>
      </w:pPr>
      <w:r>
        <w:rPr>
          <w:noProof/>
        </w:rPr>
        <mc:AlternateContent>
          <mc:Choice Requires="wps">
            <w:drawing>
              <wp:anchor distT="0" distB="0" distL="114300" distR="114300" simplePos="0" relativeHeight="251674624" behindDoc="0" locked="0" layoutInCell="1" allowOverlap="1" wp14:anchorId="6FDC0C44" wp14:editId="67CF85A3">
                <wp:simplePos x="0" y="0"/>
                <wp:positionH relativeFrom="column">
                  <wp:posOffset>9839</wp:posOffset>
                </wp:positionH>
                <wp:positionV relativeFrom="paragraph">
                  <wp:posOffset>55914</wp:posOffset>
                </wp:positionV>
                <wp:extent cx="1708220" cy="0"/>
                <wp:effectExtent l="0" t="0" r="0" b="0"/>
                <wp:wrapNone/>
                <wp:docPr id="14" name="Straight Connector 14"/>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7963BD"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71AF0CE6" w14:textId="77777777" w:rsidR="00822145" w:rsidRDefault="00822145" w:rsidP="00822145">
      <w:pPr>
        <w:pStyle w:val="FootnoteText"/>
        <w:spacing w:line="160" w:lineRule="exact"/>
        <w:ind w:left="142" w:hanging="138"/>
        <w:rPr>
          <w:rFonts w:ascii="Times New Roman" w:hAnsi="Times New Roman" w:cs="Times New Roman"/>
          <w:sz w:val="16"/>
          <w:szCs w:val="16"/>
          <w:lang w:val="en-AU"/>
        </w:rPr>
      </w:pPr>
      <w:r w:rsidRPr="00D46812">
        <w:rPr>
          <w:rFonts w:ascii="Times New Roman" w:hAnsi="Times New Roman" w:cs="Times New Roman"/>
          <w:sz w:val="16"/>
          <w:szCs w:val="16"/>
          <w:vertAlign w:val="superscript"/>
        </w:rPr>
        <w:t>1</w:t>
      </w:r>
      <w:r>
        <w:rPr>
          <w:rFonts w:ascii="Times New Roman" w:hAnsi="Times New Roman" w:cs="Times New Roman"/>
          <w:sz w:val="16"/>
          <w:szCs w:val="16"/>
        </w:rPr>
        <w:tab/>
      </w:r>
      <w:r w:rsidRPr="00D46812">
        <w:rPr>
          <w:rFonts w:ascii="Times New Roman" w:hAnsi="Times New Roman" w:cs="Times New Roman"/>
          <w:sz w:val="16"/>
          <w:szCs w:val="16"/>
          <w:lang w:val="en-AU"/>
        </w:rPr>
        <w:t>Determination and Report of the Remuneration Tribunal – No 7 of 2002 – Resident Magistrate – Port Augusta Magistrates Court</w:t>
      </w:r>
      <w:r w:rsidRPr="00A51192">
        <w:rPr>
          <w:rFonts w:ascii="Times New Roman" w:hAnsi="Times New Roman" w:cs="Times New Roman"/>
          <w:sz w:val="16"/>
          <w:szCs w:val="16"/>
          <w:lang w:val="en-AU"/>
        </w:rPr>
        <w:t>.</w:t>
      </w:r>
    </w:p>
    <w:p w14:paraId="638EC478" w14:textId="77777777" w:rsidR="00822145" w:rsidRPr="0029072A" w:rsidRDefault="00822145" w:rsidP="00822145">
      <w:pPr>
        <w:pStyle w:val="FootnoteText"/>
        <w:ind w:left="142" w:hanging="142"/>
        <w:rPr>
          <w:rFonts w:ascii="Times New Roman" w:hAnsi="Times New Roman" w:cs="Times New Roman"/>
          <w:sz w:val="16"/>
          <w:szCs w:val="16"/>
        </w:rPr>
      </w:pPr>
      <w:r w:rsidRPr="0029072A">
        <w:rPr>
          <w:rStyle w:val="FootnoteReference"/>
          <w:rFonts w:ascii="Times New Roman" w:hAnsi="Times New Roman" w:cs="Times New Roman"/>
          <w:sz w:val="16"/>
          <w:szCs w:val="16"/>
        </w:rPr>
        <w:t>2</w:t>
      </w:r>
      <w:r>
        <w:rPr>
          <w:rFonts w:ascii="Times New Roman" w:hAnsi="Times New Roman" w:cs="Times New Roman"/>
          <w:sz w:val="16"/>
          <w:szCs w:val="16"/>
        </w:rPr>
        <w:tab/>
      </w:r>
      <w:r w:rsidRPr="0029072A">
        <w:rPr>
          <w:rFonts w:ascii="Times New Roman" w:hAnsi="Times New Roman" w:cs="Times New Roman"/>
          <w:sz w:val="16"/>
          <w:szCs w:val="16"/>
        </w:rPr>
        <w:t>Determination and Report of the Remuneration Tribunal – No 8 of 2003 – Country Resident Magistrates.</w:t>
      </w:r>
    </w:p>
    <w:p w14:paraId="7714259A" w14:textId="77777777" w:rsidR="00822145" w:rsidRPr="0029072A" w:rsidRDefault="00822145" w:rsidP="00822145">
      <w:pPr>
        <w:pStyle w:val="GG-body"/>
        <w:ind w:left="142" w:hanging="142"/>
        <w:rPr>
          <w:sz w:val="16"/>
          <w:szCs w:val="16"/>
        </w:rPr>
      </w:pPr>
      <w:r w:rsidRPr="0029072A">
        <w:rPr>
          <w:rStyle w:val="FootnoteReference"/>
          <w:sz w:val="16"/>
          <w:szCs w:val="16"/>
        </w:rPr>
        <w:t>3</w:t>
      </w:r>
      <w:r>
        <w:rPr>
          <w:sz w:val="16"/>
          <w:szCs w:val="16"/>
        </w:rPr>
        <w:tab/>
      </w:r>
      <w:r w:rsidRPr="0029072A">
        <w:rPr>
          <w:sz w:val="16"/>
          <w:szCs w:val="16"/>
        </w:rPr>
        <w:t>Determination and Report of the Remuneration Tribunal – No 7 of 2006 – 4WD Request – Mount Gambier Resident Magistrate</w:t>
      </w:r>
    </w:p>
    <w:p w14:paraId="5AF3885E" w14:textId="77777777" w:rsidR="00822145" w:rsidRPr="00A51192" w:rsidRDefault="00822145" w:rsidP="00822145">
      <w:pPr>
        <w:pStyle w:val="GG-SDated"/>
      </w:pPr>
      <w:r>
        <w:t>Dated: 14 December 2022</w:t>
      </w:r>
    </w:p>
    <w:p w14:paraId="4BC36F11" w14:textId="77777777" w:rsidR="00822145" w:rsidRDefault="00822145" w:rsidP="00822145">
      <w:pPr>
        <w:pStyle w:val="GG-SName"/>
      </w:pPr>
      <w:r w:rsidRPr="00A51192">
        <w:t>Matthew O’Callaghan</w:t>
      </w:r>
    </w:p>
    <w:p w14:paraId="2388AEC0" w14:textId="77777777" w:rsidR="00822145" w:rsidRPr="00A51192" w:rsidRDefault="00822145" w:rsidP="007F7570">
      <w:pPr>
        <w:pStyle w:val="GG-Signature"/>
        <w:spacing w:after="80"/>
      </w:pPr>
      <w:r w:rsidRPr="00A51192">
        <w:t>President</w:t>
      </w:r>
    </w:p>
    <w:p w14:paraId="4DA4D1D8" w14:textId="77777777" w:rsidR="00822145" w:rsidRDefault="00822145" w:rsidP="00822145">
      <w:pPr>
        <w:pStyle w:val="GG-SName"/>
      </w:pPr>
      <w:r w:rsidRPr="00A51192">
        <w:t>Deborah Black</w:t>
      </w:r>
    </w:p>
    <w:p w14:paraId="471319FE" w14:textId="77777777" w:rsidR="00822145" w:rsidRPr="00A51192" w:rsidRDefault="00822145" w:rsidP="007F7570">
      <w:pPr>
        <w:pStyle w:val="GG-Signature"/>
        <w:spacing w:after="80"/>
      </w:pPr>
      <w:r w:rsidRPr="00A51192">
        <w:t>Member</w:t>
      </w:r>
    </w:p>
    <w:p w14:paraId="42D90CE6" w14:textId="77777777" w:rsidR="00822145" w:rsidRPr="00A51192" w:rsidRDefault="00822145" w:rsidP="00822145">
      <w:pPr>
        <w:pStyle w:val="GG-SName"/>
      </w:pPr>
      <w:r w:rsidRPr="00A51192">
        <w:t>Peter de Cure AM</w:t>
      </w:r>
    </w:p>
    <w:p w14:paraId="1BD0B56A" w14:textId="77777777" w:rsidR="00822145" w:rsidRDefault="00822145" w:rsidP="00822145">
      <w:pPr>
        <w:pStyle w:val="GG-Signature"/>
      </w:pPr>
      <w:r w:rsidRPr="00A51192">
        <w:t>Member</w:t>
      </w:r>
    </w:p>
    <w:p w14:paraId="30CC5F87" w14:textId="77777777" w:rsidR="00822145" w:rsidRDefault="00822145" w:rsidP="00822145">
      <w:pPr>
        <w:pStyle w:val="GG-Signature"/>
        <w:pBdr>
          <w:top w:val="single" w:sz="4" w:space="1" w:color="auto"/>
        </w:pBdr>
        <w:spacing w:before="100" w:line="14" w:lineRule="exact"/>
        <w:jc w:val="center"/>
      </w:pPr>
    </w:p>
    <w:p w14:paraId="6AF27510" w14:textId="4DCD2CD6" w:rsidR="00822145" w:rsidRDefault="00822145">
      <w:pPr>
        <w:spacing w:after="0" w:line="240" w:lineRule="auto"/>
        <w:jc w:val="left"/>
        <w:rPr>
          <w:rFonts w:eastAsia="Times New Roman"/>
          <w:szCs w:val="17"/>
          <w:lang w:val="en-US"/>
        </w:rPr>
      </w:pPr>
      <w:r>
        <w:rPr>
          <w:lang w:val="en-US"/>
        </w:rPr>
        <w:br w:type="page"/>
      </w:r>
    </w:p>
    <w:p w14:paraId="04716AB6" w14:textId="77777777" w:rsidR="00822145" w:rsidRPr="004F33B9" w:rsidRDefault="00822145" w:rsidP="00822145">
      <w:pPr>
        <w:pStyle w:val="GG-Title1"/>
      </w:pPr>
      <w:r w:rsidRPr="004F33B9">
        <w:lastRenderedPageBreak/>
        <w:t>The Remuneration Tribunal</w:t>
      </w:r>
    </w:p>
    <w:p w14:paraId="0E178377" w14:textId="77777777" w:rsidR="00822145" w:rsidRPr="00A51192" w:rsidRDefault="00822145" w:rsidP="00822145">
      <w:pPr>
        <w:pStyle w:val="GG-Title2"/>
      </w:pPr>
      <w:r w:rsidRPr="00A51192">
        <w:t>Report</w:t>
      </w:r>
      <w:r>
        <w:t>—</w:t>
      </w:r>
      <w:r w:rsidRPr="00A51192">
        <w:t xml:space="preserve">No. </w:t>
      </w:r>
      <w:r>
        <w:t>14</w:t>
      </w:r>
      <w:r w:rsidRPr="00A51192">
        <w:t xml:space="preserve"> </w:t>
      </w:r>
      <w:r>
        <w:t>o</w:t>
      </w:r>
      <w:r w:rsidRPr="00A51192">
        <w:t>f 2022</w:t>
      </w:r>
    </w:p>
    <w:p w14:paraId="371B1A50" w14:textId="77777777" w:rsidR="00822145" w:rsidRPr="00DC7EB8" w:rsidRDefault="00822145" w:rsidP="00822145">
      <w:pPr>
        <w:pStyle w:val="GG-Title3"/>
      </w:pPr>
      <w:r w:rsidRPr="00300C47">
        <w:t>2022 Review of Allowances for Members of the Parole Board of South Australia</w:t>
      </w:r>
    </w:p>
    <w:p w14:paraId="25CD3DBD" w14:textId="77777777" w:rsidR="00822145" w:rsidRPr="00A51192" w:rsidRDefault="00822145" w:rsidP="00822145">
      <w:pPr>
        <w:pStyle w:val="GG-body"/>
        <w:rPr>
          <w:b/>
          <w:bCs/>
          <w:smallCaps/>
        </w:rPr>
      </w:pPr>
      <w:r w:rsidRPr="00A51192">
        <w:rPr>
          <w:b/>
          <w:bCs/>
          <w:smallCaps/>
        </w:rPr>
        <w:t>Report</w:t>
      </w:r>
    </w:p>
    <w:p w14:paraId="4DC64ADC" w14:textId="77777777" w:rsidR="00822145" w:rsidRPr="00E52685" w:rsidRDefault="00822145" w:rsidP="00822145">
      <w:pPr>
        <w:jc w:val="left"/>
        <w:rPr>
          <w:b/>
          <w:bCs/>
          <w:szCs w:val="17"/>
        </w:rPr>
      </w:pPr>
      <w:r w:rsidRPr="00E52685">
        <w:rPr>
          <w:b/>
          <w:bCs/>
          <w:szCs w:val="17"/>
        </w:rPr>
        <w:t>INTRODUCTION</w:t>
      </w:r>
    </w:p>
    <w:p w14:paraId="4B32B389" w14:textId="77777777" w:rsidR="00822145" w:rsidRPr="00300C47" w:rsidRDefault="00822145" w:rsidP="009B29CF">
      <w:pPr>
        <w:pStyle w:val="GG-body"/>
        <w:numPr>
          <w:ilvl w:val="0"/>
          <w:numId w:val="127"/>
        </w:numPr>
        <w:ind w:left="364"/>
      </w:pPr>
      <w:r w:rsidRPr="00300C47">
        <w:t>The Remuneration Tribunal (</w:t>
      </w:r>
      <w:r w:rsidRPr="00300C47">
        <w:rPr>
          <w:b/>
          <w:bCs/>
        </w:rPr>
        <w:t>Tribunal</w:t>
      </w:r>
      <w:r w:rsidRPr="00300C47">
        <w:t>) has conducted a review of Determination 11 of 2021</w:t>
      </w:r>
      <w:r w:rsidRPr="00384644">
        <w:rPr>
          <w:vertAlign w:val="superscript"/>
        </w:rPr>
        <w:t>1</w:t>
      </w:r>
      <w:r w:rsidRPr="00300C47">
        <w:t xml:space="preserve"> which sets allowances for members of the Parole Board of South Australia appointed under the </w:t>
      </w:r>
      <w:r w:rsidRPr="00300C47">
        <w:rPr>
          <w:i/>
          <w:iCs/>
        </w:rPr>
        <w:t>Corrections Act 1982</w:t>
      </w:r>
      <w:r w:rsidRPr="00300C47">
        <w:t>.</w:t>
      </w:r>
    </w:p>
    <w:p w14:paraId="731E71E6" w14:textId="77777777" w:rsidR="00822145" w:rsidRDefault="00822145" w:rsidP="009B29CF">
      <w:pPr>
        <w:pStyle w:val="GG-body"/>
        <w:numPr>
          <w:ilvl w:val="0"/>
          <w:numId w:val="127"/>
        </w:numPr>
        <w:ind w:left="364"/>
      </w:pPr>
      <w:r w:rsidRPr="00300C47">
        <w:t>As explained in this report, the Tribunal has decided to increase the sessional rates, and financial year cap for such rates, by 2.75%. The Tribunal has issued an accompanying determination, which applies from 1 September 2022</w:t>
      </w:r>
      <w:r w:rsidRPr="00E52685">
        <w:t>.</w:t>
      </w:r>
    </w:p>
    <w:p w14:paraId="72046A4E" w14:textId="77777777" w:rsidR="00822145" w:rsidRDefault="00822145" w:rsidP="00822145">
      <w:pPr>
        <w:pStyle w:val="GG-body"/>
      </w:pPr>
      <w:r>
        <w:rPr>
          <w:noProof/>
        </w:rPr>
        <mc:AlternateContent>
          <mc:Choice Requires="wps">
            <w:drawing>
              <wp:anchor distT="0" distB="0" distL="114300" distR="114300" simplePos="0" relativeHeight="251676672" behindDoc="0" locked="0" layoutInCell="1" allowOverlap="1" wp14:anchorId="460948E4" wp14:editId="6D3E2E50">
                <wp:simplePos x="0" y="0"/>
                <wp:positionH relativeFrom="column">
                  <wp:posOffset>9839</wp:posOffset>
                </wp:positionH>
                <wp:positionV relativeFrom="paragraph">
                  <wp:posOffset>55914</wp:posOffset>
                </wp:positionV>
                <wp:extent cx="1708220"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7B341" id="Straight Connector 15"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2E6F25F4" w14:textId="77777777" w:rsidR="00822145" w:rsidRPr="00A51192" w:rsidRDefault="00822145" w:rsidP="00822145">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384644">
        <w:rPr>
          <w:rFonts w:ascii="Times New Roman" w:hAnsi="Times New Roman" w:cs="Times New Roman"/>
          <w:sz w:val="16"/>
          <w:szCs w:val="16"/>
          <w:lang w:val="en-AU"/>
        </w:rPr>
        <w:t>2021 Inaugural Determination of Allowances for Members of the Parole Board of South Australia</w:t>
      </w:r>
      <w:r w:rsidRPr="00A51192">
        <w:rPr>
          <w:rFonts w:ascii="Times New Roman" w:hAnsi="Times New Roman" w:cs="Times New Roman"/>
          <w:sz w:val="16"/>
          <w:szCs w:val="16"/>
          <w:lang w:val="en-AU"/>
        </w:rPr>
        <w:t>.</w:t>
      </w:r>
    </w:p>
    <w:p w14:paraId="790FBF9A" w14:textId="77777777" w:rsidR="00822145" w:rsidRPr="00E52685" w:rsidRDefault="00822145" w:rsidP="00822145">
      <w:pPr>
        <w:jc w:val="left"/>
        <w:rPr>
          <w:b/>
          <w:bCs/>
          <w:szCs w:val="17"/>
        </w:rPr>
      </w:pPr>
      <w:r w:rsidRPr="00E52685">
        <w:rPr>
          <w:b/>
          <w:bCs/>
          <w:szCs w:val="17"/>
        </w:rPr>
        <w:t>THE REVIEW PROCESS</w:t>
      </w:r>
    </w:p>
    <w:p w14:paraId="6C367F76" w14:textId="77777777" w:rsidR="00822145" w:rsidRPr="00300C47" w:rsidRDefault="00822145" w:rsidP="009B29CF">
      <w:pPr>
        <w:pStyle w:val="GG-body"/>
        <w:numPr>
          <w:ilvl w:val="0"/>
          <w:numId w:val="127"/>
        </w:numPr>
        <w:ind w:left="364"/>
      </w:pPr>
      <w:r w:rsidRPr="00300C47">
        <w:t xml:space="preserve">On 20 October 2022, in accordance with sections 10(2) and 10(4) of the </w:t>
      </w:r>
      <w:r w:rsidRPr="00300C47">
        <w:rPr>
          <w:i/>
          <w:iCs/>
        </w:rPr>
        <w:t>Remuneration Act 1990</w:t>
      </w:r>
      <w:r w:rsidRPr="00300C47">
        <w:t xml:space="preserve"> (</w:t>
      </w:r>
      <w:r w:rsidRPr="00300C47">
        <w:rPr>
          <w:b/>
          <w:bCs/>
        </w:rPr>
        <w:t>Act</w:t>
      </w:r>
      <w:r w:rsidRPr="00300C47">
        <w:t>), the Tribunal wrote to and invited submissions by 18 November 2022 in respect of this review from:</w:t>
      </w:r>
    </w:p>
    <w:p w14:paraId="01C4D046" w14:textId="77777777" w:rsidR="00822145" w:rsidRPr="00300C47" w:rsidRDefault="00822145" w:rsidP="009B29CF">
      <w:pPr>
        <w:pStyle w:val="GG-body"/>
        <w:numPr>
          <w:ilvl w:val="0"/>
          <w:numId w:val="125"/>
        </w:numPr>
      </w:pPr>
      <w:r w:rsidRPr="00300C47">
        <w:t>the Honourable Premier of South Australia – as the Minister responsible for the Act who may make submissions or introduce evidence in the public interest</w:t>
      </w:r>
    </w:p>
    <w:p w14:paraId="7676D163" w14:textId="77777777" w:rsidR="00822145" w:rsidRPr="00300C47" w:rsidRDefault="00822145" w:rsidP="009B29CF">
      <w:pPr>
        <w:pStyle w:val="GG-body"/>
        <w:numPr>
          <w:ilvl w:val="0"/>
          <w:numId w:val="125"/>
        </w:numPr>
      </w:pPr>
      <w:r w:rsidRPr="00300C47">
        <w:t>members of the Parole Board.</w:t>
      </w:r>
    </w:p>
    <w:p w14:paraId="474BB981" w14:textId="77777777" w:rsidR="00822145" w:rsidRPr="00300C47" w:rsidRDefault="00822145" w:rsidP="009B29CF">
      <w:pPr>
        <w:pStyle w:val="GG-body"/>
        <w:numPr>
          <w:ilvl w:val="0"/>
          <w:numId w:val="127"/>
        </w:numPr>
        <w:ind w:left="364"/>
      </w:pPr>
      <w:r w:rsidRPr="00300C47">
        <w:t xml:space="preserve">The Premier and members of the Parole Board were asked to advise the Tribunal by the same date if they wished to make oral submissions to the Tribunal. </w:t>
      </w:r>
    </w:p>
    <w:p w14:paraId="3F18620E" w14:textId="77777777" w:rsidR="00822145" w:rsidRPr="00300C47" w:rsidRDefault="00822145" w:rsidP="009B29CF">
      <w:pPr>
        <w:pStyle w:val="GG-body"/>
        <w:numPr>
          <w:ilvl w:val="0"/>
          <w:numId w:val="127"/>
        </w:numPr>
        <w:ind w:left="364"/>
      </w:pPr>
      <w:r w:rsidRPr="00300C47">
        <w:t>The Tribunal also placed a notice on its website from 20 October 2022 calling for submissions from affected persons by 18 November 2022.</w:t>
      </w:r>
    </w:p>
    <w:p w14:paraId="257684E9" w14:textId="77777777" w:rsidR="00822145" w:rsidRPr="00300C47" w:rsidRDefault="00822145" w:rsidP="009B29CF">
      <w:pPr>
        <w:pStyle w:val="GG-body"/>
        <w:numPr>
          <w:ilvl w:val="0"/>
          <w:numId w:val="127"/>
        </w:numPr>
        <w:ind w:left="364"/>
      </w:pPr>
      <w:r w:rsidRPr="00300C47">
        <w:t xml:space="preserve">Frances Nelson KC, Presiding Member of the Parole Board, provided a written submission on 1 November 2022, on behalf of members of the Parole Board. On 20 November 2022, the Premier’s representative confirmed that the Premier did not intend to make a submission. No other submissions were received. </w:t>
      </w:r>
    </w:p>
    <w:p w14:paraId="4ED59F9B" w14:textId="77777777" w:rsidR="00822145" w:rsidRPr="00300C47" w:rsidRDefault="00822145" w:rsidP="009B29CF">
      <w:pPr>
        <w:pStyle w:val="GG-body"/>
        <w:numPr>
          <w:ilvl w:val="0"/>
          <w:numId w:val="127"/>
        </w:numPr>
        <w:ind w:left="364"/>
      </w:pPr>
      <w:r w:rsidRPr="00300C47">
        <w:t>As no request was made to make oral submissions, the Tribunal did not convene a hearing for this review.</w:t>
      </w:r>
    </w:p>
    <w:p w14:paraId="7458E9A7" w14:textId="77777777" w:rsidR="00822145" w:rsidRPr="00E52685" w:rsidRDefault="00822145" w:rsidP="009B29CF">
      <w:pPr>
        <w:pStyle w:val="GG-body"/>
        <w:numPr>
          <w:ilvl w:val="0"/>
          <w:numId w:val="127"/>
        </w:numPr>
        <w:ind w:left="364"/>
      </w:pPr>
      <w:r w:rsidRPr="00300C47">
        <w:t>In her submission, Ms Nelson KC provided an overview of the workload of the Parole Board. She submitted that as the remuneration of Parole Board members was linked in the initial determination to judicial officers, any increase in remuneration for judicial officers should be reflected in a similar increase for Parole Board members</w:t>
      </w:r>
      <w:r w:rsidRPr="00E52685">
        <w:t>.</w:t>
      </w:r>
    </w:p>
    <w:p w14:paraId="12089E89" w14:textId="77777777" w:rsidR="00822145" w:rsidRPr="00E52685" w:rsidRDefault="00822145" w:rsidP="00822145">
      <w:pPr>
        <w:jc w:val="left"/>
        <w:rPr>
          <w:b/>
          <w:bCs/>
          <w:szCs w:val="17"/>
        </w:rPr>
      </w:pPr>
      <w:r w:rsidRPr="00E52685">
        <w:rPr>
          <w:b/>
          <w:bCs/>
          <w:szCs w:val="17"/>
        </w:rPr>
        <w:t>CONSIDERATION AND CONCLUSION</w:t>
      </w:r>
    </w:p>
    <w:p w14:paraId="6FB6B2C7" w14:textId="77777777" w:rsidR="00822145" w:rsidRPr="00300C47" w:rsidRDefault="00822145" w:rsidP="009B29CF">
      <w:pPr>
        <w:pStyle w:val="GG-body"/>
        <w:numPr>
          <w:ilvl w:val="0"/>
          <w:numId w:val="127"/>
        </w:numPr>
        <w:ind w:left="364"/>
      </w:pPr>
      <w:r w:rsidRPr="00300C47">
        <w:t>As observed by Ms Nelson KC, the current determination directly links the per annum allowances of some members of the Parole Board to the salary of a puisne Judge of the Supreme Court of South Australia. It does this by providing for the Presiding Member to receive an allowance equivalent to 45% of that salary. The allowance for the Deputy Presiding Member and ordinary Members (excluding those who are public sector employees) are then respectively set at 60% and 30% of the Presiding Member’s allowance. Accordingly, any increase determined by this Tribunal to the salary of a puisne Judge of the Supreme Court will automatically flow through to the per annum allowances of Parole Board members under the current determination.</w:t>
      </w:r>
    </w:p>
    <w:p w14:paraId="4EF5614C" w14:textId="77777777" w:rsidR="00822145" w:rsidRDefault="00822145" w:rsidP="009B29CF">
      <w:pPr>
        <w:pStyle w:val="GG-body"/>
        <w:numPr>
          <w:ilvl w:val="0"/>
          <w:numId w:val="127"/>
        </w:numPr>
        <w:ind w:left="364"/>
      </w:pPr>
      <w:r w:rsidRPr="00300C47">
        <w:t>It is a different matter for the sessional rate allowances, as those are currently specified as fixed amounts per session. The Tribunal however considers that the sessional rates should increase by the same percentage increase which the Tribunal determines from time to time for puisne Judge of the Supreme Court, in order to maintain an appropriate relativity between the per annum and sessional rates</w:t>
      </w:r>
      <w:r>
        <w:t>.</w:t>
      </w:r>
    </w:p>
    <w:p w14:paraId="36A274C1" w14:textId="77777777" w:rsidR="00822145" w:rsidRPr="00300C47" w:rsidRDefault="00822145" w:rsidP="009B29CF">
      <w:pPr>
        <w:pStyle w:val="GG-body"/>
        <w:numPr>
          <w:ilvl w:val="0"/>
          <w:numId w:val="127"/>
        </w:numPr>
        <w:ind w:left="364"/>
      </w:pPr>
      <w:r w:rsidRPr="00300C47">
        <w:t>The Tribunal has just issued a determination</w:t>
      </w:r>
      <w:r w:rsidRPr="00384644">
        <w:rPr>
          <w:vertAlign w:val="superscript"/>
        </w:rPr>
        <w:t>2</w:t>
      </w:r>
      <w:r>
        <w:rPr>
          <w:vertAlign w:val="superscript"/>
        </w:rPr>
        <w:t xml:space="preserve"> </w:t>
      </w:r>
      <w:r w:rsidRPr="00300C47">
        <w:t>which increases the salary of a puisne Judge by 2.75% (rounded up to the nearest $10). The Tribunal has accordingly determined to apply the same percentage increase to the sessional rates and the financial year cap on those rates, but rounded to the nearest dollar given the smaller amounts involved. Further, as the Tribunal is only required to review the allowances of members of the Parole Board every two years,</w:t>
      </w:r>
      <w:r>
        <w:rPr>
          <w:vertAlign w:val="superscript"/>
        </w:rPr>
        <w:t>3</w:t>
      </w:r>
      <w:r w:rsidRPr="00300C47">
        <w:t xml:space="preserve"> it has decided to amend the determination to make the increase arrangements automatic for next year. The Tribunal will review the suitability of this automatic arrangement when it next reviews the determination.</w:t>
      </w:r>
    </w:p>
    <w:p w14:paraId="1165E948" w14:textId="77777777" w:rsidR="00822145" w:rsidRPr="00300C47" w:rsidRDefault="00822145" w:rsidP="009B29CF">
      <w:pPr>
        <w:pStyle w:val="GG-body"/>
        <w:numPr>
          <w:ilvl w:val="0"/>
          <w:numId w:val="127"/>
        </w:numPr>
        <w:ind w:left="364"/>
      </w:pPr>
      <w:r w:rsidRPr="00300C47">
        <w:t>The Tribunal has determined that the increased sessional rates will apply from 1 September 2022, which reflects the same operative date of the salary increase for the judiciary. The updated financial cap will apply from the financial year commencing 1 July 2022. The determination provides for the financial cap to automatically update with any future percentage increase to the salary of a puisne Judge, with that cap applying to the financial year in which the increase takes effect.</w:t>
      </w:r>
    </w:p>
    <w:p w14:paraId="0DB3287B" w14:textId="77777777" w:rsidR="00822145" w:rsidRDefault="00822145" w:rsidP="009B29CF">
      <w:pPr>
        <w:pStyle w:val="GG-body"/>
        <w:numPr>
          <w:ilvl w:val="0"/>
          <w:numId w:val="127"/>
        </w:numPr>
        <w:ind w:left="364"/>
      </w:pPr>
      <w:r w:rsidRPr="00300C47">
        <w:t>The Tribunal notes that the determination and report for the members of the judiciary deals with security arrangements. These are not addressed in relation to Parole Board members. However, as has been identified in the report for the judicial determination, the Tribunal is open to review these arrangements. A similar invitation is extended to the Parole Board Members to request that the Tribunal consider this issue</w:t>
      </w:r>
      <w:r>
        <w:t>.</w:t>
      </w:r>
    </w:p>
    <w:p w14:paraId="2D24A870" w14:textId="77777777" w:rsidR="00822145" w:rsidRDefault="00822145" w:rsidP="00822145">
      <w:pPr>
        <w:pStyle w:val="GG-body"/>
      </w:pPr>
      <w:r>
        <w:rPr>
          <w:noProof/>
        </w:rPr>
        <mc:AlternateContent>
          <mc:Choice Requires="wps">
            <w:drawing>
              <wp:anchor distT="0" distB="0" distL="114300" distR="114300" simplePos="0" relativeHeight="251677696" behindDoc="0" locked="0" layoutInCell="1" allowOverlap="1" wp14:anchorId="0583AAF4" wp14:editId="2741F7BB">
                <wp:simplePos x="0" y="0"/>
                <wp:positionH relativeFrom="column">
                  <wp:posOffset>9839</wp:posOffset>
                </wp:positionH>
                <wp:positionV relativeFrom="paragraph">
                  <wp:posOffset>55914</wp:posOffset>
                </wp:positionV>
                <wp:extent cx="1708220"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EE507" id="Straight Connector 16"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725E9B8A" w14:textId="77777777" w:rsidR="00822145" w:rsidRPr="00384644" w:rsidRDefault="00822145" w:rsidP="00822145">
      <w:pPr>
        <w:pStyle w:val="FootnoteText"/>
        <w:spacing w:line="160" w:lineRule="exact"/>
        <w:ind w:left="142" w:hanging="142"/>
        <w:rPr>
          <w:rFonts w:ascii="Times New Roman" w:hAnsi="Times New Roman" w:cs="Times New Roman"/>
          <w:sz w:val="16"/>
          <w:szCs w:val="16"/>
        </w:rPr>
      </w:pPr>
      <w:r w:rsidRPr="00384644">
        <w:rPr>
          <w:rFonts w:ascii="Times New Roman" w:hAnsi="Times New Roman" w:cs="Times New Roman"/>
          <w:sz w:val="16"/>
          <w:szCs w:val="16"/>
          <w:vertAlign w:val="superscript"/>
        </w:rPr>
        <w:t>2</w:t>
      </w:r>
      <w:r w:rsidRPr="00384644">
        <w:rPr>
          <w:rFonts w:ascii="Times New Roman" w:hAnsi="Times New Roman" w:cs="Times New Roman"/>
          <w:sz w:val="16"/>
          <w:szCs w:val="16"/>
        </w:rPr>
        <w:tab/>
        <w:t>Report and Determination 7 of 2022 - Remuneration of Members of the Judiciary, Presidential Members of the SAET, Presidential Members of the SACAT, the State Coroner, and Commissioners of the Environment, Resources and Development Court</w:t>
      </w:r>
    </w:p>
    <w:p w14:paraId="3281E895" w14:textId="77777777" w:rsidR="00822145" w:rsidRPr="00384644" w:rsidRDefault="00822145" w:rsidP="00822145">
      <w:pPr>
        <w:pStyle w:val="FootnoteText"/>
        <w:spacing w:after="80" w:line="160" w:lineRule="exact"/>
        <w:ind w:left="142" w:hanging="142"/>
        <w:rPr>
          <w:rFonts w:ascii="Times New Roman" w:hAnsi="Times New Roman" w:cs="Times New Roman"/>
          <w:sz w:val="16"/>
          <w:szCs w:val="16"/>
          <w:lang w:val="en-AU"/>
        </w:rPr>
      </w:pPr>
      <w:r>
        <w:rPr>
          <w:rFonts w:ascii="Times New Roman" w:hAnsi="Times New Roman" w:cs="Times New Roman"/>
          <w:sz w:val="16"/>
          <w:szCs w:val="16"/>
          <w:vertAlign w:val="superscript"/>
          <w:lang w:val="en-AU"/>
        </w:rPr>
        <w:t>3</w:t>
      </w:r>
      <w:r>
        <w:rPr>
          <w:rFonts w:ascii="Times New Roman" w:hAnsi="Times New Roman" w:cs="Times New Roman"/>
          <w:sz w:val="16"/>
          <w:szCs w:val="16"/>
          <w:lang w:val="en-AU"/>
        </w:rPr>
        <w:tab/>
      </w:r>
      <w:r w:rsidRPr="00384644">
        <w:rPr>
          <w:rFonts w:ascii="Times New Roman" w:hAnsi="Times New Roman" w:cs="Times New Roman"/>
          <w:sz w:val="16"/>
          <w:szCs w:val="16"/>
          <w:lang w:val="en-AU"/>
        </w:rPr>
        <w:t xml:space="preserve">In accordance with section 57(4) of the </w:t>
      </w:r>
      <w:r w:rsidRPr="00384644">
        <w:rPr>
          <w:rFonts w:ascii="Times New Roman" w:hAnsi="Times New Roman" w:cs="Times New Roman"/>
          <w:i/>
          <w:iCs/>
          <w:sz w:val="16"/>
          <w:szCs w:val="16"/>
          <w:lang w:val="en-AU"/>
        </w:rPr>
        <w:t xml:space="preserve">Correctional Services Act 1982 </w:t>
      </w:r>
      <w:r w:rsidRPr="00384644">
        <w:rPr>
          <w:rFonts w:ascii="Times New Roman" w:hAnsi="Times New Roman" w:cs="Times New Roman"/>
          <w:sz w:val="16"/>
          <w:szCs w:val="16"/>
          <w:lang w:val="en-AU"/>
        </w:rPr>
        <w:t xml:space="preserve">and regulation 39A of the </w:t>
      </w:r>
      <w:r w:rsidRPr="00384644">
        <w:rPr>
          <w:rFonts w:ascii="Times New Roman" w:hAnsi="Times New Roman" w:cs="Times New Roman"/>
          <w:i/>
          <w:iCs/>
          <w:sz w:val="16"/>
          <w:szCs w:val="16"/>
          <w:lang w:val="en-AU"/>
        </w:rPr>
        <w:t>Correctional Services Regulations 2016</w:t>
      </w:r>
      <w:r w:rsidRPr="00384644">
        <w:rPr>
          <w:rFonts w:ascii="Times New Roman" w:hAnsi="Times New Roman" w:cs="Times New Roman"/>
          <w:sz w:val="16"/>
          <w:szCs w:val="16"/>
          <w:lang w:val="en-AU"/>
        </w:rPr>
        <w:t>.</w:t>
      </w:r>
    </w:p>
    <w:p w14:paraId="3CC461E3" w14:textId="77777777" w:rsidR="00822145" w:rsidRPr="00A51192" w:rsidRDefault="00822145" w:rsidP="00822145">
      <w:pPr>
        <w:pStyle w:val="GG-SDated"/>
      </w:pPr>
      <w:r>
        <w:t>Dated: 14 December 2022</w:t>
      </w:r>
    </w:p>
    <w:p w14:paraId="54EC1F6D" w14:textId="77777777" w:rsidR="00822145" w:rsidRDefault="00822145" w:rsidP="00822145">
      <w:pPr>
        <w:pStyle w:val="GG-SName"/>
      </w:pPr>
      <w:r w:rsidRPr="00A51192">
        <w:t>Matthew O’Callaghan</w:t>
      </w:r>
    </w:p>
    <w:p w14:paraId="017E69E6" w14:textId="77777777" w:rsidR="00822145" w:rsidRPr="00A51192" w:rsidRDefault="00822145" w:rsidP="007F7570">
      <w:pPr>
        <w:pStyle w:val="GG-Signature"/>
        <w:spacing w:after="80"/>
      </w:pPr>
      <w:r w:rsidRPr="00A51192">
        <w:t>President</w:t>
      </w:r>
    </w:p>
    <w:p w14:paraId="69B1531A" w14:textId="77777777" w:rsidR="00822145" w:rsidRDefault="00822145" w:rsidP="00822145">
      <w:pPr>
        <w:pStyle w:val="GG-SName"/>
      </w:pPr>
      <w:r w:rsidRPr="00A51192">
        <w:t>Deborah Black</w:t>
      </w:r>
    </w:p>
    <w:p w14:paraId="52CDEF47" w14:textId="77777777" w:rsidR="00822145" w:rsidRPr="00A51192" w:rsidRDefault="00822145" w:rsidP="007F7570">
      <w:pPr>
        <w:pStyle w:val="GG-Signature"/>
        <w:spacing w:after="80"/>
      </w:pPr>
      <w:r w:rsidRPr="00A51192">
        <w:t>Member</w:t>
      </w:r>
    </w:p>
    <w:p w14:paraId="41614C23" w14:textId="77777777" w:rsidR="00822145" w:rsidRPr="00A51192" w:rsidRDefault="00822145" w:rsidP="00822145">
      <w:pPr>
        <w:pStyle w:val="GG-SName"/>
      </w:pPr>
      <w:r w:rsidRPr="00A51192">
        <w:t>Peter de Cure AM</w:t>
      </w:r>
    </w:p>
    <w:p w14:paraId="4CB2B048" w14:textId="77777777" w:rsidR="00822145" w:rsidRDefault="00822145" w:rsidP="00822145">
      <w:pPr>
        <w:pStyle w:val="GG-Signature"/>
      </w:pPr>
      <w:r w:rsidRPr="00A51192">
        <w:t>Member</w:t>
      </w:r>
    </w:p>
    <w:p w14:paraId="7E21A4A0" w14:textId="77777777" w:rsidR="00822145" w:rsidRDefault="00822145" w:rsidP="00822145">
      <w:pPr>
        <w:pStyle w:val="GG-Signature"/>
        <w:pBdr>
          <w:top w:val="single" w:sz="4" w:space="1" w:color="auto"/>
        </w:pBdr>
        <w:spacing w:before="100" w:line="14" w:lineRule="exact"/>
        <w:ind w:left="1080" w:right="1080"/>
        <w:jc w:val="center"/>
      </w:pPr>
    </w:p>
    <w:p w14:paraId="6BB59299" w14:textId="77777777" w:rsidR="00822145" w:rsidRDefault="00822145" w:rsidP="00822145">
      <w:pPr>
        <w:spacing w:after="0" w:line="240" w:lineRule="auto"/>
        <w:jc w:val="left"/>
      </w:pPr>
      <w:r>
        <w:br w:type="page"/>
      </w:r>
    </w:p>
    <w:p w14:paraId="2FC5D6D1" w14:textId="77777777" w:rsidR="00822145" w:rsidRPr="004F33B9" w:rsidRDefault="00822145" w:rsidP="00822145">
      <w:pPr>
        <w:pStyle w:val="GG-Title1"/>
      </w:pPr>
      <w:r w:rsidRPr="004F33B9">
        <w:lastRenderedPageBreak/>
        <w:t>The Remuneration Tribunal</w:t>
      </w:r>
    </w:p>
    <w:p w14:paraId="53CEE4AB" w14:textId="77777777" w:rsidR="00822145" w:rsidRPr="00A51192" w:rsidRDefault="00822145" w:rsidP="00822145">
      <w:pPr>
        <w:pStyle w:val="GG-Title2"/>
      </w:pPr>
      <w:r>
        <w:t>Determination—</w:t>
      </w:r>
      <w:r w:rsidRPr="00A51192">
        <w:t xml:space="preserve">No. </w:t>
      </w:r>
      <w:r>
        <w:t>14</w:t>
      </w:r>
      <w:r w:rsidRPr="00A51192">
        <w:t xml:space="preserve"> </w:t>
      </w:r>
      <w:r>
        <w:t>o</w:t>
      </w:r>
      <w:r w:rsidRPr="00A51192">
        <w:t>f 2022</w:t>
      </w:r>
    </w:p>
    <w:p w14:paraId="43275EAB" w14:textId="77777777" w:rsidR="00822145" w:rsidRPr="00DC7EB8" w:rsidRDefault="00822145" w:rsidP="00822145">
      <w:pPr>
        <w:pStyle w:val="GG-Title3"/>
      </w:pPr>
      <w:r w:rsidRPr="00300C47">
        <w:t>Allowances for Members of the Parole Board of South Australia</w:t>
      </w:r>
    </w:p>
    <w:p w14:paraId="5867AB33" w14:textId="77777777" w:rsidR="00822145" w:rsidRPr="00E52685" w:rsidRDefault="00822145" w:rsidP="00822145">
      <w:pPr>
        <w:jc w:val="left"/>
        <w:rPr>
          <w:b/>
          <w:bCs/>
          <w:szCs w:val="17"/>
        </w:rPr>
      </w:pPr>
      <w:r w:rsidRPr="00A57FE4">
        <w:rPr>
          <w:b/>
          <w:bCs/>
          <w:szCs w:val="17"/>
        </w:rPr>
        <w:t>SCOPE OF DETERMINATION</w:t>
      </w:r>
    </w:p>
    <w:p w14:paraId="1C1F9EA5" w14:textId="77777777" w:rsidR="00822145" w:rsidRDefault="00822145" w:rsidP="009B29CF">
      <w:pPr>
        <w:pStyle w:val="GG-body"/>
        <w:numPr>
          <w:ilvl w:val="0"/>
          <w:numId w:val="126"/>
        </w:numPr>
        <w:ind w:left="336" w:hanging="336"/>
      </w:pPr>
      <w:r w:rsidRPr="00A57FE4">
        <w:t xml:space="preserve">This Determination applies to the members of the Parole Board of South Australia appointed under the </w:t>
      </w:r>
      <w:r w:rsidRPr="00A57FE4">
        <w:rPr>
          <w:i/>
          <w:iCs/>
        </w:rPr>
        <w:t>Corrections Act 1982</w:t>
      </w:r>
      <w:r>
        <w:t>.</w:t>
      </w:r>
    </w:p>
    <w:p w14:paraId="0415CEA0" w14:textId="77777777" w:rsidR="00822145" w:rsidRPr="00A57FE4" w:rsidRDefault="00822145" w:rsidP="00822145">
      <w:pPr>
        <w:pStyle w:val="GG-body"/>
      </w:pPr>
      <w:r w:rsidRPr="00A57FE4">
        <w:rPr>
          <w:rFonts w:eastAsia="Calibri"/>
          <w:b/>
          <w:bCs/>
        </w:rPr>
        <w:t xml:space="preserve">ALLOWANCES </w:t>
      </w:r>
    </w:p>
    <w:p w14:paraId="53A489D2" w14:textId="77777777" w:rsidR="00822145" w:rsidRPr="008B2CE0" w:rsidRDefault="00822145" w:rsidP="009B29CF">
      <w:pPr>
        <w:pStyle w:val="GG-body"/>
        <w:numPr>
          <w:ilvl w:val="0"/>
          <w:numId w:val="126"/>
        </w:numPr>
        <w:ind w:left="336" w:hanging="336"/>
      </w:pPr>
      <w:r w:rsidRPr="00A57FE4">
        <w:t xml:space="preserve">This Determination applies to the members of the Parole Board of South Australia appointed under the </w:t>
      </w:r>
      <w:r w:rsidRPr="00A57FE4">
        <w:rPr>
          <w:i/>
          <w:iCs/>
        </w:rPr>
        <w:t>Corrections Act 1982</w:t>
      </w:r>
      <w:r>
        <w:t>.</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402"/>
      </w:tblGrid>
      <w:tr w:rsidR="00822145" w:rsidRPr="007C23ED" w14:paraId="40E01E70" w14:textId="77777777" w:rsidTr="00822145">
        <w:trPr>
          <w:trHeight w:val="373"/>
          <w:jc w:val="right"/>
        </w:trPr>
        <w:tc>
          <w:tcPr>
            <w:tcW w:w="5103" w:type="dxa"/>
            <w:tcBorders>
              <w:top w:val="single" w:sz="4" w:space="0" w:color="auto"/>
              <w:bottom w:val="single" w:sz="4" w:space="0" w:color="auto"/>
            </w:tcBorders>
            <w:shd w:val="clear" w:color="auto" w:fill="FFFFFF" w:themeFill="background1"/>
            <w:vAlign w:val="center"/>
          </w:tcPr>
          <w:p w14:paraId="6A4811E1" w14:textId="77777777" w:rsidR="00822145" w:rsidRPr="007C23ED" w:rsidRDefault="00822145" w:rsidP="0012134E">
            <w:pPr>
              <w:spacing w:before="40" w:after="40"/>
              <w:jc w:val="center"/>
              <w:rPr>
                <w:b/>
                <w:bCs/>
                <w:szCs w:val="17"/>
              </w:rPr>
            </w:pPr>
            <w:r w:rsidRPr="007C23ED">
              <w:rPr>
                <w:b/>
                <w:bCs/>
                <w:szCs w:val="17"/>
              </w:rPr>
              <w:t>Office Holder (per annum rate)</w:t>
            </w:r>
          </w:p>
        </w:tc>
        <w:tc>
          <w:tcPr>
            <w:tcW w:w="3402" w:type="dxa"/>
            <w:tcBorders>
              <w:top w:val="single" w:sz="4" w:space="0" w:color="auto"/>
              <w:bottom w:val="single" w:sz="4" w:space="0" w:color="auto"/>
            </w:tcBorders>
            <w:shd w:val="clear" w:color="auto" w:fill="FFFFFF" w:themeFill="background1"/>
            <w:vAlign w:val="center"/>
          </w:tcPr>
          <w:p w14:paraId="69E2E7B6" w14:textId="77777777" w:rsidR="00822145" w:rsidRPr="007C23ED" w:rsidRDefault="00822145" w:rsidP="0012134E">
            <w:pPr>
              <w:spacing w:before="40" w:after="40"/>
              <w:jc w:val="center"/>
              <w:rPr>
                <w:b/>
                <w:bCs/>
                <w:szCs w:val="17"/>
              </w:rPr>
            </w:pPr>
            <w:r w:rsidRPr="007C23ED">
              <w:rPr>
                <w:b/>
                <w:bCs/>
                <w:szCs w:val="17"/>
              </w:rPr>
              <w:t>Allowance (per annum rate)</w:t>
            </w:r>
          </w:p>
        </w:tc>
      </w:tr>
      <w:tr w:rsidR="00822145" w:rsidRPr="007C23ED" w14:paraId="008D4F2F" w14:textId="77777777" w:rsidTr="0012134E">
        <w:trPr>
          <w:trHeight w:val="583"/>
          <w:jc w:val="right"/>
        </w:trPr>
        <w:tc>
          <w:tcPr>
            <w:tcW w:w="5103" w:type="dxa"/>
            <w:tcBorders>
              <w:top w:val="single" w:sz="4" w:space="0" w:color="auto"/>
            </w:tcBorders>
            <w:vAlign w:val="center"/>
          </w:tcPr>
          <w:p w14:paraId="70FC890C" w14:textId="77777777" w:rsidR="00822145" w:rsidRPr="007C23ED" w:rsidRDefault="00822145" w:rsidP="0012134E">
            <w:pPr>
              <w:spacing w:before="20"/>
              <w:rPr>
                <w:szCs w:val="17"/>
              </w:rPr>
            </w:pPr>
            <w:r w:rsidRPr="007C23ED">
              <w:rPr>
                <w:szCs w:val="17"/>
              </w:rPr>
              <w:t>Presiding Member of the Parole Board</w:t>
            </w:r>
          </w:p>
        </w:tc>
        <w:tc>
          <w:tcPr>
            <w:tcW w:w="3402" w:type="dxa"/>
            <w:tcBorders>
              <w:top w:val="single" w:sz="4" w:space="0" w:color="auto"/>
            </w:tcBorders>
            <w:vAlign w:val="center"/>
          </w:tcPr>
          <w:p w14:paraId="232293D0" w14:textId="77777777" w:rsidR="00822145" w:rsidRPr="007C23ED" w:rsidRDefault="00822145" w:rsidP="0012134E">
            <w:pPr>
              <w:spacing w:before="20"/>
              <w:jc w:val="center"/>
              <w:rPr>
                <w:szCs w:val="17"/>
              </w:rPr>
            </w:pPr>
            <w:r w:rsidRPr="007C23ED">
              <w:rPr>
                <w:szCs w:val="17"/>
              </w:rPr>
              <w:t>An amount equivalent to 45% of the salary payable to a puisne Judge of the Supreme Court of South Australia</w:t>
            </w:r>
            <w:r w:rsidRPr="0097627D">
              <w:rPr>
                <w:vertAlign w:val="superscript"/>
              </w:rPr>
              <w:t>1</w:t>
            </w:r>
          </w:p>
        </w:tc>
      </w:tr>
      <w:tr w:rsidR="00822145" w:rsidRPr="007C23ED" w14:paraId="7C43ADFE" w14:textId="77777777" w:rsidTr="0012134E">
        <w:trPr>
          <w:trHeight w:val="552"/>
          <w:jc w:val="right"/>
        </w:trPr>
        <w:tc>
          <w:tcPr>
            <w:tcW w:w="5103" w:type="dxa"/>
            <w:vAlign w:val="center"/>
          </w:tcPr>
          <w:p w14:paraId="48236F87" w14:textId="77777777" w:rsidR="00822145" w:rsidRPr="007C23ED" w:rsidRDefault="00822145" w:rsidP="0012134E">
            <w:pPr>
              <w:spacing w:before="20"/>
              <w:rPr>
                <w:szCs w:val="17"/>
              </w:rPr>
            </w:pPr>
            <w:r w:rsidRPr="007C23ED">
              <w:rPr>
                <w:szCs w:val="17"/>
              </w:rPr>
              <w:t>Deputy Presiding Member of the Parole Board</w:t>
            </w:r>
          </w:p>
        </w:tc>
        <w:tc>
          <w:tcPr>
            <w:tcW w:w="3402" w:type="dxa"/>
            <w:vAlign w:val="center"/>
          </w:tcPr>
          <w:p w14:paraId="127A6364" w14:textId="77777777" w:rsidR="00822145" w:rsidRPr="007C23ED" w:rsidRDefault="00822145" w:rsidP="0012134E">
            <w:pPr>
              <w:spacing w:before="20"/>
              <w:jc w:val="center"/>
              <w:rPr>
                <w:szCs w:val="17"/>
              </w:rPr>
            </w:pPr>
            <w:r w:rsidRPr="007C23ED">
              <w:rPr>
                <w:szCs w:val="17"/>
              </w:rPr>
              <w:t>An amount equivalent to 60% of the allowance payable to the Presiding Member of the Parole Board of South Australia</w:t>
            </w:r>
          </w:p>
        </w:tc>
      </w:tr>
      <w:tr w:rsidR="00822145" w:rsidRPr="007C23ED" w14:paraId="7E3E40D4" w14:textId="77777777" w:rsidTr="0012134E">
        <w:trPr>
          <w:trHeight w:val="560"/>
          <w:jc w:val="right"/>
        </w:trPr>
        <w:tc>
          <w:tcPr>
            <w:tcW w:w="5103" w:type="dxa"/>
            <w:tcBorders>
              <w:bottom w:val="single" w:sz="4" w:space="0" w:color="auto"/>
            </w:tcBorders>
            <w:vAlign w:val="center"/>
          </w:tcPr>
          <w:p w14:paraId="4B76F218" w14:textId="77777777" w:rsidR="00822145" w:rsidRPr="007C23ED" w:rsidRDefault="00822145" w:rsidP="0012134E">
            <w:pPr>
              <w:spacing w:before="20"/>
              <w:rPr>
                <w:szCs w:val="17"/>
              </w:rPr>
            </w:pPr>
            <w:r w:rsidRPr="007C23ED">
              <w:rPr>
                <w:szCs w:val="17"/>
              </w:rPr>
              <w:t>Member of the Parole Board – Ordinary Member (excluding public sector employees)</w:t>
            </w:r>
          </w:p>
        </w:tc>
        <w:tc>
          <w:tcPr>
            <w:tcW w:w="3402" w:type="dxa"/>
            <w:tcBorders>
              <w:bottom w:val="single" w:sz="4" w:space="0" w:color="auto"/>
            </w:tcBorders>
            <w:vAlign w:val="center"/>
          </w:tcPr>
          <w:p w14:paraId="2D325045" w14:textId="77777777" w:rsidR="00822145" w:rsidRPr="007C23ED" w:rsidRDefault="00822145" w:rsidP="0012134E">
            <w:pPr>
              <w:spacing w:before="20"/>
              <w:jc w:val="center"/>
              <w:rPr>
                <w:szCs w:val="17"/>
              </w:rPr>
            </w:pPr>
            <w:r w:rsidRPr="007C23ED">
              <w:rPr>
                <w:szCs w:val="17"/>
              </w:rPr>
              <w:t>An amount equivalent to 30% of the allowance payable to the Presiding Member of the Parole Board of South Australia</w:t>
            </w:r>
          </w:p>
        </w:tc>
      </w:tr>
      <w:tr w:rsidR="00822145" w:rsidRPr="007C23ED" w14:paraId="4C084FCD" w14:textId="77777777" w:rsidTr="0012134E">
        <w:trPr>
          <w:jc w:val="right"/>
        </w:trPr>
        <w:tc>
          <w:tcPr>
            <w:tcW w:w="5103" w:type="dxa"/>
            <w:tcBorders>
              <w:top w:val="single" w:sz="4" w:space="0" w:color="auto"/>
              <w:bottom w:val="single" w:sz="4" w:space="0" w:color="auto"/>
            </w:tcBorders>
          </w:tcPr>
          <w:p w14:paraId="3549F615" w14:textId="77777777" w:rsidR="00822145" w:rsidRPr="007C23ED" w:rsidRDefault="00822145" w:rsidP="0012134E">
            <w:pPr>
              <w:pStyle w:val="Heading2"/>
              <w:outlineLvl w:val="1"/>
            </w:pPr>
          </w:p>
        </w:tc>
        <w:tc>
          <w:tcPr>
            <w:tcW w:w="3402" w:type="dxa"/>
            <w:tcBorders>
              <w:top w:val="single" w:sz="4" w:space="0" w:color="auto"/>
              <w:bottom w:val="single" w:sz="4" w:space="0" w:color="auto"/>
            </w:tcBorders>
          </w:tcPr>
          <w:p w14:paraId="71726136" w14:textId="77777777" w:rsidR="00822145" w:rsidRPr="007C23ED" w:rsidRDefault="00822145" w:rsidP="0012134E">
            <w:pPr>
              <w:pStyle w:val="Heading2"/>
              <w:outlineLvl w:val="1"/>
            </w:pPr>
          </w:p>
        </w:tc>
      </w:tr>
      <w:tr w:rsidR="00822145" w:rsidRPr="007C23ED" w14:paraId="38B7F644" w14:textId="77777777" w:rsidTr="00822145">
        <w:trPr>
          <w:trHeight w:val="351"/>
          <w:jc w:val="right"/>
        </w:trPr>
        <w:tc>
          <w:tcPr>
            <w:tcW w:w="5103" w:type="dxa"/>
            <w:tcBorders>
              <w:top w:val="single" w:sz="4" w:space="0" w:color="auto"/>
              <w:bottom w:val="single" w:sz="4" w:space="0" w:color="auto"/>
            </w:tcBorders>
            <w:shd w:val="clear" w:color="auto" w:fill="FFFFFF" w:themeFill="background1"/>
            <w:vAlign w:val="center"/>
          </w:tcPr>
          <w:p w14:paraId="75EA369F" w14:textId="77777777" w:rsidR="00822145" w:rsidRPr="007C23ED" w:rsidRDefault="00822145" w:rsidP="0012134E">
            <w:pPr>
              <w:spacing w:before="40" w:after="40"/>
              <w:jc w:val="center"/>
              <w:rPr>
                <w:b/>
                <w:bCs/>
                <w:szCs w:val="17"/>
              </w:rPr>
            </w:pPr>
            <w:r w:rsidRPr="007C23ED">
              <w:rPr>
                <w:b/>
                <w:bCs/>
                <w:szCs w:val="17"/>
              </w:rPr>
              <w:t>Office Holder (sessional rate)</w:t>
            </w:r>
          </w:p>
        </w:tc>
        <w:tc>
          <w:tcPr>
            <w:tcW w:w="3402" w:type="dxa"/>
            <w:tcBorders>
              <w:top w:val="single" w:sz="4" w:space="0" w:color="auto"/>
              <w:bottom w:val="single" w:sz="4" w:space="0" w:color="auto"/>
            </w:tcBorders>
            <w:shd w:val="clear" w:color="auto" w:fill="FFFFFF" w:themeFill="background1"/>
            <w:vAlign w:val="center"/>
          </w:tcPr>
          <w:p w14:paraId="353E7915" w14:textId="77777777" w:rsidR="00822145" w:rsidRPr="007C23ED" w:rsidRDefault="00822145" w:rsidP="0012134E">
            <w:pPr>
              <w:spacing w:before="40" w:after="40"/>
              <w:jc w:val="center"/>
              <w:rPr>
                <w:b/>
                <w:bCs/>
                <w:szCs w:val="17"/>
              </w:rPr>
            </w:pPr>
            <w:r w:rsidRPr="007C23ED">
              <w:rPr>
                <w:b/>
                <w:bCs/>
                <w:szCs w:val="17"/>
              </w:rPr>
              <w:t>Allowance (sessional rate)</w:t>
            </w:r>
          </w:p>
        </w:tc>
      </w:tr>
      <w:tr w:rsidR="00822145" w:rsidRPr="007C23ED" w14:paraId="1BF35D86" w14:textId="77777777" w:rsidTr="0012134E">
        <w:trPr>
          <w:trHeight w:val="558"/>
          <w:jc w:val="right"/>
        </w:trPr>
        <w:tc>
          <w:tcPr>
            <w:tcW w:w="5103" w:type="dxa"/>
            <w:tcBorders>
              <w:top w:val="single" w:sz="4" w:space="0" w:color="auto"/>
            </w:tcBorders>
            <w:vAlign w:val="center"/>
          </w:tcPr>
          <w:p w14:paraId="046F6E2A" w14:textId="77777777" w:rsidR="00822145" w:rsidRPr="007C23ED" w:rsidRDefault="00822145" w:rsidP="0012134E">
            <w:pPr>
              <w:spacing w:before="20"/>
              <w:rPr>
                <w:szCs w:val="17"/>
              </w:rPr>
            </w:pPr>
            <w:r w:rsidRPr="007C23ED">
              <w:rPr>
                <w:szCs w:val="17"/>
              </w:rPr>
              <w:t>Deputy Member of the Parole Board – Ordinary Member</w:t>
            </w:r>
          </w:p>
        </w:tc>
        <w:tc>
          <w:tcPr>
            <w:tcW w:w="3402" w:type="dxa"/>
            <w:tcBorders>
              <w:top w:val="single" w:sz="4" w:space="0" w:color="auto"/>
            </w:tcBorders>
            <w:vAlign w:val="center"/>
          </w:tcPr>
          <w:p w14:paraId="41E20478" w14:textId="77777777" w:rsidR="00822145" w:rsidRPr="007C23ED" w:rsidRDefault="00822145" w:rsidP="0012134E">
            <w:pPr>
              <w:spacing w:before="20"/>
              <w:jc w:val="center"/>
              <w:rPr>
                <w:szCs w:val="17"/>
              </w:rPr>
            </w:pPr>
            <w:r w:rsidRPr="007C23ED">
              <w:rPr>
                <w:szCs w:val="17"/>
              </w:rPr>
              <w:t>$1,542 per session</w:t>
            </w:r>
          </w:p>
          <w:p w14:paraId="16D246D0" w14:textId="77777777" w:rsidR="00822145" w:rsidRPr="007C23ED" w:rsidRDefault="00822145" w:rsidP="0012134E">
            <w:pPr>
              <w:spacing w:before="20"/>
              <w:jc w:val="center"/>
              <w:rPr>
                <w:i/>
                <w:iCs/>
                <w:szCs w:val="17"/>
              </w:rPr>
            </w:pPr>
            <w:r w:rsidRPr="007C23ED">
              <w:rPr>
                <w:i/>
                <w:iCs/>
                <w:szCs w:val="17"/>
              </w:rPr>
              <w:t>subject to increases under clause 8</w:t>
            </w:r>
          </w:p>
        </w:tc>
      </w:tr>
      <w:tr w:rsidR="00822145" w:rsidRPr="007C23ED" w14:paraId="1E6E4F0B" w14:textId="77777777" w:rsidTr="0012134E">
        <w:trPr>
          <w:trHeight w:val="558"/>
          <w:jc w:val="right"/>
        </w:trPr>
        <w:tc>
          <w:tcPr>
            <w:tcW w:w="5103" w:type="dxa"/>
            <w:vAlign w:val="center"/>
          </w:tcPr>
          <w:p w14:paraId="6257ADDA" w14:textId="77777777" w:rsidR="00822145" w:rsidRPr="007C23ED" w:rsidRDefault="00822145" w:rsidP="0012134E">
            <w:pPr>
              <w:spacing w:before="20"/>
              <w:rPr>
                <w:szCs w:val="17"/>
              </w:rPr>
            </w:pPr>
            <w:r w:rsidRPr="007C23ED">
              <w:rPr>
                <w:szCs w:val="17"/>
              </w:rPr>
              <w:t>Member or Deputy Member of the Parole Board – Qualified Medical Officer undertaking Parole Board duties outside of public sector work (see: clause 6 below)</w:t>
            </w:r>
          </w:p>
        </w:tc>
        <w:tc>
          <w:tcPr>
            <w:tcW w:w="3402" w:type="dxa"/>
            <w:vAlign w:val="center"/>
          </w:tcPr>
          <w:p w14:paraId="58B56BAC" w14:textId="77777777" w:rsidR="00822145" w:rsidRPr="007C23ED" w:rsidRDefault="00822145" w:rsidP="0012134E">
            <w:pPr>
              <w:spacing w:before="20"/>
              <w:jc w:val="center"/>
              <w:rPr>
                <w:szCs w:val="17"/>
              </w:rPr>
            </w:pPr>
            <w:r w:rsidRPr="007C23ED">
              <w:rPr>
                <w:szCs w:val="17"/>
              </w:rPr>
              <w:t>$1,542 per session</w:t>
            </w:r>
          </w:p>
          <w:p w14:paraId="42F07967" w14:textId="77777777" w:rsidR="00822145" w:rsidRPr="007C23ED" w:rsidRDefault="00822145" w:rsidP="0012134E">
            <w:pPr>
              <w:spacing w:before="20"/>
              <w:jc w:val="center"/>
              <w:rPr>
                <w:szCs w:val="17"/>
              </w:rPr>
            </w:pPr>
            <w:r w:rsidRPr="007C23ED">
              <w:rPr>
                <w:i/>
                <w:iCs/>
                <w:szCs w:val="17"/>
              </w:rPr>
              <w:t>subject to increases under clause 8</w:t>
            </w:r>
          </w:p>
        </w:tc>
      </w:tr>
      <w:tr w:rsidR="00822145" w:rsidRPr="007C23ED" w14:paraId="395E233D" w14:textId="77777777" w:rsidTr="0012134E">
        <w:trPr>
          <w:trHeight w:val="560"/>
          <w:jc w:val="right"/>
        </w:trPr>
        <w:tc>
          <w:tcPr>
            <w:tcW w:w="5103" w:type="dxa"/>
            <w:tcBorders>
              <w:bottom w:val="single" w:sz="4" w:space="0" w:color="auto"/>
            </w:tcBorders>
            <w:vAlign w:val="center"/>
          </w:tcPr>
          <w:p w14:paraId="08DB1EAF" w14:textId="77777777" w:rsidR="00822145" w:rsidRPr="007C23ED" w:rsidRDefault="00822145" w:rsidP="0012134E">
            <w:pPr>
              <w:spacing w:before="20"/>
              <w:rPr>
                <w:szCs w:val="17"/>
              </w:rPr>
            </w:pPr>
            <w:r w:rsidRPr="007C23ED">
              <w:rPr>
                <w:szCs w:val="17"/>
              </w:rPr>
              <w:t xml:space="preserve">Member of the Parole Board – Public Sector Employee (see: clause 7 below) </w:t>
            </w:r>
          </w:p>
        </w:tc>
        <w:tc>
          <w:tcPr>
            <w:tcW w:w="3402" w:type="dxa"/>
            <w:tcBorders>
              <w:bottom w:val="single" w:sz="4" w:space="0" w:color="auto"/>
            </w:tcBorders>
            <w:vAlign w:val="center"/>
          </w:tcPr>
          <w:p w14:paraId="5934D034" w14:textId="77777777" w:rsidR="00822145" w:rsidRPr="007C23ED" w:rsidRDefault="00822145" w:rsidP="0012134E">
            <w:pPr>
              <w:spacing w:before="20"/>
              <w:jc w:val="center"/>
              <w:rPr>
                <w:szCs w:val="17"/>
              </w:rPr>
            </w:pPr>
            <w:r w:rsidRPr="007C23ED">
              <w:rPr>
                <w:szCs w:val="17"/>
              </w:rPr>
              <w:t>$514 per session</w:t>
            </w:r>
          </w:p>
          <w:p w14:paraId="5A24304F" w14:textId="77777777" w:rsidR="00822145" w:rsidRPr="007C23ED" w:rsidRDefault="00822145" w:rsidP="0012134E">
            <w:pPr>
              <w:spacing w:before="20"/>
              <w:jc w:val="center"/>
              <w:rPr>
                <w:szCs w:val="17"/>
              </w:rPr>
            </w:pPr>
            <w:r w:rsidRPr="007C23ED">
              <w:rPr>
                <w:i/>
                <w:iCs/>
                <w:szCs w:val="17"/>
              </w:rPr>
              <w:t>subject to increases under clause 8</w:t>
            </w:r>
          </w:p>
        </w:tc>
      </w:tr>
    </w:tbl>
    <w:p w14:paraId="6B7A9B26" w14:textId="77777777" w:rsidR="00822145" w:rsidRDefault="00822145" w:rsidP="00822145">
      <w:pPr>
        <w:pStyle w:val="GG-body"/>
      </w:pPr>
    </w:p>
    <w:p w14:paraId="599EDF4A" w14:textId="77777777" w:rsidR="00822145" w:rsidRPr="005071B8" w:rsidRDefault="00822145" w:rsidP="009B29CF">
      <w:pPr>
        <w:pStyle w:val="GG-body"/>
        <w:numPr>
          <w:ilvl w:val="0"/>
          <w:numId w:val="126"/>
        </w:numPr>
        <w:ind w:left="336" w:hanging="336"/>
      </w:pPr>
      <w:r w:rsidRPr="005071B8">
        <w:t>The allowances at clause 2 of this Determination are payable fortnightly and at a fortnightly rate of the annual amount, with the exception of the sessional rates which are payable on a per session basis.</w:t>
      </w:r>
    </w:p>
    <w:p w14:paraId="3EE8F5AC" w14:textId="77777777" w:rsidR="00822145" w:rsidRPr="005071B8" w:rsidRDefault="00822145" w:rsidP="009B29CF">
      <w:pPr>
        <w:pStyle w:val="GG-body"/>
        <w:numPr>
          <w:ilvl w:val="0"/>
          <w:numId w:val="126"/>
        </w:numPr>
        <w:ind w:left="336" w:hanging="336"/>
      </w:pPr>
      <w:r w:rsidRPr="005071B8">
        <w:t>Should an office holder hold multiple offices listed at clause 2 of this Determination, the office holder will receive only one rate of allowance, corresponding to the highest office held.</w:t>
      </w:r>
    </w:p>
    <w:p w14:paraId="0A258E85" w14:textId="77777777" w:rsidR="00822145" w:rsidRDefault="00822145" w:rsidP="009B29CF">
      <w:pPr>
        <w:pStyle w:val="GG-body"/>
        <w:numPr>
          <w:ilvl w:val="0"/>
          <w:numId w:val="126"/>
        </w:numPr>
        <w:ind w:left="336" w:hanging="336"/>
      </w:pPr>
      <w:r w:rsidRPr="005071B8">
        <w:t xml:space="preserve">Sessional rates payable under this Determination are capped for each financial year: </w:t>
      </w:r>
    </w:p>
    <w:p w14:paraId="5DD93F49" w14:textId="77777777" w:rsidR="00822145" w:rsidRDefault="00822145" w:rsidP="009B29CF">
      <w:pPr>
        <w:pStyle w:val="GG-body"/>
        <w:numPr>
          <w:ilvl w:val="1"/>
          <w:numId w:val="126"/>
        </w:numPr>
      </w:pPr>
      <w:r w:rsidRPr="005071B8">
        <w:t>for a Member who is a qualified medical officer – at an amount equivalent to the annual allowance payable to an ordinary Member for that financial year</w:t>
      </w:r>
    </w:p>
    <w:p w14:paraId="725DAB7C" w14:textId="77777777" w:rsidR="00822145" w:rsidRPr="005071B8" w:rsidRDefault="00822145" w:rsidP="009B29CF">
      <w:pPr>
        <w:pStyle w:val="GG-body"/>
        <w:numPr>
          <w:ilvl w:val="1"/>
          <w:numId w:val="126"/>
        </w:numPr>
      </w:pPr>
      <w:r w:rsidRPr="005071B8">
        <w:t>for all other Members – at a maximum amount of $46,238 per Member (subject to clause 8).</w:t>
      </w:r>
    </w:p>
    <w:p w14:paraId="0E889755" w14:textId="77777777" w:rsidR="00822145" w:rsidRDefault="00822145" w:rsidP="009B29CF">
      <w:pPr>
        <w:pStyle w:val="GG-body"/>
        <w:numPr>
          <w:ilvl w:val="0"/>
          <w:numId w:val="126"/>
        </w:numPr>
        <w:ind w:left="336" w:hanging="336"/>
      </w:pPr>
      <w:r w:rsidRPr="005071B8">
        <w:t>A Member or Deputy Parole Board Member who is a public sector medical officer and who undertakes Parole Board work outside of their public sector work will receive the applicable sessional allowance (currently $1,542) per session for Parole Board work undertaken outside of their public sector work</w:t>
      </w:r>
      <w:r>
        <w:t>.</w:t>
      </w:r>
    </w:p>
    <w:p w14:paraId="29223EEB" w14:textId="77777777" w:rsidR="00822145" w:rsidRPr="0097627D" w:rsidRDefault="00822145" w:rsidP="009B29CF">
      <w:pPr>
        <w:pStyle w:val="GG-body"/>
        <w:numPr>
          <w:ilvl w:val="0"/>
          <w:numId w:val="126"/>
        </w:numPr>
        <w:ind w:left="336" w:hanging="336"/>
      </w:pPr>
      <w:r w:rsidRPr="0097627D">
        <w:t>A Parole Board Member who is a public sector employee who participates in Parole Board hearings and activities in public sector time but who undertakes preparation work for parole Board hearings in their own time will receive the applicable sessional allowance (currently $514) per session for which they are required to undertake that preparation.</w:t>
      </w:r>
    </w:p>
    <w:p w14:paraId="21D48933" w14:textId="77777777" w:rsidR="00822145" w:rsidRPr="0097627D" w:rsidRDefault="00822145" w:rsidP="009B29CF">
      <w:pPr>
        <w:pStyle w:val="GG-body"/>
        <w:numPr>
          <w:ilvl w:val="0"/>
          <w:numId w:val="126"/>
        </w:numPr>
        <w:ind w:left="336" w:hanging="336"/>
      </w:pPr>
      <w:r w:rsidRPr="0097627D">
        <w:t>If the Tribunal makes a determination which increases the salary of a puisne Judge of the Supreme Court of South Australia, the sessional rates will be taken to have increased by the same percentage (rounded up to the nearest dollar) applied to the salary of a puisne Judge and with effect from the same date. The cap prescribed in clause 5.2 will also be taken to increase by the same percentage (rounded up to the nearest dollar). That new capped amount will apply to the financial year in which the puisne Judge salary increase takes effect. For example, if the salary increase takes effect from 1 September 2023, the new cap will apply from the financial year commencing 1 July 2023.</w:t>
      </w:r>
    </w:p>
    <w:p w14:paraId="71A03C78" w14:textId="77777777" w:rsidR="00822145" w:rsidRDefault="00822145" w:rsidP="009B29CF">
      <w:pPr>
        <w:pStyle w:val="GG-body"/>
        <w:numPr>
          <w:ilvl w:val="0"/>
          <w:numId w:val="126"/>
        </w:numPr>
        <w:ind w:left="336" w:hanging="336"/>
      </w:pPr>
      <w:r w:rsidRPr="0097627D">
        <w:t>Adequate administrative systems and practices in relation to compliance with this Determination are a matter for the Department for Correctional Services</w:t>
      </w:r>
      <w:r>
        <w:t>.</w:t>
      </w:r>
    </w:p>
    <w:p w14:paraId="2B3CCAB8" w14:textId="77777777" w:rsidR="00822145" w:rsidRPr="0097627D" w:rsidRDefault="00822145" w:rsidP="00822145">
      <w:pPr>
        <w:pStyle w:val="GG-body"/>
        <w:rPr>
          <w:b/>
        </w:rPr>
      </w:pPr>
      <w:r w:rsidRPr="0097627D">
        <w:rPr>
          <w:b/>
        </w:rPr>
        <w:t>DATE OF OPERATION</w:t>
      </w:r>
    </w:p>
    <w:p w14:paraId="5639C9E3" w14:textId="77777777" w:rsidR="00822145" w:rsidRPr="008A6205" w:rsidRDefault="00822145" w:rsidP="009B29CF">
      <w:pPr>
        <w:pStyle w:val="GG-body"/>
        <w:numPr>
          <w:ilvl w:val="0"/>
          <w:numId w:val="126"/>
        </w:numPr>
        <w:ind w:left="336" w:hanging="336"/>
        <w:rPr>
          <w:sz w:val="16"/>
          <w:szCs w:val="16"/>
        </w:rPr>
      </w:pPr>
      <w:r w:rsidRPr="0097627D">
        <w:t>This Determination operates from 1 September 2022, with the current financial caps applying from the financial year commencing 1 July 2022. It supersedes Determination 11 of 2021.</w:t>
      </w:r>
      <w:r>
        <w:t xml:space="preserve"> </w:t>
      </w:r>
    </w:p>
    <w:p w14:paraId="0202E987" w14:textId="77777777" w:rsidR="00822145" w:rsidRDefault="00822145" w:rsidP="00822145">
      <w:pPr>
        <w:pStyle w:val="GG-body"/>
      </w:pPr>
      <w:r>
        <w:rPr>
          <w:noProof/>
        </w:rPr>
        <mc:AlternateContent>
          <mc:Choice Requires="wps">
            <w:drawing>
              <wp:anchor distT="0" distB="0" distL="114300" distR="114300" simplePos="0" relativeHeight="251678720" behindDoc="0" locked="0" layoutInCell="1" allowOverlap="1" wp14:anchorId="28C99767" wp14:editId="58C2156C">
                <wp:simplePos x="0" y="0"/>
                <wp:positionH relativeFrom="column">
                  <wp:posOffset>9839</wp:posOffset>
                </wp:positionH>
                <wp:positionV relativeFrom="paragraph">
                  <wp:posOffset>55914</wp:posOffset>
                </wp:positionV>
                <wp:extent cx="1708220"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13B33E" id="Straight Connector 1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44C58E46" w14:textId="77777777" w:rsidR="00822145" w:rsidRDefault="00822145" w:rsidP="00822145">
      <w:pPr>
        <w:pStyle w:val="GG-body"/>
        <w:rPr>
          <w:sz w:val="16"/>
          <w:szCs w:val="16"/>
        </w:rPr>
      </w:pPr>
      <w:r w:rsidRPr="008A6205">
        <w:rPr>
          <w:rFonts w:eastAsia="Calibri"/>
          <w:color w:val="000000"/>
          <w:sz w:val="16"/>
          <w:szCs w:val="16"/>
          <w:u w:color="000000"/>
          <w:bdr w:val="nil"/>
          <w:vertAlign w:val="superscript"/>
          <w:lang w:val="en-US" w:eastAsia="en-AU"/>
        </w:rPr>
        <w:t>1</w:t>
      </w:r>
      <w:r>
        <w:rPr>
          <w:sz w:val="16"/>
          <w:szCs w:val="16"/>
        </w:rPr>
        <w:tab/>
      </w:r>
      <w:r w:rsidRPr="0097627D">
        <w:rPr>
          <w:sz w:val="16"/>
          <w:szCs w:val="16"/>
        </w:rPr>
        <w:t>As currently provided for by Determination 7 of 2022, or its successor, made by the Remuneration Tribunal of South Australia</w:t>
      </w:r>
      <w:r w:rsidRPr="00A51192">
        <w:rPr>
          <w:sz w:val="16"/>
          <w:szCs w:val="16"/>
        </w:rPr>
        <w:t>.</w:t>
      </w:r>
    </w:p>
    <w:p w14:paraId="69EFF00B" w14:textId="77777777" w:rsidR="00822145" w:rsidRPr="00A51192" w:rsidRDefault="00822145" w:rsidP="00822145">
      <w:pPr>
        <w:pStyle w:val="GG-SDated"/>
      </w:pPr>
      <w:r>
        <w:t>Dated: 14 December 2022</w:t>
      </w:r>
    </w:p>
    <w:p w14:paraId="34D8B3F5" w14:textId="77777777" w:rsidR="00822145" w:rsidRDefault="00822145" w:rsidP="00822145">
      <w:pPr>
        <w:pStyle w:val="GG-SName"/>
      </w:pPr>
      <w:r w:rsidRPr="00A51192">
        <w:t>Matthew O’Callaghan</w:t>
      </w:r>
    </w:p>
    <w:p w14:paraId="787C8F4C" w14:textId="77777777" w:rsidR="00822145" w:rsidRPr="00A51192" w:rsidRDefault="00822145" w:rsidP="007F7570">
      <w:pPr>
        <w:pStyle w:val="GG-Signature"/>
        <w:spacing w:after="80"/>
      </w:pPr>
      <w:r w:rsidRPr="00A51192">
        <w:t>President</w:t>
      </w:r>
    </w:p>
    <w:p w14:paraId="5D9259E2" w14:textId="77777777" w:rsidR="00822145" w:rsidRDefault="00822145" w:rsidP="00822145">
      <w:pPr>
        <w:pStyle w:val="GG-SName"/>
      </w:pPr>
      <w:r w:rsidRPr="00A51192">
        <w:t>Deborah Black</w:t>
      </w:r>
    </w:p>
    <w:p w14:paraId="528F15EE" w14:textId="77777777" w:rsidR="00822145" w:rsidRPr="00A51192" w:rsidRDefault="00822145" w:rsidP="007F7570">
      <w:pPr>
        <w:pStyle w:val="GG-Signature"/>
        <w:spacing w:after="80"/>
      </w:pPr>
      <w:r w:rsidRPr="00A51192">
        <w:t>Member</w:t>
      </w:r>
    </w:p>
    <w:p w14:paraId="56493BB4" w14:textId="77777777" w:rsidR="00822145" w:rsidRPr="00A51192" w:rsidRDefault="00822145" w:rsidP="00822145">
      <w:pPr>
        <w:pStyle w:val="GG-SName"/>
      </w:pPr>
      <w:r w:rsidRPr="00A51192">
        <w:t>Peter de Cure AM</w:t>
      </w:r>
    </w:p>
    <w:p w14:paraId="528445FA" w14:textId="77777777" w:rsidR="00822145" w:rsidRDefault="00822145" w:rsidP="00822145">
      <w:pPr>
        <w:pStyle w:val="GG-Signature"/>
      </w:pPr>
      <w:r w:rsidRPr="00A51192">
        <w:t>Member</w:t>
      </w:r>
    </w:p>
    <w:p w14:paraId="377D5CA4" w14:textId="77777777" w:rsidR="00822145" w:rsidRDefault="00822145" w:rsidP="00822145">
      <w:pPr>
        <w:pStyle w:val="FootnoteText"/>
        <w:pBdr>
          <w:top w:val="single" w:sz="4" w:space="1" w:color="auto"/>
          <w:left w:val="none" w:sz="0" w:space="0" w:color="auto"/>
          <w:bottom w:val="none" w:sz="0" w:space="0" w:color="auto"/>
          <w:right w:val="none" w:sz="0" w:space="0" w:color="auto"/>
        </w:pBdr>
        <w:spacing w:before="100" w:line="14" w:lineRule="exact"/>
        <w:jc w:val="center"/>
        <w:rPr>
          <w:rFonts w:ascii="Times New Roman" w:hAnsi="Times New Roman" w:cs="Times New Roman"/>
          <w:sz w:val="16"/>
          <w:szCs w:val="16"/>
          <w:lang w:val="en-AU"/>
        </w:rPr>
      </w:pPr>
    </w:p>
    <w:p w14:paraId="5F57CABB" w14:textId="0C5E3094" w:rsidR="000D6664" w:rsidRDefault="000D6664">
      <w:pPr>
        <w:spacing w:after="0" w:line="240" w:lineRule="auto"/>
        <w:jc w:val="left"/>
        <w:rPr>
          <w:rFonts w:eastAsia="Times New Roman"/>
          <w:szCs w:val="17"/>
        </w:rPr>
      </w:pPr>
      <w:r>
        <w:br w:type="page"/>
      </w:r>
    </w:p>
    <w:p w14:paraId="2EE97586" w14:textId="77777777" w:rsidR="000D6664" w:rsidRPr="004F33B9" w:rsidRDefault="000D6664" w:rsidP="000D6664">
      <w:pPr>
        <w:pStyle w:val="GG-Title1"/>
      </w:pPr>
      <w:r w:rsidRPr="004F33B9">
        <w:lastRenderedPageBreak/>
        <w:t>The Remuneration Tribunal</w:t>
      </w:r>
    </w:p>
    <w:p w14:paraId="4D4E5212" w14:textId="77777777" w:rsidR="000D6664" w:rsidRPr="00A51192" w:rsidRDefault="000D6664" w:rsidP="000D6664">
      <w:pPr>
        <w:pStyle w:val="GG-Title2"/>
      </w:pPr>
      <w:r w:rsidRPr="00A51192">
        <w:t>Report</w:t>
      </w:r>
      <w:r>
        <w:t>—</w:t>
      </w:r>
      <w:r w:rsidRPr="00A51192">
        <w:t xml:space="preserve">No. </w:t>
      </w:r>
      <w:r>
        <w:t>15</w:t>
      </w:r>
      <w:r w:rsidRPr="00A51192">
        <w:t xml:space="preserve"> </w:t>
      </w:r>
      <w:r>
        <w:t>o</w:t>
      </w:r>
      <w:r w:rsidRPr="00A51192">
        <w:t>f 2022</w:t>
      </w:r>
    </w:p>
    <w:p w14:paraId="50AF65D0" w14:textId="77777777" w:rsidR="000D6664" w:rsidRPr="007D2266" w:rsidRDefault="000D6664" w:rsidP="000D6664">
      <w:pPr>
        <w:pStyle w:val="GG-Title3"/>
        <w:rPr>
          <w:bCs/>
        </w:rPr>
      </w:pPr>
      <w:r w:rsidRPr="007D2266">
        <w:rPr>
          <w:bCs/>
        </w:rPr>
        <w:t>2022 Review of Common Allowance for Members of the Parliament of South Australia</w:t>
      </w:r>
    </w:p>
    <w:p w14:paraId="73E1BE44" w14:textId="77777777" w:rsidR="000D6664" w:rsidRPr="00A51192" w:rsidRDefault="000D6664" w:rsidP="000D6664">
      <w:pPr>
        <w:pStyle w:val="GG-body"/>
        <w:rPr>
          <w:b/>
          <w:bCs/>
          <w:smallCaps/>
        </w:rPr>
      </w:pPr>
      <w:r w:rsidRPr="00A51192">
        <w:rPr>
          <w:b/>
          <w:bCs/>
          <w:smallCaps/>
        </w:rPr>
        <w:t>Report</w:t>
      </w:r>
    </w:p>
    <w:p w14:paraId="364D3183" w14:textId="77777777" w:rsidR="000D6664" w:rsidRPr="00E52685" w:rsidRDefault="000D6664" w:rsidP="000D6664">
      <w:pPr>
        <w:jc w:val="left"/>
        <w:rPr>
          <w:b/>
          <w:bCs/>
          <w:szCs w:val="17"/>
        </w:rPr>
      </w:pPr>
      <w:r w:rsidRPr="00E52685">
        <w:rPr>
          <w:b/>
          <w:bCs/>
          <w:szCs w:val="17"/>
        </w:rPr>
        <w:t>INTRODUCTION</w:t>
      </w:r>
    </w:p>
    <w:p w14:paraId="4A713D57" w14:textId="77777777" w:rsidR="000D6664" w:rsidRPr="007D2266" w:rsidRDefault="000D6664" w:rsidP="009B29CF">
      <w:pPr>
        <w:pStyle w:val="GG-body"/>
        <w:numPr>
          <w:ilvl w:val="0"/>
          <w:numId w:val="135"/>
        </w:numPr>
        <w:ind w:left="378"/>
      </w:pPr>
      <w:r w:rsidRPr="007D2266">
        <w:t>The Remuneration Tribunal (</w:t>
      </w:r>
      <w:r w:rsidRPr="007D2266">
        <w:rPr>
          <w:b/>
          <w:bCs/>
        </w:rPr>
        <w:t>Tribunal</w:t>
      </w:r>
      <w:r w:rsidRPr="007D2266">
        <w:t>) has conducted a review of Determination 7 of 2021</w:t>
      </w:r>
      <w:r w:rsidRPr="007D2266">
        <w:rPr>
          <w:vertAlign w:val="superscript"/>
        </w:rPr>
        <w:t>1</w:t>
      </w:r>
      <w:r w:rsidRPr="007D2266">
        <w:t xml:space="preserve"> which sets a common allowance for members of Parliament.</w:t>
      </w:r>
    </w:p>
    <w:p w14:paraId="754B08C5" w14:textId="77777777" w:rsidR="000D6664" w:rsidRPr="007D2266" w:rsidRDefault="000D6664" w:rsidP="009B29CF">
      <w:pPr>
        <w:pStyle w:val="GG-body"/>
        <w:numPr>
          <w:ilvl w:val="0"/>
          <w:numId w:val="135"/>
        </w:numPr>
        <w:ind w:left="364"/>
      </w:pPr>
      <w:r w:rsidRPr="007D2266">
        <w:t xml:space="preserve">The common allowance is set under section 4AA of the </w:t>
      </w:r>
      <w:r w:rsidRPr="007D2266">
        <w:rPr>
          <w:i/>
          <w:iCs/>
        </w:rPr>
        <w:t>Parliamentary Remuneration Act 1990</w:t>
      </w:r>
      <w:r w:rsidRPr="007D2266">
        <w:t xml:space="preserve"> (</w:t>
      </w:r>
      <w:r w:rsidRPr="007D2266">
        <w:rPr>
          <w:b/>
          <w:bCs/>
        </w:rPr>
        <w:t>PR Act</w:t>
      </w:r>
      <w:r w:rsidRPr="007D2266">
        <w:t>), and must be reviewed at least once every 12 months as required by section 4AA(3). It forms part of the basic salary of members of Parliament, and cannot exceed $42,000.</w:t>
      </w:r>
    </w:p>
    <w:p w14:paraId="5A9C696C" w14:textId="77777777" w:rsidR="000D6664" w:rsidRDefault="000D6664" w:rsidP="009B29CF">
      <w:pPr>
        <w:pStyle w:val="GG-body"/>
        <w:numPr>
          <w:ilvl w:val="0"/>
          <w:numId w:val="135"/>
        </w:numPr>
        <w:ind w:left="364"/>
      </w:pPr>
      <w:r w:rsidRPr="007D2266">
        <w:t>As explained in this report, the Tribunal has determined to increase the first component of the allowance by 4% and the second by 2.75%. The Tribunal has issued an accompanying determination, which applies from 1 October 2022</w:t>
      </w:r>
      <w:r w:rsidRPr="00E52685">
        <w:t>.</w:t>
      </w:r>
    </w:p>
    <w:p w14:paraId="3D8537D1" w14:textId="77777777" w:rsidR="000D6664" w:rsidRDefault="000D6664" w:rsidP="000D6664">
      <w:pPr>
        <w:pStyle w:val="GG-body"/>
      </w:pPr>
      <w:r>
        <w:rPr>
          <w:noProof/>
        </w:rPr>
        <mc:AlternateContent>
          <mc:Choice Requires="wps">
            <w:drawing>
              <wp:anchor distT="0" distB="0" distL="114300" distR="114300" simplePos="0" relativeHeight="251680768" behindDoc="0" locked="0" layoutInCell="1" allowOverlap="1" wp14:anchorId="671C1E12" wp14:editId="3CBA96B8">
                <wp:simplePos x="0" y="0"/>
                <wp:positionH relativeFrom="column">
                  <wp:posOffset>9839</wp:posOffset>
                </wp:positionH>
                <wp:positionV relativeFrom="paragraph">
                  <wp:posOffset>55914</wp:posOffset>
                </wp:positionV>
                <wp:extent cx="1708220"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128B5" id="Straight Connector 18"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3ABB0FC3" w14:textId="77777777" w:rsidR="000D6664" w:rsidRPr="00A51192" w:rsidRDefault="000D6664" w:rsidP="000D6664">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7D2266">
        <w:rPr>
          <w:rFonts w:ascii="Times New Roman" w:hAnsi="Times New Roman" w:cs="Times New Roman"/>
          <w:sz w:val="16"/>
          <w:szCs w:val="16"/>
          <w:lang w:val="en-AU"/>
        </w:rPr>
        <w:t>Common Allowance for Members of the Parliament of South Australia</w:t>
      </w:r>
      <w:r w:rsidRPr="00A51192">
        <w:rPr>
          <w:rFonts w:ascii="Times New Roman" w:hAnsi="Times New Roman" w:cs="Times New Roman"/>
          <w:sz w:val="16"/>
          <w:szCs w:val="16"/>
          <w:lang w:val="en-AU"/>
        </w:rPr>
        <w:t>.</w:t>
      </w:r>
    </w:p>
    <w:p w14:paraId="35588694" w14:textId="77777777" w:rsidR="000D6664" w:rsidRPr="00E52685" w:rsidRDefault="000D6664" w:rsidP="000D6664">
      <w:pPr>
        <w:jc w:val="left"/>
        <w:rPr>
          <w:b/>
          <w:bCs/>
          <w:szCs w:val="17"/>
        </w:rPr>
      </w:pPr>
      <w:r w:rsidRPr="00E52685">
        <w:rPr>
          <w:b/>
          <w:bCs/>
          <w:szCs w:val="17"/>
        </w:rPr>
        <w:t>THE REVIEW PROCESS</w:t>
      </w:r>
    </w:p>
    <w:p w14:paraId="202FB455" w14:textId="77777777" w:rsidR="000D6664" w:rsidRPr="007D2266" w:rsidRDefault="000D6664" w:rsidP="009B29CF">
      <w:pPr>
        <w:pStyle w:val="GG-body"/>
        <w:numPr>
          <w:ilvl w:val="0"/>
          <w:numId w:val="135"/>
        </w:numPr>
        <w:ind w:left="364"/>
      </w:pPr>
      <w:r w:rsidRPr="007D2266">
        <w:t xml:space="preserve">On 22 June 2022, in accordance with sections 10(2) and 10(4) of the </w:t>
      </w:r>
      <w:r w:rsidRPr="007D2266">
        <w:rPr>
          <w:i/>
          <w:iCs/>
        </w:rPr>
        <w:t>Remuneration Act 1990</w:t>
      </w:r>
      <w:r w:rsidRPr="007D2266">
        <w:t xml:space="preserve"> (</w:t>
      </w:r>
      <w:r w:rsidRPr="007D2266">
        <w:rPr>
          <w:b/>
          <w:bCs/>
        </w:rPr>
        <w:t>Act</w:t>
      </w:r>
      <w:r w:rsidRPr="007D2266">
        <w:t>), the Tribunal wrote to and invited submissions by 19 August 2022 in respect of this review from:</w:t>
      </w:r>
    </w:p>
    <w:p w14:paraId="6125EF2D" w14:textId="77777777" w:rsidR="000D6664" w:rsidRPr="007D2266" w:rsidRDefault="000D6664" w:rsidP="009B29CF">
      <w:pPr>
        <w:pStyle w:val="GG-body"/>
        <w:numPr>
          <w:ilvl w:val="0"/>
          <w:numId w:val="128"/>
        </w:numPr>
      </w:pPr>
      <w:r w:rsidRPr="007D2266">
        <w:t>the Honourable Premier of South Australia – as the Minister responsible for the Act who may make submissions or introduce evidence in the public interest</w:t>
      </w:r>
    </w:p>
    <w:p w14:paraId="07558A70" w14:textId="77777777" w:rsidR="000D6664" w:rsidRPr="007D2266" w:rsidRDefault="000D6664" w:rsidP="009B29CF">
      <w:pPr>
        <w:pStyle w:val="GG-body"/>
        <w:numPr>
          <w:ilvl w:val="0"/>
          <w:numId w:val="128"/>
        </w:numPr>
      </w:pPr>
      <w:r w:rsidRPr="007D2266">
        <w:t>members of Parliament</w:t>
      </w:r>
    </w:p>
    <w:p w14:paraId="77AC8C2D" w14:textId="77777777" w:rsidR="000D6664" w:rsidRPr="007D2266" w:rsidRDefault="000D6664" w:rsidP="009B29CF">
      <w:pPr>
        <w:pStyle w:val="GG-body"/>
        <w:numPr>
          <w:ilvl w:val="0"/>
          <w:numId w:val="128"/>
        </w:numPr>
      </w:pPr>
      <w:r w:rsidRPr="007D2266">
        <w:t>the Treasurer</w:t>
      </w:r>
    </w:p>
    <w:p w14:paraId="318AA1F8" w14:textId="77777777" w:rsidR="000D6664" w:rsidRPr="007D2266" w:rsidRDefault="000D6664" w:rsidP="009B29CF">
      <w:pPr>
        <w:pStyle w:val="GG-body"/>
        <w:numPr>
          <w:ilvl w:val="0"/>
          <w:numId w:val="128"/>
        </w:numPr>
      </w:pPr>
      <w:r w:rsidRPr="007D2266">
        <w:t>the Independent Commissioner Against Corruption</w:t>
      </w:r>
    </w:p>
    <w:p w14:paraId="2E74783E" w14:textId="77777777" w:rsidR="000D6664" w:rsidRPr="007D2266" w:rsidRDefault="000D6664" w:rsidP="009B29CF">
      <w:pPr>
        <w:pStyle w:val="GG-body"/>
        <w:numPr>
          <w:ilvl w:val="0"/>
          <w:numId w:val="135"/>
        </w:numPr>
        <w:ind w:left="364"/>
      </w:pPr>
      <w:r w:rsidRPr="007D2266">
        <w:t xml:space="preserve">The Tribunal also advertised its intention to review this, and other determinations applicable to members of Parliament, on its website from 22 June 2022. Submissions were also invited by 19 August 2022. </w:t>
      </w:r>
    </w:p>
    <w:p w14:paraId="4535B17F" w14:textId="77777777" w:rsidR="000D6664" w:rsidRPr="00E52685" w:rsidRDefault="000D6664" w:rsidP="009B29CF">
      <w:pPr>
        <w:pStyle w:val="GG-body"/>
        <w:numPr>
          <w:ilvl w:val="0"/>
          <w:numId w:val="135"/>
        </w:numPr>
        <w:ind w:left="364"/>
      </w:pPr>
      <w:r w:rsidRPr="007D2266">
        <w:t>On 16 August 2022, the Premier’s representative confirmed that no submission would be made. No other submissions were received in respect of this review</w:t>
      </w:r>
      <w:r w:rsidRPr="00E52685">
        <w:t>.</w:t>
      </w:r>
    </w:p>
    <w:p w14:paraId="37E74036" w14:textId="77777777" w:rsidR="000D6664" w:rsidRPr="00E52685" w:rsidRDefault="000D6664" w:rsidP="000D6664">
      <w:pPr>
        <w:jc w:val="left"/>
        <w:rPr>
          <w:b/>
          <w:bCs/>
          <w:szCs w:val="17"/>
        </w:rPr>
      </w:pPr>
      <w:r w:rsidRPr="007D2266">
        <w:rPr>
          <w:b/>
          <w:bCs/>
          <w:szCs w:val="17"/>
        </w:rPr>
        <w:t>BACKGROUND</w:t>
      </w:r>
    </w:p>
    <w:p w14:paraId="3D9720BF" w14:textId="77777777" w:rsidR="000D6664" w:rsidRPr="007D2266" w:rsidRDefault="000D6664" w:rsidP="009B29CF">
      <w:pPr>
        <w:pStyle w:val="GG-body"/>
        <w:numPr>
          <w:ilvl w:val="0"/>
          <w:numId w:val="135"/>
        </w:numPr>
        <w:ind w:left="364"/>
      </w:pPr>
      <w:r w:rsidRPr="007D2266">
        <w:t xml:space="preserve">The common allowance was established by the </w:t>
      </w:r>
      <w:r w:rsidRPr="007D2266">
        <w:rPr>
          <w:i/>
          <w:iCs/>
        </w:rPr>
        <w:t>Parliamentary Remuneration (Determination of Remuneration) Amendment Act 2015</w:t>
      </w:r>
      <w:r w:rsidRPr="007D2266">
        <w:t xml:space="preserve"> (</w:t>
      </w:r>
      <w:r w:rsidRPr="007D2266">
        <w:rPr>
          <w:b/>
          <w:bCs/>
        </w:rPr>
        <w:t>Amending Act</w:t>
      </w:r>
      <w:r w:rsidRPr="007D2266">
        <w:t xml:space="preserve">) which amended the PR Act. </w:t>
      </w:r>
    </w:p>
    <w:p w14:paraId="69D02403" w14:textId="77777777" w:rsidR="000D6664" w:rsidRPr="007D2266" w:rsidRDefault="000D6664" w:rsidP="009B29CF">
      <w:pPr>
        <w:pStyle w:val="GG-body"/>
        <w:numPr>
          <w:ilvl w:val="0"/>
          <w:numId w:val="135"/>
        </w:numPr>
        <w:ind w:left="364"/>
      </w:pPr>
      <w:r w:rsidRPr="007D2266">
        <w:t>The common allowance is comprised of two monetary amounts. The first amount is provided as compensation for the loss of the annual travel allowance, metrocard special pass and subsidised or free interstate rail travel. The second amount is provided as compensation for the loss of payments for service as ordinary members of parliamentary committees. In these respects, the Amending Act confirms that the common allowance represents compensation to members of Parliament for the loss of specified entitlements that operated before 2015.</w:t>
      </w:r>
    </w:p>
    <w:p w14:paraId="7102851E" w14:textId="77777777" w:rsidR="000D6664" w:rsidRPr="007D2266" w:rsidRDefault="000D6664" w:rsidP="009B29CF">
      <w:pPr>
        <w:pStyle w:val="GG-body"/>
        <w:numPr>
          <w:ilvl w:val="0"/>
          <w:numId w:val="135"/>
        </w:numPr>
        <w:ind w:left="364"/>
      </w:pPr>
      <w:r w:rsidRPr="007D2266">
        <w:t>Section 4AB of the PR Act establishes that the common allowance forms part of the basic salary of a member of Parliament. This section states:</w:t>
      </w:r>
    </w:p>
    <w:p w14:paraId="08B9BDAC" w14:textId="77777777" w:rsidR="000D6664" w:rsidRPr="007D2266" w:rsidRDefault="000D6664" w:rsidP="000D6664">
      <w:pPr>
        <w:pStyle w:val="GG-body"/>
        <w:ind w:left="567"/>
        <w:rPr>
          <w:i/>
          <w:iCs/>
        </w:rPr>
      </w:pPr>
      <w:r w:rsidRPr="007D2266">
        <w:rPr>
          <w:i/>
          <w:iCs/>
        </w:rPr>
        <w:t>4AB—Basic salary</w:t>
      </w:r>
    </w:p>
    <w:p w14:paraId="58AE2701" w14:textId="77777777" w:rsidR="000D6664" w:rsidRPr="007D2266" w:rsidRDefault="000D6664" w:rsidP="000D6664">
      <w:pPr>
        <w:pStyle w:val="GG-body"/>
        <w:ind w:left="567"/>
        <w:rPr>
          <w:i/>
          <w:iCs/>
        </w:rPr>
      </w:pPr>
      <w:r w:rsidRPr="007D2266">
        <w:rPr>
          <w:i/>
          <w:iCs/>
        </w:rPr>
        <w:t xml:space="preserve">The </w:t>
      </w:r>
      <w:r w:rsidRPr="007D2266">
        <w:rPr>
          <w:b/>
          <w:bCs/>
          <w:i/>
          <w:iCs/>
        </w:rPr>
        <w:t>basic salary</w:t>
      </w:r>
      <w:r w:rsidRPr="007D2266">
        <w:rPr>
          <w:i/>
          <w:iCs/>
        </w:rPr>
        <w:t xml:space="preserve"> payable to a member of Parliament is salary at a rate equal to the rate from time to time of the Commonwealth basic salary less $42 000 plus the common allowance for the relevant year.</w:t>
      </w:r>
    </w:p>
    <w:p w14:paraId="2C1B420F" w14:textId="77777777" w:rsidR="000D6664" w:rsidRPr="007D2266" w:rsidRDefault="000D6664" w:rsidP="009B29CF">
      <w:pPr>
        <w:pStyle w:val="GG-body"/>
        <w:numPr>
          <w:ilvl w:val="0"/>
          <w:numId w:val="135"/>
        </w:numPr>
        <w:ind w:left="364"/>
      </w:pPr>
      <w:r w:rsidRPr="007D2266">
        <w:t>The Tribunal is not able to alter the basis of the common allowance or its component parts. The Tribunal is responsible for making an independent determination of the two components of the common allowance on an annual basis. The Tribunal is not permitted to reduce the amount of the common allowance.</w:t>
      </w:r>
    </w:p>
    <w:p w14:paraId="2CC1F41F" w14:textId="77777777" w:rsidR="000D6664" w:rsidRDefault="000D6664" w:rsidP="009B29CF">
      <w:pPr>
        <w:pStyle w:val="GG-body"/>
        <w:numPr>
          <w:ilvl w:val="0"/>
          <w:numId w:val="135"/>
        </w:numPr>
        <w:ind w:left="364"/>
      </w:pPr>
      <w:r w:rsidRPr="007D2266">
        <w:t>The amount of the common allowance was last reviewed by the Tribunal in 2021. On that occasion, the Tribunal provided for a 1.75% increase in the amount of the common allowance</w:t>
      </w:r>
      <w:r>
        <w:t>.</w:t>
      </w:r>
    </w:p>
    <w:p w14:paraId="27BF055B" w14:textId="77777777" w:rsidR="000D6664" w:rsidRPr="00E52685" w:rsidRDefault="000D6664" w:rsidP="000D6664">
      <w:pPr>
        <w:jc w:val="left"/>
        <w:rPr>
          <w:b/>
          <w:bCs/>
          <w:szCs w:val="17"/>
        </w:rPr>
      </w:pPr>
      <w:r w:rsidRPr="007D2266">
        <w:rPr>
          <w:b/>
          <w:bCs/>
          <w:szCs w:val="17"/>
        </w:rPr>
        <w:t>CONSIDERATION AND CONCLUSION</w:t>
      </w:r>
    </w:p>
    <w:p w14:paraId="663D4175" w14:textId="77777777" w:rsidR="000D6664" w:rsidRPr="00BD0C57" w:rsidRDefault="000D6664" w:rsidP="009B29CF">
      <w:pPr>
        <w:pStyle w:val="GG-body"/>
        <w:numPr>
          <w:ilvl w:val="0"/>
          <w:numId w:val="135"/>
        </w:numPr>
        <w:ind w:left="364"/>
      </w:pPr>
      <w:r w:rsidRPr="00BD0C57">
        <w:t>The current common allowance components comprise the following amounts:</w:t>
      </w:r>
    </w:p>
    <w:p w14:paraId="570517B2" w14:textId="77777777" w:rsidR="000D6664" w:rsidRPr="00BD0C57" w:rsidRDefault="000D6664" w:rsidP="009B29CF">
      <w:pPr>
        <w:pStyle w:val="GG-body"/>
        <w:numPr>
          <w:ilvl w:val="0"/>
          <w:numId w:val="129"/>
        </w:numPr>
      </w:pPr>
      <w:r w:rsidRPr="00BD0C57">
        <w:t xml:space="preserve">The amount of remuneration as reasonable compensation for the abolition of the annual travel allowance, metrocard special pass and subsidised or free interstate rail travel is $18,038 per annum. </w:t>
      </w:r>
    </w:p>
    <w:p w14:paraId="796ADA9B" w14:textId="77777777" w:rsidR="000D6664" w:rsidRPr="00BD0C57" w:rsidRDefault="000D6664" w:rsidP="009B29CF">
      <w:pPr>
        <w:pStyle w:val="GG-body"/>
        <w:numPr>
          <w:ilvl w:val="0"/>
          <w:numId w:val="129"/>
        </w:numPr>
      </w:pPr>
      <w:r w:rsidRPr="00BD0C57">
        <w:t>The amount of remuneration payable to all members of Parliament for service as ordinary members on parliamentary committees is $13,887 per annum.</w:t>
      </w:r>
    </w:p>
    <w:p w14:paraId="13516F70" w14:textId="77777777" w:rsidR="000D6664" w:rsidRPr="00BD0C57" w:rsidRDefault="000D6664" w:rsidP="009B29CF">
      <w:pPr>
        <w:pStyle w:val="GG-body"/>
        <w:numPr>
          <w:ilvl w:val="0"/>
          <w:numId w:val="135"/>
        </w:numPr>
        <w:ind w:left="364"/>
      </w:pPr>
      <w:r w:rsidRPr="00BD0C57">
        <w:t>These amounts total $31,925 per annum.</w:t>
      </w:r>
    </w:p>
    <w:p w14:paraId="362CCA5E" w14:textId="77777777" w:rsidR="000D6664" w:rsidRPr="00BD0C57" w:rsidRDefault="000D6664" w:rsidP="009B29CF">
      <w:pPr>
        <w:pStyle w:val="GG-body"/>
        <w:numPr>
          <w:ilvl w:val="0"/>
          <w:numId w:val="135"/>
        </w:numPr>
        <w:ind w:left="364"/>
      </w:pPr>
      <w:r w:rsidRPr="00BD0C57">
        <w:t>The Tribunal has taken the following economic data into account:</w:t>
      </w:r>
    </w:p>
    <w:p w14:paraId="6F5C5834" w14:textId="77777777" w:rsidR="000D6664" w:rsidRPr="00BD0C57" w:rsidRDefault="000D6664" w:rsidP="009B29CF">
      <w:pPr>
        <w:pStyle w:val="GG-body"/>
        <w:numPr>
          <w:ilvl w:val="0"/>
          <w:numId w:val="130"/>
        </w:numPr>
      </w:pPr>
      <w:r w:rsidRPr="00BD0C57">
        <w:t xml:space="preserve">The Consumer Price Index (All groups Adelaide) shows the following  percentage changes from the corresponding quarters of previous years: </w:t>
      </w:r>
    </w:p>
    <w:p w14:paraId="44B0BDD9" w14:textId="77777777" w:rsidR="000D6664" w:rsidRPr="00BD0C57" w:rsidRDefault="000D6664" w:rsidP="009B29CF">
      <w:pPr>
        <w:pStyle w:val="GG-body"/>
        <w:numPr>
          <w:ilvl w:val="0"/>
          <w:numId w:val="131"/>
        </w:numPr>
        <w:ind w:left="1134" w:hanging="425"/>
      </w:pPr>
      <w:r w:rsidRPr="00BD0C57">
        <w:t xml:space="preserve">3.3% for December 2021 </w:t>
      </w:r>
    </w:p>
    <w:p w14:paraId="4B700A85" w14:textId="77777777" w:rsidR="000D6664" w:rsidRPr="00BD0C57" w:rsidRDefault="000D6664" w:rsidP="009B29CF">
      <w:pPr>
        <w:pStyle w:val="GG-body"/>
        <w:numPr>
          <w:ilvl w:val="0"/>
          <w:numId w:val="131"/>
        </w:numPr>
        <w:ind w:left="1134" w:hanging="425"/>
      </w:pPr>
      <w:r w:rsidRPr="00BD0C57">
        <w:t>4.7% for March 2022</w:t>
      </w:r>
    </w:p>
    <w:p w14:paraId="24505E3E" w14:textId="77777777" w:rsidR="000D6664" w:rsidRPr="00BD0C57" w:rsidRDefault="000D6664" w:rsidP="009B29CF">
      <w:pPr>
        <w:pStyle w:val="GG-body"/>
        <w:numPr>
          <w:ilvl w:val="0"/>
          <w:numId w:val="131"/>
        </w:numPr>
        <w:ind w:left="1134" w:hanging="425"/>
      </w:pPr>
      <w:r w:rsidRPr="00BD0C57">
        <w:t xml:space="preserve">6.4% for June 2022 </w:t>
      </w:r>
    </w:p>
    <w:p w14:paraId="3A3C46C4" w14:textId="77777777" w:rsidR="000D6664" w:rsidRPr="00BD0C57" w:rsidRDefault="000D6664" w:rsidP="009B29CF">
      <w:pPr>
        <w:pStyle w:val="GG-body"/>
        <w:numPr>
          <w:ilvl w:val="0"/>
          <w:numId w:val="131"/>
        </w:numPr>
        <w:ind w:left="1134" w:hanging="425"/>
      </w:pPr>
      <w:r w:rsidRPr="00BD0C57">
        <w:t>8.4% for September 2022.</w:t>
      </w:r>
    </w:p>
    <w:p w14:paraId="3573A9AA" w14:textId="77777777" w:rsidR="000D6664" w:rsidRPr="00BD0C57" w:rsidRDefault="000D6664" w:rsidP="009B29CF">
      <w:pPr>
        <w:pStyle w:val="GG-body"/>
        <w:numPr>
          <w:ilvl w:val="0"/>
          <w:numId w:val="130"/>
        </w:numPr>
      </w:pPr>
      <w:r w:rsidRPr="00BD0C57">
        <w:t xml:space="preserve">The Australian Bureau of Statistics Wage Price Index (Public Sector in South Australia) shows the following  percentage changes from the corresponding quarters of previous years: </w:t>
      </w:r>
    </w:p>
    <w:p w14:paraId="3140BE25" w14:textId="77777777" w:rsidR="000D6664" w:rsidRPr="00BD0C57" w:rsidRDefault="000D6664" w:rsidP="009B29CF">
      <w:pPr>
        <w:pStyle w:val="GG-body"/>
        <w:numPr>
          <w:ilvl w:val="0"/>
          <w:numId w:val="132"/>
        </w:numPr>
        <w:ind w:left="1134" w:hanging="425"/>
      </w:pPr>
      <w:r w:rsidRPr="00BD0C57">
        <w:t>1.2% for September 2021</w:t>
      </w:r>
    </w:p>
    <w:p w14:paraId="1BCB4DB0" w14:textId="77777777" w:rsidR="000D6664" w:rsidRPr="00BD0C57" w:rsidRDefault="000D6664" w:rsidP="009B29CF">
      <w:pPr>
        <w:pStyle w:val="GG-body"/>
        <w:numPr>
          <w:ilvl w:val="0"/>
          <w:numId w:val="132"/>
        </w:numPr>
        <w:ind w:left="1134" w:hanging="425"/>
      </w:pPr>
      <w:r w:rsidRPr="00BD0C57">
        <w:t xml:space="preserve">1.4% for December 2021 </w:t>
      </w:r>
    </w:p>
    <w:p w14:paraId="61700DE9" w14:textId="77777777" w:rsidR="000D6664" w:rsidRPr="00BD0C57" w:rsidRDefault="000D6664" w:rsidP="009B29CF">
      <w:pPr>
        <w:pStyle w:val="GG-body"/>
        <w:numPr>
          <w:ilvl w:val="0"/>
          <w:numId w:val="132"/>
        </w:numPr>
        <w:ind w:left="1134" w:hanging="425"/>
      </w:pPr>
      <w:r w:rsidRPr="00BD0C57">
        <w:lastRenderedPageBreak/>
        <w:t>2.0% for March 2022</w:t>
      </w:r>
    </w:p>
    <w:p w14:paraId="22D28D98" w14:textId="77777777" w:rsidR="000D6664" w:rsidRPr="00BD0C57" w:rsidRDefault="000D6664" w:rsidP="009B29CF">
      <w:pPr>
        <w:pStyle w:val="GG-body"/>
        <w:numPr>
          <w:ilvl w:val="0"/>
          <w:numId w:val="132"/>
        </w:numPr>
        <w:ind w:left="1134" w:hanging="425"/>
      </w:pPr>
      <w:r w:rsidRPr="00BD0C57">
        <w:t xml:space="preserve">1.7% for June 2022 </w:t>
      </w:r>
    </w:p>
    <w:p w14:paraId="028ED3EB" w14:textId="77777777" w:rsidR="000D6664" w:rsidRPr="00BD0C57" w:rsidRDefault="000D6664" w:rsidP="009B29CF">
      <w:pPr>
        <w:pStyle w:val="GG-body"/>
        <w:numPr>
          <w:ilvl w:val="0"/>
          <w:numId w:val="132"/>
        </w:numPr>
        <w:ind w:left="1134" w:hanging="425"/>
      </w:pPr>
      <w:r w:rsidRPr="00BD0C57">
        <w:t>2.7% for September 2022.</w:t>
      </w:r>
    </w:p>
    <w:p w14:paraId="3C648DBA" w14:textId="77777777" w:rsidR="000D6664" w:rsidRPr="00BD0C57" w:rsidRDefault="000D6664" w:rsidP="009B29CF">
      <w:pPr>
        <w:pStyle w:val="GG-body"/>
        <w:numPr>
          <w:ilvl w:val="0"/>
          <w:numId w:val="130"/>
        </w:numPr>
      </w:pPr>
      <w:r w:rsidRPr="00BD0C57">
        <w:t xml:space="preserve">As at November 2022 the Reserve Bank of Australia forecast of the Consumer Price Index is: </w:t>
      </w:r>
    </w:p>
    <w:p w14:paraId="789DEA9E" w14:textId="77777777" w:rsidR="000D6664" w:rsidRPr="00BD0C57" w:rsidRDefault="000D6664" w:rsidP="009B29CF">
      <w:pPr>
        <w:pStyle w:val="GG-body"/>
        <w:numPr>
          <w:ilvl w:val="0"/>
          <w:numId w:val="133"/>
        </w:numPr>
        <w:ind w:left="1134" w:hanging="425"/>
      </w:pPr>
      <w:r w:rsidRPr="00BD0C57">
        <w:t xml:space="preserve">8% for December 2022 quarter </w:t>
      </w:r>
    </w:p>
    <w:p w14:paraId="5D3E9C45" w14:textId="77777777" w:rsidR="000D6664" w:rsidRPr="00BD0C57" w:rsidRDefault="000D6664" w:rsidP="009B29CF">
      <w:pPr>
        <w:pStyle w:val="GG-body"/>
        <w:numPr>
          <w:ilvl w:val="0"/>
          <w:numId w:val="133"/>
        </w:numPr>
        <w:ind w:left="1134" w:hanging="425"/>
      </w:pPr>
      <w:r w:rsidRPr="00BD0C57">
        <w:t xml:space="preserve">6.3% for June 2023 </w:t>
      </w:r>
    </w:p>
    <w:p w14:paraId="45FDDA0F" w14:textId="77777777" w:rsidR="000D6664" w:rsidRPr="00BD0C57" w:rsidRDefault="000D6664" w:rsidP="009B29CF">
      <w:pPr>
        <w:pStyle w:val="GG-body"/>
        <w:numPr>
          <w:ilvl w:val="0"/>
          <w:numId w:val="133"/>
        </w:numPr>
        <w:ind w:left="1134" w:hanging="425"/>
      </w:pPr>
      <w:r w:rsidRPr="00BD0C57">
        <w:t xml:space="preserve">4.7% for December 2023 </w:t>
      </w:r>
    </w:p>
    <w:p w14:paraId="36A346DE" w14:textId="77777777" w:rsidR="000D6664" w:rsidRPr="00BD0C57" w:rsidRDefault="000D6664" w:rsidP="009B29CF">
      <w:pPr>
        <w:pStyle w:val="GG-body"/>
        <w:numPr>
          <w:ilvl w:val="0"/>
          <w:numId w:val="133"/>
        </w:numPr>
        <w:ind w:left="1134" w:hanging="425"/>
      </w:pPr>
      <w:r w:rsidRPr="00BD0C57">
        <w:t xml:space="preserve">4.2% for June 2024 </w:t>
      </w:r>
    </w:p>
    <w:p w14:paraId="30E28F30" w14:textId="77777777" w:rsidR="000D6664" w:rsidRPr="00BD0C57" w:rsidRDefault="000D6664" w:rsidP="009B29CF">
      <w:pPr>
        <w:pStyle w:val="GG-body"/>
        <w:numPr>
          <w:ilvl w:val="0"/>
          <w:numId w:val="133"/>
        </w:numPr>
        <w:ind w:left="1134" w:hanging="425"/>
      </w:pPr>
      <w:r w:rsidRPr="00BD0C57">
        <w:t>3.2% for December 2024.</w:t>
      </w:r>
    </w:p>
    <w:p w14:paraId="7E9BE46C" w14:textId="77777777" w:rsidR="000D6664" w:rsidRPr="00BD0C57" w:rsidRDefault="000D6664" w:rsidP="009B29CF">
      <w:pPr>
        <w:pStyle w:val="GG-body"/>
        <w:numPr>
          <w:ilvl w:val="0"/>
          <w:numId w:val="135"/>
        </w:numPr>
        <w:ind w:left="364"/>
      </w:pPr>
      <w:r w:rsidRPr="00BD0C57">
        <w:t>The Tribunal has noted the steps being taken to reduce the current inflationary trend and has adopted a cautionary approach to recognition of inflationary movements.</w:t>
      </w:r>
    </w:p>
    <w:p w14:paraId="3D970815" w14:textId="77777777" w:rsidR="000D6664" w:rsidRPr="00BD0C57" w:rsidRDefault="000D6664" w:rsidP="009B29CF">
      <w:pPr>
        <w:pStyle w:val="GG-body"/>
        <w:numPr>
          <w:ilvl w:val="0"/>
          <w:numId w:val="135"/>
        </w:numPr>
        <w:ind w:left="364"/>
      </w:pPr>
      <w:r w:rsidRPr="00BD0C57">
        <w:t>The Tribunal has adopted the position that the first component of the common allowance should be recognised on the basis of a reimbursement of previously applicable benefits and should accordingly take account of a substantial component of the inflationary movements over the past year. Applying the cautious approach referred to above, the Tribunal considers that the element of the common allowance relating to the abolition of the annual travel allowance, metrocard special pass and subsidised or free interstate rail travel should be increased by 4%.</w:t>
      </w:r>
    </w:p>
    <w:p w14:paraId="661DE96A" w14:textId="77777777" w:rsidR="000D6664" w:rsidRPr="00BD0C57" w:rsidRDefault="000D6664" w:rsidP="009B29CF">
      <w:pPr>
        <w:pStyle w:val="GG-body"/>
        <w:numPr>
          <w:ilvl w:val="0"/>
          <w:numId w:val="135"/>
        </w:numPr>
        <w:ind w:left="364"/>
      </w:pPr>
      <w:r w:rsidRPr="00BD0C57">
        <w:t>The second element of the common allowance is more directly related to normal remuneration payments. While the Tribunal has noted the Wage Price Index data for the past year, it has also had regard to current inflationary pressures. Consequently, a 2.75% increase to this component is considered appropriate.</w:t>
      </w:r>
    </w:p>
    <w:p w14:paraId="249074E8" w14:textId="77777777" w:rsidR="000D6664" w:rsidRDefault="000D6664" w:rsidP="009B29CF">
      <w:pPr>
        <w:pStyle w:val="GG-body"/>
        <w:numPr>
          <w:ilvl w:val="0"/>
          <w:numId w:val="135"/>
        </w:numPr>
        <w:ind w:left="364"/>
      </w:pPr>
      <w:r w:rsidRPr="00BD0C57">
        <w:t>The increase will apply from 1 October 2022.</w:t>
      </w:r>
    </w:p>
    <w:p w14:paraId="54E1A340" w14:textId="77777777" w:rsidR="000D6664" w:rsidRPr="00A51192" w:rsidRDefault="000D6664" w:rsidP="000D6664">
      <w:pPr>
        <w:pStyle w:val="GG-SDated"/>
      </w:pPr>
      <w:r>
        <w:t>Dated: 14 December 2022</w:t>
      </w:r>
    </w:p>
    <w:p w14:paraId="6F40A637" w14:textId="77777777" w:rsidR="000D6664" w:rsidRDefault="000D6664" w:rsidP="000D6664">
      <w:pPr>
        <w:pStyle w:val="GG-SName"/>
      </w:pPr>
      <w:r w:rsidRPr="00A51192">
        <w:t>Matthew O’Callaghan</w:t>
      </w:r>
    </w:p>
    <w:p w14:paraId="1E356F43" w14:textId="77777777" w:rsidR="000D6664" w:rsidRPr="00A51192" w:rsidRDefault="000D6664" w:rsidP="000D6664">
      <w:pPr>
        <w:pStyle w:val="GG-Signature"/>
      </w:pPr>
      <w:r w:rsidRPr="00A51192">
        <w:t>President</w:t>
      </w:r>
    </w:p>
    <w:p w14:paraId="02FA2ABF" w14:textId="77777777" w:rsidR="000D6664" w:rsidRDefault="000D6664" w:rsidP="000D6664">
      <w:pPr>
        <w:pStyle w:val="GG-SName"/>
      </w:pPr>
      <w:r w:rsidRPr="00A51192">
        <w:t>Deborah Black</w:t>
      </w:r>
    </w:p>
    <w:p w14:paraId="524686DA" w14:textId="77777777" w:rsidR="000D6664" w:rsidRPr="00A51192" w:rsidRDefault="000D6664" w:rsidP="000D6664">
      <w:pPr>
        <w:pStyle w:val="GG-Signature"/>
      </w:pPr>
      <w:r w:rsidRPr="00A51192">
        <w:t>Member</w:t>
      </w:r>
    </w:p>
    <w:p w14:paraId="76B02C24" w14:textId="77777777" w:rsidR="000D6664" w:rsidRPr="00A51192" w:rsidRDefault="000D6664" w:rsidP="000D6664">
      <w:pPr>
        <w:pStyle w:val="GG-SName"/>
      </w:pPr>
      <w:r w:rsidRPr="00A51192">
        <w:t>Peter de Cure AM</w:t>
      </w:r>
    </w:p>
    <w:p w14:paraId="5F9A54D7" w14:textId="77777777" w:rsidR="000D6664" w:rsidRDefault="000D6664" w:rsidP="000D6664">
      <w:pPr>
        <w:pStyle w:val="GG-Signature"/>
      </w:pPr>
      <w:r w:rsidRPr="00A51192">
        <w:t>Member</w:t>
      </w:r>
    </w:p>
    <w:p w14:paraId="3EB5AE5F" w14:textId="77777777" w:rsidR="000D6664" w:rsidRDefault="000D6664" w:rsidP="000D6664">
      <w:pPr>
        <w:pStyle w:val="GG-Signature"/>
        <w:pBdr>
          <w:top w:val="single" w:sz="4" w:space="1" w:color="auto"/>
        </w:pBdr>
        <w:spacing w:before="100" w:line="14" w:lineRule="exact"/>
        <w:ind w:left="1080" w:right="1080"/>
        <w:jc w:val="center"/>
      </w:pPr>
    </w:p>
    <w:p w14:paraId="10C5AA0C" w14:textId="77777777" w:rsidR="000D6664" w:rsidRDefault="000D6664" w:rsidP="000D6664">
      <w:pPr>
        <w:pStyle w:val="GG-Title1"/>
        <w:spacing w:after="0"/>
      </w:pPr>
    </w:p>
    <w:p w14:paraId="2953CA3D" w14:textId="162E7EDD" w:rsidR="000D6664" w:rsidRPr="004F33B9" w:rsidRDefault="000D6664" w:rsidP="000D6664">
      <w:pPr>
        <w:pStyle w:val="GG-Title1"/>
      </w:pPr>
      <w:r w:rsidRPr="004F33B9">
        <w:t>The Remuneration Tribunal</w:t>
      </w:r>
    </w:p>
    <w:p w14:paraId="0E825B6F" w14:textId="77777777" w:rsidR="000D6664" w:rsidRPr="00A51192" w:rsidRDefault="000D6664" w:rsidP="000D6664">
      <w:pPr>
        <w:pStyle w:val="GG-Title2"/>
      </w:pPr>
      <w:r>
        <w:t>Determination—</w:t>
      </w:r>
      <w:r w:rsidRPr="00A51192">
        <w:t xml:space="preserve">No. </w:t>
      </w:r>
      <w:r>
        <w:t>15</w:t>
      </w:r>
      <w:r w:rsidRPr="00A51192">
        <w:t xml:space="preserve"> </w:t>
      </w:r>
      <w:r>
        <w:t>o</w:t>
      </w:r>
      <w:r w:rsidRPr="00A51192">
        <w:t>f 2022</w:t>
      </w:r>
    </w:p>
    <w:p w14:paraId="39FA5990" w14:textId="77777777" w:rsidR="000D6664" w:rsidRPr="00DC7EB8" w:rsidRDefault="000D6664" w:rsidP="000D6664">
      <w:pPr>
        <w:pStyle w:val="GG-Title3"/>
      </w:pPr>
      <w:r w:rsidRPr="00300C47">
        <w:t>Allowances for Members of the Parole Board of South Australia</w:t>
      </w:r>
    </w:p>
    <w:p w14:paraId="544AB18B" w14:textId="77777777" w:rsidR="000D6664" w:rsidRPr="00E52685" w:rsidRDefault="000D6664" w:rsidP="000D6664">
      <w:pPr>
        <w:jc w:val="left"/>
        <w:rPr>
          <w:b/>
          <w:bCs/>
          <w:szCs w:val="17"/>
        </w:rPr>
      </w:pPr>
      <w:r w:rsidRPr="00A57FE4">
        <w:rPr>
          <w:b/>
          <w:bCs/>
          <w:szCs w:val="17"/>
        </w:rPr>
        <w:t>DETERMINATION</w:t>
      </w:r>
    </w:p>
    <w:p w14:paraId="5089FF3B" w14:textId="77777777" w:rsidR="000D6664" w:rsidRPr="00330F90" w:rsidRDefault="000D6664" w:rsidP="009B29CF">
      <w:pPr>
        <w:pStyle w:val="GG-body"/>
        <w:numPr>
          <w:ilvl w:val="0"/>
          <w:numId w:val="136"/>
        </w:numPr>
      </w:pPr>
      <w:r w:rsidRPr="00330F90">
        <w:t xml:space="preserve">Pursuant to section 4AA of the </w:t>
      </w:r>
      <w:r w:rsidRPr="00330F90">
        <w:rPr>
          <w:i/>
          <w:iCs/>
        </w:rPr>
        <w:t>Parliamentary Remuneration Act 1990</w:t>
      </w:r>
      <w:r w:rsidRPr="00330F90">
        <w:t>, the Remuneration Tribunal makes the following Determination:</w:t>
      </w:r>
    </w:p>
    <w:p w14:paraId="59115D30" w14:textId="77777777" w:rsidR="000D6664" w:rsidRPr="00330F90" w:rsidRDefault="000D6664" w:rsidP="009B29CF">
      <w:pPr>
        <w:pStyle w:val="GG-body"/>
        <w:numPr>
          <w:ilvl w:val="0"/>
          <w:numId w:val="134"/>
        </w:numPr>
        <w:ind w:left="709"/>
      </w:pPr>
      <w:r w:rsidRPr="00330F90">
        <w:t>The amount of remuneration as reasonable compensation for the abolition of: annual travel allowance, metrocard special pass and subsidised or free interstate rail travel is $18,760 per annum.</w:t>
      </w:r>
    </w:p>
    <w:p w14:paraId="0A30E3B7" w14:textId="77777777" w:rsidR="000D6664" w:rsidRDefault="000D6664" w:rsidP="009B29CF">
      <w:pPr>
        <w:pStyle w:val="GG-body"/>
        <w:numPr>
          <w:ilvl w:val="0"/>
          <w:numId w:val="134"/>
        </w:numPr>
        <w:ind w:left="709"/>
      </w:pPr>
      <w:r w:rsidRPr="00330F90">
        <w:t>The amount of remuneration payable to all Members of Parliament for service as ordinary members on parliamentary committees is $14,269 per annum</w:t>
      </w:r>
      <w:r>
        <w:t>.</w:t>
      </w:r>
    </w:p>
    <w:p w14:paraId="109C9ED4" w14:textId="77777777" w:rsidR="000D6664" w:rsidRPr="0097627D" w:rsidRDefault="000D6664" w:rsidP="000D6664">
      <w:pPr>
        <w:pStyle w:val="GG-body"/>
        <w:rPr>
          <w:b/>
        </w:rPr>
      </w:pPr>
      <w:r w:rsidRPr="0097627D">
        <w:rPr>
          <w:b/>
        </w:rPr>
        <w:t>DATE OF OPERATION</w:t>
      </w:r>
    </w:p>
    <w:p w14:paraId="6385D918" w14:textId="77777777" w:rsidR="000D6664" w:rsidRPr="008A6205" w:rsidRDefault="000D6664" w:rsidP="009B29CF">
      <w:pPr>
        <w:pStyle w:val="GG-body"/>
        <w:numPr>
          <w:ilvl w:val="0"/>
          <w:numId w:val="136"/>
        </w:numPr>
        <w:ind w:left="336" w:hanging="336"/>
        <w:rPr>
          <w:sz w:val="16"/>
          <w:szCs w:val="16"/>
        </w:rPr>
      </w:pPr>
      <w:r w:rsidRPr="00330F90">
        <w:t>This Determination operates from 1 October 2022. It supersedes Determination 7 of 2021</w:t>
      </w:r>
      <w:r w:rsidRPr="0097627D">
        <w:t>.</w:t>
      </w:r>
      <w:r>
        <w:t xml:space="preserve"> </w:t>
      </w:r>
    </w:p>
    <w:p w14:paraId="20E662C2" w14:textId="77777777" w:rsidR="000D6664" w:rsidRPr="00A51192" w:rsidRDefault="000D6664" w:rsidP="000D6664">
      <w:pPr>
        <w:pStyle w:val="GG-SDated"/>
      </w:pPr>
      <w:r>
        <w:t>Dated: 14 December 2022</w:t>
      </w:r>
    </w:p>
    <w:p w14:paraId="41677BAD" w14:textId="77777777" w:rsidR="000D6664" w:rsidRDefault="000D6664" w:rsidP="000D6664">
      <w:pPr>
        <w:pStyle w:val="GG-SName"/>
      </w:pPr>
      <w:r w:rsidRPr="00A51192">
        <w:t>Matthew O’Callaghan</w:t>
      </w:r>
    </w:p>
    <w:p w14:paraId="3A007576" w14:textId="77777777" w:rsidR="000D6664" w:rsidRPr="00A51192" w:rsidRDefault="000D6664" w:rsidP="000D6664">
      <w:pPr>
        <w:pStyle w:val="GG-Signature"/>
        <w:spacing w:after="80"/>
      </w:pPr>
      <w:r w:rsidRPr="00A51192">
        <w:t>President</w:t>
      </w:r>
    </w:p>
    <w:p w14:paraId="3EA712FF" w14:textId="77777777" w:rsidR="000D6664" w:rsidRDefault="000D6664" w:rsidP="000D6664">
      <w:pPr>
        <w:pStyle w:val="GG-SName"/>
      </w:pPr>
      <w:r w:rsidRPr="00A51192">
        <w:t>Deborah Black</w:t>
      </w:r>
    </w:p>
    <w:p w14:paraId="2A90A664" w14:textId="77777777" w:rsidR="000D6664" w:rsidRPr="00A51192" w:rsidRDefault="000D6664" w:rsidP="000D6664">
      <w:pPr>
        <w:pStyle w:val="GG-Signature"/>
        <w:spacing w:after="80"/>
      </w:pPr>
      <w:r w:rsidRPr="00A51192">
        <w:t>Member</w:t>
      </w:r>
    </w:p>
    <w:p w14:paraId="0A4C176F" w14:textId="77777777" w:rsidR="000D6664" w:rsidRPr="00A51192" w:rsidRDefault="000D6664" w:rsidP="000D6664">
      <w:pPr>
        <w:pStyle w:val="GG-SName"/>
      </w:pPr>
      <w:r w:rsidRPr="00A51192">
        <w:t>Peter de Cure AM</w:t>
      </w:r>
    </w:p>
    <w:p w14:paraId="242BAD48" w14:textId="77777777" w:rsidR="000D6664" w:rsidRDefault="000D6664" w:rsidP="000D6664">
      <w:pPr>
        <w:pStyle w:val="GG-Signature"/>
      </w:pPr>
      <w:r w:rsidRPr="00A51192">
        <w:t>Member</w:t>
      </w:r>
    </w:p>
    <w:p w14:paraId="3AA36039" w14:textId="77777777" w:rsidR="000D6664" w:rsidRDefault="000D6664" w:rsidP="000D6664">
      <w:pPr>
        <w:pStyle w:val="FootnoteText"/>
        <w:pBdr>
          <w:top w:val="single" w:sz="4" w:space="1" w:color="auto"/>
          <w:left w:val="none" w:sz="0" w:space="0" w:color="auto"/>
          <w:bottom w:val="none" w:sz="0" w:space="0" w:color="auto"/>
          <w:right w:val="none" w:sz="0" w:space="0" w:color="auto"/>
        </w:pBdr>
        <w:spacing w:before="100" w:line="14" w:lineRule="exact"/>
        <w:jc w:val="center"/>
        <w:rPr>
          <w:rFonts w:ascii="Times New Roman" w:hAnsi="Times New Roman" w:cs="Times New Roman"/>
          <w:sz w:val="16"/>
          <w:szCs w:val="16"/>
          <w:lang w:val="en-AU"/>
        </w:rPr>
      </w:pPr>
    </w:p>
    <w:p w14:paraId="533DFEE2" w14:textId="08E8E569" w:rsidR="00822145" w:rsidRDefault="00822145" w:rsidP="00965F17">
      <w:pPr>
        <w:pStyle w:val="GG-body"/>
        <w:spacing w:after="0"/>
        <w:rPr>
          <w:lang w:val="en-US"/>
        </w:rPr>
      </w:pPr>
    </w:p>
    <w:p w14:paraId="3D1F50A3" w14:textId="77777777" w:rsidR="000D6664" w:rsidRPr="004F33B9" w:rsidRDefault="000D6664" w:rsidP="000D6664">
      <w:pPr>
        <w:pStyle w:val="GG-Title1"/>
      </w:pPr>
      <w:r w:rsidRPr="004F33B9">
        <w:t>The Remuneration Tribunal</w:t>
      </w:r>
    </w:p>
    <w:p w14:paraId="75654A17" w14:textId="77777777" w:rsidR="000D6664" w:rsidRPr="00A51192" w:rsidRDefault="000D6664" w:rsidP="000D6664">
      <w:pPr>
        <w:pStyle w:val="GG-Title2"/>
      </w:pPr>
      <w:r w:rsidRPr="00A51192">
        <w:t>Report</w:t>
      </w:r>
      <w:r>
        <w:t>—</w:t>
      </w:r>
      <w:r w:rsidRPr="00A51192">
        <w:t xml:space="preserve">No. </w:t>
      </w:r>
      <w:r>
        <w:t>16</w:t>
      </w:r>
      <w:r w:rsidRPr="00A51192">
        <w:t xml:space="preserve"> </w:t>
      </w:r>
      <w:r>
        <w:t>o</w:t>
      </w:r>
      <w:r w:rsidRPr="00A51192">
        <w:t>f 2022</w:t>
      </w:r>
    </w:p>
    <w:p w14:paraId="49D83C22" w14:textId="77777777" w:rsidR="000D6664" w:rsidRPr="00126C0C" w:rsidRDefault="000D6664" w:rsidP="000D6664">
      <w:pPr>
        <w:pStyle w:val="GG-Title3"/>
        <w:spacing w:after="0"/>
      </w:pPr>
      <w:r w:rsidRPr="00126C0C">
        <w:t xml:space="preserve">2022 Review of Accommodation and Meal Allowances for </w:t>
      </w:r>
    </w:p>
    <w:p w14:paraId="0787ADDC" w14:textId="77777777" w:rsidR="000D6664" w:rsidRPr="007D2266" w:rsidRDefault="000D6664" w:rsidP="000D6664">
      <w:pPr>
        <w:pStyle w:val="GG-Title3"/>
        <w:rPr>
          <w:bCs/>
        </w:rPr>
      </w:pPr>
      <w:r w:rsidRPr="00126C0C">
        <w:rPr>
          <w:bCs/>
        </w:rPr>
        <w:t>Ministers of the Crown and the Leader and Deputy Leader of the Opposition</w:t>
      </w:r>
    </w:p>
    <w:p w14:paraId="7B258BAA" w14:textId="77777777" w:rsidR="000D6664" w:rsidRPr="00A51192" w:rsidRDefault="000D6664" w:rsidP="000D6664">
      <w:pPr>
        <w:pStyle w:val="GG-body"/>
        <w:rPr>
          <w:b/>
          <w:bCs/>
          <w:smallCaps/>
        </w:rPr>
      </w:pPr>
      <w:r w:rsidRPr="00A51192">
        <w:rPr>
          <w:b/>
          <w:bCs/>
          <w:smallCaps/>
        </w:rPr>
        <w:t>Report</w:t>
      </w:r>
    </w:p>
    <w:p w14:paraId="6A6BE22E" w14:textId="77777777" w:rsidR="000D6664" w:rsidRPr="00E52685" w:rsidRDefault="000D6664" w:rsidP="000D6664">
      <w:pPr>
        <w:jc w:val="left"/>
        <w:rPr>
          <w:b/>
          <w:bCs/>
          <w:szCs w:val="17"/>
        </w:rPr>
      </w:pPr>
      <w:r w:rsidRPr="00E52685">
        <w:rPr>
          <w:b/>
          <w:bCs/>
          <w:szCs w:val="17"/>
        </w:rPr>
        <w:t>INTRODUCTION</w:t>
      </w:r>
    </w:p>
    <w:p w14:paraId="47D0EE6E" w14:textId="77777777" w:rsidR="000D6664" w:rsidRPr="00126C0C" w:rsidRDefault="000D6664" w:rsidP="009B29CF">
      <w:pPr>
        <w:pStyle w:val="GG-body"/>
        <w:numPr>
          <w:ilvl w:val="0"/>
          <w:numId w:val="142"/>
        </w:numPr>
        <w:ind w:left="364"/>
      </w:pPr>
      <w:r w:rsidRPr="00126C0C">
        <w:t>The Remuneration Tribunal (</w:t>
      </w:r>
      <w:r w:rsidRPr="00126C0C">
        <w:rPr>
          <w:b/>
          <w:bCs/>
        </w:rPr>
        <w:t>Tribunal</w:t>
      </w:r>
      <w:r w:rsidRPr="00126C0C">
        <w:t>) has conducted a review of Determination 9 of 2021</w:t>
      </w:r>
      <w:r w:rsidRPr="00126C0C">
        <w:rPr>
          <w:vertAlign w:val="superscript"/>
        </w:rPr>
        <w:t>1</w:t>
      </w:r>
      <w:r w:rsidRPr="00126C0C">
        <w:t xml:space="preserve"> which sets accommodation and meal allowances payable to Ministers of the Crown and the Leader and Deputy Leader of the Opposition.</w:t>
      </w:r>
    </w:p>
    <w:p w14:paraId="3557C522" w14:textId="77777777" w:rsidR="000D6664" w:rsidRDefault="000D6664" w:rsidP="009B29CF">
      <w:pPr>
        <w:pStyle w:val="GG-body"/>
        <w:numPr>
          <w:ilvl w:val="0"/>
          <w:numId w:val="142"/>
        </w:numPr>
        <w:ind w:left="364"/>
      </w:pPr>
      <w:r w:rsidRPr="00126C0C">
        <w:t>As explained in this report, the Tribunal has determined to increase the allowances by 2.5%. The Tribunal has issued an accompanying determination, which applies from 1 January 2023</w:t>
      </w:r>
      <w:r w:rsidRPr="00E52685">
        <w:t>.</w:t>
      </w:r>
    </w:p>
    <w:p w14:paraId="033274A9" w14:textId="77777777" w:rsidR="000D6664" w:rsidRDefault="000D6664" w:rsidP="000D6664">
      <w:pPr>
        <w:pStyle w:val="GG-body"/>
      </w:pPr>
      <w:r>
        <w:rPr>
          <w:noProof/>
        </w:rPr>
        <mc:AlternateContent>
          <mc:Choice Requires="wps">
            <w:drawing>
              <wp:anchor distT="0" distB="0" distL="114300" distR="114300" simplePos="0" relativeHeight="251682816" behindDoc="0" locked="0" layoutInCell="1" allowOverlap="1" wp14:anchorId="1A671939" wp14:editId="003F70C9">
                <wp:simplePos x="0" y="0"/>
                <wp:positionH relativeFrom="column">
                  <wp:posOffset>9839</wp:posOffset>
                </wp:positionH>
                <wp:positionV relativeFrom="paragraph">
                  <wp:posOffset>55914</wp:posOffset>
                </wp:positionV>
                <wp:extent cx="1708220"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9A86E7" id="Straight Connector 19"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41B21990" w14:textId="77777777" w:rsidR="000D6664" w:rsidRPr="00A51192" w:rsidRDefault="000D6664" w:rsidP="000D6664">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126C0C">
        <w:rPr>
          <w:rFonts w:ascii="Times New Roman" w:hAnsi="Times New Roman" w:cs="Times New Roman"/>
          <w:sz w:val="16"/>
          <w:szCs w:val="16"/>
          <w:lang w:val="en-AU"/>
        </w:rPr>
        <w:t>Per Diem Accommodation and Meal Allowances for Ministers of the Crown and the Leader and Deputy Leader of the Opposition</w:t>
      </w:r>
      <w:r w:rsidRPr="00A51192">
        <w:rPr>
          <w:rFonts w:ascii="Times New Roman" w:hAnsi="Times New Roman" w:cs="Times New Roman"/>
          <w:sz w:val="16"/>
          <w:szCs w:val="16"/>
          <w:lang w:val="en-AU"/>
        </w:rPr>
        <w:t>.</w:t>
      </w:r>
    </w:p>
    <w:p w14:paraId="688B7C8F" w14:textId="77777777" w:rsidR="000D6664" w:rsidRPr="00E52685" w:rsidRDefault="000D6664" w:rsidP="000D6664">
      <w:pPr>
        <w:jc w:val="left"/>
        <w:rPr>
          <w:b/>
          <w:bCs/>
          <w:szCs w:val="17"/>
        </w:rPr>
      </w:pPr>
      <w:r w:rsidRPr="00E52685">
        <w:rPr>
          <w:b/>
          <w:bCs/>
          <w:szCs w:val="17"/>
        </w:rPr>
        <w:t>THE REVIEW PROCESS</w:t>
      </w:r>
    </w:p>
    <w:p w14:paraId="4A366339" w14:textId="77777777" w:rsidR="000D6664" w:rsidRPr="00126C0C" w:rsidRDefault="000D6664" w:rsidP="009B29CF">
      <w:pPr>
        <w:pStyle w:val="GG-body"/>
        <w:numPr>
          <w:ilvl w:val="0"/>
          <w:numId w:val="142"/>
        </w:numPr>
        <w:ind w:left="364"/>
      </w:pPr>
      <w:r w:rsidRPr="00126C0C">
        <w:t xml:space="preserve">On 22 June 2022, in accordance with sections 10(2) and 10(4) of the </w:t>
      </w:r>
      <w:r w:rsidRPr="00126C0C">
        <w:rPr>
          <w:i/>
          <w:iCs/>
        </w:rPr>
        <w:t>Remuneration Act 1990</w:t>
      </w:r>
      <w:r w:rsidRPr="00126C0C">
        <w:t xml:space="preserve"> (</w:t>
      </w:r>
      <w:r w:rsidRPr="00126C0C">
        <w:rPr>
          <w:b/>
          <w:bCs/>
        </w:rPr>
        <w:t>Act</w:t>
      </w:r>
      <w:r w:rsidRPr="00126C0C">
        <w:t>), the Tribunal wrote to and invited submissions by 19 August 2022 in respect of this review from:</w:t>
      </w:r>
    </w:p>
    <w:p w14:paraId="2389636A" w14:textId="77777777" w:rsidR="000D6664" w:rsidRPr="00126C0C" w:rsidRDefault="000D6664" w:rsidP="009B29CF">
      <w:pPr>
        <w:pStyle w:val="GG-body"/>
        <w:numPr>
          <w:ilvl w:val="0"/>
          <w:numId w:val="137"/>
        </w:numPr>
      </w:pPr>
      <w:r w:rsidRPr="00126C0C">
        <w:lastRenderedPageBreak/>
        <w:t>the Honourable Premier of South Australia – as the Minister responsible for the Act who may make submissions or introduce evidence in the public interest</w:t>
      </w:r>
    </w:p>
    <w:p w14:paraId="68B7ADF3" w14:textId="77777777" w:rsidR="000D6664" w:rsidRPr="00126C0C" w:rsidRDefault="000D6664" w:rsidP="009B29CF">
      <w:pPr>
        <w:pStyle w:val="GG-body"/>
        <w:numPr>
          <w:ilvl w:val="0"/>
          <w:numId w:val="137"/>
        </w:numPr>
      </w:pPr>
      <w:r w:rsidRPr="00126C0C">
        <w:t>members of Parliament</w:t>
      </w:r>
    </w:p>
    <w:p w14:paraId="69993850" w14:textId="77777777" w:rsidR="000D6664" w:rsidRPr="00126C0C" w:rsidRDefault="000D6664" w:rsidP="009B29CF">
      <w:pPr>
        <w:pStyle w:val="GG-body"/>
        <w:numPr>
          <w:ilvl w:val="0"/>
          <w:numId w:val="137"/>
        </w:numPr>
      </w:pPr>
      <w:r w:rsidRPr="00126C0C">
        <w:t>the Treasurer</w:t>
      </w:r>
    </w:p>
    <w:p w14:paraId="36124AA0" w14:textId="77777777" w:rsidR="000D6664" w:rsidRPr="00126C0C" w:rsidRDefault="000D6664" w:rsidP="009B29CF">
      <w:pPr>
        <w:pStyle w:val="GG-body"/>
        <w:numPr>
          <w:ilvl w:val="0"/>
          <w:numId w:val="137"/>
        </w:numPr>
      </w:pPr>
      <w:r w:rsidRPr="00126C0C">
        <w:t>the Independent Commissioner Against Corruption</w:t>
      </w:r>
    </w:p>
    <w:p w14:paraId="76C5B5BC" w14:textId="77777777" w:rsidR="000D6664" w:rsidRPr="00126C0C" w:rsidRDefault="000D6664" w:rsidP="009B29CF">
      <w:pPr>
        <w:pStyle w:val="GG-body"/>
        <w:numPr>
          <w:ilvl w:val="0"/>
          <w:numId w:val="142"/>
        </w:numPr>
        <w:ind w:left="364"/>
      </w:pPr>
      <w:r w:rsidRPr="00126C0C">
        <w:t xml:space="preserve">The Tribunal also advertised its intention to review this, and other determinations applicable to members of Parliament, on its website from 22 June 2022. Submissions were also invited by 19 August 2022. </w:t>
      </w:r>
    </w:p>
    <w:p w14:paraId="19D9F6CB" w14:textId="77777777" w:rsidR="000D6664" w:rsidRPr="00E52685" w:rsidRDefault="000D6664" w:rsidP="009B29CF">
      <w:pPr>
        <w:pStyle w:val="GG-body"/>
        <w:numPr>
          <w:ilvl w:val="0"/>
          <w:numId w:val="142"/>
        </w:numPr>
        <w:ind w:left="364"/>
      </w:pPr>
      <w:r w:rsidRPr="00126C0C">
        <w:t>On 16 August 2022, the Premier’s representative confirmed that no submission would be made. No other submissions were received in respect of this review</w:t>
      </w:r>
      <w:r w:rsidRPr="00E52685">
        <w:t>.</w:t>
      </w:r>
    </w:p>
    <w:p w14:paraId="59DD8936" w14:textId="77777777" w:rsidR="000D6664" w:rsidRPr="00E52685" w:rsidRDefault="000D6664" w:rsidP="000D6664">
      <w:pPr>
        <w:jc w:val="left"/>
        <w:rPr>
          <w:b/>
          <w:bCs/>
          <w:szCs w:val="17"/>
        </w:rPr>
      </w:pPr>
      <w:r w:rsidRPr="007D2266">
        <w:rPr>
          <w:b/>
          <w:bCs/>
          <w:szCs w:val="17"/>
        </w:rPr>
        <w:t>CONSIDERATIO</w:t>
      </w:r>
      <w:r>
        <w:rPr>
          <w:b/>
          <w:bCs/>
          <w:szCs w:val="17"/>
        </w:rPr>
        <w:t>NS</w:t>
      </w:r>
    </w:p>
    <w:p w14:paraId="22E5B0B0" w14:textId="77777777" w:rsidR="000D6664" w:rsidRPr="00147D8C" w:rsidRDefault="000D6664" w:rsidP="009B29CF">
      <w:pPr>
        <w:pStyle w:val="GG-body"/>
        <w:numPr>
          <w:ilvl w:val="0"/>
          <w:numId w:val="142"/>
        </w:numPr>
        <w:ind w:left="364"/>
      </w:pPr>
      <w:r w:rsidRPr="00147D8C">
        <w:t>The determination under review sets allowances to cover the costs of commercial accommodation and meals associated with official travel by Ministers, the Leader of the Opposition and Deputy.</w:t>
      </w:r>
    </w:p>
    <w:p w14:paraId="60B82222" w14:textId="77777777" w:rsidR="000D6664" w:rsidRPr="00147D8C" w:rsidRDefault="000D6664" w:rsidP="009B29CF">
      <w:pPr>
        <w:pStyle w:val="GG-body"/>
        <w:numPr>
          <w:ilvl w:val="0"/>
          <w:numId w:val="142"/>
        </w:numPr>
        <w:ind w:left="364"/>
      </w:pPr>
      <w:r w:rsidRPr="00147D8C">
        <w:t>In considering this matter, the Tribunal has had regard to the following economic data relevant to the costs of commercial accommodation and meals:</w:t>
      </w:r>
    </w:p>
    <w:p w14:paraId="13025629" w14:textId="77777777" w:rsidR="000D6664" w:rsidRPr="00147D8C" w:rsidRDefault="000D6664" w:rsidP="009B29CF">
      <w:pPr>
        <w:pStyle w:val="GG-body"/>
        <w:numPr>
          <w:ilvl w:val="0"/>
          <w:numId w:val="138"/>
        </w:numPr>
      </w:pPr>
      <w:r w:rsidRPr="00147D8C">
        <w:t xml:space="preserve">The Consumer Price Index (All groups Adelaide) shows the following  percentage changes from the corresponding quarters of previous years: </w:t>
      </w:r>
    </w:p>
    <w:p w14:paraId="5BB01445" w14:textId="77777777" w:rsidR="000D6664" w:rsidRPr="00147D8C" w:rsidRDefault="000D6664" w:rsidP="009B29CF">
      <w:pPr>
        <w:pStyle w:val="GG-body"/>
        <w:numPr>
          <w:ilvl w:val="0"/>
          <w:numId w:val="139"/>
        </w:numPr>
        <w:ind w:left="1134"/>
      </w:pPr>
      <w:r w:rsidRPr="00147D8C">
        <w:t xml:space="preserve">3.3% for December 2021 </w:t>
      </w:r>
    </w:p>
    <w:p w14:paraId="0D068FCF" w14:textId="77777777" w:rsidR="000D6664" w:rsidRPr="00147D8C" w:rsidRDefault="000D6664" w:rsidP="009B29CF">
      <w:pPr>
        <w:pStyle w:val="GG-body"/>
        <w:numPr>
          <w:ilvl w:val="0"/>
          <w:numId w:val="139"/>
        </w:numPr>
        <w:ind w:left="1134"/>
      </w:pPr>
      <w:r w:rsidRPr="00147D8C">
        <w:t>4.7% for March 2022</w:t>
      </w:r>
    </w:p>
    <w:p w14:paraId="4FC7AB86" w14:textId="77777777" w:rsidR="000D6664" w:rsidRPr="00147D8C" w:rsidRDefault="000D6664" w:rsidP="009B29CF">
      <w:pPr>
        <w:pStyle w:val="GG-body"/>
        <w:numPr>
          <w:ilvl w:val="0"/>
          <w:numId w:val="139"/>
        </w:numPr>
        <w:ind w:left="1134"/>
      </w:pPr>
      <w:r w:rsidRPr="00147D8C">
        <w:t xml:space="preserve">6.4% for June 2022 </w:t>
      </w:r>
    </w:p>
    <w:p w14:paraId="3A0C1DC7" w14:textId="77777777" w:rsidR="000D6664" w:rsidRPr="00147D8C" w:rsidRDefault="000D6664" w:rsidP="009B29CF">
      <w:pPr>
        <w:pStyle w:val="GG-body"/>
        <w:numPr>
          <w:ilvl w:val="0"/>
          <w:numId w:val="139"/>
        </w:numPr>
        <w:ind w:left="1134"/>
      </w:pPr>
      <w:r w:rsidRPr="00147D8C">
        <w:t>8.4% for September 2022.</w:t>
      </w:r>
    </w:p>
    <w:p w14:paraId="7DDF3CEC" w14:textId="77777777" w:rsidR="000D6664" w:rsidRPr="00147D8C" w:rsidRDefault="000D6664" w:rsidP="009B29CF">
      <w:pPr>
        <w:pStyle w:val="GG-body"/>
        <w:numPr>
          <w:ilvl w:val="0"/>
          <w:numId w:val="138"/>
        </w:numPr>
      </w:pPr>
      <w:r w:rsidRPr="00147D8C">
        <w:t>As at November 2022 the Reserve Bank of Australia forecast of the Consumer Price Index is:</w:t>
      </w:r>
    </w:p>
    <w:p w14:paraId="78311D92" w14:textId="77777777" w:rsidR="000D6664" w:rsidRPr="00147D8C" w:rsidRDefault="000D6664" w:rsidP="009B29CF">
      <w:pPr>
        <w:pStyle w:val="GG-body"/>
        <w:numPr>
          <w:ilvl w:val="0"/>
          <w:numId w:val="140"/>
        </w:numPr>
        <w:ind w:left="1134"/>
      </w:pPr>
      <w:r w:rsidRPr="00147D8C">
        <w:t xml:space="preserve">8% for December 2022 quarter </w:t>
      </w:r>
    </w:p>
    <w:p w14:paraId="0F48635A" w14:textId="77777777" w:rsidR="000D6664" w:rsidRPr="00147D8C" w:rsidRDefault="000D6664" w:rsidP="009B29CF">
      <w:pPr>
        <w:pStyle w:val="GG-body"/>
        <w:numPr>
          <w:ilvl w:val="0"/>
          <w:numId w:val="140"/>
        </w:numPr>
        <w:ind w:left="1134"/>
      </w:pPr>
      <w:r w:rsidRPr="00147D8C">
        <w:t xml:space="preserve">6.3% for June 2023 </w:t>
      </w:r>
    </w:p>
    <w:p w14:paraId="67182A2B" w14:textId="77777777" w:rsidR="000D6664" w:rsidRPr="00147D8C" w:rsidRDefault="000D6664" w:rsidP="009B29CF">
      <w:pPr>
        <w:pStyle w:val="GG-body"/>
        <w:numPr>
          <w:ilvl w:val="0"/>
          <w:numId w:val="140"/>
        </w:numPr>
        <w:ind w:left="1134"/>
      </w:pPr>
      <w:r w:rsidRPr="00147D8C">
        <w:t xml:space="preserve">4.7% for December 2023 </w:t>
      </w:r>
    </w:p>
    <w:p w14:paraId="25168F7C" w14:textId="77777777" w:rsidR="000D6664" w:rsidRPr="00147D8C" w:rsidRDefault="000D6664" w:rsidP="009B29CF">
      <w:pPr>
        <w:pStyle w:val="GG-body"/>
        <w:numPr>
          <w:ilvl w:val="0"/>
          <w:numId w:val="140"/>
        </w:numPr>
        <w:ind w:left="1134"/>
      </w:pPr>
      <w:r w:rsidRPr="00147D8C">
        <w:t xml:space="preserve">4.2% for June 2024 </w:t>
      </w:r>
    </w:p>
    <w:p w14:paraId="6D8B560B" w14:textId="77777777" w:rsidR="000D6664" w:rsidRPr="00147D8C" w:rsidRDefault="000D6664" w:rsidP="009B29CF">
      <w:pPr>
        <w:pStyle w:val="GG-body"/>
        <w:numPr>
          <w:ilvl w:val="0"/>
          <w:numId w:val="140"/>
        </w:numPr>
        <w:ind w:left="1134"/>
      </w:pPr>
      <w:r w:rsidRPr="00147D8C">
        <w:t>3.2% for December 2024.</w:t>
      </w:r>
    </w:p>
    <w:p w14:paraId="1570E793" w14:textId="77777777" w:rsidR="000D6664" w:rsidRPr="00147D8C" w:rsidRDefault="000D6664" w:rsidP="009B29CF">
      <w:pPr>
        <w:pStyle w:val="GG-body"/>
        <w:numPr>
          <w:ilvl w:val="0"/>
          <w:numId w:val="142"/>
        </w:numPr>
        <w:ind w:left="364"/>
      </w:pPr>
      <w:r w:rsidRPr="00147D8C">
        <w:t>The Tribunal has noted the steps being taken to reduce the current inflationary trend and has adopted a cautionary approach to recognition of inflationary movements.</w:t>
      </w:r>
    </w:p>
    <w:p w14:paraId="2770A462" w14:textId="77777777" w:rsidR="000D6664" w:rsidRPr="00147D8C" w:rsidRDefault="000D6664" w:rsidP="009B29CF">
      <w:pPr>
        <w:pStyle w:val="GG-body"/>
        <w:numPr>
          <w:ilvl w:val="0"/>
          <w:numId w:val="142"/>
        </w:numPr>
        <w:ind w:left="364"/>
      </w:pPr>
      <w:r w:rsidRPr="00147D8C">
        <w:t>The Tribunal has also had regard to the Australian Taxation Office Taxation Determinations 2021/6 and 2022/10, which respectively set for taxation purposes reasonable accommodation, meal and incidental expenses for the 2021-22 and 2022-23 income years. The Tribunal has noted the following percentage changes between those respective Taxation Determinations, for the highest earners:</w:t>
      </w:r>
    </w:p>
    <w:p w14:paraId="275EFD00" w14:textId="77777777" w:rsidR="000D6664" w:rsidRPr="00147D8C" w:rsidRDefault="000D6664" w:rsidP="009B29CF">
      <w:pPr>
        <w:pStyle w:val="GG-body"/>
        <w:numPr>
          <w:ilvl w:val="0"/>
          <w:numId w:val="141"/>
        </w:numPr>
      </w:pPr>
      <w:r w:rsidRPr="00147D8C">
        <w:t>0% increase to accommodation costs for all capital cities, and most country centres</w:t>
      </w:r>
    </w:p>
    <w:p w14:paraId="021CA1BA" w14:textId="77777777" w:rsidR="000D6664" w:rsidRPr="00147D8C" w:rsidRDefault="000D6664" w:rsidP="009B29CF">
      <w:pPr>
        <w:pStyle w:val="GG-body"/>
        <w:numPr>
          <w:ilvl w:val="0"/>
          <w:numId w:val="141"/>
        </w:numPr>
      </w:pPr>
      <w:r w:rsidRPr="00147D8C">
        <w:t>1.9% increase to breakfast costs</w:t>
      </w:r>
    </w:p>
    <w:p w14:paraId="1F74FCF1" w14:textId="77777777" w:rsidR="000D6664" w:rsidRPr="00147D8C" w:rsidRDefault="000D6664" w:rsidP="009B29CF">
      <w:pPr>
        <w:pStyle w:val="GG-body"/>
        <w:numPr>
          <w:ilvl w:val="0"/>
          <w:numId w:val="141"/>
        </w:numPr>
      </w:pPr>
      <w:r w:rsidRPr="00147D8C">
        <w:t>1.8% increase to lunch and dinner costs</w:t>
      </w:r>
    </w:p>
    <w:p w14:paraId="66186F02" w14:textId="77777777" w:rsidR="000D6664" w:rsidRPr="00147D8C" w:rsidRDefault="000D6664" w:rsidP="009B29CF">
      <w:pPr>
        <w:pStyle w:val="GG-body"/>
        <w:numPr>
          <w:ilvl w:val="0"/>
          <w:numId w:val="141"/>
        </w:numPr>
      </w:pPr>
      <w:r w:rsidRPr="00147D8C">
        <w:t>3.6% increase to incidentals</w:t>
      </w:r>
    </w:p>
    <w:p w14:paraId="52679F2E" w14:textId="77777777" w:rsidR="000D6664" w:rsidRPr="00147D8C" w:rsidRDefault="000D6664" w:rsidP="009B29CF">
      <w:pPr>
        <w:pStyle w:val="GG-body"/>
        <w:numPr>
          <w:ilvl w:val="0"/>
          <w:numId w:val="141"/>
        </w:numPr>
      </w:pPr>
      <w:r w:rsidRPr="00147D8C">
        <w:t>overall 0.8% to 1% increase for daily total (which includes accommodation, meals and incidentals)</w:t>
      </w:r>
    </w:p>
    <w:p w14:paraId="6C52806C" w14:textId="77777777" w:rsidR="000D6664" w:rsidRDefault="000D6664" w:rsidP="009B29CF">
      <w:pPr>
        <w:pStyle w:val="GG-body"/>
        <w:numPr>
          <w:ilvl w:val="0"/>
          <w:numId w:val="142"/>
        </w:numPr>
        <w:ind w:left="364"/>
      </w:pPr>
      <w:r w:rsidRPr="00147D8C">
        <w:t>Having regard to these factors, the Tribunal has decided that these allowances should be increased by 2.5%, with effect from 1 January 2023</w:t>
      </w:r>
      <w:r w:rsidRPr="00BD0C57">
        <w:t>.</w:t>
      </w:r>
    </w:p>
    <w:p w14:paraId="3415B1D6" w14:textId="77777777" w:rsidR="000D6664" w:rsidRPr="00A51192" w:rsidRDefault="000D6664" w:rsidP="000D6664">
      <w:pPr>
        <w:pStyle w:val="GG-SDated"/>
      </w:pPr>
      <w:r>
        <w:t>Dated: 14 December 2022</w:t>
      </w:r>
    </w:p>
    <w:p w14:paraId="3F54294C" w14:textId="77777777" w:rsidR="000D6664" w:rsidRDefault="000D6664" w:rsidP="000D6664">
      <w:pPr>
        <w:pStyle w:val="GG-SName"/>
      </w:pPr>
      <w:r w:rsidRPr="00A51192">
        <w:t>Matthew O’Callaghan</w:t>
      </w:r>
    </w:p>
    <w:p w14:paraId="1AC11830" w14:textId="77777777" w:rsidR="000D6664" w:rsidRPr="00A51192" w:rsidRDefault="000D6664" w:rsidP="000D6664">
      <w:pPr>
        <w:pStyle w:val="GG-Signature"/>
        <w:spacing w:after="80"/>
      </w:pPr>
      <w:r w:rsidRPr="00A51192">
        <w:t>President</w:t>
      </w:r>
    </w:p>
    <w:p w14:paraId="7CC9992A" w14:textId="77777777" w:rsidR="000D6664" w:rsidRDefault="000D6664" w:rsidP="000D6664">
      <w:pPr>
        <w:pStyle w:val="GG-SName"/>
      </w:pPr>
      <w:r w:rsidRPr="00A51192">
        <w:t>Deborah Black</w:t>
      </w:r>
    </w:p>
    <w:p w14:paraId="5D05D525" w14:textId="77777777" w:rsidR="000D6664" w:rsidRPr="00A51192" w:rsidRDefault="000D6664" w:rsidP="000D6664">
      <w:pPr>
        <w:pStyle w:val="GG-Signature"/>
        <w:spacing w:after="80"/>
      </w:pPr>
      <w:r w:rsidRPr="00A51192">
        <w:t>Member</w:t>
      </w:r>
    </w:p>
    <w:p w14:paraId="43CED411" w14:textId="77777777" w:rsidR="000D6664" w:rsidRPr="00A51192" w:rsidRDefault="000D6664" w:rsidP="000D6664">
      <w:pPr>
        <w:pStyle w:val="GG-SName"/>
      </w:pPr>
      <w:r w:rsidRPr="00A51192">
        <w:t>Peter de Cure AM</w:t>
      </w:r>
    </w:p>
    <w:p w14:paraId="70AA7208" w14:textId="77777777" w:rsidR="000D6664" w:rsidRDefault="000D6664" w:rsidP="000D6664">
      <w:pPr>
        <w:pStyle w:val="GG-Signature"/>
      </w:pPr>
      <w:r w:rsidRPr="00A51192">
        <w:t>Member</w:t>
      </w:r>
    </w:p>
    <w:p w14:paraId="55E57F49" w14:textId="77777777" w:rsidR="000D6664" w:rsidRDefault="000D6664" w:rsidP="000D6664">
      <w:pPr>
        <w:pStyle w:val="GG-Signature"/>
        <w:pBdr>
          <w:top w:val="single" w:sz="4" w:space="1" w:color="auto"/>
        </w:pBdr>
        <w:spacing w:before="100" w:line="14" w:lineRule="exact"/>
        <w:ind w:left="1080" w:right="1080"/>
        <w:jc w:val="center"/>
      </w:pPr>
    </w:p>
    <w:p w14:paraId="364D5A91" w14:textId="77777777" w:rsidR="000D6664" w:rsidRDefault="000D6664" w:rsidP="000D6664">
      <w:pPr>
        <w:pStyle w:val="GG-Title1"/>
        <w:spacing w:after="0"/>
      </w:pPr>
    </w:p>
    <w:p w14:paraId="1E88D33F" w14:textId="41CED1A4" w:rsidR="000D6664" w:rsidRPr="004F33B9" w:rsidRDefault="000D6664" w:rsidP="000D6664">
      <w:pPr>
        <w:pStyle w:val="GG-Title1"/>
      </w:pPr>
      <w:r w:rsidRPr="004F33B9">
        <w:t>The Remuneration Tribunal</w:t>
      </w:r>
    </w:p>
    <w:p w14:paraId="021CE657" w14:textId="77777777" w:rsidR="000D6664" w:rsidRPr="00A51192" w:rsidRDefault="000D6664" w:rsidP="000D6664">
      <w:pPr>
        <w:pStyle w:val="GG-Title2"/>
      </w:pPr>
      <w:r>
        <w:t>Determination—</w:t>
      </w:r>
      <w:r w:rsidRPr="00A51192">
        <w:t xml:space="preserve">No. </w:t>
      </w:r>
      <w:r>
        <w:t>16</w:t>
      </w:r>
      <w:r w:rsidRPr="00A51192">
        <w:t xml:space="preserve"> </w:t>
      </w:r>
      <w:r>
        <w:t>o</w:t>
      </w:r>
      <w:r w:rsidRPr="00A51192">
        <w:t>f 2022</w:t>
      </w:r>
    </w:p>
    <w:p w14:paraId="29BD51E7" w14:textId="77777777" w:rsidR="000D6664" w:rsidRPr="005D2DD6" w:rsidRDefault="000D6664" w:rsidP="000D6664">
      <w:pPr>
        <w:pStyle w:val="GG-Title3"/>
        <w:spacing w:after="0"/>
      </w:pPr>
      <w:r w:rsidRPr="005D2DD6">
        <w:t xml:space="preserve">Accommodation and Meal Allowances for </w:t>
      </w:r>
    </w:p>
    <w:p w14:paraId="5EFBCA88" w14:textId="77777777" w:rsidR="000D6664" w:rsidRPr="005D2DD6" w:rsidRDefault="000D6664" w:rsidP="000D6664">
      <w:pPr>
        <w:pStyle w:val="GG-Title3"/>
      </w:pPr>
      <w:r w:rsidRPr="005D2DD6">
        <w:t>Ministers of the Crown and the Leader and Deputy Leader of the Opposition</w:t>
      </w:r>
    </w:p>
    <w:p w14:paraId="7C95BC69" w14:textId="77777777" w:rsidR="000D6664" w:rsidRPr="00E52685" w:rsidRDefault="000D6664" w:rsidP="000D6664">
      <w:pPr>
        <w:jc w:val="left"/>
        <w:rPr>
          <w:b/>
          <w:bCs/>
          <w:szCs w:val="17"/>
        </w:rPr>
      </w:pPr>
      <w:r>
        <w:rPr>
          <w:b/>
          <w:bCs/>
          <w:szCs w:val="17"/>
        </w:rPr>
        <w:t xml:space="preserve">SCOPE OF </w:t>
      </w:r>
      <w:r w:rsidRPr="00A57FE4">
        <w:rPr>
          <w:b/>
          <w:bCs/>
          <w:szCs w:val="17"/>
        </w:rPr>
        <w:t>DETERMINATION</w:t>
      </w:r>
    </w:p>
    <w:p w14:paraId="176A15C3" w14:textId="77777777" w:rsidR="000D6664" w:rsidRPr="00330F90" w:rsidRDefault="000D6664" w:rsidP="009B29CF">
      <w:pPr>
        <w:pStyle w:val="GG-body"/>
        <w:numPr>
          <w:ilvl w:val="0"/>
          <w:numId w:val="143"/>
        </w:numPr>
      </w:pPr>
      <w:r w:rsidRPr="00BE59B5">
        <w:t>This Determination applies to Ministers of the Crown, and to the Leader and Deputy Leader of the Opposition</w:t>
      </w:r>
      <w:r>
        <w:t>.</w:t>
      </w:r>
    </w:p>
    <w:p w14:paraId="5BD19901" w14:textId="77777777" w:rsidR="000D6664" w:rsidRPr="0097627D" w:rsidRDefault="000D6664" w:rsidP="000D6664">
      <w:pPr>
        <w:pStyle w:val="GG-body"/>
        <w:rPr>
          <w:b/>
        </w:rPr>
      </w:pPr>
      <w:r w:rsidRPr="0097627D">
        <w:rPr>
          <w:b/>
        </w:rPr>
        <w:t>DATE OF OPERATION</w:t>
      </w:r>
    </w:p>
    <w:p w14:paraId="12E799ED" w14:textId="77777777" w:rsidR="000D6664" w:rsidRPr="00BE59B5" w:rsidRDefault="000D6664" w:rsidP="009B29CF">
      <w:pPr>
        <w:pStyle w:val="GG-body"/>
        <w:numPr>
          <w:ilvl w:val="0"/>
          <w:numId w:val="143"/>
        </w:numPr>
        <w:ind w:left="336" w:hanging="336"/>
        <w:rPr>
          <w:lang w:val="en-US"/>
        </w:rPr>
      </w:pPr>
      <w:r w:rsidRPr="00BE59B5">
        <w:rPr>
          <w:lang w:val="en-US"/>
        </w:rPr>
        <w:t>In this Determination, unless the contrary appears:</w:t>
      </w:r>
    </w:p>
    <w:p w14:paraId="5A08D56A" w14:textId="77777777" w:rsidR="000D6664" w:rsidRPr="00BE59B5" w:rsidRDefault="000D6664" w:rsidP="000D6664">
      <w:pPr>
        <w:pStyle w:val="GG-body"/>
        <w:ind w:left="336"/>
        <w:rPr>
          <w:lang w:val="en-US"/>
        </w:rPr>
      </w:pPr>
      <w:r w:rsidRPr="00BE59B5">
        <w:rPr>
          <w:b/>
          <w:bCs/>
          <w:lang w:val="en-US"/>
        </w:rPr>
        <w:t xml:space="preserve">“Commercial Accommodation” </w:t>
      </w:r>
      <w:r w:rsidRPr="00BE59B5">
        <w:rPr>
          <w:lang w:val="en-US"/>
        </w:rPr>
        <w:t>means short term (not permanent) accommodation in a commercial establishment such as a hotel, motel or serviced apartment and must be a genuine arms-length commercial transaction. Commercial Accommodation does not include AirBnB or other “sharing economy” type accommodation.</w:t>
      </w:r>
    </w:p>
    <w:p w14:paraId="1FF025D1" w14:textId="77777777" w:rsidR="000D6664" w:rsidRPr="00BE59B5" w:rsidRDefault="000D6664" w:rsidP="000D6664">
      <w:pPr>
        <w:pStyle w:val="GG-body"/>
        <w:ind w:left="336"/>
        <w:rPr>
          <w:lang w:val="en-US"/>
        </w:rPr>
      </w:pPr>
      <w:r w:rsidRPr="00BE59B5">
        <w:rPr>
          <w:b/>
          <w:bCs/>
          <w:lang w:val="en-US"/>
        </w:rPr>
        <w:t xml:space="preserve">“Incurs Actual Expenditure” </w:t>
      </w:r>
      <w:r w:rsidRPr="00BE59B5">
        <w:rPr>
          <w:lang w:val="en-US"/>
        </w:rPr>
        <w:t>means an amount of money spent by a Minister, Member or Officer of the Parliament.</w:t>
      </w:r>
    </w:p>
    <w:p w14:paraId="5AE78264" w14:textId="77777777" w:rsidR="000D6664" w:rsidRPr="00BE59B5" w:rsidRDefault="000D6664" w:rsidP="000D6664">
      <w:pPr>
        <w:pStyle w:val="GG-body"/>
        <w:ind w:left="336"/>
        <w:rPr>
          <w:lang w:val="en-US"/>
        </w:rPr>
      </w:pPr>
      <w:r w:rsidRPr="00BE59B5">
        <w:rPr>
          <w:b/>
          <w:bCs/>
          <w:lang w:val="en-US"/>
        </w:rPr>
        <w:t xml:space="preserve">“Metropolitan Adelaide” </w:t>
      </w:r>
      <w:r w:rsidRPr="00BE59B5">
        <w:rPr>
          <w:lang w:val="en-US"/>
        </w:rPr>
        <w:t xml:space="preserve">bears the same meaning as defined in the </w:t>
      </w:r>
      <w:r w:rsidRPr="00BE59B5">
        <w:rPr>
          <w:i/>
          <w:iCs/>
          <w:lang w:val="en-US"/>
        </w:rPr>
        <w:t>Development Act 1993</w:t>
      </w:r>
      <w:r w:rsidRPr="00BE59B5">
        <w:rPr>
          <w:lang w:val="en-US"/>
        </w:rPr>
        <w:t>.</w:t>
      </w:r>
    </w:p>
    <w:p w14:paraId="7E820A65" w14:textId="77777777" w:rsidR="000D6664" w:rsidRPr="00BE59B5" w:rsidRDefault="000D6664" w:rsidP="000D6664">
      <w:pPr>
        <w:pStyle w:val="GG-body"/>
        <w:ind w:left="336"/>
        <w:rPr>
          <w:lang w:val="en-US"/>
        </w:rPr>
      </w:pPr>
      <w:r w:rsidRPr="00BE59B5">
        <w:rPr>
          <w:b/>
          <w:bCs/>
          <w:lang w:val="en-US"/>
        </w:rPr>
        <w:t xml:space="preserve">“Meals” </w:t>
      </w:r>
      <w:r w:rsidRPr="00BE59B5">
        <w:rPr>
          <w:lang w:val="en-US"/>
        </w:rPr>
        <w:t>means food or drink purchased by a Minister, Member or Officer of the Parliament in connection with an allowance payable under this Determination.</w:t>
      </w:r>
    </w:p>
    <w:p w14:paraId="5DD5BD40" w14:textId="77777777" w:rsidR="000D6664" w:rsidRPr="00BE59B5" w:rsidRDefault="000D6664" w:rsidP="000D6664">
      <w:pPr>
        <w:pStyle w:val="GG-body"/>
        <w:ind w:left="336"/>
        <w:rPr>
          <w:i/>
          <w:iCs/>
          <w:lang w:val="en-US"/>
        </w:rPr>
      </w:pPr>
      <w:r w:rsidRPr="00BE59B5">
        <w:rPr>
          <w:b/>
          <w:bCs/>
          <w:lang w:val="en-US"/>
        </w:rPr>
        <w:lastRenderedPageBreak/>
        <w:t xml:space="preserve">“Minister” </w:t>
      </w:r>
      <w:r w:rsidRPr="00BE59B5">
        <w:rPr>
          <w:lang w:val="en-US"/>
        </w:rPr>
        <w:t>means a Minister of the Crown in right of the State of South Australia.</w:t>
      </w:r>
    </w:p>
    <w:p w14:paraId="6BCA2421" w14:textId="77777777" w:rsidR="000D6664" w:rsidRPr="00BE59B5" w:rsidRDefault="000D6664" w:rsidP="000D6664">
      <w:pPr>
        <w:pStyle w:val="GG-body"/>
        <w:ind w:left="336"/>
        <w:rPr>
          <w:lang w:val="en-US"/>
        </w:rPr>
      </w:pPr>
      <w:r w:rsidRPr="00BE59B5">
        <w:rPr>
          <w:b/>
          <w:bCs/>
          <w:lang w:val="en-US"/>
        </w:rPr>
        <w:t>“Official Duties”</w:t>
      </w:r>
      <w:r w:rsidRPr="00BE59B5">
        <w:rPr>
          <w:lang w:val="en-US"/>
        </w:rPr>
        <w:t xml:space="preserve"> means activities undertaken by a Member of Parliament in relation to their role as a Minister, or their role as the Leader or acting Leader of the Opposition.</w:t>
      </w:r>
    </w:p>
    <w:p w14:paraId="44D8E4B3" w14:textId="77777777" w:rsidR="000D6664" w:rsidRPr="00BE59B5" w:rsidRDefault="000D6664" w:rsidP="000D6664">
      <w:pPr>
        <w:pStyle w:val="GG-body"/>
        <w:ind w:left="336"/>
        <w:rPr>
          <w:lang w:val="en-US"/>
        </w:rPr>
      </w:pPr>
      <w:r w:rsidRPr="00BE59B5">
        <w:rPr>
          <w:b/>
          <w:bCs/>
          <w:lang w:val="en-US"/>
        </w:rPr>
        <w:t xml:space="preserve">“Per Diem” </w:t>
      </w:r>
      <w:r w:rsidRPr="00BE59B5">
        <w:rPr>
          <w:lang w:val="en-US"/>
        </w:rPr>
        <w:t>means per day in relation to the allowances payable under this Determination.</w:t>
      </w:r>
    </w:p>
    <w:p w14:paraId="4FCA7148" w14:textId="77777777" w:rsidR="000D6664" w:rsidRDefault="000D6664" w:rsidP="000D6664">
      <w:pPr>
        <w:pStyle w:val="GG-body"/>
        <w:ind w:left="336"/>
      </w:pPr>
      <w:r w:rsidRPr="00BE59B5">
        <w:rPr>
          <w:b/>
          <w:bCs/>
        </w:rPr>
        <w:t xml:space="preserve">“Sydney” </w:t>
      </w:r>
      <w:r w:rsidRPr="00BE59B5">
        <w:t>means locations which are less then 10km by road from the Sydney General Post Office (by the most direct route), or less then 5km by road from Sydney’s principal airport (by the most direct route)</w:t>
      </w:r>
      <w:r w:rsidRPr="0097627D">
        <w:t>.</w:t>
      </w:r>
    </w:p>
    <w:p w14:paraId="2468B139" w14:textId="77777777" w:rsidR="000D6664" w:rsidRDefault="000D6664" w:rsidP="000D6664">
      <w:pPr>
        <w:pStyle w:val="GG-body"/>
        <w:rPr>
          <w:b/>
        </w:rPr>
      </w:pPr>
      <w:r w:rsidRPr="00BE59B5">
        <w:rPr>
          <w:b/>
        </w:rPr>
        <w:t>ACCOMMODATION AND MEAL ALLOWANCES</w:t>
      </w:r>
    </w:p>
    <w:p w14:paraId="5F6397EB" w14:textId="77777777" w:rsidR="000D6664" w:rsidRPr="00BE59B5" w:rsidRDefault="000D6664" w:rsidP="009B29CF">
      <w:pPr>
        <w:pStyle w:val="GG-body"/>
        <w:numPr>
          <w:ilvl w:val="0"/>
          <w:numId w:val="143"/>
        </w:numPr>
        <w:ind w:left="336" w:hanging="336"/>
        <w:rPr>
          <w:lang w:val="en-US"/>
        </w:rPr>
      </w:pPr>
      <w:bookmarkStart w:id="99" w:name="_Hlk122450815"/>
      <w:r w:rsidRPr="00BE59B5">
        <w:rPr>
          <w:lang w:val="en-US"/>
        </w:rPr>
        <w:t>A Minister who incurs actual expenditure for both commercial accommodation and meals when travelling as part their official duties and which necessitates absence from home overnight shall be entitled to be paid a per diem accommodation and meal allowance, as follows:</w:t>
      </w:r>
    </w:p>
    <w:p w14:paraId="0AC805C4" w14:textId="77777777" w:rsidR="000D6664" w:rsidRPr="00BE59B5" w:rsidRDefault="000D6664" w:rsidP="009B29CF">
      <w:pPr>
        <w:pStyle w:val="GG-body"/>
        <w:numPr>
          <w:ilvl w:val="1"/>
          <w:numId w:val="143"/>
        </w:numPr>
        <w:rPr>
          <w:lang w:val="en-US"/>
        </w:rPr>
      </w:pPr>
      <w:r w:rsidRPr="00BE59B5">
        <w:rPr>
          <w:lang w:val="en-US"/>
        </w:rPr>
        <w:t>Outside Metropolitan Adelaide, but within South Australia:</w:t>
      </w:r>
    </w:p>
    <w:p w14:paraId="3691D931" w14:textId="77777777" w:rsidR="000D6664" w:rsidRPr="00BE59B5" w:rsidRDefault="000D6664" w:rsidP="009B29CF">
      <w:pPr>
        <w:pStyle w:val="GG-body"/>
        <w:numPr>
          <w:ilvl w:val="2"/>
          <w:numId w:val="143"/>
        </w:numPr>
        <w:ind w:left="1302"/>
        <w:rPr>
          <w:lang w:val="en-US"/>
        </w:rPr>
      </w:pPr>
      <w:r w:rsidRPr="00BE59B5">
        <w:rPr>
          <w:lang w:val="en-US"/>
        </w:rPr>
        <w:t>An allowance at the rate of $312 per day for the purpose of meeting expenditure in relation to commercial accommodation and meals.</w:t>
      </w:r>
    </w:p>
    <w:p w14:paraId="1445EDFE" w14:textId="77777777" w:rsidR="000D6664" w:rsidRPr="00BE59B5" w:rsidRDefault="000D6664" w:rsidP="009B29CF">
      <w:pPr>
        <w:pStyle w:val="GG-body"/>
        <w:numPr>
          <w:ilvl w:val="1"/>
          <w:numId w:val="143"/>
        </w:numPr>
        <w:rPr>
          <w:lang w:val="en-US"/>
        </w:rPr>
      </w:pPr>
      <w:r w:rsidRPr="00BE59B5">
        <w:rPr>
          <w:lang w:val="en-US"/>
        </w:rPr>
        <w:t>Outside South Australia, but within Australia (other than Sydney):</w:t>
      </w:r>
    </w:p>
    <w:p w14:paraId="59C7DDCC" w14:textId="77777777" w:rsidR="000D6664" w:rsidRPr="00BE59B5" w:rsidRDefault="000D6664" w:rsidP="009B29CF">
      <w:pPr>
        <w:pStyle w:val="GG-body"/>
        <w:numPr>
          <w:ilvl w:val="2"/>
          <w:numId w:val="143"/>
        </w:numPr>
        <w:ind w:left="1302"/>
        <w:rPr>
          <w:lang w:val="en-US"/>
        </w:rPr>
      </w:pPr>
      <w:r w:rsidRPr="00BE59B5">
        <w:rPr>
          <w:lang w:val="en-US"/>
        </w:rPr>
        <w:t>An allowance at the rate of $465 per day for the purpose of meeting expenditure in relation to commercial accommodation and meals.</w:t>
      </w:r>
    </w:p>
    <w:p w14:paraId="6394C19C" w14:textId="77777777" w:rsidR="000D6664" w:rsidRPr="00BE59B5" w:rsidRDefault="000D6664" w:rsidP="009B29CF">
      <w:pPr>
        <w:pStyle w:val="GG-body"/>
        <w:numPr>
          <w:ilvl w:val="1"/>
          <w:numId w:val="143"/>
        </w:numPr>
        <w:rPr>
          <w:lang w:val="en-US"/>
        </w:rPr>
      </w:pPr>
      <w:r w:rsidRPr="00BE59B5">
        <w:rPr>
          <w:lang w:val="en-US"/>
        </w:rPr>
        <w:t>Sydney:</w:t>
      </w:r>
    </w:p>
    <w:p w14:paraId="5CD46A17" w14:textId="77777777" w:rsidR="000D6664" w:rsidRPr="00BE59B5" w:rsidRDefault="000D6664" w:rsidP="009B29CF">
      <w:pPr>
        <w:pStyle w:val="GG-body"/>
        <w:numPr>
          <w:ilvl w:val="2"/>
          <w:numId w:val="143"/>
        </w:numPr>
        <w:ind w:left="1302"/>
        <w:rPr>
          <w:lang w:val="en-US"/>
        </w:rPr>
      </w:pPr>
      <w:r w:rsidRPr="00BE59B5">
        <w:rPr>
          <w:lang w:val="en-US"/>
        </w:rPr>
        <w:t>An allowance at the rate of $525 per day for the purpose of meeting expenditure in relation to commercial accommodation and meals.</w:t>
      </w:r>
    </w:p>
    <w:p w14:paraId="5BF6EE30" w14:textId="77777777" w:rsidR="000D6664" w:rsidRPr="00BE59B5" w:rsidRDefault="000D6664" w:rsidP="009B29CF">
      <w:pPr>
        <w:pStyle w:val="GG-body"/>
        <w:numPr>
          <w:ilvl w:val="1"/>
          <w:numId w:val="143"/>
        </w:numPr>
        <w:rPr>
          <w:lang w:val="en-US"/>
        </w:rPr>
      </w:pPr>
      <w:r w:rsidRPr="00BE59B5">
        <w:rPr>
          <w:lang w:val="en-US"/>
        </w:rPr>
        <w:t xml:space="preserve">Provided that, where it is necessary and appropriate, reasonable additional expenditure to that prescribed by the allowances in 3.1, 3.2 and 3.3 for the purposes of commercial accommodation and meals </w:t>
      </w:r>
      <w:bookmarkStart w:id="100" w:name="_Hlk49954499"/>
      <w:r w:rsidRPr="00BE59B5">
        <w:rPr>
          <w:lang w:val="en-US"/>
        </w:rPr>
        <w:t>may be reimbursed on the basis evidence being produced of that additional expenditure.</w:t>
      </w:r>
      <w:bookmarkEnd w:id="100"/>
    </w:p>
    <w:p w14:paraId="2B1C8E9E" w14:textId="77777777" w:rsidR="000D6664" w:rsidRPr="005D2DD6" w:rsidRDefault="000D6664" w:rsidP="009B29CF">
      <w:pPr>
        <w:pStyle w:val="GG-body"/>
        <w:numPr>
          <w:ilvl w:val="0"/>
          <w:numId w:val="143"/>
        </w:numPr>
        <w:ind w:left="336" w:hanging="336"/>
        <w:rPr>
          <w:lang w:val="en-US"/>
        </w:rPr>
      </w:pPr>
      <w:r w:rsidRPr="00BE59B5">
        <w:t>The allowances provided by this Determination shall also be payable to the Leader of the Opposition, and to the Deputy Leader of the Opposition when he or she deputises, at the Leader's request, for the Leader of the Opposition in his or her official capacity.</w:t>
      </w:r>
      <w:bookmarkEnd w:id="99"/>
    </w:p>
    <w:p w14:paraId="0197FB73" w14:textId="77777777" w:rsidR="000D6664" w:rsidRDefault="000D6664" w:rsidP="000D6664">
      <w:pPr>
        <w:pStyle w:val="GG-body"/>
        <w:rPr>
          <w:b/>
        </w:rPr>
      </w:pPr>
      <w:r w:rsidRPr="005D2DD6">
        <w:rPr>
          <w:b/>
        </w:rPr>
        <w:t>DATE OF OPERATION</w:t>
      </w:r>
    </w:p>
    <w:p w14:paraId="3E961929" w14:textId="77777777" w:rsidR="000D6664" w:rsidRPr="00BE59B5" w:rsidRDefault="000D6664" w:rsidP="009B29CF">
      <w:pPr>
        <w:pStyle w:val="GG-body"/>
        <w:numPr>
          <w:ilvl w:val="0"/>
          <w:numId w:val="143"/>
        </w:numPr>
        <w:ind w:left="336" w:hanging="336"/>
        <w:rPr>
          <w:lang w:val="en-US"/>
        </w:rPr>
      </w:pPr>
      <w:r w:rsidRPr="005D2DD6">
        <w:t>This Determination operates from 1 January 2023. It supersedes Determination 9 of 2021</w:t>
      </w:r>
      <w:r>
        <w:t>.</w:t>
      </w:r>
    </w:p>
    <w:p w14:paraId="1F4FFE15" w14:textId="77777777" w:rsidR="000D6664" w:rsidRPr="00A51192" w:rsidRDefault="000D6664" w:rsidP="000D6664">
      <w:pPr>
        <w:pStyle w:val="GG-SDated"/>
      </w:pPr>
      <w:r>
        <w:t>Dated: 14 December 2022</w:t>
      </w:r>
    </w:p>
    <w:p w14:paraId="5AD335CE" w14:textId="77777777" w:rsidR="000D6664" w:rsidRDefault="000D6664" w:rsidP="000D6664">
      <w:pPr>
        <w:pStyle w:val="GG-SName"/>
      </w:pPr>
      <w:r w:rsidRPr="00A51192">
        <w:t>Matthew O’Callaghan</w:t>
      </w:r>
    </w:p>
    <w:p w14:paraId="73C4194B" w14:textId="77777777" w:rsidR="000D6664" w:rsidRPr="00A51192" w:rsidRDefault="000D6664" w:rsidP="000D6664">
      <w:pPr>
        <w:pStyle w:val="GG-Signature"/>
        <w:spacing w:after="80"/>
      </w:pPr>
      <w:r w:rsidRPr="00A51192">
        <w:t>President</w:t>
      </w:r>
    </w:p>
    <w:p w14:paraId="450B3CF2" w14:textId="77777777" w:rsidR="000D6664" w:rsidRDefault="000D6664" w:rsidP="000D6664">
      <w:pPr>
        <w:pStyle w:val="GG-SName"/>
      </w:pPr>
      <w:r w:rsidRPr="00A51192">
        <w:t>Deborah Black</w:t>
      </w:r>
    </w:p>
    <w:p w14:paraId="5B2DDC90" w14:textId="77777777" w:rsidR="000D6664" w:rsidRPr="00A51192" w:rsidRDefault="000D6664" w:rsidP="000D6664">
      <w:pPr>
        <w:pStyle w:val="GG-Signature"/>
        <w:spacing w:after="80"/>
      </w:pPr>
      <w:r w:rsidRPr="00A51192">
        <w:t>Member</w:t>
      </w:r>
    </w:p>
    <w:p w14:paraId="0973798D" w14:textId="77777777" w:rsidR="000D6664" w:rsidRPr="00A51192" w:rsidRDefault="000D6664" w:rsidP="000D6664">
      <w:pPr>
        <w:pStyle w:val="GG-SName"/>
      </w:pPr>
      <w:r w:rsidRPr="00A51192">
        <w:t>Peter de Cure AM</w:t>
      </w:r>
    </w:p>
    <w:p w14:paraId="2E0AC5A7" w14:textId="77777777" w:rsidR="000D6664" w:rsidRDefault="000D6664" w:rsidP="000D6664">
      <w:pPr>
        <w:pStyle w:val="GG-Signature"/>
      </w:pPr>
      <w:r w:rsidRPr="00A51192">
        <w:t>Member</w:t>
      </w:r>
    </w:p>
    <w:p w14:paraId="6E4D70AE" w14:textId="77777777" w:rsidR="000D6664" w:rsidRDefault="000D6664" w:rsidP="000D6664">
      <w:pPr>
        <w:pStyle w:val="FootnoteText"/>
        <w:pBdr>
          <w:top w:val="single" w:sz="4" w:space="1" w:color="auto"/>
          <w:left w:val="none" w:sz="0" w:space="0" w:color="auto"/>
          <w:bottom w:val="none" w:sz="0" w:space="0" w:color="auto"/>
          <w:right w:val="none" w:sz="0" w:space="0" w:color="auto"/>
        </w:pBdr>
        <w:spacing w:before="100" w:line="14" w:lineRule="exact"/>
        <w:jc w:val="center"/>
        <w:rPr>
          <w:rFonts w:ascii="Times New Roman" w:hAnsi="Times New Roman" w:cs="Times New Roman"/>
          <w:sz w:val="16"/>
          <w:szCs w:val="16"/>
          <w:lang w:val="en-AU"/>
        </w:rPr>
      </w:pPr>
    </w:p>
    <w:p w14:paraId="69B5A09E" w14:textId="48914311" w:rsidR="000D6664" w:rsidRDefault="000D6664" w:rsidP="00965F17">
      <w:pPr>
        <w:pStyle w:val="GG-body"/>
        <w:spacing w:after="0"/>
        <w:rPr>
          <w:lang w:val="en-US"/>
        </w:rPr>
      </w:pPr>
    </w:p>
    <w:p w14:paraId="75ACBB0D" w14:textId="77777777" w:rsidR="000D6664" w:rsidRPr="000D6664" w:rsidRDefault="000D6664" w:rsidP="000D6664">
      <w:pPr>
        <w:jc w:val="center"/>
        <w:rPr>
          <w:caps/>
          <w:szCs w:val="17"/>
        </w:rPr>
      </w:pPr>
      <w:r w:rsidRPr="000D6664">
        <w:rPr>
          <w:caps/>
          <w:szCs w:val="17"/>
        </w:rPr>
        <w:t>The Remuneration Tribunal</w:t>
      </w:r>
    </w:p>
    <w:p w14:paraId="7E90E332" w14:textId="77777777" w:rsidR="000D6664" w:rsidRPr="000D6664" w:rsidRDefault="000D6664" w:rsidP="000D6664">
      <w:pPr>
        <w:jc w:val="center"/>
        <w:rPr>
          <w:smallCaps/>
          <w:szCs w:val="17"/>
        </w:rPr>
      </w:pPr>
      <w:r w:rsidRPr="000D6664">
        <w:rPr>
          <w:smallCaps/>
          <w:szCs w:val="17"/>
        </w:rPr>
        <w:t>Report—No. 17 of 2022</w:t>
      </w:r>
    </w:p>
    <w:p w14:paraId="1768F093" w14:textId="77777777" w:rsidR="000D6664" w:rsidRPr="000D6664" w:rsidRDefault="000D6664" w:rsidP="000D6664">
      <w:pPr>
        <w:spacing w:after="0"/>
        <w:jc w:val="center"/>
        <w:rPr>
          <w:bCs/>
          <w:i/>
          <w:szCs w:val="17"/>
        </w:rPr>
      </w:pPr>
      <w:r w:rsidRPr="000D6664">
        <w:rPr>
          <w:bCs/>
          <w:i/>
          <w:szCs w:val="17"/>
        </w:rPr>
        <w:t xml:space="preserve">2022 Review of Electorate Allowances for </w:t>
      </w:r>
    </w:p>
    <w:p w14:paraId="2FE1F12C" w14:textId="77777777" w:rsidR="000D6664" w:rsidRPr="000D6664" w:rsidRDefault="000D6664" w:rsidP="000D6664">
      <w:pPr>
        <w:jc w:val="center"/>
        <w:rPr>
          <w:bCs/>
          <w:i/>
          <w:szCs w:val="17"/>
        </w:rPr>
      </w:pPr>
      <w:r w:rsidRPr="000D6664">
        <w:rPr>
          <w:bCs/>
          <w:i/>
          <w:szCs w:val="17"/>
        </w:rPr>
        <w:t>Members of the Parliament of South Australia</w:t>
      </w:r>
    </w:p>
    <w:p w14:paraId="09EE008D" w14:textId="77777777" w:rsidR="000D6664" w:rsidRPr="000D6664" w:rsidRDefault="000D6664" w:rsidP="000D6664">
      <w:pPr>
        <w:rPr>
          <w:rFonts w:eastAsia="Times New Roman"/>
          <w:b/>
          <w:bCs/>
          <w:smallCaps/>
          <w:szCs w:val="17"/>
        </w:rPr>
      </w:pPr>
      <w:r w:rsidRPr="000D6664">
        <w:rPr>
          <w:rFonts w:eastAsia="Times New Roman"/>
          <w:b/>
          <w:bCs/>
          <w:smallCaps/>
          <w:szCs w:val="17"/>
        </w:rPr>
        <w:t>Report</w:t>
      </w:r>
    </w:p>
    <w:p w14:paraId="0A97D35A" w14:textId="77777777" w:rsidR="000D6664" w:rsidRPr="000D6664" w:rsidRDefault="000D6664" w:rsidP="000D6664">
      <w:pPr>
        <w:jc w:val="left"/>
        <w:rPr>
          <w:b/>
          <w:bCs/>
          <w:szCs w:val="17"/>
        </w:rPr>
      </w:pPr>
      <w:r w:rsidRPr="000D6664">
        <w:rPr>
          <w:b/>
          <w:bCs/>
          <w:szCs w:val="17"/>
        </w:rPr>
        <w:t>INTRODUCTION</w:t>
      </w:r>
    </w:p>
    <w:p w14:paraId="7D93EB06" w14:textId="77777777" w:rsidR="000D6664" w:rsidRPr="000D6664" w:rsidRDefault="000D6664" w:rsidP="009B29CF">
      <w:pPr>
        <w:numPr>
          <w:ilvl w:val="0"/>
          <w:numId w:val="145"/>
        </w:numPr>
        <w:ind w:left="378"/>
        <w:rPr>
          <w:rFonts w:eastAsia="Times New Roman"/>
          <w:szCs w:val="17"/>
        </w:rPr>
      </w:pPr>
      <w:r w:rsidRPr="000D6664">
        <w:rPr>
          <w:rFonts w:eastAsia="Times New Roman"/>
          <w:szCs w:val="17"/>
        </w:rPr>
        <w:t>The Remuneration Tribunal (</w:t>
      </w:r>
      <w:r w:rsidRPr="000D6664">
        <w:rPr>
          <w:rFonts w:eastAsia="Times New Roman"/>
          <w:b/>
          <w:bCs/>
          <w:szCs w:val="17"/>
        </w:rPr>
        <w:t>Tribunal</w:t>
      </w:r>
      <w:r w:rsidRPr="000D6664">
        <w:rPr>
          <w:rFonts w:eastAsia="Times New Roman"/>
          <w:szCs w:val="17"/>
        </w:rPr>
        <w:t>) has conducted a review of Determination 8 of 2021</w:t>
      </w:r>
      <w:r w:rsidRPr="000D6664">
        <w:rPr>
          <w:rFonts w:eastAsia="Times New Roman"/>
          <w:szCs w:val="17"/>
          <w:vertAlign w:val="superscript"/>
        </w:rPr>
        <w:t>1</w:t>
      </w:r>
      <w:r w:rsidRPr="000D6664">
        <w:rPr>
          <w:rFonts w:eastAsia="Times New Roman"/>
          <w:szCs w:val="17"/>
        </w:rPr>
        <w:t xml:space="preserve"> which sets an electorate allowances for members of Parliament.</w:t>
      </w:r>
    </w:p>
    <w:p w14:paraId="2EAC4263"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As explained in this report, the Tribunal has determined to increase the allowances by 4%. The Tribunal has issued an accompanying determination, which applies from 1 October 2022.</w:t>
      </w:r>
    </w:p>
    <w:p w14:paraId="217B9786" w14:textId="77777777" w:rsidR="000D6664" w:rsidRPr="000D6664" w:rsidRDefault="000D6664" w:rsidP="000D6664">
      <w:pPr>
        <w:rPr>
          <w:rFonts w:eastAsia="Times New Roman"/>
          <w:szCs w:val="17"/>
        </w:rPr>
      </w:pPr>
      <w:r w:rsidRPr="000D6664">
        <w:rPr>
          <w:rFonts w:eastAsia="Times New Roman"/>
          <w:noProof/>
          <w:szCs w:val="17"/>
        </w:rPr>
        <mc:AlternateContent>
          <mc:Choice Requires="wps">
            <w:drawing>
              <wp:anchor distT="0" distB="0" distL="114300" distR="114300" simplePos="0" relativeHeight="251684864" behindDoc="0" locked="0" layoutInCell="1" allowOverlap="1" wp14:anchorId="3C2EB0D2" wp14:editId="66423C22">
                <wp:simplePos x="0" y="0"/>
                <wp:positionH relativeFrom="column">
                  <wp:posOffset>9839</wp:posOffset>
                </wp:positionH>
                <wp:positionV relativeFrom="paragraph">
                  <wp:posOffset>55914</wp:posOffset>
                </wp:positionV>
                <wp:extent cx="1708220" cy="0"/>
                <wp:effectExtent l="0" t="0" r="0" b="0"/>
                <wp:wrapNone/>
                <wp:docPr id="20" name="Straight Connector 20"/>
                <wp:cNvGraphicFramePr/>
                <a:graphic xmlns:a="http://schemas.openxmlformats.org/drawingml/2006/main">
                  <a:graphicData uri="http://schemas.microsoft.com/office/word/2010/wordprocessingShape">
                    <wps:wsp>
                      <wps:cNvCnPr/>
                      <wps:spPr>
                        <a:xfrm flipV="1">
                          <a:off x="0" y="0"/>
                          <a:ext cx="17082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B9E4A8" id="Straight Connector 20"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" strokecolor="windowText" strokeweight=".5pt">
                <v:stroke joinstyle="miter"/>
              </v:line>
            </w:pict>
          </mc:Fallback>
        </mc:AlternateContent>
      </w:r>
    </w:p>
    <w:p w14:paraId="1D70B511" w14:textId="77777777" w:rsidR="000D6664" w:rsidRPr="000D6664" w:rsidRDefault="000D6664" w:rsidP="000D6664">
      <w:pPr>
        <w:pBdr>
          <w:top w:val="nil"/>
          <w:left w:val="nil"/>
          <w:bottom w:val="nil"/>
          <w:right w:val="nil"/>
          <w:between w:val="nil"/>
          <w:bar w:val="nil"/>
        </w:pBdr>
        <w:spacing w:line="160" w:lineRule="exact"/>
        <w:ind w:left="142" w:hanging="142"/>
        <w:jc w:val="left"/>
        <w:rPr>
          <w:color w:val="000000"/>
          <w:sz w:val="16"/>
          <w:szCs w:val="16"/>
          <w:u w:color="000000"/>
          <w:bdr w:val="nil"/>
          <w:lang w:eastAsia="en-AU"/>
        </w:rPr>
      </w:pPr>
      <w:r w:rsidRPr="000D6664">
        <w:rPr>
          <w:color w:val="000000"/>
          <w:sz w:val="16"/>
          <w:szCs w:val="16"/>
          <w:u w:color="000000"/>
          <w:bdr w:val="nil"/>
          <w:vertAlign w:val="superscript"/>
          <w:lang w:val="en-US" w:eastAsia="en-AU"/>
        </w:rPr>
        <w:footnoteRef/>
      </w:r>
      <w:r w:rsidRPr="000D6664">
        <w:rPr>
          <w:color w:val="000000"/>
          <w:sz w:val="16"/>
          <w:szCs w:val="16"/>
          <w:u w:color="000000"/>
          <w:bdr w:val="nil"/>
          <w:lang w:val="en-US" w:eastAsia="en-AU"/>
        </w:rPr>
        <w:t xml:space="preserve"> </w:t>
      </w:r>
      <w:r w:rsidRPr="000D6664">
        <w:rPr>
          <w:color w:val="000000"/>
          <w:sz w:val="16"/>
          <w:szCs w:val="16"/>
          <w:u w:color="000000"/>
          <w:bdr w:val="nil"/>
          <w:lang w:val="en-US" w:eastAsia="en-AU"/>
        </w:rPr>
        <w:tab/>
      </w:r>
      <w:r w:rsidRPr="000D6664">
        <w:rPr>
          <w:color w:val="000000"/>
          <w:sz w:val="16"/>
          <w:szCs w:val="16"/>
          <w:u w:color="000000"/>
          <w:bdr w:val="nil"/>
          <w:lang w:eastAsia="en-AU"/>
        </w:rPr>
        <w:t>Electorate Allowances for Members of the Parliament of South Australia.</w:t>
      </w:r>
    </w:p>
    <w:p w14:paraId="07DF084C" w14:textId="77777777" w:rsidR="000D6664" w:rsidRPr="000D6664" w:rsidRDefault="000D6664" w:rsidP="000D6664">
      <w:pPr>
        <w:jc w:val="left"/>
        <w:rPr>
          <w:b/>
          <w:bCs/>
          <w:szCs w:val="17"/>
        </w:rPr>
      </w:pPr>
      <w:r w:rsidRPr="000D6664">
        <w:rPr>
          <w:b/>
          <w:bCs/>
          <w:szCs w:val="17"/>
        </w:rPr>
        <w:t>THE REVIEW PROCESS</w:t>
      </w:r>
    </w:p>
    <w:p w14:paraId="124E0B27"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 xml:space="preserve">On 22 June 2022, in accordance with sections 10(2) and 10(4) of the </w:t>
      </w:r>
      <w:r w:rsidRPr="000D6664">
        <w:rPr>
          <w:rFonts w:eastAsia="Times New Roman"/>
          <w:i/>
          <w:iCs/>
          <w:szCs w:val="17"/>
        </w:rPr>
        <w:t>Remuneration Act 1990</w:t>
      </w:r>
      <w:r w:rsidRPr="000D6664">
        <w:rPr>
          <w:rFonts w:eastAsia="Times New Roman"/>
          <w:szCs w:val="17"/>
        </w:rPr>
        <w:t xml:space="preserve"> (</w:t>
      </w:r>
      <w:r w:rsidRPr="000D6664">
        <w:rPr>
          <w:rFonts w:eastAsia="Times New Roman"/>
          <w:b/>
          <w:bCs/>
          <w:szCs w:val="17"/>
        </w:rPr>
        <w:t>Act</w:t>
      </w:r>
      <w:r w:rsidRPr="000D6664">
        <w:rPr>
          <w:rFonts w:eastAsia="Times New Roman"/>
          <w:szCs w:val="17"/>
        </w:rPr>
        <w:t>), the Tribunal wrote to and invited submissions by 19 August 2022 in respect of this review from:</w:t>
      </w:r>
    </w:p>
    <w:p w14:paraId="570E8BD7" w14:textId="77777777" w:rsidR="000D6664" w:rsidRPr="000D6664" w:rsidRDefault="000D6664" w:rsidP="009B29CF">
      <w:pPr>
        <w:numPr>
          <w:ilvl w:val="0"/>
          <w:numId w:val="137"/>
        </w:numPr>
        <w:rPr>
          <w:rFonts w:eastAsia="Times New Roman"/>
          <w:szCs w:val="17"/>
        </w:rPr>
      </w:pPr>
      <w:r w:rsidRPr="000D6664">
        <w:rPr>
          <w:rFonts w:eastAsia="Times New Roman"/>
          <w:szCs w:val="17"/>
        </w:rPr>
        <w:t>the Honourable Premier of South Australia – as the Minister responsible for the Act who may make submissions or introduce evidence in the public interest</w:t>
      </w:r>
    </w:p>
    <w:p w14:paraId="6417AB8B" w14:textId="77777777" w:rsidR="000D6664" w:rsidRPr="000D6664" w:rsidRDefault="000D6664" w:rsidP="009B29CF">
      <w:pPr>
        <w:numPr>
          <w:ilvl w:val="0"/>
          <w:numId w:val="137"/>
        </w:numPr>
        <w:rPr>
          <w:rFonts w:eastAsia="Times New Roman"/>
          <w:szCs w:val="17"/>
        </w:rPr>
      </w:pPr>
      <w:r w:rsidRPr="000D6664">
        <w:rPr>
          <w:rFonts w:eastAsia="Times New Roman"/>
          <w:szCs w:val="17"/>
        </w:rPr>
        <w:t>members of Parliament</w:t>
      </w:r>
    </w:p>
    <w:p w14:paraId="7B1CD7AC" w14:textId="77777777" w:rsidR="000D6664" w:rsidRPr="000D6664" w:rsidRDefault="000D6664" w:rsidP="009B29CF">
      <w:pPr>
        <w:numPr>
          <w:ilvl w:val="0"/>
          <w:numId w:val="137"/>
        </w:numPr>
        <w:rPr>
          <w:rFonts w:eastAsia="Times New Roman"/>
          <w:szCs w:val="17"/>
        </w:rPr>
      </w:pPr>
      <w:r w:rsidRPr="000D6664">
        <w:rPr>
          <w:rFonts w:eastAsia="Times New Roman"/>
          <w:szCs w:val="17"/>
        </w:rPr>
        <w:t>the Treasurer</w:t>
      </w:r>
    </w:p>
    <w:p w14:paraId="1C8ADC12" w14:textId="77777777" w:rsidR="000D6664" w:rsidRPr="000D6664" w:rsidRDefault="000D6664" w:rsidP="009B29CF">
      <w:pPr>
        <w:numPr>
          <w:ilvl w:val="0"/>
          <w:numId w:val="137"/>
        </w:numPr>
        <w:rPr>
          <w:rFonts w:eastAsia="Times New Roman"/>
          <w:szCs w:val="17"/>
        </w:rPr>
      </w:pPr>
      <w:r w:rsidRPr="000D6664">
        <w:rPr>
          <w:rFonts w:eastAsia="Times New Roman"/>
          <w:szCs w:val="17"/>
        </w:rPr>
        <w:t>the Independent Commissioner Against Corruption</w:t>
      </w:r>
    </w:p>
    <w:p w14:paraId="16295850"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 xml:space="preserve">The Tribunal also advertised its intention to review this, and other determinations applicable to members of Parliament, on its website from 22 June 2022. Submissions were also invited by 19 August 2022. </w:t>
      </w:r>
    </w:p>
    <w:p w14:paraId="4B2DAA43"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On 16 August 2022, the Premier’s representative confirmed that no submission would be made. No other submissions were received in respect of this review.</w:t>
      </w:r>
    </w:p>
    <w:p w14:paraId="31E9A4D5" w14:textId="77777777" w:rsidR="000D6664" w:rsidRPr="000D6664" w:rsidRDefault="000D6664" w:rsidP="000D6664">
      <w:pPr>
        <w:jc w:val="left"/>
        <w:rPr>
          <w:b/>
          <w:bCs/>
          <w:szCs w:val="17"/>
        </w:rPr>
      </w:pPr>
      <w:r w:rsidRPr="000D6664">
        <w:rPr>
          <w:b/>
          <w:bCs/>
          <w:szCs w:val="17"/>
        </w:rPr>
        <w:t>CONSIDERATION AND CONCLUSION</w:t>
      </w:r>
    </w:p>
    <w:p w14:paraId="6B6546B5"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 xml:space="preserve">Electorate allowances predate the </w:t>
      </w:r>
      <w:r w:rsidRPr="000D6664">
        <w:rPr>
          <w:rFonts w:eastAsia="Times New Roman"/>
          <w:i/>
          <w:iCs/>
          <w:szCs w:val="17"/>
        </w:rPr>
        <w:t>Parliamentary Remuneration Act 1990</w:t>
      </w:r>
      <w:r w:rsidRPr="000D6664">
        <w:rPr>
          <w:rFonts w:eastAsia="Times New Roman"/>
          <w:szCs w:val="17"/>
        </w:rPr>
        <w:t xml:space="preserve"> (</w:t>
      </w:r>
      <w:r w:rsidRPr="000D6664">
        <w:rPr>
          <w:rFonts w:eastAsia="Times New Roman"/>
          <w:b/>
          <w:bCs/>
          <w:szCs w:val="17"/>
        </w:rPr>
        <w:t>PR Act</w:t>
      </w:r>
      <w:r w:rsidRPr="000D6664">
        <w:rPr>
          <w:rFonts w:eastAsia="Times New Roman"/>
          <w:szCs w:val="17"/>
        </w:rPr>
        <w:t>) which commenced in April 1990, and have been set by the Tribunal since and before that time.</w:t>
      </w:r>
    </w:p>
    <w:p w14:paraId="27568AF6"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Consistent with section 4(2) of the PR Act, electorate allowances incorporate expenses associated with discharging parliamentary duties by members of Parliament. While they are part of a member’s remuneration, these allowances are intended to compensate members for the expenses they necessarily incur in the performance of their duties.</w:t>
      </w:r>
    </w:p>
    <w:p w14:paraId="3E1DC6ED"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lastRenderedPageBreak/>
        <w:t xml:space="preserve">The Tribunal does not have current data on how members currently spend the electorate allowance, and acknowledges that this may vary substantially depending on the electorate and the member. Historically the Tribunal has recognised that a significant component of the allowance covers the cost of running a motor vehicle in the servicing of electorates. The Tribunal has noted changes in motor vehicle arrangements for members of Parliament which are likely to impact on this historical element of electorate costs imposts. Without attempting to give a fully exhaustive list the Tribunal has also previously noted other items of expense, including accommodation and travelling expenses (not otherwise covered), donations, subscriptions, telephone, printing, stationery and postage. </w:t>
      </w:r>
    </w:p>
    <w:p w14:paraId="1765377C"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Accordingly, the Tribunal has consistently reviewed electorate allowances against cost of living increases rather than against wage setting criteria. Absent any indication that this approach is no longer applicable, the Tribunal has adopted a but generally consistent approach this year.</w:t>
      </w:r>
    </w:p>
    <w:p w14:paraId="210E4B2B"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The Tribunal has taken the following economic data into account:</w:t>
      </w:r>
    </w:p>
    <w:p w14:paraId="3C667029" w14:textId="77777777" w:rsidR="000D6664" w:rsidRPr="000D6664" w:rsidRDefault="000D6664" w:rsidP="009B29CF">
      <w:pPr>
        <w:numPr>
          <w:ilvl w:val="0"/>
          <w:numId w:val="138"/>
        </w:numPr>
        <w:rPr>
          <w:rFonts w:eastAsia="Times New Roman"/>
          <w:szCs w:val="17"/>
        </w:rPr>
      </w:pPr>
      <w:r w:rsidRPr="000D6664">
        <w:rPr>
          <w:rFonts w:eastAsia="Times New Roman"/>
          <w:szCs w:val="17"/>
        </w:rPr>
        <w:t xml:space="preserve">The Consumer Price Index (All groups Adelaide) shows the following percentage changes from the corresponding quarters of previous years: </w:t>
      </w:r>
    </w:p>
    <w:p w14:paraId="40E9AFEF" w14:textId="77777777" w:rsidR="000D6664" w:rsidRPr="000D6664" w:rsidRDefault="000D6664" w:rsidP="009B29CF">
      <w:pPr>
        <w:numPr>
          <w:ilvl w:val="0"/>
          <w:numId w:val="146"/>
        </w:numPr>
        <w:ind w:left="1134"/>
        <w:rPr>
          <w:rFonts w:eastAsia="Times New Roman"/>
          <w:szCs w:val="17"/>
        </w:rPr>
      </w:pPr>
      <w:r w:rsidRPr="000D6664">
        <w:rPr>
          <w:rFonts w:eastAsia="Times New Roman"/>
          <w:szCs w:val="17"/>
        </w:rPr>
        <w:t xml:space="preserve">3.3% for December 2021 </w:t>
      </w:r>
    </w:p>
    <w:p w14:paraId="600F31E6" w14:textId="77777777" w:rsidR="000D6664" w:rsidRPr="000D6664" w:rsidRDefault="000D6664" w:rsidP="009B29CF">
      <w:pPr>
        <w:numPr>
          <w:ilvl w:val="0"/>
          <w:numId w:val="146"/>
        </w:numPr>
        <w:ind w:left="1134"/>
        <w:rPr>
          <w:rFonts w:eastAsia="Times New Roman"/>
          <w:szCs w:val="17"/>
        </w:rPr>
      </w:pPr>
      <w:r w:rsidRPr="000D6664">
        <w:rPr>
          <w:rFonts w:eastAsia="Times New Roman"/>
          <w:szCs w:val="17"/>
        </w:rPr>
        <w:t>4.7% for March 2022</w:t>
      </w:r>
    </w:p>
    <w:p w14:paraId="41FA28BC" w14:textId="77777777" w:rsidR="000D6664" w:rsidRPr="000D6664" w:rsidRDefault="000D6664" w:rsidP="009B29CF">
      <w:pPr>
        <w:numPr>
          <w:ilvl w:val="0"/>
          <w:numId w:val="146"/>
        </w:numPr>
        <w:ind w:left="1134"/>
        <w:rPr>
          <w:rFonts w:eastAsia="Times New Roman"/>
          <w:szCs w:val="17"/>
        </w:rPr>
      </w:pPr>
      <w:r w:rsidRPr="000D6664">
        <w:rPr>
          <w:rFonts w:eastAsia="Times New Roman"/>
          <w:szCs w:val="17"/>
        </w:rPr>
        <w:t xml:space="preserve">6.4% for June 2022 </w:t>
      </w:r>
    </w:p>
    <w:p w14:paraId="34F98884" w14:textId="77777777" w:rsidR="000D6664" w:rsidRPr="000D6664" w:rsidRDefault="000D6664" w:rsidP="009B29CF">
      <w:pPr>
        <w:numPr>
          <w:ilvl w:val="0"/>
          <w:numId w:val="146"/>
        </w:numPr>
        <w:ind w:left="1134"/>
        <w:rPr>
          <w:rFonts w:eastAsia="Times New Roman"/>
          <w:szCs w:val="17"/>
        </w:rPr>
      </w:pPr>
      <w:r w:rsidRPr="000D6664">
        <w:rPr>
          <w:rFonts w:eastAsia="Times New Roman"/>
          <w:szCs w:val="17"/>
        </w:rPr>
        <w:t>8.4% for September 2022.</w:t>
      </w:r>
    </w:p>
    <w:p w14:paraId="63F71016" w14:textId="77777777" w:rsidR="000D6664" w:rsidRPr="000D6664" w:rsidRDefault="000D6664" w:rsidP="009B29CF">
      <w:pPr>
        <w:numPr>
          <w:ilvl w:val="0"/>
          <w:numId w:val="138"/>
        </w:numPr>
        <w:rPr>
          <w:rFonts w:eastAsia="Times New Roman"/>
          <w:szCs w:val="17"/>
        </w:rPr>
      </w:pPr>
      <w:r w:rsidRPr="000D6664">
        <w:rPr>
          <w:rFonts w:eastAsia="Times New Roman"/>
          <w:szCs w:val="17"/>
        </w:rPr>
        <w:t>As at November 2022 the Reserve Bank of Australia forecast of the Consumer Price Index is:</w:t>
      </w:r>
    </w:p>
    <w:p w14:paraId="1830F78F" w14:textId="77777777" w:rsidR="000D6664" w:rsidRPr="000D6664" w:rsidRDefault="000D6664" w:rsidP="009B29CF">
      <w:pPr>
        <w:numPr>
          <w:ilvl w:val="0"/>
          <w:numId w:val="147"/>
        </w:numPr>
        <w:ind w:left="1148"/>
        <w:rPr>
          <w:rFonts w:eastAsia="Times New Roman"/>
          <w:szCs w:val="17"/>
        </w:rPr>
      </w:pPr>
      <w:r w:rsidRPr="000D6664">
        <w:rPr>
          <w:rFonts w:eastAsia="Times New Roman"/>
          <w:szCs w:val="17"/>
        </w:rPr>
        <w:t xml:space="preserve">8% for December 2022 quarter </w:t>
      </w:r>
    </w:p>
    <w:p w14:paraId="2995DB14" w14:textId="77777777" w:rsidR="000D6664" w:rsidRPr="000D6664" w:rsidRDefault="000D6664" w:rsidP="009B29CF">
      <w:pPr>
        <w:numPr>
          <w:ilvl w:val="0"/>
          <w:numId w:val="147"/>
        </w:numPr>
        <w:ind w:left="1134"/>
        <w:rPr>
          <w:rFonts w:eastAsia="Times New Roman"/>
          <w:szCs w:val="17"/>
        </w:rPr>
      </w:pPr>
      <w:r w:rsidRPr="000D6664">
        <w:rPr>
          <w:rFonts w:eastAsia="Times New Roman"/>
          <w:szCs w:val="17"/>
        </w:rPr>
        <w:t xml:space="preserve">6.3% for June 2023 </w:t>
      </w:r>
    </w:p>
    <w:p w14:paraId="75025598" w14:textId="77777777" w:rsidR="000D6664" w:rsidRPr="000D6664" w:rsidRDefault="000D6664" w:rsidP="009B29CF">
      <w:pPr>
        <w:numPr>
          <w:ilvl w:val="0"/>
          <w:numId w:val="147"/>
        </w:numPr>
        <w:ind w:left="1134"/>
        <w:rPr>
          <w:rFonts w:eastAsia="Times New Roman"/>
          <w:szCs w:val="17"/>
        </w:rPr>
      </w:pPr>
      <w:r w:rsidRPr="000D6664">
        <w:rPr>
          <w:rFonts w:eastAsia="Times New Roman"/>
          <w:szCs w:val="17"/>
        </w:rPr>
        <w:t xml:space="preserve">4.7% for December 2023 </w:t>
      </w:r>
    </w:p>
    <w:p w14:paraId="759AA56C" w14:textId="77777777" w:rsidR="000D6664" w:rsidRPr="000D6664" w:rsidRDefault="000D6664" w:rsidP="009B29CF">
      <w:pPr>
        <w:numPr>
          <w:ilvl w:val="0"/>
          <w:numId w:val="147"/>
        </w:numPr>
        <w:ind w:left="1134"/>
        <w:rPr>
          <w:rFonts w:eastAsia="Times New Roman"/>
          <w:szCs w:val="17"/>
        </w:rPr>
      </w:pPr>
      <w:r w:rsidRPr="000D6664">
        <w:rPr>
          <w:rFonts w:eastAsia="Times New Roman"/>
          <w:szCs w:val="17"/>
        </w:rPr>
        <w:t xml:space="preserve">4.2% for June 2024 </w:t>
      </w:r>
    </w:p>
    <w:p w14:paraId="48C90E27" w14:textId="77777777" w:rsidR="000D6664" w:rsidRPr="000D6664" w:rsidRDefault="000D6664" w:rsidP="009B29CF">
      <w:pPr>
        <w:numPr>
          <w:ilvl w:val="0"/>
          <w:numId w:val="147"/>
        </w:numPr>
        <w:ind w:left="1134"/>
        <w:rPr>
          <w:rFonts w:eastAsia="Times New Roman"/>
          <w:szCs w:val="17"/>
        </w:rPr>
      </w:pPr>
      <w:r w:rsidRPr="000D6664">
        <w:rPr>
          <w:rFonts w:eastAsia="Times New Roman"/>
          <w:szCs w:val="17"/>
        </w:rPr>
        <w:t>3.2% for December 2024.</w:t>
      </w:r>
    </w:p>
    <w:p w14:paraId="6430D9FD"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The Tribunal has noted the steps being taken to reduce the current inflationary trend and has adopted a cautionary approach to recognition of inflationary movements.</w:t>
      </w:r>
    </w:p>
    <w:p w14:paraId="4127A75C"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In reviewing this entitlement, the Tribunal has also had due regard to the necessary statutory considerations under section 4(2)(a) of PR Act. That section of the PR Act provides that the Tribunal must, in determining electorate allowances and other remuneration for members of Parliament, have regard not only to their parliamentary duties, but also to:</w:t>
      </w:r>
    </w:p>
    <w:p w14:paraId="294C5634" w14:textId="77777777" w:rsidR="000D6664" w:rsidRPr="000D6664" w:rsidRDefault="000D6664" w:rsidP="009B29CF">
      <w:pPr>
        <w:numPr>
          <w:ilvl w:val="0"/>
          <w:numId w:val="144"/>
        </w:numPr>
        <w:rPr>
          <w:rFonts w:eastAsia="Times New Roman"/>
          <w:szCs w:val="17"/>
        </w:rPr>
      </w:pPr>
      <w:r w:rsidRPr="000D6664">
        <w:rPr>
          <w:rFonts w:eastAsia="Times New Roman"/>
          <w:szCs w:val="17"/>
        </w:rPr>
        <w:t>their duty to be actively involved in community affairs, and</w:t>
      </w:r>
    </w:p>
    <w:p w14:paraId="7093E44D" w14:textId="77777777" w:rsidR="000D6664" w:rsidRPr="000D6664" w:rsidRDefault="000D6664" w:rsidP="009B29CF">
      <w:pPr>
        <w:numPr>
          <w:ilvl w:val="0"/>
          <w:numId w:val="144"/>
        </w:numPr>
        <w:rPr>
          <w:rFonts w:eastAsia="Times New Roman"/>
          <w:szCs w:val="17"/>
        </w:rPr>
      </w:pPr>
      <w:r w:rsidRPr="000D6664">
        <w:rPr>
          <w:rFonts w:eastAsia="Times New Roman"/>
          <w:szCs w:val="17"/>
        </w:rPr>
        <w:t>their duty to represent and assist their constituents in dealings with governmental and other public agencies and authorities.</w:t>
      </w:r>
    </w:p>
    <w:p w14:paraId="74AA4EE3"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The Tribunal has decided that the electorate allowances should be increased by 4%, with effect from 1 October 2022. If more accurate information about electorate expenditures had been available to the Tribunal, a higher percentage increase may have applied.</w:t>
      </w:r>
    </w:p>
    <w:p w14:paraId="44A1507A" w14:textId="77777777" w:rsidR="000D6664" w:rsidRPr="000D6664" w:rsidRDefault="000D6664" w:rsidP="009B29CF">
      <w:pPr>
        <w:numPr>
          <w:ilvl w:val="0"/>
          <w:numId w:val="145"/>
        </w:numPr>
        <w:ind w:left="364"/>
        <w:rPr>
          <w:rFonts w:eastAsia="Times New Roman"/>
          <w:szCs w:val="17"/>
        </w:rPr>
      </w:pPr>
      <w:r w:rsidRPr="000D6664">
        <w:rPr>
          <w:rFonts w:eastAsia="Times New Roman"/>
          <w:szCs w:val="17"/>
        </w:rPr>
        <w:t>The Tribunal proposes to review the basis for electorate allowances in 2023. That review is expected to include consideration of the cost of items and amounts to be covered by the electorate allowance to ensure an appropriate basis for the allowance amount in the future. Submissions in this respect will be invited.</w:t>
      </w:r>
    </w:p>
    <w:p w14:paraId="7B993574" w14:textId="77777777" w:rsidR="000D6664" w:rsidRPr="000D6664" w:rsidRDefault="000D6664" w:rsidP="000D6664">
      <w:pPr>
        <w:spacing w:after="0"/>
        <w:rPr>
          <w:rFonts w:eastAsia="Times New Roman"/>
          <w:szCs w:val="17"/>
        </w:rPr>
      </w:pPr>
      <w:r w:rsidRPr="000D6664">
        <w:rPr>
          <w:rFonts w:eastAsia="Times New Roman"/>
          <w:szCs w:val="17"/>
        </w:rPr>
        <w:t>Dated: 14 December 2022</w:t>
      </w:r>
    </w:p>
    <w:p w14:paraId="3FA49AE0"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Matthew O’Callaghan</w:t>
      </w:r>
    </w:p>
    <w:p w14:paraId="28D66768" w14:textId="77777777" w:rsidR="000D6664" w:rsidRPr="000D6664" w:rsidRDefault="000D6664" w:rsidP="000D6664">
      <w:pPr>
        <w:jc w:val="right"/>
        <w:rPr>
          <w:rFonts w:eastAsia="Times New Roman"/>
          <w:szCs w:val="17"/>
        </w:rPr>
      </w:pPr>
      <w:r w:rsidRPr="000D6664">
        <w:rPr>
          <w:rFonts w:eastAsia="Times New Roman"/>
          <w:szCs w:val="17"/>
        </w:rPr>
        <w:t>President</w:t>
      </w:r>
    </w:p>
    <w:p w14:paraId="4449C710"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Deborah Black</w:t>
      </w:r>
    </w:p>
    <w:p w14:paraId="5D669930" w14:textId="77777777" w:rsidR="000D6664" w:rsidRPr="000D6664" w:rsidRDefault="000D6664" w:rsidP="000D6664">
      <w:pPr>
        <w:jc w:val="right"/>
        <w:rPr>
          <w:rFonts w:eastAsia="Times New Roman"/>
          <w:szCs w:val="17"/>
        </w:rPr>
      </w:pPr>
      <w:r w:rsidRPr="000D6664">
        <w:rPr>
          <w:rFonts w:eastAsia="Times New Roman"/>
          <w:szCs w:val="17"/>
        </w:rPr>
        <w:t>Member</w:t>
      </w:r>
    </w:p>
    <w:p w14:paraId="440FA140"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Peter de Cure AM</w:t>
      </w:r>
    </w:p>
    <w:p w14:paraId="26A9F3C9" w14:textId="77777777" w:rsidR="000D6664" w:rsidRPr="000D6664" w:rsidRDefault="000D6664" w:rsidP="000D6664">
      <w:pPr>
        <w:jc w:val="right"/>
        <w:rPr>
          <w:rFonts w:eastAsia="Times New Roman"/>
          <w:szCs w:val="17"/>
        </w:rPr>
      </w:pPr>
      <w:r w:rsidRPr="000D6664">
        <w:rPr>
          <w:rFonts w:eastAsia="Times New Roman"/>
          <w:szCs w:val="17"/>
        </w:rPr>
        <w:t>Member</w:t>
      </w:r>
    </w:p>
    <w:p w14:paraId="60FA3032" w14:textId="77777777" w:rsidR="000D6664" w:rsidRPr="000D6664" w:rsidRDefault="000D6664" w:rsidP="00861BD1">
      <w:pPr>
        <w:pBdr>
          <w:top w:val="single" w:sz="4" w:space="1" w:color="auto"/>
        </w:pBdr>
        <w:spacing w:before="100" w:after="0" w:line="14" w:lineRule="exact"/>
        <w:ind w:left="1080" w:right="1080"/>
        <w:jc w:val="center"/>
        <w:rPr>
          <w:rFonts w:eastAsia="Times New Roman"/>
          <w:szCs w:val="17"/>
        </w:rPr>
      </w:pPr>
    </w:p>
    <w:p w14:paraId="7917E79F" w14:textId="22F67932" w:rsidR="000D6664" w:rsidRPr="000D6664" w:rsidRDefault="000D6664" w:rsidP="009B29CF">
      <w:pPr>
        <w:spacing w:after="0"/>
        <w:jc w:val="left"/>
      </w:pPr>
    </w:p>
    <w:p w14:paraId="251DA976" w14:textId="77777777" w:rsidR="000D6664" w:rsidRPr="000D6664" w:rsidRDefault="000D6664" w:rsidP="000D6664">
      <w:pPr>
        <w:jc w:val="center"/>
        <w:rPr>
          <w:caps/>
          <w:szCs w:val="17"/>
        </w:rPr>
      </w:pPr>
      <w:r w:rsidRPr="000D6664">
        <w:rPr>
          <w:caps/>
          <w:szCs w:val="17"/>
        </w:rPr>
        <w:t>The Remuneration Tribunal</w:t>
      </w:r>
    </w:p>
    <w:p w14:paraId="7DFAE084" w14:textId="77777777" w:rsidR="000D6664" w:rsidRPr="000D6664" w:rsidRDefault="000D6664" w:rsidP="000D6664">
      <w:pPr>
        <w:jc w:val="center"/>
        <w:rPr>
          <w:smallCaps/>
          <w:szCs w:val="17"/>
        </w:rPr>
      </w:pPr>
      <w:r w:rsidRPr="000D6664">
        <w:rPr>
          <w:smallCaps/>
          <w:szCs w:val="17"/>
        </w:rPr>
        <w:t>Determination—No. 17 of 2022</w:t>
      </w:r>
    </w:p>
    <w:p w14:paraId="1C842131" w14:textId="77777777" w:rsidR="000D6664" w:rsidRPr="000D6664" w:rsidRDefault="000D6664" w:rsidP="000D6664">
      <w:pPr>
        <w:spacing w:after="0"/>
        <w:jc w:val="center"/>
        <w:rPr>
          <w:i/>
          <w:szCs w:val="17"/>
        </w:rPr>
      </w:pPr>
      <w:r w:rsidRPr="000D6664">
        <w:rPr>
          <w:i/>
          <w:szCs w:val="17"/>
        </w:rPr>
        <w:t xml:space="preserve">Accommodation and Meal Allowances for </w:t>
      </w:r>
    </w:p>
    <w:p w14:paraId="13FA0462" w14:textId="77777777" w:rsidR="000D6664" w:rsidRPr="000D6664" w:rsidRDefault="000D6664" w:rsidP="000D6664">
      <w:pPr>
        <w:jc w:val="center"/>
        <w:rPr>
          <w:i/>
          <w:szCs w:val="17"/>
        </w:rPr>
      </w:pPr>
      <w:r w:rsidRPr="000D6664">
        <w:rPr>
          <w:i/>
          <w:szCs w:val="17"/>
        </w:rPr>
        <w:t>Ministers of the Crown and the Leader and Deputy Leader of the Opposition</w:t>
      </w:r>
    </w:p>
    <w:p w14:paraId="7986E430" w14:textId="77777777" w:rsidR="000D6664" w:rsidRPr="000D6664" w:rsidRDefault="000D6664" w:rsidP="000D6664">
      <w:pPr>
        <w:jc w:val="left"/>
        <w:rPr>
          <w:b/>
          <w:bCs/>
          <w:szCs w:val="17"/>
        </w:rPr>
      </w:pPr>
      <w:r w:rsidRPr="000D6664">
        <w:rPr>
          <w:b/>
          <w:bCs/>
          <w:szCs w:val="17"/>
        </w:rPr>
        <w:t>SCOPE OF DETERMINATION</w:t>
      </w:r>
    </w:p>
    <w:p w14:paraId="46ECF54E" w14:textId="77777777" w:rsidR="000D6664" w:rsidRPr="000D6664" w:rsidRDefault="000D6664" w:rsidP="009B29CF">
      <w:pPr>
        <w:numPr>
          <w:ilvl w:val="0"/>
          <w:numId w:val="148"/>
        </w:numPr>
        <w:rPr>
          <w:rFonts w:eastAsia="Times New Roman"/>
          <w:szCs w:val="17"/>
        </w:rPr>
      </w:pPr>
      <w:r w:rsidRPr="000D6664">
        <w:rPr>
          <w:rFonts w:eastAsia="Times New Roman"/>
          <w:szCs w:val="17"/>
        </w:rPr>
        <w:t>This Determination applies to members of the Parliament of South Australia.</w:t>
      </w:r>
    </w:p>
    <w:p w14:paraId="0B8B9285" w14:textId="77777777" w:rsidR="000D6664" w:rsidRPr="000D6664" w:rsidRDefault="000D6664" w:rsidP="000D6664">
      <w:pPr>
        <w:rPr>
          <w:rFonts w:eastAsia="Times New Roman"/>
          <w:b/>
          <w:szCs w:val="17"/>
        </w:rPr>
      </w:pPr>
      <w:r w:rsidRPr="000D6664">
        <w:rPr>
          <w:rFonts w:eastAsia="Times New Roman"/>
          <w:b/>
          <w:szCs w:val="17"/>
        </w:rPr>
        <w:t>INTERPRETATION</w:t>
      </w:r>
    </w:p>
    <w:p w14:paraId="0480C259" w14:textId="77777777" w:rsidR="000D6664" w:rsidRPr="000D6664" w:rsidRDefault="000D6664" w:rsidP="009B29CF">
      <w:pPr>
        <w:numPr>
          <w:ilvl w:val="0"/>
          <w:numId w:val="148"/>
        </w:numPr>
        <w:ind w:left="336" w:hanging="336"/>
        <w:rPr>
          <w:rFonts w:eastAsia="Times New Roman"/>
          <w:szCs w:val="17"/>
          <w:lang w:val="en-US"/>
        </w:rPr>
      </w:pPr>
      <w:r w:rsidRPr="000D6664">
        <w:rPr>
          <w:rFonts w:eastAsia="Times New Roman"/>
          <w:szCs w:val="17"/>
          <w:lang w:val="en-US"/>
        </w:rPr>
        <w:t>In this Determination, unless the contrary appears:</w:t>
      </w:r>
    </w:p>
    <w:p w14:paraId="5AAC957D" w14:textId="77777777" w:rsidR="000D6664" w:rsidRPr="000D6664" w:rsidRDefault="000D6664" w:rsidP="000D6664">
      <w:pPr>
        <w:ind w:left="426"/>
        <w:rPr>
          <w:rFonts w:eastAsia="Times New Roman"/>
          <w:szCs w:val="17"/>
        </w:rPr>
      </w:pPr>
      <w:bookmarkStart w:id="101" w:name="_Hlk122453416"/>
      <w:r w:rsidRPr="000D6664">
        <w:rPr>
          <w:rFonts w:eastAsia="Times New Roman"/>
          <w:b/>
          <w:bCs/>
          <w:szCs w:val="17"/>
        </w:rPr>
        <w:t xml:space="preserve">“Community Duties” </w:t>
      </w:r>
      <w:r w:rsidRPr="000D6664">
        <w:rPr>
          <w:rFonts w:eastAsia="Times New Roman"/>
          <w:szCs w:val="17"/>
        </w:rPr>
        <w:t>means any activities of the Member in connection with their duty to be actively involved in community affairs, including, amongst other things, attendance at community events and functions.</w:t>
      </w:r>
    </w:p>
    <w:p w14:paraId="29EFCF5A" w14:textId="77777777" w:rsidR="000D6664" w:rsidRPr="000D6664" w:rsidRDefault="000D6664" w:rsidP="000D6664">
      <w:pPr>
        <w:ind w:left="426"/>
        <w:rPr>
          <w:rFonts w:eastAsia="Times New Roman"/>
          <w:szCs w:val="17"/>
        </w:rPr>
      </w:pPr>
      <w:r w:rsidRPr="000D6664">
        <w:rPr>
          <w:rFonts w:eastAsia="Times New Roman"/>
          <w:b/>
          <w:bCs/>
          <w:szCs w:val="17"/>
        </w:rPr>
        <w:t xml:space="preserve">“Electoral Duties” </w:t>
      </w:r>
      <w:r w:rsidRPr="000D6664">
        <w:rPr>
          <w:rFonts w:eastAsia="Times New Roman"/>
          <w:szCs w:val="17"/>
        </w:rPr>
        <w:t>means any activities of the Member that support or serve their constituents. This includes, amongst other things, the Member’s duty to represent and assist their constituents in dealings with governmental and other public agencies and authorities.</w:t>
      </w:r>
    </w:p>
    <w:p w14:paraId="6FF27B98" w14:textId="77777777" w:rsidR="000D6664" w:rsidRPr="000D6664" w:rsidRDefault="000D6664" w:rsidP="000D6664">
      <w:pPr>
        <w:ind w:left="426"/>
        <w:rPr>
          <w:rFonts w:eastAsia="Times New Roman"/>
          <w:szCs w:val="17"/>
        </w:rPr>
      </w:pPr>
      <w:r w:rsidRPr="000D6664">
        <w:rPr>
          <w:rFonts w:eastAsia="Times New Roman"/>
          <w:b/>
          <w:bCs/>
          <w:szCs w:val="17"/>
        </w:rPr>
        <w:t xml:space="preserve">“Member” or “Member of Parliament” </w:t>
      </w:r>
      <w:r w:rsidRPr="000D6664">
        <w:rPr>
          <w:rFonts w:eastAsia="Times New Roman"/>
          <w:szCs w:val="17"/>
        </w:rPr>
        <w:t>means a Member of the Parliament of South Australia (except where used in relation to a Tribunal Member).</w:t>
      </w:r>
    </w:p>
    <w:p w14:paraId="447C767F" w14:textId="77777777" w:rsidR="000D6664" w:rsidRPr="000D6664" w:rsidRDefault="000D6664" w:rsidP="000D6664">
      <w:pPr>
        <w:ind w:left="426"/>
        <w:rPr>
          <w:rFonts w:eastAsia="Times New Roman"/>
          <w:szCs w:val="17"/>
        </w:rPr>
      </w:pPr>
      <w:r w:rsidRPr="000D6664">
        <w:rPr>
          <w:rFonts w:eastAsia="Times New Roman"/>
          <w:b/>
          <w:bCs/>
          <w:szCs w:val="17"/>
        </w:rPr>
        <w:t xml:space="preserve">“Parliamentary Duties” </w:t>
      </w:r>
      <w:r w:rsidRPr="000D6664">
        <w:rPr>
          <w:rFonts w:eastAsia="Times New Roman"/>
          <w:szCs w:val="17"/>
        </w:rPr>
        <w:t>means any activities of the Member that relate directly to the Member’s role as a Member. This includes, amongst other things, activities in connection with sittings of the Parliament or sittings as a Member on parliamentary committees.</w:t>
      </w:r>
    </w:p>
    <w:p w14:paraId="75DABEC6" w14:textId="77777777" w:rsidR="000D6664" w:rsidRPr="000D6664" w:rsidRDefault="000D6664" w:rsidP="000D6664">
      <w:pPr>
        <w:ind w:left="426"/>
        <w:rPr>
          <w:rFonts w:eastAsia="Times New Roman"/>
          <w:szCs w:val="17"/>
        </w:rPr>
      </w:pPr>
      <w:r w:rsidRPr="000D6664">
        <w:rPr>
          <w:rFonts w:eastAsia="Times New Roman"/>
          <w:b/>
          <w:bCs/>
          <w:szCs w:val="17"/>
        </w:rPr>
        <w:t xml:space="preserve">“Party Political Duties” </w:t>
      </w:r>
      <w:r w:rsidRPr="000D6664">
        <w:rPr>
          <w:rFonts w:eastAsia="Times New Roman"/>
          <w:szCs w:val="17"/>
        </w:rPr>
        <w:t>means activities of the Member in connection with both their political party and their own, or another Member’s, membership of the Parliament.</w:t>
      </w:r>
    </w:p>
    <w:p w14:paraId="63D5AD8F" w14:textId="77777777" w:rsidR="000D6664" w:rsidRPr="000D6664" w:rsidRDefault="000D6664" w:rsidP="000D6664">
      <w:pPr>
        <w:ind w:left="426"/>
        <w:rPr>
          <w:rFonts w:eastAsia="Times New Roman"/>
          <w:szCs w:val="17"/>
          <w:lang w:val="en-US"/>
        </w:rPr>
      </w:pPr>
      <w:r w:rsidRPr="000D6664">
        <w:rPr>
          <w:rFonts w:eastAsia="Times New Roman"/>
          <w:b/>
          <w:bCs/>
          <w:szCs w:val="17"/>
        </w:rPr>
        <w:t xml:space="preserve">“Tribunal” </w:t>
      </w:r>
      <w:r w:rsidRPr="000D6664">
        <w:rPr>
          <w:rFonts w:eastAsia="Times New Roman"/>
          <w:szCs w:val="17"/>
        </w:rPr>
        <w:t xml:space="preserve">means the Remuneration Tribunal of South Australia established by the </w:t>
      </w:r>
      <w:r w:rsidRPr="000D6664">
        <w:rPr>
          <w:rFonts w:eastAsia="Times New Roman"/>
          <w:i/>
          <w:iCs/>
          <w:szCs w:val="17"/>
        </w:rPr>
        <w:t>Remuneration Act 1990</w:t>
      </w:r>
      <w:bookmarkEnd w:id="101"/>
      <w:r w:rsidRPr="000D6664">
        <w:rPr>
          <w:rFonts w:eastAsia="Times New Roman"/>
          <w:i/>
          <w:iCs/>
          <w:szCs w:val="17"/>
        </w:rPr>
        <w:t>.</w:t>
      </w:r>
    </w:p>
    <w:p w14:paraId="79093F83" w14:textId="77777777" w:rsidR="009B29CF" w:rsidRDefault="009B29CF">
      <w:pPr>
        <w:spacing w:after="0" w:line="240" w:lineRule="auto"/>
        <w:jc w:val="left"/>
        <w:rPr>
          <w:rFonts w:eastAsia="Times New Roman"/>
          <w:b/>
          <w:szCs w:val="17"/>
        </w:rPr>
      </w:pPr>
      <w:r>
        <w:rPr>
          <w:rFonts w:eastAsia="Times New Roman"/>
          <w:b/>
          <w:szCs w:val="17"/>
        </w:rPr>
        <w:br w:type="page"/>
      </w:r>
    </w:p>
    <w:p w14:paraId="17703C11" w14:textId="76215D67" w:rsidR="000D6664" w:rsidRPr="000D6664" w:rsidRDefault="000D6664" w:rsidP="000D6664">
      <w:pPr>
        <w:rPr>
          <w:rFonts w:eastAsia="Times New Roman"/>
          <w:b/>
          <w:szCs w:val="17"/>
        </w:rPr>
      </w:pPr>
      <w:r w:rsidRPr="000D6664">
        <w:rPr>
          <w:rFonts w:eastAsia="Times New Roman"/>
          <w:b/>
          <w:szCs w:val="17"/>
        </w:rPr>
        <w:lastRenderedPageBreak/>
        <w:t>ELECTORATE ALLOWANCES FOR MEMBERS OF PARLIAMENT</w:t>
      </w:r>
    </w:p>
    <w:p w14:paraId="47BD07FB" w14:textId="77777777" w:rsidR="000D6664" w:rsidRPr="000D6664" w:rsidRDefault="000D6664" w:rsidP="009B29CF">
      <w:pPr>
        <w:numPr>
          <w:ilvl w:val="0"/>
          <w:numId w:val="148"/>
        </w:numPr>
        <w:ind w:left="336" w:hanging="336"/>
        <w:rPr>
          <w:rFonts w:eastAsia="Times New Roman"/>
          <w:szCs w:val="17"/>
          <w:lang w:val="en-US"/>
        </w:rPr>
      </w:pPr>
      <w:r w:rsidRPr="000D6664">
        <w:rPr>
          <w:rFonts w:eastAsia="Times New Roman"/>
          <w:szCs w:val="17"/>
        </w:rPr>
        <w:t>There shall be payable to a Member, in respect of expenses associated with discharging either parliamentary, electoral or community duties (but not party political duties) in the electoral district the Member represents, an electorate allowance payable at the following annual rate.</w:t>
      </w:r>
    </w:p>
    <w:p w14:paraId="39E7FDAD" w14:textId="77777777" w:rsidR="000D6664" w:rsidRPr="000D6664" w:rsidRDefault="000D6664" w:rsidP="000D6664">
      <w:pPr>
        <w:tabs>
          <w:tab w:val="left" w:pos="7088"/>
        </w:tabs>
        <w:autoSpaceDE w:val="0"/>
        <w:autoSpaceDN w:val="0"/>
        <w:adjustRightInd w:val="0"/>
        <w:ind w:left="2127" w:right="663"/>
        <w:jc w:val="right"/>
        <w:rPr>
          <w:b/>
          <w:szCs w:val="17"/>
          <w:u w:val="single"/>
        </w:rPr>
      </w:pPr>
      <w:r w:rsidRPr="000D6664">
        <w:rPr>
          <w:b/>
          <w:szCs w:val="17"/>
          <w:u w:val="single"/>
        </w:rPr>
        <w:t>ELECTORAL DISTRICT</w:t>
      </w:r>
      <w:r w:rsidRPr="000D6664">
        <w:rPr>
          <w:b/>
          <w:szCs w:val="17"/>
        </w:rPr>
        <w:tab/>
      </w:r>
      <w:r w:rsidRPr="000D6664">
        <w:rPr>
          <w:b/>
          <w:szCs w:val="17"/>
          <w:u w:val="single"/>
        </w:rPr>
        <w:t>RATE PER ANNUM</w:t>
      </w:r>
    </w:p>
    <w:p w14:paraId="13FBB95B" w14:textId="77777777" w:rsidR="000D6664" w:rsidRPr="000D6664" w:rsidRDefault="000D6664" w:rsidP="000D6664">
      <w:pPr>
        <w:autoSpaceDE w:val="0"/>
        <w:autoSpaceDN w:val="0"/>
        <w:adjustRightInd w:val="0"/>
        <w:rPr>
          <w:b/>
          <w:szCs w:val="17"/>
        </w:rPr>
      </w:pPr>
    </w:p>
    <w:p w14:paraId="3B0293ED" w14:textId="77777777" w:rsidR="000D6664" w:rsidRPr="000D6664" w:rsidRDefault="000D6664" w:rsidP="000D6664">
      <w:pPr>
        <w:tabs>
          <w:tab w:val="left" w:pos="1418"/>
        </w:tabs>
        <w:autoSpaceDE w:val="0"/>
        <w:autoSpaceDN w:val="0"/>
        <w:adjustRightInd w:val="0"/>
        <w:ind w:left="567"/>
        <w:rPr>
          <w:b/>
          <w:szCs w:val="17"/>
        </w:rPr>
      </w:pPr>
      <w:r w:rsidRPr="000D6664">
        <w:rPr>
          <w:szCs w:val="17"/>
        </w:rPr>
        <w:t>3.1</w:t>
      </w:r>
      <w:r w:rsidRPr="000D6664">
        <w:rPr>
          <w:b/>
          <w:szCs w:val="17"/>
        </w:rPr>
        <w:tab/>
        <w:t>HOUSE OF ASSEMBLY</w:t>
      </w:r>
    </w:p>
    <w:p w14:paraId="6CF1C9F4" w14:textId="77777777" w:rsidR="000D6664" w:rsidRPr="000D6664" w:rsidRDefault="000D6664" w:rsidP="000D6664">
      <w:pPr>
        <w:tabs>
          <w:tab w:val="left" w:pos="1134"/>
          <w:tab w:val="left" w:pos="1843"/>
        </w:tabs>
        <w:autoSpaceDE w:val="0"/>
        <w:autoSpaceDN w:val="0"/>
        <w:adjustRightInd w:val="0"/>
        <w:spacing w:after="0"/>
        <w:ind w:left="1418"/>
        <w:rPr>
          <w:szCs w:val="17"/>
        </w:rPr>
      </w:pPr>
      <w:r w:rsidRPr="000D6664">
        <w:rPr>
          <w:szCs w:val="17"/>
        </w:rPr>
        <w:t>(a)</w:t>
      </w:r>
      <w:r w:rsidRPr="000D6664">
        <w:rPr>
          <w:szCs w:val="17"/>
        </w:rPr>
        <w:tab/>
        <w:t>Adelaide, Badcoe, Black, Bragg, Cheltenham,</w:t>
      </w:r>
    </w:p>
    <w:p w14:paraId="12DD9433" w14:textId="77777777" w:rsidR="000D6664" w:rsidRPr="000D6664" w:rsidRDefault="000D6664" w:rsidP="000D6664">
      <w:pPr>
        <w:autoSpaceDE w:val="0"/>
        <w:autoSpaceDN w:val="0"/>
        <w:adjustRightInd w:val="0"/>
        <w:spacing w:after="0"/>
        <w:ind w:left="1418"/>
        <w:rPr>
          <w:szCs w:val="17"/>
        </w:rPr>
      </w:pPr>
      <w:r w:rsidRPr="000D6664">
        <w:rPr>
          <w:szCs w:val="17"/>
        </w:rPr>
        <w:t>Colton, Croydon, Davenport, Dunstan, Elder,</w:t>
      </w:r>
    </w:p>
    <w:p w14:paraId="598B140F" w14:textId="77777777" w:rsidR="000D6664" w:rsidRPr="000D6664" w:rsidRDefault="000D6664" w:rsidP="000D6664">
      <w:pPr>
        <w:autoSpaceDE w:val="0"/>
        <w:autoSpaceDN w:val="0"/>
        <w:adjustRightInd w:val="0"/>
        <w:spacing w:after="0"/>
        <w:ind w:left="1418"/>
        <w:rPr>
          <w:szCs w:val="17"/>
        </w:rPr>
      </w:pPr>
      <w:r w:rsidRPr="000D6664">
        <w:rPr>
          <w:szCs w:val="17"/>
        </w:rPr>
        <w:t xml:space="preserve">Elizabeth, Enfield, Florey, Gibson, Hartley, </w:t>
      </w:r>
    </w:p>
    <w:p w14:paraId="478D71BE" w14:textId="77777777" w:rsidR="000D6664" w:rsidRPr="000D6664" w:rsidRDefault="000D6664" w:rsidP="000D6664">
      <w:pPr>
        <w:autoSpaceDE w:val="0"/>
        <w:autoSpaceDN w:val="0"/>
        <w:adjustRightInd w:val="0"/>
        <w:spacing w:after="0"/>
        <w:ind w:left="1418"/>
        <w:rPr>
          <w:szCs w:val="17"/>
        </w:rPr>
      </w:pPr>
      <w:r w:rsidRPr="000D6664">
        <w:rPr>
          <w:szCs w:val="17"/>
        </w:rPr>
        <w:t>Hurtle Vale, Kaurna, King, Lee, Light, Morialta,</w:t>
      </w:r>
    </w:p>
    <w:p w14:paraId="18516E40" w14:textId="77777777" w:rsidR="000D6664" w:rsidRPr="000D6664" w:rsidRDefault="000D6664" w:rsidP="000D6664">
      <w:pPr>
        <w:autoSpaceDE w:val="0"/>
        <w:autoSpaceDN w:val="0"/>
        <w:adjustRightInd w:val="0"/>
        <w:spacing w:after="0"/>
        <w:ind w:left="1418"/>
        <w:rPr>
          <w:szCs w:val="17"/>
        </w:rPr>
      </w:pPr>
      <w:r w:rsidRPr="000D6664">
        <w:rPr>
          <w:szCs w:val="17"/>
        </w:rPr>
        <w:t>Morphett, Newland, Playford, Port Adelaide,</w:t>
      </w:r>
    </w:p>
    <w:p w14:paraId="06FF5A21" w14:textId="77777777" w:rsidR="000D6664" w:rsidRPr="000D6664" w:rsidRDefault="000D6664" w:rsidP="000D6664">
      <w:pPr>
        <w:autoSpaceDE w:val="0"/>
        <w:autoSpaceDN w:val="0"/>
        <w:adjustRightInd w:val="0"/>
        <w:spacing w:after="0"/>
        <w:ind w:left="1418"/>
        <w:rPr>
          <w:szCs w:val="17"/>
        </w:rPr>
      </w:pPr>
      <w:r w:rsidRPr="000D6664">
        <w:rPr>
          <w:szCs w:val="17"/>
        </w:rPr>
        <w:t>Ramsay, Reynell, Torrens, Unley, Waite,</w:t>
      </w:r>
    </w:p>
    <w:p w14:paraId="0D316567" w14:textId="77777777" w:rsidR="000D6664" w:rsidRPr="000D6664" w:rsidRDefault="000D6664" w:rsidP="000D6664">
      <w:pPr>
        <w:tabs>
          <w:tab w:val="left" w:pos="7655"/>
        </w:tabs>
        <w:autoSpaceDE w:val="0"/>
        <w:autoSpaceDN w:val="0"/>
        <w:adjustRightInd w:val="0"/>
        <w:spacing w:after="0"/>
        <w:ind w:left="1418"/>
        <w:rPr>
          <w:szCs w:val="17"/>
        </w:rPr>
      </w:pPr>
      <w:r w:rsidRPr="000D6664">
        <w:rPr>
          <w:szCs w:val="17"/>
        </w:rPr>
        <w:t>West Torrens and Wright.</w:t>
      </w:r>
      <w:r w:rsidRPr="000D6664">
        <w:rPr>
          <w:szCs w:val="17"/>
        </w:rPr>
        <w:tab/>
        <w:t>$17,815</w:t>
      </w:r>
    </w:p>
    <w:p w14:paraId="3B0BE9D9" w14:textId="77777777" w:rsidR="000D6664" w:rsidRPr="000D6664" w:rsidRDefault="000D6664" w:rsidP="000D6664">
      <w:pPr>
        <w:tabs>
          <w:tab w:val="left" w:pos="7655"/>
        </w:tabs>
        <w:autoSpaceDE w:val="0"/>
        <w:autoSpaceDN w:val="0"/>
        <w:adjustRightInd w:val="0"/>
        <w:ind w:left="1418"/>
        <w:rPr>
          <w:szCs w:val="17"/>
        </w:rPr>
      </w:pPr>
    </w:p>
    <w:p w14:paraId="531703F8"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(b)</w:t>
      </w:r>
      <w:r w:rsidRPr="000D6664">
        <w:rPr>
          <w:szCs w:val="17"/>
        </w:rPr>
        <w:tab/>
        <w:t>Heysen, Kavel and Taylor</w:t>
      </w:r>
      <w:r w:rsidRPr="000D6664">
        <w:rPr>
          <w:szCs w:val="17"/>
        </w:rPr>
        <w:tab/>
        <w:t>$24,989</w:t>
      </w:r>
    </w:p>
    <w:p w14:paraId="35002EA4" w14:textId="77777777" w:rsidR="000D6664" w:rsidRPr="000D6664" w:rsidRDefault="000D6664" w:rsidP="000D6664">
      <w:pPr>
        <w:autoSpaceDE w:val="0"/>
        <w:autoSpaceDN w:val="0"/>
        <w:adjustRightInd w:val="0"/>
        <w:ind w:left="1418"/>
        <w:rPr>
          <w:szCs w:val="17"/>
        </w:rPr>
      </w:pPr>
    </w:p>
    <w:p w14:paraId="630A127B"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(c)</w:t>
      </w:r>
      <w:r w:rsidRPr="000D6664">
        <w:rPr>
          <w:szCs w:val="17"/>
        </w:rPr>
        <w:tab/>
        <w:t>Finniss, Frome, Mount Gambier and Schubert</w:t>
      </w:r>
      <w:r w:rsidRPr="000D6664">
        <w:rPr>
          <w:szCs w:val="17"/>
        </w:rPr>
        <w:tab/>
        <w:t>$29,202</w:t>
      </w:r>
    </w:p>
    <w:p w14:paraId="1473EEC6" w14:textId="77777777" w:rsidR="000D6664" w:rsidRPr="000D6664" w:rsidRDefault="000D6664" w:rsidP="000D6664">
      <w:pPr>
        <w:autoSpaceDE w:val="0"/>
        <w:autoSpaceDN w:val="0"/>
        <w:adjustRightInd w:val="0"/>
        <w:ind w:left="1418"/>
        <w:rPr>
          <w:szCs w:val="17"/>
        </w:rPr>
      </w:pPr>
    </w:p>
    <w:p w14:paraId="3E9BDF99"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(d)</w:t>
      </w:r>
      <w:r w:rsidRPr="000D6664">
        <w:rPr>
          <w:szCs w:val="17"/>
        </w:rPr>
        <w:tab/>
        <w:t>Chaffey, Hammond, Mawson, Narungga</w:t>
      </w:r>
      <w:r w:rsidRPr="000D6664">
        <w:rPr>
          <w:szCs w:val="17"/>
        </w:rPr>
        <w:tab/>
        <w:t>$37,735</w:t>
      </w:r>
    </w:p>
    <w:p w14:paraId="7CDDB6DD" w14:textId="77777777" w:rsidR="000D6664" w:rsidRPr="000D6664" w:rsidRDefault="000D6664" w:rsidP="000D6664">
      <w:pPr>
        <w:autoSpaceDE w:val="0"/>
        <w:autoSpaceDN w:val="0"/>
        <w:adjustRightInd w:val="0"/>
        <w:ind w:left="1418"/>
        <w:rPr>
          <w:szCs w:val="17"/>
        </w:rPr>
      </w:pPr>
    </w:p>
    <w:p w14:paraId="60BD24A9"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(e)</w:t>
      </w:r>
      <w:r w:rsidRPr="000D6664">
        <w:rPr>
          <w:szCs w:val="17"/>
        </w:rPr>
        <w:tab/>
        <w:t>MacKillop</w:t>
      </w:r>
      <w:r w:rsidRPr="000D6664">
        <w:rPr>
          <w:szCs w:val="17"/>
        </w:rPr>
        <w:tab/>
        <w:t>$42,674</w:t>
      </w:r>
    </w:p>
    <w:p w14:paraId="53344248" w14:textId="77777777" w:rsidR="000D6664" w:rsidRPr="000D6664" w:rsidRDefault="000D6664" w:rsidP="000D6664">
      <w:pPr>
        <w:autoSpaceDE w:val="0"/>
        <w:autoSpaceDN w:val="0"/>
        <w:adjustRightInd w:val="0"/>
        <w:ind w:left="1418"/>
        <w:rPr>
          <w:szCs w:val="17"/>
        </w:rPr>
      </w:pPr>
      <w:r w:rsidRPr="000D6664">
        <w:rPr>
          <w:szCs w:val="17"/>
        </w:rPr>
        <w:tab/>
      </w:r>
    </w:p>
    <w:p w14:paraId="16DFAAA9"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(f)</w:t>
      </w:r>
      <w:r w:rsidRPr="000D6664">
        <w:rPr>
          <w:szCs w:val="17"/>
        </w:rPr>
        <w:tab/>
        <w:t>Flinders</w:t>
      </w:r>
      <w:r w:rsidRPr="000D6664">
        <w:rPr>
          <w:szCs w:val="17"/>
        </w:rPr>
        <w:tab/>
        <w:t>$49,013</w:t>
      </w:r>
    </w:p>
    <w:p w14:paraId="1DA2DB74" w14:textId="77777777" w:rsidR="000D6664" w:rsidRPr="000D6664" w:rsidRDefault="000D6664" w:rsidP="000D6664">
      <w:pPr>
        <w:autoSpaceDE w:val="0"/>
        <w:autoSpaceDN w:val="0"/>
        <w:adjustRightInd w:val="0"/>
        <w:ind w:left="1418"/>
        <w:rPr>
          <w:szCs w:val="17"/>
        </w:rPr>
      </w:pPr>
    </w:p>
    <w:p w14:paraId="0BC9C49D" w14:textId="77777777" w:rsidR="000D6664" w:rsidRPr="000D6664" w:rsidRDefault="000D6664" w:rsidP="000D6664">
      <w:pPr>
        <w:tabs>
          <w:tab w:val="left" w:pos="1418"/>
          <w:tab w:val="left" w:pos="1843"/>
          <w:tab w:val="left" w:pos="7655"/>
        </w:tabs>
        <w:autoSpaceDE w:val="0"/>
        <w:autoSpaceDN w:val="0"/>
        <w:adjustRightInd w:val="0"/>
        <w:ind w:left="1418"/>
        <w:rPr>
          <w:szCs w:val="17"/>
        </w:rPr>
      </w:pPr>
      <w:r w:rsidRPr="000D6664">
        <w:rPr>
          <w:szCs w:val="17"/>
        </w:rPr>
        <w:t>(g)</w:t>
      </w:r>
      <w:r w:rsidRPr="000D6664">
        <w:rPr>
          <w:szCs w:val="17"/>
        </w:rPr>
        <w:tab/>
        <w:t>Giles and Stuart</w:t>
      </w:r>
      <w:r w:rsidRPr="000D6664">
        <w:rPr>
          <w:szCs w:val="17"/>
        </w:rPr>
        <w:tab/>
        <w:t xml:space="preserve">$54,416 </w:t>
      </w:r>
    </w:p>
    <w:p w14:paraId="56887BD9" w14:textId="77777777" w:rsidR="000D6664" w:rsidRPr="000D6664" w:rsidRDefault="000D6664" w:rsidP="000D6664">
      <w:pPr>
        <w:tabs>
          <w:tab w:val="left" w:pos="1134"/>
        </w:tabs>
        <w:autoSpaceDE w:val="0"/>
        <w:autoSpaceDN w:val="0"/>
        <w:adjustRightInd w:val="0"/>
        <w:ind w:left="567"/>
        <w:rPr>
          <w:szCs w:val="17"/>
        </w:rPr>
      </w:pPr>
    </w:p>
    <w:p w14:paraId="4D04123E" w14:textId="77777777" w:rsidR="000D6664" w:rsidRPr="000D6664" w:rsidRDefault="000D6664" w:rsidP="000D6664">
      <w:pPr>
        <w:tabs>
          <w:tab w:val="left" w:pos="1418"/>
        </w:tabs>
        <w:autoSpaceDE w:val="0"/>
        <w:autoSpaceDN w:val="0"/>
        <w:adjustRightInd w:val="0"/>
        <w:ind w:left="567"/>
        <w:rPr>
          <w:szCs w:val="17"/>
        </w:rPr>
      </w:pPr>
      <w:r w:rsidRPr="000D6664">
        <w:rPr>
          <w:szCs w:val="17"/>
        </w:rPr>
        <w:t>3.2</w:t>
      </w:r>
      <w:r w:rsidRPr="000D6664">
        <w:rPr>
          <w:szCs w:val="17"/>
        </w:rPr>
        <w:tab/>
      </w:r>
      <w:r w:rsidRPr="000D6664">
        <w:rPr>
          <w:b/>
          <w:bCs/>
          <w:szCs w:val="17"/>
        </w:rPr>
        <w:t>LEGISLATIVE COUNCIL</w:t>
      </w:r>
    </w:p>
    <w:p w14:paraId="303CA945" w14:textId="77777777" w:rsidR="000D6664" w:rsidRPr="000D6664" w:rsidRDefault="000D6664" w:rsidP="000D6664">
      <w:pPr>
        <w:tabs>
          <w:tab w:val="left" w:pos="1418"/>
          <w:tab w:val="left" w:pos="7655"/>
        </w:tabs>
        <w:autoSpaceDE w:val="0"/>
        <w:autoSpaceDN w:val="0"/>
        <w:adjustRightInd w:val="0"/>
        <w:ind w:left="567"/>
        <w:rPr>
          <w:szCs w:val="17"/>
        </w:rPr>
      </w:pPr>
      <w:r w:rsidRPr="000D6664">
        <w:rPr>
          <w:szCs w:val="17"/>
        </w:rPr>
        <w:tab/>
        <w:t>Members of the Legislative Council</w:t>
      </w:r>
      <w:r w:rsidRPr="000D6664">
        <w:rPr>
          <w:szCs w:val="17"/>
        </w:rPr>
        <w:tab/>
        <w:t>$24,101</w:t>
      </w:r>
    </w:p>
    <w:p w14:paraId="22368041" w14:textId="77777777" w:rsidR="000D6664" w:rsidRPr="000D6664" w:rsidRDefault="000D6664" w:rsidP="009B29CF">
      <w:pPr>
        <w:numPr>
          <w:ilvl w:val="0"/>
          <w:numId w:val="148"/>
        </w:numPr>
        <w:ind w:left="336" w:hanging="336"/>
        <w:rPr>
          <w:rFonts w:eastAsia="Times New Roman"/>
          <w:szCs w:val="17"/>
        </w:rPr>
      </w:pPr>
      <w:r w:rsidRPr="000D6664">
        <w:rPr>
          <w:rFonts w:eastAsia="Times New Roman"/>
          <w:szCs w:val="17"/>
        </w:rPr>
        <w:t>The electorate allowance payable to a Member under this Determination shall be calculated from the day on which he or she commences to be a Member, and except as provided by clause 5 of this Determination, shall cease to be payable on the day on which such person ceases to be a Member.</w:t>
      </w:r>
    </w:p>
    <w:p w14:paraId="1FE2FC55" w14:textId="77777777" w:rsidR="000D6664" w:rsidRPr="000D6664" w:rsidRDefault="000D6664" w:rsidP="009B29CF">
      <w:pPr>
        <w:numPr>
          <w:ilvl w:val="0"/>
          <w:numId w:val="148"/>
        </w:numPr>
        <w:ind w:left="336" w:hanging="336"/>
        <w:rPr>
          <w:rFonts w:eastAsia="Times New Roman"/>
          <w:szCs w:val="17"/>
          <w:lang w:val="en-US"/>
        </w:rPr>
      </w:pPr>
      <w:r w:rsidRPr="000D6664">
        <w:rPr>
          <w:rFonts w:eastAsia="Times New Roman"/>
          <w:szCs w:val="17"/>
        </w:rPr>
        <w:t>A former member of the Parliament shall be deemed to continue as a member of the Parliament until a successor is elected in his or her place.</w:t>
      </w:r>
    </w:p>
    <w:p w14:paraId="61F6FDA0" w14:textId="77777777" w:rsidR="000D6664" w:rsidRPr="000D6664" w:rsidRDefault="000D6664" w:rsidP="000D6664">
      <w:pPr>
        <w:rPr>
          <w:rFonts w:eastAsia="Times New Roman"/>
          <w:b/>
          <w:szCs w:val="17"/>
        </w:rPr>
      </w:pPr>
      <w:r w:rsidRPr="000D6664">
        <w:rPr>
          <w:rFonts w:eastAsia="Times New Roman"/>
          <w:b/>
          <w:szCs w:val="17"/>
        </w:rPr>
        <w:t>OPERATIVE DATE</w:t>
      </w:r>
    </w:p>
    <w:p w14:paraId="5B6CDE88" w14:textId="77777777" w:rsidR="000D6664" w:rsidRPr="000D6664" w:rsidRDefault="000D6664" w:rsidP="009B29CF">
      <w:pPr>
        <w:numPr>
          <w:ilvl w:val="0"/>
          <w:numId w:val="148"/>
        </w:numPr>
        <w:ind w:left="336" w:hanging="336"/>
        <w:rPr>
          <w:rFonts w:eastAsia="Times New Roman"/>
          <w:szCs w:val="17"/>
          <w:lang w:val="en-US"/>
        </w:rPr>
      </w:pPr>
      <w:r w:rsidRPr="000D6664">
        <w:rPr>
          <w:rFonts w:eastAsia="Times New Roman"/>
          <w:szCs w:val="17"/>
          <w:lang w:val="en-US"/>
        </w:rPr>
        <w:t>This Determination operates from 1 October 2022. It supersedes Determination 8 of 2021</w:t>
      </w:r>
      <w:r w:rsidRPr="000D6664">
        <w:rPr>
          <w:rFonts w:eastAsia="Times New Roman"/>
          <w:szCs w:val="17"/>
        </w:rPr>
        <w:t>.</w:t>
      </w:r>
    </w:p>
    <w:p w14:paraId="7AA1E776" w14:textId="77777777" w:rsidR="000D6664" w:rsidRPr="000D6664" w:rsidRDefault="000D6664" w:rsidP="000D6664">
      <w:pPr>
        <w:spacing w:after="0"/>
        <w:rPr>
          <w:rFonts w:eastAsia="Times New Roman"/>
          <w:szCs w:val="17"/>
        </w:rPr>
      </w:pPr>
      <w:r w:rsidRPr="000D6664">
        <w:rPr>
          <w:rFonts w:eastAsia="Times New Roman"/>
          <w:szCs w:val="17"/>
        </w:rPr>
        <w:t>Dated: 14 December 2022</w:t>
      </w:r>
    </w:p>
    <w:p w14:paraId="303994D3"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Matthew O’Callaghan</w:t>
      </w:r>
    </w:p>
    <w:p w14:paraId="2C0F3F57" w14:textId="77777777" w:rsidR="000D6664" w:rsidRPr="000D6664" w:rsidRDefault="000D6664" w:rsidP="000D6664">
      <w:pPr>
        <w:jc w:val="right"/>
        <w:rPr>
          <w:rFonts w:eastAsia="Times New Roman"/>
          <w:szCs w:val="17"/>
        </w:rPr>
      </w:pPr>
      <w:r w:rsidRPr="000D6664">
        <w:rPr>
          <w:rFonts w:eastAsia="Times New Roman"/>
          <w:szCs w:val="17"/>
        </w:rPr>
        <w:t>President</w:t>
      </w:r>
    </w:p>
    <w:p w14:paraId="5FFDBA87"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Deborah Black</w:t>
      </w:r>
    </w:p>
    <w:p w14:paraId="23E9C9A7" w14:textId="77777777" w:rsidR="000D6664" w:rsidRPr="000D6664" w:rsidRDefault="000D6664" w:rsidP="000D6664">
      <w:pPr>
        <w:jc w:val="right"/>
        <w:rPr>
          <w:rFonts w:eastAsia="Times New Roman"/>
          <w:szCs w:val="17"/>
        </w:rPr>
      </w:pPr>
      <w:r w:rsidRPr="000D6664">
        <w:rPr>
          <w:rFonts w:eastAsia="Times New Roman"/>
          <w:szCs w:val="17"/>
        </w:rPr>
        <w:t>Member</w:t>
      </w:r>
    </w:p>
    <w:p w14:paraId="5AE9C1C4" w14:textId="77777777" w:rsidR="000D6664" w:rsidRPr="000D6664" w:rsidRDefault="000D6664" w:rsidP="000D6664">
      <w:pPr>
        <w:spacing w:after="0"/>
        <w:jc w:val="right"/>
        <w:rPr>
          <w:rFonts w:eastAsia="Times New Roman"/>
          <w:smallCaps/>
          <w:szCs w:val="20"/>
        </w:rPr>
      </w:pPr>
      <w:r w:rsidRPr="000D6664">
        <w:rPr>
          <w:rFonts w:eastAsia="Times New Roman"/>
          <w:smallCaps/>
          <w:szCs w:val="20"/>
        </w:rPr>
        <w:t>Peter de Cure AM</w:t>
      </w:r>
    </w:p>
    <w:p w14:paraId="54BB5B96" w14:textId="77777777" w:rsidR="000D6664" w:rsidRPr="000D6664" w:rsidRDefault="000D6664" w:rsidP="000D6664">
      <w:pPr>
        <w:jc w:val="right"/>
        <w:rPr>
          <w:rFonts w:eastAsia="Times New Roman"/>
          <w:szCs w:val="17"/>
        </w:rPr>
      </w:pPr>
      <w:r w:rsidRPr="000D6664">
        <w:rPr>
          <w:rFonts w:eastAsia="Times New Roman"/>
          <w:szCs w:val="17"/>
        </w:rPr>
        <w:t>Member</w:t>
      </w:r>
    </w:p>
    <w:p w14:paraId="32B56C19" w14:textId="77777777" w:rsidR="000D6664" w:rsidRPr="000D6664" w:rsidRDefault="000D6664" w:rsidP="000D6664">
      <w:pPr>
        <w:pBdr>
          <w:top w:val="single" w:sz="4" w:space="1" w:color="auto"/>
          <w:between w:val="nil"/>
          <w:bar w:val="nil"/>
        </w:pBdr>
        <w:spacing w:before="100" w:after="0" w:line="14" w:lineRule="exact"/>
        <w:jc w:val="center"/>
        <w:rPr>
          <w:color w:val="000000"/>
          <w:sz w:val="16"/>
          <w:szCs w:val="16"/>
          <w:u w:color="000000"/>
          <w:bdr w:val="nil"/>
          <w:lang w:eastAsia="en-AU"/>
        </w:rPr>
      </w:pPr>
    </w:p>
    <w:p w14:paraId="07C6D06D" w14:textId="72D6719C" w:rsidR="000D6664" w:rsidRDefault="000D6664" w:rsidP="00965F17">
      <w:pPr>
        <w:pStyle w:val="GG-body"/>
        <w:spacing w:after="0"/>
        <w:rPr>
          <w:lang w:val="en-US"/>
        </w:rPr>
      </w:pPr>
    </w:p>
    <w:p w14:paraId="0B38098D" w14:textId="77777777" w:rsidR="00743829" w:rsidRPr="004F33B9" w:rsidRDefault="00743829" w:rsidP="00743829">
      <w:pPr>
        <w:pStyle w:val="GG-Title1"/>
      </w:pPr>
      <w:r w:rsidRPr="004F33B9">
        <w:t>The Remuneration Tribunal</w:t>
      </w:r>
    </w:p>
    <w:p w14:paraId="7FD30CF5" w14:textId="77777777" w:rsidR="00743829" w:rsidRPr="00A51192" w:rsidRDefault="00743829" w:rsidP="00743829">
      <w:pPr>
        <w:pStyle w:val="GG-Title2"/>
      </w:pPr>
      <w:r w:rsidRPr="00A51192">
        <w:t>Report</w:t>
      </w:r>
      <w:r>
        <w:t>—</w:t>
      </w:r>
      <w:r w:rsidRPr="00A51192">
        <w:t xml:space="preserve">No. </w:t>
      </w:r>
      <w:r>
        <w:t>18</w:t>
      </w:r>
      <w:r w:rsidRPr="00A51192">
        <w:t xml:space="preserve"> </w:t>
      </w:r>
      <w:r>
        <w:t>o</w:t>
      </w:r>
      <w:r w:rsidRPr="00A51192">
        <w:t>f 2022</w:t>
      </w:r>
    </w:p>
    <w:p w14:paraId="5EA50FAF" w14:textId="77777777" w:rsidR="00743829" w:rsidRPr="00F9104B" w:rsidRDefault="00743829" w:rsidP="00743829">
      <w:pPr>
        <w:pStyle w:val="GG-Title3"/>
      </w:pPr>
      <w:r w:rsidRPr="00F9104B">
        <w:t>2022 Review of Accommodation Expense Reimbursement and Allowances for</w:t>
      </w:r>
      <w:r>
        <w:t xml:space="preserve"> </w:t>
      </w:r>
      <w:r w:rsidRPr="00F9104B">
        <w:t>Country Members of Parliament</w:t>
      </w:r>
    </w:p>
    <w:p w14:paraId="7D579000" w14:textId="77777777" w:rsidR="00743829" w:rsidRPr="00A51192" w:rsidRDefault="00743829" w:rsidP="00743829">
      <w:pPr>
        <w:pStyle w:val="GG-body"/>
        <w:rPr>
          <w:b/>
          <w:bCs/>
          <w:smallCaps/>
        </w:rPr>
      </w:pPr>
      <w:r w:rsidRPr="00A51192">
        <w:rPr>
          <w:b/>
          <w:bCs/>
          <w:smallCaps/>
        </w:rPr>
        <w:t>Report</w:t>
      </w:r>
    </w:p>
    <w:p w14:paraId="233C51A1" w14:textId="77777777" w:rsidR="00743829" w:rsidRPr="00E52685" w:rsidRDefault="00743829" w:rsidP="00743829">
      <w:pPr>
        <w:jc w:val="left"/>
        <w:rPr>
          <w:b/>
          <w:bCs/>
          <w:szCs w:val="17"/>
        </w:rPr>
      </w:pPr>
      <w:r w:rsidRPr="00E52685">
        <w:rPr>
          <w:b/>
          <w:bCs/>
          <w:szCs w:val="17"/>
        </w:rPr>
        <w:t>INTRODUCTION</w:t>
      </w:r>
    </w:p>
    <w:p w14:paraId="5C144A41" w14:textId="77777777" w:rsidR="00743829" w:rsidRPr="00183F9D" w:rsidRDefault="00743829" w:rsidP="00743829">
      <w:pPr>
        <w:pStyle w:val="GG-body"/>
        <w:numPr>
          <w:ilvl w:val="0"/>
          <w:numId w:val="152"/>
        </w:numPr>
        <w:ind w:left="364"/>
      </w:pPr>
      <w:r w:rsidRPr="00183F9D">
        <w:t>The Remuneration Tribunal (</w:t>
      </w:r>
      <w:r w:rsidRPr="00183F9D">
        <w:rPr>
          <w:b/>
          <w:bCs/>
        </w:rPr>
        <w:t>Tribunal</w:t>
      </w:r>
      <w:r w:rsidRPr="00183F9D">
        <w:t>) has conducted a review of Determination 6 of 2021</w:t>
      </w:r>
      <w:r w:rsidRPr="00183F9D">
        <w:rPr>
          <w:vertAlign w:val="superscript"/>
        </w:rPr>
        <w:t>1</w:t>
      </w:r>
      <w:r w:rsidRPr="00183F9D">
        <w:t xml:space="preserve"> which provides for eligible members of Parliament to claim allowances or reimbursements for overnight accommodation costs from commercial accommodation or a second residence in Metropolitan Adelaide.</w:t>
      </w:r>
    </w:p>
    <w:p w14:paraId="1171855E" w14:textId="77777777" w:rsidR="00743829" w:rsidRDefault="00743829" w:rsidP="00743829">
      <w:pPr>
        <w:pStyle w:val="GG-body"/>
        <w:numPr>
          <w:ilvl w:val="0"/>
          <w:numId w:val="152"/>
        </w:numPr>
        <w:ind w:left="364"/>
      </w:pPr>
      <w:r w:rsidRPr="00183F9D">
        <w:t>As explained in this report, the Tribunal has determined to increase the commercial accommodation expense reimbursement by 1.5% and the second residence accommodation allowance by 3.4%. The Tribunal has issued an accompanying determination, which applies from 1 January 2023</w:t>
      </w:r>
      <w:r w:rsidRPr="00E52685">
        <w:t>.</w:t>
      </w:r>
    </w:p>
    <w:p w14:paraId="4B163440" w14:textId="77777777" w:rsidR="00743829" w:rsidRDefault="00743829" w:rsidP="00743829">
      <w:pPr>
        <w:pStyle w:val="GG-body"/>
      </w:pPr>
      <w:r>
        <w:rPr>
          <w:noProof/>
        </w:rPr>
        <mc:AlternateContent>
          <mc:Choice Requires="wps">
            <w:drawing>
              <wp:anchor distT="0" distB="0" distL="114300" distR="114300" simplePos="0" relativeHeight="251686912" behindDoc="0" locked="0" layoutInCell="1" allowOverlap="1" wp14:anchorId="4E9E828F" wp14:editId="320398B8">
                <wp:simplePos x="0" y="0"/>
                <wp:positionH relativeFrom="column">
                  <wp:posOffset>9839</wp:posOffset>
                </wp:positionH>
                <wp:positionV relativeFrom="paragraph">
                  <wp:posOffset>55914</wp:posOffset>
                </wp:positionV>
                <wp:extent cx="1708220" cy="0"/>
                <wp:effectExtent l="0" t="0" r="0" b="0"/>
                <wp:wrapNone/>
                <wp:docPr id="22" name="Straight Connector 22"/>
                <wp:cNvGraphicFramePr/>
                <a:graphic xmlns:a="http://schemas.openxmlformats.org/drawingml/2006/main">
                  <a:graphicData uri="http://schemas.microsoft.com/office/word/2010/wordprocessingShape">
                    <wps:wsp>
                      <wps:cNvCnPr/>
                      <wps:spPr>
                        <a:xfrm flipV="1">
                          <a:off x="0" y="0"/>
                          <a:ext cx="17082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9EB97" id="Straight Connector 2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" strokecolor="black [3213]" strokeweight=".5pt">
                <v:stroke joinstyle="miter"/>
              </v:line>
            </w:pict>
          </mc:Fallback>
        </mc:AlternateContent>
      </w:r>
    </w:p>
    <w:p w14:paraId="2DDF5192" w14:textId="77777777" w:rsidR="00743829" w:rsidRPr="00A51192" w:rsidRDefault="00743829" w:rsidP="00743829">
      <w:pPr>
        <w:pStyle w:val="FootnoteText"/>
        <w:spacing w:after="80" w:line="160" w:lineRule="exact"/>
        <w:ind w:left="142" w:hanging="142"/>
        <w:rPr>
          <w:rFonts w:ascii="Times New Roman" w:hAnsi="Times New Roman" w:cs="Times New Roman"/>
          <w:sz w:val="16"/>
          <w:szCs w:val="16"/>
          <w:lang w:val="en-AU"/>
        </w:rPr>
      </w:pPr>
      <w:r w:rsidRPr="00A51192">
        <w:rPr>
          <w:rStyle w:val="FootnoteReference"/>
          <w:rFonts w:ascii="Times New Roman" w:hAnsi="Times New Roman" w:cs="Times New Roman"/>
          <w:sz w:val="16"/>
          <w:szCs w:val="16"/>
        </w:rPr>
        <w:footnoteRef/>
      </w:r>
      <w:r w:rsidRPr="00A51192">
        <w:rPr>
          <w:rFonts w:ascii="Times New Roman" w:hAnsi="Times New Roman" w:cs="Times New Roman"/>
          <w:sz w:val="16"/>
          <w:szCs w:val="16"/>
        </w:rPr>
        <w:t xml:space="preserve"> </w:t>
      </w:r>
      <w:r>
        <w:rPr>
          <w:rFonts w:ascii="Times New Roman" w:hAnsi="Times New Roman" w:cs="Times New Roman"/>
          <w:sz w:val="16"/>
          <w:szCs w:val="16"/>
        </w:rPr>
        <w:tab/>
      </w:r>
      <w:r w:rsidRPr="00F9104B">
        <w:rPr>
          <w:rFonts w:ascii="Times New Roman" w:hAnsi="Times New Roman" w:cs="Times New Roman"/>
          <w:sz w:val="16"/>
          <w:szCs w:val="16"/>
          <w:lang w:val="en-AU"/>
        </w:rPr>
        <w:t>Accommodation Expense Reimbursement and Allowance for Country Members of Parliament</w:t>
      </w:r>
      <w:r w:rsidRPr="00A51192">
        <w:rPr>
          <w:rFonts w:ascii="Times New Roman" w:hAnsi="Times New Roman" w:cs="Times New Roman"/>
          <w:sz w:val="16"/>
          <w:szCs w:val="16"/>
          <w:lang w:val="en-AU"/>
        </w:rPr>
        <w:t>.</w:t>
      </w:r>
    </w:p>
    <w:p w14:paraId="6B490B1A" w14:textId="77777777" w:rsidR="00743829" w:rsidRPr="00E52685" w:rsidRDefault="00743829" w:rsidP="00743829">
      <w:pPr>
        <w:jc w:val="left"/>
        <w:rPr>
          <w:b/>
          <w:bCs/>
          <w:szCs w:val="17"/>
        </w:rPr>
      </w:pPr>
      <w:r w:rsidRPr="00E52685">
        <w:rPr>
          <w:b/>
          <w:bCs/>
          <w:szCs w:val="17"/>
        </w:rPr>
        <w:t>THE REVIEW PROCESS</w:t>
      </w:r>
    </w:p>
    <w:p w14:paraId="6C3BE612" w14:textId="77777777" w:rsidR="00743829" w:rsidRPr="00126C0C" w:rsidRDefault="00743829" w:rsidP="00743829">
      <w:pPr>
        <w:pStyle w:val="GG-body"/>
        <w:numPr>
          <w:ilvl w:val="0"/>
          <w:numId w:val="152"/>
        </w:numPr>
        <w:ind w:left="364"/>
      </w:pPr>
      <w:r w:rsidRPr="00126C0C">
        <w:t xml:space="preserve">On 22 June 2022, in accordance with sections 10(2) and 10(4) of the </w:t>
      </w:r>
      <w:r w:rsidRPr="00126C0C">
        <w:rPr>
          <w:i/>
          <w:iCs/>
        </w:rPr>
        <w:t>Remuneration Act 1990</w:t>
      </w:r>
      <w:r w:rsidRPr="00126C0C">
        <w:t xml:space="preserve"> (</w:t>
      </w:r>
      <w:r w:rsidRPr="00126C0C">
        <w:rPr>
          <w:b/>
          <w:bCs/>
        </w:rPr>
        <w:t>Act</w:t>
      </w:r>
      <w:r w:rsidRPr="00126C0C">
        <w:t>), the Tribunal wrote to and invited submissions by 19 August 2022 in respect of this review from:</w:t>
      </w:r>
    </w:p>
    <w:p w14:paraId="50F623AB" w14:textId="77777777" w:rsidR="00743829" w:rsidRPr="00126C0C" w:rsidRDefault="00743829" w:rsidP="00743829">
      <w:pPr>
        <w:pStyle w:val="GG-body"/>
        <w:numPr>
          <w:ilvl w:val="0"/>
          <w:numId w:val="153"/>
        </w:numPr>
      </w:pPr>
      <w:r w:rsidRPr="00126C0C">
        <w:t>the Honourable Premier of South Australia – as the Minister responsible for the Act who may make submissions or introduce evidence in the public interest</w:t>
      </w:r>
    </w:p>
    <w:p w14:paraId="0DC33CF4" w14:textId="77777777" w:rsidR="00743829" w:rsidRPr="00126C0C" w:rsidRDefault="00743829" w:rsidP="00743829">
      <w:pPr>
        <w:pStyle w:val="GG-body"/>
        <w:numPr>
          <w:ilvl w:val="0"/>
          <w:numId w:val="153"/>
        </w:numPr>
      </w:pPr>
      <w:r w:rsidRPr="00126C0C">
        <w:t>members of Parliament</w:t>
      </w:r>
    </w:p>
    <w:p w14:paraId="16060A5A" w14:textId="77777777" w:rsidR="00743829" w:rsidRPr="00126C0C" w:rsidRDefault="00743829" w:rsidP="00743829">
      <w:pPr>
        <w:pStyle w:val="GG-body"/>
        <w:numPr>
          <w:ilvl w:val="0"/>
          <w:numId w:val="153"/>
        </w:numPr>
      </w:pPr>
      <w:r w:rsidRPr="00126C0C">
        <w:lastRenderedPageBreak/>
        <w:t>the Treasurer</w:t>
      </w:r>
    </w:p>
    <w:p w14:paraId="00C7CA88" w14:textId="77777777" w:rsidR="00743829" w:rsidRPr="00126C0C" w:rsidRDefault="00743829" w:rsidP="00743829">
      <w:pPr>
        <w:pStyle w:val="GG-body"/>
        <w:numPr>
          <w:ilvl w:val="0"/>
          <w:numId w:val="153"/>
        </w:numPr>
      </w:pPr>
      <w:r w:rsidRPr="00126C0C">
        <w:t>the Independent Commissioner Against Corruption</w:t>
      </w:r>
    </w:p>
    <w:p w14:paraId="0BB180DA" w14:textId="77777777" w:rsidR="00743829" w:rsidRPr="00126C0C" w:rsidRDefault="00743829" w:rsidP="00743829">
      <w:pPr>
        <w:pStyle w:val="GG-body"/>
        <w:numPr>
          <w:ilvl w:val="0"/>
          <w:numId w:val="152"/>
        </w:numPr>
        <w:ind w:left="364"/>
      </w:pPr>
      <w:r w:rsidRPr="00126C0C">
        <w:t xml:space="preserve">The Tribunal also advertised its intention to review this, and other determinations applicable to members of Parliament, on its website from 22 June 2022. Submissions were also invited by 19 August 2022. </w:t>
      </w:r>
    </w:p>
    <w:p w14:paraId="33A8DC93" w14:textId="77777777" w:rsidR="00743829" w:rsidRPr="00183F9D" w:rsidRDefault="00743829" w:rsidP="00743829">
      <w:pPr>
        <w:pStyle w:val="GG-body"/>
        <w:numPr>
          <w:ilvl w:val="0"/>
          <w:numId w:val="152"/>
        </w:numPr>
        <w:ind w:left="364"/>
      </w:pPr>
      <w:r w:rsidRPr="00183F9D">
        <w:t>On 16 August 2022, the Premier’s representative confirmed that no submission would be made.</w:t>
      </w:r>
    </w:p>
    <w:p w14:paraId="7022CD47" w14:textId="77777777" w:rsidR="00743829" w:rsidRPr="00183F9D" w:rsidRDefault="00743829" w:rsidP="00743829">
      <w:pPr>
        <w:pStyle w:val="GG-body"/>
        <w:numPr>
          <w:ilvl w:val="0"/>
          <w:numId w:val="152"/>
        </w:numPr>
        <w:ind w:left="364"/>
      </w:pPr>
      <w:r w:rsidRPr="00183F9D">
        <w:t>The only submission received was from the ICAC, the Hon Ann Vanstone KC, by letter dated 29 June 2022. Commissioner Vanstone asked the Tribunal to reconsider the submission she put in 2021. In that submission, the Commissioner suggested the Tribunal consider altering the scheme to a yearly fixed amount for country members, with members claiming the allowance required to make a statutory declaration as to their place of residence and its distance from the General Post Office. The Commission suggested that this would reduce compliance costs and efforts, facilitate simpler administration and audit requirements, and would address her concerns that the current criteria for purpose of travel were extremely subjective and were difficult to enforce.</w:t>
      </w:r>
    </w:p>
    <w:p w14:paraId="022A0522" w14:textId="77777777" w:rsidR="00743829" w:rsidRPr="00183F9D" w:rsidRDefault="00743829" w:rsidP="00743829">
      <w:pPr>
        <w:pStyle w:val="GG-body"/>
        <w:numPr>
          <w:ilvl w:val="0"/>
          <w:numId w:val="152"/>
        </w:numPr>
        <w:ind w:left="364"/>
      </w:pPr>
      <w:r w:rsidRPr="00183F9D">
        <w:t>While the Tribunal did not adopt this proposal in its 2021 determination, it did adopt the suggestion by the Commissioner to require members to provide a statutory declaration, instead of a mere declaration, as to residence arrangements and the minimum number of nights per year spent at the member’s second residence.</w:t>
      </w:r>
    </w:p>
    <w:p w14:paraId="2113AD9D" w14:textId="77777777" w:rsidR="00743829" w:rsidRPr="00E52685" w:rsidRDefault="00743829" w:rsidP="00743829">
      <w:pPr>
        <w:pStyle w:val="GG-body"/>
        <w:numPr>
          <w:ilvl w:val="0"/>
          <w:numId w:val="152"/>
        </w:numPr>
        <w:ind w:left="364"/>
      </w:pPr>
      <w:r w:rsidRPr="00183F9D">
        <w:t>Separately, on 26 October 2022, the Clerk of the House of Assembly raised an issue about how the current determination would apply in circumstances where a member of Parliament started to rent out their second residence after they had already made eligible claims for the second residence allowance in a financial year. The Tribunal understands this was a hypothetical question raised to assist members of Parliament comply with the determination</w:t>
      </w:r>
      <w:r w:rsidRPr="00E52685">
        <w:t>.</w:t>
      </w:r>
    </w:p>
    <w:p w14:paraId="0AF825B9" w14:textId="77777777" w:rsidR="00743829" w:rsidRPr="00E52685" w:rsidRDefault="00743829" w:rsidP="00743829">
      <w:pPr>
        <w:jc w:val="left"/>
        <w:rPr>
          <w:b/>
          <w:bCs/>
          <w:szCs w:val="17"/>
        </w:rPr>
      </w:pPr>
      <w:r w:rsidRPr="00183F9D">
        <w:rPr>
          <w:b/>
          <w:bCs/>
          <w:szCs w:val="17"/>
        </w:rPr>
        <w:t>A BACKGROUND TO THIS REVIEW</w:t>
      </w:r>
    </w:p>
    <w:p w14:paraId="6CCBF1D6" w14:textId="77777777" w:rsidR="00743829" w:rsidRPr="00183F9D" w:rsidRDefault="00743829" w:rsidP="00743829">
      <w:pPr>
        <w:pStyle w:val="GG-body"/>
        <w:numPr>
          <w:ilvl w:val="0"/>
          <w:numId w:val="152"/>
        </w:numPr>
        <w:ind w:left="364"/>
      </w:pPr>
      <w:r w:rsidRPr="00183F9D">
        <w:t>The history of the previous allowance arrangements is set out in detail in Report 9 of 2020. In summary form, the Tribunal noted that the long standing allowance entitlement existed to facilitate journeys of an official nature from a country member’s usual place of residence to Adelaide. The allowance was directed to ensuring that country members were not disadvantaged for fully and properly carrying out their official parliamentary, community or electoral duties in Adelaide.</w:t>
      </w:r>
    </w:p>
    <w:p w14:paraId="67099175" w14:textId="77777777" w:rsidR="00743829" w:rsidRPr="00183F9D" w:rsidRDefault="00743829" w:rsidP="00743829">
      <w:pPr>
        <w:pStyle w:val="GG-body"/>
        <w:numPr>
          <w:ilvl w:val="0"/>
          <w:numId w:val="152"/>
        </w:numPr>
        <w:ind w:left="364"/>
      </w:pPr>
      <w:r w:rsidRPr="00183F9D">
        <w:t>In 2020 the Tribunal made significant changes to the previous allowance system. These changes followed consideration of the arrangements applicable in other States and Territories and recognition of the requirement for an administratively efficient system that was demonstrably reflective of the actual costs incurred by country members of Parliament. As a result of this review, the Tribunal adopted a reimbursement based system for commercial accommodation expenses and an allowance based approach for those country members of Parliament who chose to purchase, or rent on a long term basis, a second Adelaide based residence to enable them to undertake their Parliamentary, community and electoral duties.</w:t>
      </w:r>
    </w:p>
    <w:p w14:paraId="751E12F0" w14:textId="77777777" w:rsidR="00743829" w:rsidRDefault="00743829" w:rsidP="00743829">
      <w:pPr>
        <w:pStyle w:val="GG-body"/>
        <w:numPr>
          <w:ilvl w:val="0"/>
          <w:numId w:val="152"/>
        </w:numPr>
        <w:ind w:left="364"/>
      </w:pPr>
      <w:r w:rsidRPr="00183F9D">
        <w:t>In its 2021 review the Tribunal made some changes to the administrative requirements for the reimbursement and allowance payment arrangements. The Tribunal noted that significant changes to the system established in 2020 were not sought by members of Parliament. The Tribunal decided to apply a modest inflationary adjustment to amounts established in 2020</w:t>
      </w:r>
      <w:r w:rsidRPr="00B427B7">
        <w:t>.</w:t>
      </w:r>
    </w:p>
    <w:p w14:paraId="1DC96E6F" w14:textId="77777777" w:rsidR="00743829" w:rsidRDefault="00743829" w:rsidP="00743829">
      <w:pPr>
        <w:jc w:val="left"/>
        <w:rPr>
          <w:b/>
          <w:bCs/>
          <w:szCs w:val="17"/>
        </w:rPr>
      </w:pPr>
      <w:r w:rsidRPr="00183F9D">
        <w:rPr>
          <w:b/>
          <w:bCs/>
          <w:szCs w:val="17"/>
        </w:rPr>
        <w:t>THE CURRENT SYSTEM</w:t>
      </w:r>
    </w:p>
    <w:p w14:paraId="539E6BDE" w14:textId="77777777" w:rsidR="00743829" w:rsidRPr="00183F9D" w:rsidRDefault="00743829" w:rsidP="00743829">
      <w:pPr>
        <w:pStyle w:val="GG-body"/>
        <w:numPr>
          <w:ilvl w:val="0"/>
          <w:numId w:val="152"/>
        </w:numPr>
        <w:ind w:left="364"/>
      </w:pPr>
      <w:r w:rsidRPr="00183F9D">
        <w:t xml:space="preserve">The scheme established by the Tribunal’s 2020 determination and marginally modified by the 2021 determination differentiates between benefits provided to country members of Parliament whose usual place of residence is outside of the metropolitan Adelaide boundary but within 75 km of the General Post Office and those whose usual place of residence is beyond 75 km from the General Post Office. The first category of members are able to claim a reimbursement amount for accommodation expenses incurred because they need to stay overnight in Adelaide to attend to parliamentary business, or community or electoral activities. A limit is set on the number of night’s accommodation which can be claimed each year. </w:t>
      </w:r>
    </w:p>
    <w:p w14:paraId="7F9D11CA" w14:textId="77777777" w:rsidR="00743829" w:rsidRPr="00183F9D" w:rsidRDefault="00743829" w:rsidP="00743829">
      <w:pPr>
        <w:pStyle w:val="GG-body"/>
        <w:numPr>
          <w:ilvl w:val="0"/>
          <w:numId w:val="152"/>
        </w:numPr>
        <w:ind w:left="364"/>
      </w:pPr>
      <w:r w:rsidRPr="00183F9D">
        <w:t>The second category of country members can also claim reimbursement of accommodation expenses incurred for the same reasons, or can receive an allowance determined by the Tribunal in the event that they purchase or rent on a long-term basis, a residence as an alternative to incurring nightly accommodation expenses.</w:t>
      </w:r>
    </w:p>
    <w:p w14:paraId="47C07309" w14:textId="77777777" w:rsidR="00743829" w:rsidRPr="00183F9D" w:rsidRDefault="00743829" w:rsidP="00743829">
      <w:pPr>
        <w:pStyle w:val="GG-body"/>
        <w:numPr>
          <w:ilvl w:val="0"/>
          <w:numId w:val="152"/>
        </w:numPr>
        <w:ind w:left="364"/>
      </w:pPr>
      <w:r w:rsidRPr="00183F9D">
        <w:t>In its 2020 Report the Tribunal reviewed the 75 km distance provisions and noted inherent difficulties in assessing some locations. A map showing specific locations for the purposes of differentiating between the two groups was adopted</w:t>
      </w:r>
    </w:p>
    <w:p w14:paraId="3D09F577" w14:textId="77777777" w:rsidR="00743829" w:rsidRPr="00183F9D" w:rsidRDefault="00743829" w:rsidP="00743829">
      <w:pPr>
        <w:pStyle w:val="GG-body"/>
        <w:rPr>
          <w:b/>
          <w:bCs/>
        </w:rPr>
      </w:pPr>
      <w:r w:rsidRPr="00183F9D">
        <w:rPr>
          <w:b/>
          <w:bCs/>
        </w:rPr>
        <w:t>CONCLUSIONS ABOUT THE SCHEME</w:t>
      </w:r>
    </w:p>
    <w:p w14:paraId="421A9DDD" w14:textId="77777777" w:rsidR="00743829" w:rsidRPr="00183F9D" w:rsidRDefault="00743829" w:rsidP="00743829">
      <w:pPr>
        <w:pStyle w:val="GG-body"/>
        <w:numPr>
          <w:ilvl w:val="0"/>
          <w:numId w:val="152"/>
        </w:numPr>
        <w:ind w:left="364"/>
      </w:pPr>
      <w:r w:rsidRPr="00183F9D">
        <w:t>The Tribunal is cognizant of the need to strike a balance between the adoption of a system which minimizes uncertainty and the potential for inadvertent misuse and is administratively efficient.</w:t>
      </w:r>
    </w:p>
    <w:p w14:paraId="1226F3A4" w14:textId="77777777" w:rsidR="00743829" w:rsidRPr="00183F9D" w:rsidRDefault="00743829" w:rsidP="00743829">
      <w:pPr>
        <w:pStyle w:val="GG-body"/>
        <w:numPr>
          <w:ilvl w:val="0"/>
          <w:numId w:val="152"/>
        </w:numPr>
        <w:ind w:left="364"/>
      </w:pPr>
      <w:r w:rsidRPr="00183F9D">
        <w:t xml:space="preserve">In this respect the Tribunal believes that administrative improvements could conceivably be made to the existing system. These could particularly apply to reporting arrangements. However, in the absence of any request from either the members of Parliament who benefit from and apply the current system, or from those responsible for administering this system, the Tribunal is not inclined to make a significant change this year. </w:t>
      </w:r>
    </w:p>
    <w:p w14:paraId="7B5D9192" w14:textId="77777777" w:rsidR="00743829" w:rsidRPr="00183F9D" w:rsidRDefault="00743829" w:rsidP="00743829">
      <w:pPr>
        <w:pStyle w:val="GG-body"/>
        <w:numPr>
          <w:ilvl w:val="0"/>
          <w:numId w:val="152"/>
        </w:numPr>
        <w:ind w:left="364"/>
      </w:pPr>
      <w:r w:rsidRPr="00183F9D">
        <w:t>Instead, the Tribunal is minded to consider potential improvements to the scheme and to put out a draft proposal ahead of next year’s review.</w:t>
      </w:r>
    </w:p>
    <w:p w14:paraId="4FA69AAE" w14:textId="35ACB252" w:rsidR="00743829" w:rsidRDefault="00743829" w:rsidP="00743829">
      <w:pPr>
        <w:pStyle w:val="GG-body"/>
        <w:numPr>
          <w:ilvl w:val="0"/>
          <w:numId w:val="152"/>
        </w:numPr>
        <w:ind w:left="364"/>
      </w:pPr>
      <w:r w:rsidRPr="00183F9D">
        <w:t>The Tribunal has considered Commissioner Vanstone’s proposition that country members might be required to provide an annual statutory declaration confirming that their usual place of residence is either within the 75 km zone or outside of that zone. The Tribunal is cognizant of the significance of the map designating this area rather than road measurements. If a statutory declaration relative to the location of a member of Parliament’s usual place of residence is applied as an additional reporting requirement, the Tribunal is not convinced that it will alter factual circumstance of that location. If, however, the statutory declaration is applied to effectively replace a specific claim for reimbursement, the Tribunal is concerned this will diminish the overall accountability of the system and result in a change from an inherently reimbursement based system to a general allowance that does not represent the degree of accountability that prompted the 2020 scheme. Consequently, the Tribunal has decided against any significant change to the structure of the scheme at the present time. In reaching this conclusion the Tribunal appreciates the enforcement difficulties identified by Commissioner Vanstone, particularly  in relation to which activities are legitimately encompassed within the purpose of the allowance but has concluded that the obligation should remain vested with members of Parliament to determine, and, if necessary, validate claims made in this respect. The Tribunal will however give further consideration to these submissions in preparing any draft proposal for next year's review.</w:t>
      </w:r>
    </w:p>
    <w:p w14:paraId="3D41C589" w14:textId="77777777" w:rsidR="00743829" w:rsidRDefault="00743829">
      <w:pPr>
        <w:spacing w:after="0" w:line="240" w:lineRule="auto"/>
        <w:jc w:val="left"/>
        <w:rPr>
          <w:rFonts w:eastAsia="Times New Roman"/>
          <w:szCs w:val="17"/>
        </w:rPr>
      </w:pPr>
      <w:r>
        <w:br w:type="page"/>
      </w:r>
    </w:p>
    <w:p w14:paraId="4588DCCD" w14:textId="77777777" w:rsidR="00743829" w:rsidRPr="00183F9D" w:rsidRDefault="00743829" w:rsidP="00743829">
      <w:pPr>
        <w:pStyle w:val="GG-body"/>
        <w:numPr>
          <w:ilvl w:val="0"/>
          <w:numId w:val="152"/>
        </w:numPr>
        <w:ind w:left="364"/>
      </w:pPr>
      <w:r w:rsidRPr="00183F9D">
        <w:lastRenderedPageBreak/>
        <w:t xml:space="preserve">In respect of the matter raised by the Clerk of the House of Assembly, the Tribunal notes that clause 4.2.4 of the current determination provides as follows </w:t>
      </w:r>
    </w:p>
    <w:p w14:paraId="2E8B8B47" w14:textId="77777777" w:rsidR="00743829" w:rsidRPr="00183F9D" w:rsidRDefault="00743829" w:rsidP="00743829">
      <w:pPr>
        <w:pStyle w:val="GG-body"/>
        <w:ind w:left="567"/>
        <w:rPr>
          <w:i/>
          <w:iCs/>
        </w:rPr>
      </w:pPr>
      <w:r w:rsidRPr="00183F9D">
        <w:rPr>
          <w:i/>
          <w:iCs/>
        </w:rPr>
        <w:t>If a Member’s usual place of residence or second residence is rented out (i.e. rented to a person in exchange for a monetary payment or pecuniary benefit of any kind) for any period within a financial year, then the Member will not be entitled to a second residence allowance for that financial year. This clause (4.2.4) will come into operation commencing from the 2021/22 financial year.</w:t>
      </w:r>
    </w:p>
    <w:p w14:paraId="3A6ADE5D" w14:textId="77777777" w:rsidR="00743829" w:rsidRPr="00183F9D" w:rsidRDefault="00743829" w:rsidP="00743829">
      <w:pPr>
        <w:pStyle w:val="GG-body"/>
        <w:numPr>
          <w:ilvl w:val="0"/>
          <w:numId w:val="152"/>
        </w:numPr>
        <w:ind w:left="364"/>
      </w:pPr>
      <w:r w:rsidRPr="00183F9D">
        <w:t>The Tribunal believes this clause is unambiguous, and in practice requires a member of Parliament to decide at the start of a financial year whether they intend to rent out their usual or second place of residence for any period in that financial year, and hence to only claim the allowance if they do not intend to rent out either residence. Renting out a residence after claiming the allowance would undermine their eligibility to have claimed that allowance. The Tribunal acknowledges that this aspect of the determination could cause issues for members of Parliament, but believes this issue is best addressed as part of the foreshadowed proposed amendments for next year’s review, which will allow affected persons a proper opportunity to comment on proposed amendments to the scheme as a whole.</w:t>
      </w:r>
    </w:p>
    <w:p w14:paraId="30E158C6" w14:textId="77777777" w:rsidR="00743829" w:rsidRPr="00183F9D" w:rsidRDefault="00743829" w:rsidP="00743829">
      <w:pPr>
        <w:pStyle w:val="GG-body"/>
        <w:ind w:left="4"/>
        <w:rPr>
          <w:b/>
          <w:bCs/>
        </w:rPr>
      </w:pPr>
      <w:r w:rsidRPr="00183F9D">
        <w:rPr>
          <w:b/>
          <w:bCs/>
        </w:rPr>
        <w:t>Amounts</w:t>
      </w:r>
    </w:p>
    <w:p w14:paraId="5017663E" w14:textId="77777777" w:rsidR="00743829" w:rsidRPr="00183F9D" w:rsidRDefault="00743829" w:rsidP="00743829">
      <w:pPr>
        <w:pStyle w:val="GG-body"/>
        <w:numPr>
          <w:ilvl w:val="0"/>
          <w:numId w:val="152"/>
        </w:numPr>
        <w:ind w:left="364"/>
      </w:pPr>
      <w:r w:rsidRPr="00183F9D">
        <w:t>The Tribunal has reviewed the allowances and reimbursement amounts in the context of the following data on cost increases.</w:t>
      </w:r>
    </w:p>
    <w:p w14:paraId="2CBA28D9" w14:textId="77777777" w:rsidR="00743829" w:rsidRPr="00183F9D" w:rsidRDefault="00743829" w:rsidP="00743829">
      <w:pPr>
        <w:pStyle w:val="GG-body"/>
        <w:numPr>
          <w:ilvl w:val="0"/>
          <w:numId w:val="152"/>
        </w:numPr>
        <w:ind w:left="364"/>
      </w:pPr>
      <w:r w:rsidRPr="00183F9D">
        <w:t xml:space="preserve">The Consumer Price Index (All groups Adelaide) shows the following percentage changes from the corresponding quarters of previous years: </w:t>
      </w:r>
    </w:p>
    <w:p w14:paraId="7CBDDBE1" w14:textId="77777777" w:rsidR="00743829" w:rsidRPr="00183F9D" w:rsidRDefault="00743829" w:rsidP="00743829">
      <w:pPr>
        <w:pStyle w:val="GG-body"/>
        <w:numPr>
          <w:ilvl w:val="0"/>
          <w:numId w:val="149"/>
        </w:numPr>
      </w:pPr>
      <w:r w:rsidRPr="00183F9D">
        <w:t xml:space="preserve">3.3% for December 2021 </w:t>
      </w:r>
    </w:p>
    <w:p w14:paraId="1AA938C8" w14:textId="77777777" w:rsidR="00743829" w:rsidRPr="00183F9D" w:rsidRDefault="00743829" w:rsidP="00743829">
      <w:pPr>
        <w:pStyle w:val="GG-body"/>
        <w:numPr>
          <w:ilvl w:val="0"/>
          <w:numId w:val="149"/>
        </w:numPr>
      </w:pPr>
      <w:r w:rsidRPr="00183F9D">
        <w:t>4.7% for March 2022</w:t>
      </w:r>
    </w:p>
    <w:p w14:paraId="68F415D0" w14:textId="77777777" w:rsidR="00743829" w:rsidRPr="00183F9D" w:rsidRDefault="00743829" w:rsidP="00743829">
      <w:pPr>
        <w:pStyle w:val="GG-body"/>
        <w:numPr>
          <w:ilvl w:val="0"/>
          <w:numId w:val="149"/>
        </w:numPr>
      </w:pPr>
      <w:r w:rsidRPr="00183F9D">
        <w:t xml:space="preserve">6.4% for June 2022 </w:t>
      </w:r>
    </w:p>
    <w:p w14:paraId="76F5BF80" w14:textId="77777777" w:rsidR="00743829" w:rsidRPr="00183F9D" w:rsidRDefault="00743829" w:rsidP="00743829">
      <w:pPr>
        <w:pStyle w:val="GG-body"/>
        <w:numPr>
          <w:ilvl w:val="0"/>
          <w:numId w:val="149"/>
        </w:numPr>
      </w:pPr>
      <w:r w:rsidRPr="00183F9D">
        <w:t>8.4% for September 2022.</w:t>
      </w:r>
    </w:p>
    <w:p w14:paraId="4CC083C4" w14:textId="77777777" w:rsidR="00743829" w:rsidRPr="00183F9D" w:rsidRDefault="00743829" w:rsidP="00743829">
      <w:pPr>
        <w:pStyle w:val="GG-body"/>
        <w:numPr>
          <w:ilvl w:val="0"/>
          <w:numId w:val="152"/>
        </w:numPr>
        <w:ind w:left="364"/>
      </w:pPr>
      <w:r w:rsidRPr="00183F9D">
        <w:t>The Australian Bureau of Statistics (</w:t>
      </w:r>
      <w:r w:rsidRPr="00183F9D">
        <w:rPr>
          <w:b/>
          <w:bCs/>
        </w:rPr>
        <w:t>ABS</w:t>
      </w:r>
      <w:r w:rsidRPr="00183F9D">
        <w:t>) assessment of Adelaide rental cost increases shows the following percentage changes from the corresponding quarters of previous years:</w:t>
      </w:r>
    </w:p>
    <w:p w14:paraId="108BD032" w14:textId="77777777" w:rsidR="00743829" w:rsidRPr="00183F9D" w:rsidRDefault="00743829" w:rsidP="00743829">
      <w:pPr>
        <w:pStyle w:val="GG-body"/>
        <w:numPr>
          <w:ilvl w:val="0"/>
          <w:numId w:val="150"/>
        </w:numPr>
      </w:pPr>
      <w:r w:rsidRPr="00183F9D">
        <w:t xml:space="preserve">2.5% for December 2021 </w:t>
      </w:r>
    </w:p>
    <w:p w14:paraId="5EBEC768" w14:textId="77777777" w:rsidR="00743829" w:rsidRPr="00183F9D" w:rsidRDefault="00743829" w:rsidP="00743829">
      <w:pPr>
        <w:pStyle w:val="GG-body"/>
        <w:numPr>
          <w:ilvl w:val="0"/>
          <w:numId w:val="150"/>
        </w:numPr>
      </w:pPr>
      <w:r w:rsidRPr="00183F9D">
        <w:t>2.8% for March 2022</w:t>
      </w:r>
    </w:p>
    <w:p w14:paraId="57F4D84A" w14:textId="77777777" w:rsidR="00743829" w:rsidRPr="00183F9D" w:rsidRDefault="00743829" w:rsidP="00743829">
      <w:pPr>
        <w:pStyle w:val="GG-body"/>
        <w:numPr>
          <w:ilvl w:val="0"/>
          <w:numId w:val="150"/>
        </w:numPr>
      </w:pPr>
      <w:r w:rsidRPr="00183F9D">
        <w:t xml:space="preserve">3.4% for June 2022 </w:t>
      </w:r>
    </w:p>
    <w:p w14:paraId="671A8438" w14:textId="77777777" w:rsidR="00743829" w:rsidRPr="00183F9D" w:rsidRDefault="00743829" w:rsidP="00743829">
      <w:pPr>
        <w:pStyle w:val="GG-body"/>
        <w:numPr>
          <w:ilvl w:val="0"/>
          <w:numId w:val="150"/>
        </w:numPr>
      </w:pPr>
      <w:r w:rsidRPr="00183F9D">
        <w:t>4.4% for September 2022.</w:t>
      </w:r>
    </w:p>
    <w:p w14:paraId="7F4F436A" w14:textId="77777777" w:rsidR="00743829" w:rsidRPr="00183F9D" w:rsidRDefault="00743829" w:rsidP="00743829">
      <w:pPr>
        <w:pStyle w:val="GG-body"/>
        <w:numPr>
          <w:ilvl w:val="0"/>
          <w:numId w:val="152"/>
        </w:numPr>
        <w:ind w:left="364"/>
      </w:pPr>
      <w:r w:rsidRPr="00183F9D">
        <w:t>While the Tribunal has reviewed data on overall housing cost changes, no definitive conclusion can be extracted from the ABS material.</w:t>
      </w:r>
    </w:p>
    <w:p w14:paraId="1EDA2901" w14:textId="77777777" w:rsidR="00743829" w:rsidRPr="00183F9D" w:rsidRDefault="00743829" w:rsidP="00743829">
      <w:pPr>
        <w:pStyle w:val="GG-body"/>
        <w:numPr>
          <w:ilvl w:val="0"/>
          <w:numId w:val="152"/>
        </w:numPr>
        <w:ind w:left="364"/>
      </w:pPr>
      <w:r w:rsidRPr="00183F9D">
        <w:t>The Tribunal has also had regard to the Australian Taxation Office Taxation Determinations 2021/6 and 2022/10, which respectively set for taxation purposes reasonable accommodation, meal and incidental expenses for the 2021-22 and 2022-23 income years. The Tribunal has noted there was a 0% increase to accommodation costs for all capital cities, and most country centres, between those respective Taxation Determinations. The Tribunal has also taken note of the number of recent interest rate rises.</w:t>
      </w:r>
    </w:p>
    <w:p w14:paraId="3263C9A1" w14:textId="77777777" w:rsidR="00743829" w:rsidRDefault="00743829" w:rsidP="00743829">
      <w:pPr>
        <w:pStyle w:val="GG-body"/>
        <w:numPr>
          <w:ilvl w:val="0"/>
          <w:numId w:val="152"/>
        </w:numPr>
        <w:ind w:left="364"/>
      </w:pPr>
      <w:r w:rsidRPr="00183F9D">
        <w:t>Having regard to these factors, and the Australian Taxation Office Taxation Determinations in particular, the Tribunal has decided to increase the commercial accommodation expense reimbursement amount by 1.5%. The information on rental cost increases, and significant interest rate rises, justifies a higher increase for the second residence accommodation allowance. The Tribunal has accordingly decided to increase that allowance by 3.4%. The increases will apply from 1 January 2023</w:t>
      </w:r>
      <w:r w:rsidRPr="00BD0C57">
        <w:t>.</w:t>
      </w:r>
    </w:p>
    <w:p w14:paraId="393AFD28" w14:textId="77777777" w:rsidR="00743829" w:rsidRPr="00A51192" w:rsidRDefault="00743829" w:rsidP="00743829">
      <w:pPr>
        <w:pStyle w:val="GG-SDated"/>
      </w:pPr>
      <w:r>
        <w:t>Dated: 14 December 2022</w:t>
      </w:r>
    </w:p>
    <w:p w14:paraId="270EAEF1" w14:textId="77777777" w:rsidR="00743829" w:rsidRDefault="00743829" w:rsidP="00743829">
      <w:pPr>
        <w:pStyle w:val="GG-SName"/>
      </w:pPr>
      <w:r w:rsidRPr="00A51192">
        <w:t>Matthew O’Callaghan</w:t>
      </w:r>
    </w:p>
    <w:p w14:paraId="795A0AFF" w14:textId="77777777" w:rsidR="00743829" w:rsidRPr="00A51192" w:rsidRDefault="00743829" w:rsidP="00D92BE0">
      <w:pPr>
        <w:pStyle w:val="GG-Signature"/>
        <w:spacing w:after="80"/>
      </w:pPr>
      <w:r w:rsidRPr="00A51192">
        <w:t>President</w:t>
      </w:r>
    </w:p>
    <w:p w14:paraId="0E64C25D" w14:textId="77777777" w:rsidR="00743829" w:rsidRDefault="00743829" w:rsidP="00743829">
      <w:pPr>
        <w:pStyle w:val="GG-SName"/>
      </w:pPr>
      <w:r w:rsidRPr="00A51192">
        <w:t>Deborah Black</w:t>
      </w:r>
    </w:p>
    <w:p w14:paraId="4A8128A6" w14:textId="77777777" w:rsidR="00743829" w:rsidRPr="00A51192" w:rsidRDefault="00743829" w:rsidP="00D92BE0">
      <w:pPr>
        <w:pStyle w:val="GG-Signature"/>
        <w:spacing w:after="80"/>
      </w:pPr>
      <w:r w:rsidRPr="00A51192">
        <w:t>Member</w:t>
      </w:r>
    </w:p>
    <w:p w14:paraId="5801515A" w14:textId="77777777" w:rsidR="00743829" w:rsidRPr="00A51192" w:rsidRDefault="00743829" w:rsidP="00743829">
      <w:pPr>
        <w:pStyle w:val="GG-SName"/>
      </w:pPr>
      <w:r w:rsidRPr="00A51192">
        <w:t>Peter de Cure AM</w:t>
      </w:r>
    </w:p>
    <w:p w14:paraId="459ADCDC" w14:textId="77777777" w:rsidR="00743829" w:rsidRDefault="00743829" w:rsidP="00743829">
      <w:pPr>
        <w:pStyle w:val="GG-Signature"/>
      </w:pPr>
      <w:r w:rsidRPr="00A51192">
        <w:t>Member</w:t>
      </w:r>
    </w:p>
    <w:p w14:paraId="6117C4BA" w14:textId="77777777" w:rsidR="00743829" w:rsidRDefault="00743829" w:rsidP="00743829">
      <w:pPr>
        <w:pStyle w:val="GG-Signature"/>
        <w:pBdr>
          <w:top w:val="single" w:sz="4" w:space="1" w:color="auto"/>
        </w:pBdr>
        <w:spacing w:before="100" w:line="14" w:lineRule="exact"/>
        <w:ind w:left="1080" w:right="1080"/>
        <w:jc w:val="center"/>
      </w:pPr>
    </w:p>
    <w:p w14:paraId="0DB93119" w14:textId="77777777" w:rsidR="00743829" w:rsidRDefault="00743829" w:rsidP="00743829">
      <w:pPr>
        <w:pStyle w:val="GG-Title1"/>
        <w:spacing w:after="0"/>
      </w:pPr>
    </w:p>
    <w:p w14:paraId="0BA2F9D1" w14:textId="1F43F921" w:rsidR="00743829" w:rsidRPr="004F33B9" w:rsidRDefault="00743829" w:rsidP="00743829">
      <w:pPr>
        <w:pStyle w:val="GG-Title1"/>
      </w:pPr>
      <w:r w:rsidRPr="004F33B9">
        <w:t>The Remuneration Tribunal</w:t>
      </w:r>
    </w:p>
    <w:p w14:paraId="06566B45" w14:textId="53316427" w:rsidR="00743829" w:rsidRPr="00A51192" w:rsidRDefault="00743829" w:rsidP="00743829">
      <w:pPr>
        <w:pStyle w:val="GG-Title2"/>
      </w:pPr>
      <w:r>
        <w:t>Determination—</w:t>
      </w:r>
      <w:r w:rsidRPr="00A51192">
        <w:t xml:space="preserve">No. </w:t>
      </w:r>
      <w:r>
        <w:t>1</w:t>
      </w:r>
      <w:r w:rsidR="001E29AE">
        <w:t>8</w:t>
      </w:r>
      <w:r w:rsidRPr="00A51192">
        <w:t xml:space="preserve"> </w:t>
      </w:r>
      <w:r>
        <w:t>o</w:t>
      </w:r>
      <w:r w:rsidRPr="00A51192">
        <w:t>f 2022</w:t>
      </w:r>
    </w:p>
    <w:p w14:paraId="3C5DED37" w14:textId="77777777" w:rsidR="00743829" w:rsidRPr="00183F9D" w:rsidRDefault="00743829" w:rsidP="00743829">
      <w:pPr>
        <w:pStyle w:val="GG-Title3"/>
      </w:pPr>
      <w:r w:rsidRPr="00183F9D">
        <w:t>Accommodation Expense Reimbursement and Allowances for Country Members of Parliament</w:t>
      </w:r>
    </w:p>
    <w:p w14:paraId="7A6224D4" w14:textId="77777777" w:rsidR="00743829" w:rsidRPr="00E52685" w:rsidRDefault="00743829" w:rsidP="00743829">
      <w:pPr>
        <w:jc w:val="left"/>
        <w:rPr>
          <w:b/>
          <w:bCs/>
          <w:szCs w:val="17"/>
        </w:rPr>
      </w:pPr>
      <w:r>
        <w:rPr>
          <w:b/>
          <w:bCs/>
          <w:szCs w:val="17"/>
        </w:rPr>
        <w:t xml:space="preserve">SCOPE OF </w:t>
      </w:r>
      <w:r w:rsidRPr="00A57FE4">
        <w:rPr>
          <w:b/>
          <w:bCs/>
          <w:szCs w:val="17"/>
        </w:rPr>
        <w:t>DETERMINATION</w:t>
      </w:r>
    </w:p>
    <w:p w14:paraId="222BCEA8" w14:textId="77777777" w:rsidR="00743829" w:rsidRPr="00330F90" w:rsidRDefault="00743829" w:rsidP="00743829">
      <w:pPr>
        <w:pStyle w:val="GG-body"/>
        <w:numPr>
          <w:ilvl w:val="0"/>
          <w:numId w:val="154"/>
        </w:numPr>
      </w:pPr>
      <w:r w:rsidRPr="00183F9D">
        <w:t>This Determination applies to certain specified Members of Parliament who meet the eligibility criteria for a Part A or Part B accommodation reimbursement or allowance</w:t>
      </w:r>
      <w:r>
        <w:t>.</w:t>
      </w:r>
    </w:p>
    <w:p w14:paraId="05A3BD67" w14:textId="77777777" w:rsidR="00743829" w:rsidRPr="0097627D" w:rsidRDefault="00743829" w:rsidP="00743829">
      <w:pPr>
        <w:pStyle w:val="GG-body"/>
        <w:rPr>
          <w:b/>
        </w:rPr>
      </w:pPr>
      <w:r w:rsidRPr="00B427B7">
        <w:rPr>
          <w:b/>
        </w:rPr>
        <w:t>INTERPRETATION</w:t>
      </w:r>
    </w:p>
    <w:p w14:paraId="75A5DEFF" w14:textId="77777777" w:rsidR="00743829" w:rsidRDefault="00743829" w:rsidP="00743829">
      <w:pPr>
        <w:pStyle w:val="GG-body"/>
        <w:numPr>
          <w:ilvl w:val="0"/>
          <w:numId w:val="154"/>
        </w:numPr>
        <w:ind w:left="336" w:hanging="336"/>
        <w:rPr>
          <w:lang w:val="en-US"/>
        </w:rPr>
      </w:pPr>
      <w:r w:rsidRPr="00BE59B5">
        <w:rPr>
          <w:lang w:val="en-US"/>
        </w:rPr>
        <w:t>In this Determination, unless the contrary appears:</w:t>
      </w:r>
    </w:p>
    <w:p w14:paraId="7768E0E2" w14:textId="77777777" w:rsidR="00743829" w:rsidRPr="008A102D" w:rsidRDefault="00743829" w:rsidP="00743829">
      <w:pPr>
        <w:pStyle w:val="GG-body"/>
        <w:ind w:left="364"/>
        <w:rPr>
          <w:lang w:val="en-US"/>
        </w:rPr>
      </w:pPr>
      <w:r w:rsidRPr="008A102D">
        <w:rPr>
          <w:b/>
          <w:bCs/>
          <w:lang w:val="en-US"/>
        </w:rPr>
        <w:t xml:space="preserve">“Overnight Accommodation Costs” </w:t>
      </w:r>
      <w:r w:rsidRPr="008A102D">
        <w:rPr>
          <w:lang w:val="en-GB"/>
        </w:rPr>
        <w:t>means costs incurred by a Member that have a direct nexus to the provision of overnight accommodation for the Member, including booking fees and transactions fees.</w:t>
      </w:r>
    </w:p>
    <w:p w14:paraId="0D882EDF" w14:textId="77777777" w:rsidR="00743829" w:rsidRPr="008A102D" w:rsidRDefault="00743829" w:rsidP="00743829">
      <w:pPr>
        <w:pStyle w:val="GG-body"/>
        <w:ind w:left="364"/>
        <w:rPr>
          <w:lang w:val="en-US"/>
        </w:rPr>
      </w:pPr>
      <w:r w:rsidRPr="008A102D">
        <w:rPr>
          <w:b/>
          <w:bCs/>
          <w:lang w:val="en-US"/>
        </w:rPr>
        <w:t xml:space="preserve">“Clerk of the House” </w:t>
      </w:r>
      <w:r w:rsidRPr="008A102D">
        <w:rPr>
          <w:lang w:val="en-US"/>
        </w:rPr>
        <w:t>means a person who holds the office of, or is acting in the office of, either the Clerk of the Legislative Council or the Clerk of the House of Assembly, as the case may be.</w:t>
      </w:r>
    </w:p>
    <w:p w14:paraId="3C7AE2B9" w14:textId="77777777" w:rsidR="00743829" w:rsidRPr="008A102D" w:rsidRDefault="00743829" w:rsidP="00743829">
      <w:pPr>
        <w:pStyle w:val="GG-body"/>
        <w:ind w:left="364"/>
        <w:rPr>
          <w:lang w:val="en-US"/>
        </w:rPr>
      </w:pPr>
      <w:r w:rsidRPr="008A102D">
        <w:rPr>
          <w:b/>
          <w:bCs/>
          <w:lang w:val="en-US"/>
        </w:rPr>
        <w:t xml:space="preserve">“Commercial Accommodation” </w:t>
      </w:r>
      <w:r w:rsidRPr="008A102D">
        <w:rPr>
          <w:lang w:val="en-US"/>
        </w:rPr>
        <w:t>means short term (not permanent) accommodation in a commercial establishment such as a hotel, motel or serviced apartment and must be a genuine arms-length commercial transaction. Commercial Accommodation does not include AirBnB or other “sharing economy” type accommodation.</w:t>
      </w:r>
    </w:p>
    <w:p w14:paraId="5158B882" w14:textId="77777777" w:rsidR="00743829" w:rsidRPr="008A102D" w:rsidRDefault="00743829" w:rsidP="00743829">
      <w:pPr>
        <w:pStyle w:val="GG-body"/>
        <w:ind w:left="364"/>
        <w:rPr>
          <w:lang w:val="en-US"/>
        </w:rPr>
      </w:pPr>
      <w:r w:rsidRPr="008A102D">
        <w:rPr>
          <w:b/>
          <w:bCs/>
          <w:lang w:val="en-US"/>
        </w:rPr>
        <w:t xml:space="preserve">“Community Duties” </w:t>
      </w:r>
      <w:r w:rsidRPr="008A102D">
        <w:rPr>
          <w:lang w:val="en-US"/>
        </w:rPr>
        <w:t>means any activities of the Member in connection with their duty to be actively involved in community affairs, including, amongst other things, attendance at community events and functions.</w:t>
      </w:r>
    </w:p>
    <w:p w14:paraId="53AB433E" w14:textId="77777777" w:rsidR="00743829" w:rsidRPr="008A102D" w:rsidRDefault="00743829" w:rsidP="00743829">
      <w:pPr>
        <w:pStyle w:val="GG-body"/>
        <w:ind w:left="364"/>
        <w:rPr>
          <w:lang w:val="en-US"/>
        </w:rPr>
      </w:pPr>
      <w:r w:rsidRPr="008A102D">
        <w:rPr>
          <w:b/>
          <w:bCs/>
          <w:lang w:val="en-US"/>
        </w:rPr>
        <w:t xml:space="preserve">“Country Member” </w:t>
      </w:r>
      <w:r w:rsidRPr="008A102D">
        <w:rPr>
          <w:lang w:val="en-US"/>
        </w:rPr>
        <w:t>means a Member of Parliament who is eligible for the payment of an accommodation reimbursement or allowance under the terms of this Determination.</w:t>
      </w:r>
    </w:p>
    <w:p w14:paraId="6C3F9091" w14:textId="77777777" w:rsidR="00743829" w:rsidRPr="008A102D" w:rsidRDefault="00743829" w:rsidP="00743829">
      <w:pPr>
        <w:pStyle w:val="GG-body"/>
        <w:ind w:left="364"/>
        <w:rPr>
          <w:lang w:val="en-US"/>
        </w:rPr>
      </w:pPr>
      <w:r w:rsidRPr="008A102D">
        <w:rPr>
          <w:b/>
          <w:bCs/>
          <w:lang w:val="en-US"/>
        </w:rPr>
        <w:t xml:space="preserve">“Electoral Duties” </w:t>
      </w:r>
      <w:r w:rsidRPr="008A102D">
        <w:rPr>
          <w:lang w:val="en-US"/>
        </w:rPr>
        <w:t>means any activities of the Member that support or serve their constituents. This includes, amongst other things, the Member’s duty to represent and assist their constituents in dealings with governmental and other public agencies and authorities.</w:t>
      </w:r>
    </w:p>
    <w:p w14:paraId="5D99EBDB" w14:textId="77777777" w:rsidR="00743829" w:rsidRPr="008A102D" w:rsidRDefault="00743829" w:rsidP="00743829">
      <w:pPr>
        <w:pStyle w:val="GG-body"/>
        <w:ind w:left="364"/>
        <w:rPr>
          <w:lang w:val="en-US"/>
        </w:rPr>
      </w:pPr>
      <w:r w:rsidRPr="008A102D">
        <w:rPr>
          <w:b/>
          <w:bCs/>
          <w:lang w:val="en-US"/>
        </w:rPr>
        <w:lastRenderedPageBreak/>
        <w:t xml:space="preserve">“House of Parliament” </w:t>
      </w:r>
      <w:r w:rsidRPr="008A102D">
        <w:rPr>
          <w:lang w:val="en-US"/>
        </w:rPr>
        <w:t>means either the Legislative Council or the House of Assembly, as the case may be.</w:t>
      </w:r>
    </w:p>
    <w:p w14:paraId="74FA2106" w14:textId="77777777" w:rsidR="00743829" w:rsidRPr="008A102D" w:rsidRDefault="00743829" w:rsidP="00743829">
      <w:pPr>
        <w:pStyle w:val="GG-body"/>
        <w:ind w:left="364"/>
        <w:rPr>
          <w:i/>
          <w:iCs/>
          <w:lang w:val="en-US"/>
        </w:rPr>
      </w:pPr>
      <w:r w:rsidRPr="008A102D">
        <w:rPr>
          <w:b/>
          <w:bCs/>
          <w:lang w:val="en-US"/>
        </w:rPr>
        <w:t xml:space="preserve">“Incurred/incurs Actual Expenditure” </w:t>
      </w:r>
      <w:r w:rsidRPr="008A102D">
        <w:rPr>
          <w:lang w:val="en-US"/>
        </w:rPr>
        <w:t>means an amount of money spent by a Member.</w:t>
      </w:r>
    </w:p>
    <w:p w14:paraId="3AD1D5AC" w14:textId="77777777" w:rsidR="00743829" w:rsidRPr="008A102D" w:rsidRDefault="00743829" w:rsidP="00743829">
      <w:pPr>
        <w:pStyle w:val="GG-body"/>
        <w:ind w:left="364"/>
        <w:rPr>
          <w:lang w:val="en-US"/>
        </w:rPr>
      </w:pPr>
      <w:r w:rsidRPr="008A102D">
        <w:rPr>
          <w:b/>
          <w:bCs/>
          <w:lang w:val="en-US"/>
        </w:rPr>
        <w:t xml:space="preserve">“Member” or “Member of Parliament” </w:t>
      </w:r>
      <w:r w:rsidRPr="008A102D">
        <w:rPr>
          <w:lang w:val="en-US"/>
        </w:rPr>
        <w:t>means a Member of the Parliament of South Australia (except where used in relation to a Tribunal Member).</w:t>
      </w:r>
    </w:p>
    <w:p w14:paraId="1EFEEFF1" w14:textId="77777777" w:rsidR="00743829" w:rsidRPr="008A102D" w:rsidRDefault="00743829" w:rsidP="00743829">
      <w:pPr>
        <w:pStyle w:val="GG-body"/>
        <w:ind w:left="364"/>
        <w:rPr>
          <w:i/>
          <w:iCs/>
          <w:lang w:val="en-US"/>
        </w:rPr>
      </w:pPr>
      <w:r w:rsidRPr="008A102D">
        <w:rPr>
          <w:b/>
          <w:bCs/>
          <w:lang w:val="en-US"/>
        </w:rPr>
        <w:t xml:space="preserve">“Metropolitan Adelaide” </w:t>
      </w:r>
      <w:r w:rsidRPr="008A102D">
        <w:rPr>
          <w:lang w:val="en-US"/>
        </w:rPr>
        <w:t xml:space="preserve">bears the same meaning as defined in the </w:t>
      </w:r>
      <w:r w:rsidRPr="008A102D">
        <w:rPr>
          <w:i/>
          <w:iCs/>
          <w:lang w:val="en-US"/>
        </w:rPr>
        <w:t>Development Act 1993.</w:t>
      </w:r>
    </w:p>
    <w:p w14:paraId="3547BCD4" w14:textId="77777777" w:rsidR="00743829" w:rsidRPr="008A102D" w:rsidRDefault="00743829" w:rsidP="00743829">
      <w:pPr>
        <w:pStyle w:val="GG-body"/>
        <w:ind w:left="364"/>
        <w:rPr>
          <w:i/>
          <w:iCs/>
          <w:lang w:val="en-US"/>
        </w:rPr>
      </w:pPr>
      <w:r w:rsidRPr="008A102D">
        <w:rPr>
          <w:b/>
          <w:bCs/>
          <w:lang w:val="en-US"/>
        </w:rPr>
        <w:t>“Ministerial Duties”</w:t>
      </w:r>
      <w:r w:rsidRPr="008A102D">
        <w:rPr>
          <w:lang w:val="en-US"/>
        </w:rPr>
        <w:t xml:space="preserve"> means activities undertaken by a Member of Parliament in relation to their role as a Minister.</w:t>
      </w:r>
    </w:p>
    <w:p w14:paraId="1C23E769" w14:textId="77777777" w:rsidR="00743829" w:rsidRPr="008A102D" w:rsidRDefault="00743829" w:rsidP="00743829">
      <w:pPr>
        <w:pStyle w:val="GG-body"/>
        <w:ind w:left="364"/>
        <w:rPr>
          <w:lang w:val="en-US"/>
        </w:rPr>
      </w:pPr>
      <w:bookmarkStart w:id="102" w:name="_Hlk48826044"/>
      <w:r w:rsidRPr="008A102D">
        <w:rPr>
          <w:b/>
          <w:bCs/>
          <w:lang w:val="en-US"/>
        </w:rPr>
        <w:t xml:space="preserve">“Parliamentary Duties” </w:t>
      </w:r>
      <w:r w:rsidRPr="008A102D">
        <w:rPr>
          <w:lang w:val="en-US"/>
        </w:rPr>
        <w:t>means any activities of the Member that relate directly to the Member’s role as a Member. This includes, amongst other things, duties in connection with sittings of the Parliament or sittings as a Member on parliamentary committees.</w:t>
      </w:r>
    </w:p>
    <w:p w14:paraId="28716B2E" w14:textId="77777777" w:rsidR="00743829" w:rsidRPr="008A102D" w:rsidRDefault="00743829" w:rsidP="00743829">
      <w:pPr>
        <w:pStyle w:val="GG-body"/>
        <w:ind w:left="364"/>
        <w:rPr>
          <w:lang w:val="en-US"/>
        </w:rPr>
      </w:pPr>
      <w:bookmarkStart w:id="103" w:name="_Hlk48826139"/>
      <w:bookmarkEnd w:id="102"/>
      <w:r w:rsidRPr="008A102D">
        <w:rPr>
          <w:b/>
          <w:bCs/>
          <w:lang w:val="en-US"/>
        </w:rPr>
        <w:t xml:space="preserve">“Party Political Duties” </w:t>
      </w:r>
      <w:r w:rsidRPr="008A102D">
        <w:rPr>
          <w:lang w:val="en-US"/>
        </w:rPr>
        <w:t>means activities of the Member in connection with both their political party and their own, or another Member’s, membership of the Parliament.</w:t>
      </w:r>
    </w:p>
    <w:bookmarkEnd w:id="103"/>
    <w:p w14:paraId="22299ADB" w14:textId="77777777" w:rsidR="00743829" w:rsidRPr="008A102D" w:rsidRDefault="00743829" w:rsidP="00743829">
      <w:pPr>
        <w:pStyle w:val="GG-body"/>
        <w:ind w:left="364"/>
        <w:rPr>
          <w:lang w:val="en-US"/>
        </w:rPr>
      </w:pPr>
      <w:r w:rsidRPr="008A102D">
        <w:rPr>
          <w:b/>
          <w:bCs/>
          <w:lang w:val="en-US"/>
        </w:rPr>
        <w:t xml:space="preserve">“Second Residence” </w:t>
      </w:r>
      <w:r w:rsidRPr="008A102D">
        <w:rPr>
          <w:lang w:val="en-US"/>
        </w:rPr>
        <w:t>means a residence where a Member resides other than the Member’s usual place of residence. That residence must be owned by the Member and/or the Member’s Spouse, or the Member and/or the Member’s Spouse must have a rental agreement for the second residence for a minimum period of six months or more.</w:t>
      </w:r>
    </w:p>
    <w:p w14:paraId="3126808D" w14:textId="77777777" w:rsidR="00743829" w:rsidRPr="008A102D" w:rsidRDefault="00743829" w:rsidP="00743829">
      <w:pPr>
        <w:pStyle w:val="GG-body"/>
        <w:ind w:left="364"/>
        <w:rPr>
          <w:i/>
          <w:iCs/>
          <w:lang w:val="en-US"/>
        </w:rPr>
      </w:pPr>
      <w:r w:rsidRPr="008A102D">
        <w:rPr>
          <w:b/>
          <w:bCs/>
          <w:lang w:val="en-US"/>
        </w:rPr>
        <w:t xml:space="preserve">“Signed Declaration” </w:t>
      </w:r>
      <w:bookmarkStart w:id="104" w:name="_Hlk82418347"/>
      <w:r w:rsidRPr="008A102D">
        <w:rPr>
          <w:lang w:val="en-US"/>
        </w:rPr>
        <w:t>means a statutory declaration made by the Member confirming that a second residence is maintained by the Member in Metropolitan Adelaide, including the address of that second residence.</w:t>
      </w:r>
      <w:bookmarkEnd w:id="104"/>
    </w:p>
    <w:p w14:paraId="2D1E7585" w14:textId="77777777" w:rsidR="00743829" w:rsidRPr="008A102D" w:rsidRDefault="00743829" w:rsidP="00743829">
      <w:pPr>
        <w:pStyle w:val="GG-body"/>
        <w:ind w:left="364"/>
        <w:rPr>
          <w:lang w:val="en-US"/>
        </w:rPr>
      </w:pPr>
      <w:r w:rsidRPr="008A102D">
        <w:rPr>
          <w:b/>
          <w:bCs/>
          <w:lang w:val="en-US"/>
        </w:rPr>
        <w:t xml:space="preserve">“Spouse” </w:t>
      </w:r>
      <w:r w:rsidRPr="008A102D">
        <w:rPr>
          <w:lang w:val="en-US"/>
        </w:rPr>
        <w:t xml:space="preserve">means a person with whom a Member is married, or a person with whom a Member is in a relationship, as a couple, between two adults, who meet certain eligibility criteria for entry into a registered relationship under the </w:t>
      </w:r>
      <w:r w:rsidRPr="008A102D">
        <w:rPr>
          <w:i/>
          <w:iCs/>
          <w:lang w:val="en-US"/>
        </w:rPr>
        <w:t>Relationships Register Act 2016.</w:t>
      </w:r>
    </w:p>
    <w:p w14:paraId="048F300F" w14:textId="77777777" w:rsidR="00743829" w:rsidRPr="008A102D" w:rsidRDefault="00743829" w:rsidP="00743829">
      <w:pPr>
        <w:pStyle w:val="GG-body"/>
        <w:ind w:left="364"/>
        <w:rPr>
          <w:i/>
          <w:iCs/>
          <w:lang w:val="en-US"/>
        </w:rPr>
      </w:pPr>
      <w:r w:rsidRPr="008A102D">
        <w:rPr>
          <w:b/>
          <w:bCs/>
          <w:lang w:val="en-US"/>
        </w:rPr>
        <w:t xml:space="preserve">“Tribunal” </w:t>
      </w:r>
      <w:r w:rsidRPr="008A102D">
        <w:rPr>
          <w:lang w:val="en-US"/>
        </w:rPr>
        <w:t xml:space="preserve">means the Remuneration Tribunal of South Australia established by the </w:t>
      </w:r>
      <w:r w:rsidRPr="008A102D">
        <w:rPr>
          <w:i/>
          <w:iCs/>
          <w:lang w:val="en-US"/>
        </w:rPr>
        <w:t>Remuneration Act 1990</w:t>
      </w:r>
      <w:r w:rsidRPr="008A102D">
        <w:rPr>
          <w:lang w:val="en-US"/>
        </w:rPr>
        <w:t>.</w:t>
      </w:r>
    </w:p>
    <w:p w14:paraId="04336088" w14:textId="77777777" w:rsidR="00743829" w:rsidRDefault="00743829" w:rsidP="00743829">
      <w:pPr>
        <w:pStyle w:val="GG-body"/>
        <w:ind w:left="364"/>
        <w:rPr>
          <w:lang w:val="en-US"/>
        </w:rPr>
      </w:pPr>
      <w:r w:rsidRPr="008A102D">
        <w:rPr>
          <w:b/>
          <w:bCs/>
        </w:rPr>
        <w:t>“Usual Place of Residence”</w:t>
      </w:r>
      <w:r w:rsidRPr="008A102D">
        <w:t xml:space="preserve"> means the Member’s home residence where the Member is enrolled to vote on the electoral roll</w:t>
      </w:r>
    </w:p>
    <w:p w14:paraId="420AF3E8" w14:textId="77777777" w:rsidR="00743829" w:rsidRDefault="00743829" w:rsidP="00743829">
      <w:pPr>
        <w:pStyle w:val="GG-body"/>
        <w:rPr>
          <w:b/>
        </w:rPr>
      </w:pPr>
      <w:r w:rsidRPr="008A102D">
        <w:rPr>
          <w:b/>
        </w:rPr>
        <w:t>PART A - ELIGIBILITY CRITERIA AND ENTITLEMENT</w:t>
      </w:r>
    </w:p>
    <w:p w14:paraId="393BF575" w14:textId="77777777" w:rsidR="00743829" w:rsidRPr="008A102D" w:rsidRDefault="00743829" w:rsidP="00743829">
      <w:pPr>
        <w:pStyle w:val="GG-body"/>
        <w:numPr>
          <w:ilvl w:val="0"/>
          <w:numId w:val="154"/>
        </w:numPr>
        <w:ind w:left="336" w:hanging="336"/>
        <w:rPr>
          <w:b/>
          <w:bCs/>
          <w:lang w:val="en-US"/>
        </w:rPr>
      </w:pPr>
      <w:r w:rsidRPr="008A102D">
        <w:rPr>
          <w:b/>
          <w:bCs/>
          <w:lang w:val="en-US"/>
        </w:rPr>
        <w:t>Part A Eligibility Criteria</w:t>
      </w:r>
    </w:p>
    <w:p w14:paraId="4C444BBD" w14:textId="77777777" w:rsidR="00743829" w:rsidRPr="008A102D" w:rsidRDefault="00743829" w:rsidP="00743829">
      <w:pPr>
        <w:pStyle w:val="GG-body"/>
        <w:numPr>
          <w:ilvl w:val="1"/>
          <w:numId w:val="154"/>
        </w:numPr>
        <w:rPr>
          <w:lang w:val="en-US"/>
        </w:rPr>
      </w:pPr>
      <w:r w:rsidRPr="008A102D">
        <w:rPr>
          <w:lang w:val="en-US"/>
        </w:rPr>
        <w:t>A Member of either House of Parliament whose usual place of residence is greater than 75km by road from the General Post Office at Adelaide (by the most direct route); and</w:t>
      </w:r>
    </w:p>
    <w:p w14:paraId="731A8160" w14:textId="77777777" w:rsidR="00743829" w:rsidRPr="008A102D" w:rsidRDefault="00743829" w:rsidP="00743829">
      <w:pPr>
        <w:pStyle w:val="GG-body"/>
        <w:numPr>
          <w:ilvl w:val="1"/>
          <w:numId w:val="154"/>
        </w:numPr>
        <w:rPr>
          <w:lang w:val="en-US"/>
        </w:rPr>
      </w:pPr>
      <w:r w:rsidRPr="008A102D">
        <w:rPr>
          <w:lang w:val="en-US"/>
        </w:rPr>
        <w:t>The Member has incurred actual expenditure for overnight accommodation costs in relation to:</w:t>
      </w:r>
    </w:p>
    <w:p w14:paraId="5AE23968" w14:textId="77777777" w:rsidR="00743829" w:rsidRPr="008A102D" w:rsidRDefault="00743829" w:rsidP="00743829">
      <w:pPr>
        <w:pStyle w:val="GG-body"/>
        <w:numPr>
          <w:ilvl w:val="2"/>
          <w:numId w:val="154"/>
        </w:numPr>
        <w:ind w:left="1302"/>
        <w:rPr>
          <w:lang w:val="en-US"/>
        </w:rPr>
      </w:pPr>
      <w:r w:rsidRPr="008A102D">
        <w:rPr>
          <w:lang w:val="en-US"/>
        </w:rPr>
        <w:t>Commercial accommodation in Metropolitan Adelaide; or</w:t>
      </w:r>
    </w:p>
    <w:p w14:paraId="33C13C99" w14:textId="77777777" w:rsidR="00743829" w:rsidRPr="008A102D" w:rsidRDefault="00743829" w:rsidP="00743829">
      <w:pPr>
        <w:pStyle w:val="GG-body"/>
        <w:numPr>
          <w:ilvl w:val="2"/>
          <w:numId w:val="154"/>
        </w:numPr>
        <w:ind w:left="1302"/>
        <w:rPr>
          <w:lang w:val="en-US"/>
        </w:rPr>
      </w:pPr>
      <w:r w:rsidRPr="008A102D">
        <w:rPr>
          <w:lang w:val="en-US"/>
        </w:rPr>
        <w:t>Renting or owning, either jointly or severally by the Member and/or the Member’s Spouse, a second residence in Metropolitan Adelaide; and</w:t>
      </w:r>
    </w:p>
    <w:p w14:paraId="173E900D" w14:textId="77777777" w:rsidR="00743829" w:rsidRPr="008A102D" w:rsidRDefault="00743829" w:rsidP="00743829">
      <w:pPr>
        <w:pStyle w:val="GG-body"/>
        <w:numPr>
          <w:ilvl w:val="1"/>
          <w:numId w:val="154"/>
        </w:numPr>
        <w:rPr>
          <w:lang w:val="en-US"/>
        </w:rPr>
      </w:pPr>
      <w:r w:rsidRPr="008A102D">
        <w:rPr>
          <w:lang w:val="en-US"/>
        </w:rPr>
        <w:t>The Member has a requirement to stay in Metropolitan Adelaide overnight for the primary purpose of performing either parliamentary, electoral, community, or ministerial duties (but not for the primary purpose of party political duties).</w:t>
      </w:r>
    </w:p>
    <w:p w14:paraId="56290DBA" w14:textId="77777777" w:rsidR="00743829" w:rsidRPr="008A102D" w:rsidRDefault="00743829" w:rsidP="00743829">
      <w:pPr>
        <w:pStyle w:val="GG-body"/>
        <w:numPr>
          <w:ilvl w:val="0"/>
          <w:numId w:val="154"/>
        </w:numPr>
        <w:ind w:left="336" w:hanging="336"/>
        <w:rPr>
          <w:b/>
          <w:bCs/>
          <w:lang w:val="en-US"/>
        </w:rPr>
      </w:pPr>
      <w:r w:rsidRPr="008A102D">
        <w:rPr>
          <w:b/>
          <w:bCs/>
          <w:lang w:val="en-US"/>
        </w:rPr>
        <w:t>Part A Entitlement</w:t>
      </w:r>
    </w:p>
    <w:p w14:paraId="00006B98" w14:textId="77777777" w:rsidR="00743829" w:rsidRPr="008A102D" w:rsidRDefault="00743829" w:rsidP="00743829">
      <w:pPr>
        <w:pStyle w:val="GG-body"/>
        <w:numPr>
          <w:ilvl w:val="1"/>
          <w:numId w:val="154"/>
        </w:numPr>
        <w:rPr>
          <w:lang w:val="en-US"/>
        </w:rPr>
      </w:pPr>
      <w:r w:rsidRPr="008A102D">
        <w:rPr>
          <w:lang w:val="en-US"/>
        </w:rPr>
        <w:t>Commercial Accommodation Expense Reimbursement:</w:t>
      </w:r>
    </w:p>
    <w:p w14:paraId="2B2C6396" w14:textId="77777777" w:rsidR="00743829" w:rsidRPr="008A102D" w:rsidRDefault="00743829" w:rsidP="00D92BE0">
      <w:pPr>
        <w:pStyle w:val="GG-body"/>
        <w:numPr>
          <w:ilvl w:val="2"/>
          <w:numId w:val="154"/>
        </w:numPr>
        <w:ind w:left="1302"/>
        <w:rPr>
          <w:lang w:val="en-US"/>
        </w:rPr>
      </w:pPr>
      <w:r w:rsidRPr="008A102D">
        <w:rPr>
          <w:lang w:val="en-US"/>
        </w:rPr>
        <w:t>The Member shall be entitled to be paid an expense reimbursement in relation to commercial accommodation, based on the actual rate of the Member’s expenditure, up to a maximum amount of $242 for each eligible night.</w:t>
      </w:r>
    </w:p>
    <w:p w14:paraId="60F54244" w14:textId="77777777" w:rsidR="00743829" w:rsidRPr="008A102D" w:rsidRDefault="00743829" w:rsidP="00D92BE0">
      <w:pPr>
        <w:pStyle w:val="GG-body"/>
        <w:numPr>
          <w:ilvl w:val="2"/>
          <w:numId w:val="154"/>
        </w:numPr>
        <w:ind w:left="1302"/>
        <w:rPr>
          <w:lang w:val="en-US"/>
        </w:rPr>
      </w:pPr>
      <w:r w:rsidRPr="008A102D">
        <w:rPr>
          <w:lang w:val="en-US"/>
        </w:rPr>
        <w:t>Prior to payment of the reimbursement, the Member must provide to the Clerk of the House:</w:t>
      </w:r>
    </w:p>
    <w:p w14:paraId="3BFC0AFD" w14:textId="77777777" w:rsidR="00743829" w:rsidRPr="008A102D" w:rsidRDefault="00743829" w:rsidP="00D92BE0">
      <w:pPr>
        <w:pStyle w:val="GG-body"/>
        <w:numPr>
          <w:ilvl w:val="3"/>
          <w:numId w:val="154"/>
        </w:numPr>
        <w:ind w:left="1918"/>
        <w:rPr>
          <w:lang w:val="en-US"/>
        </w:rPr>
      </w:pPr>
      <w:r w:rsidRPr="008A102D">
        <w:rPr>
          <w:lang w:val="en-US"/>
        </w:rPr>
        <w:t>a receipt as evidence of the amount of actual expenditure for each eligible night; and</w:t>
      </w:r>
    </w:p>
    <w:p w14:paraId="4F3E4F0C" w14:textId="77777777" w:rsidR="00743829" w:rsidRPr="008A102D" w:rsidRDefault="00743829" w:rsidP="00D92BE0">
      <w:pPr>
        <w:pStyle w:val="GG-body"/>
        <w:numPr>
          <w:ilvl w:val="3"/>
          <w:numId w:val="154"/>
        </w:numPr>
        <w:ind w:left="1918"/>
        <w:rPr>
          <w:lang w:val="en-US"/>
        </w:rPr>
      </w:pPr>
      <w:r w:rsidRPr="008A102D">
        <w:rPr>
          <w:lang w:val="en-US"/>
        </w:rPr>
        <w:t>a claim form confirming any relevant particulars that the Clerk of the House deems necessary to ensure compliance with the terms of this Determination.</w:t>
      </w:r>
    </w:p>
    <w:p w14:paraId="246B4F9C" w14:textId="77777777" w:rsidR="00743829" w:rsidRPr="008A102D" w:rsidRDefault="00743829" w:rsidP="00743829">
      <w:pPr>
        <w:pStyle w:val="GG-body"/>
        <w:numPr>
          <w:ilvl w:val="1"/>
          <w:numId w:val="154"/>
        </w:numPr>
        <w:rPr>
          <w:lang w:val="en-US"/>
        </w:rPr>
      </w:pPr>
      <w:r w:rsidRPr="008A102D">
        <w:rPr>
          <w:lang w:val="en-US"/>
        </w:rPr>
        <w:t>Second Residence Accommodation Allowance:</w:t>
      </w:r>
    </w:p>
    <w:p w14:paraId="43D9DBC1" w14:textId="77777777" w:rsidR="00743829" w:rsidRPr="008A102D" w:rsidRDefault="00743829" w:rsidP="00D92BE0">
      <w:pPr>
        <w:pStyle w:val="GG-body"/>
        <w:numPr>
          <w:ilvl w:val="2"/>
          <w:numId w:val="154"/>
        </w:numPr>
        <w:ind w:left="1274"/>
        <w:rPr>
          <w:lang w:val="en-US"/>
        </w:rPr>
      </w:pPr>
      <w:r w:rsidRPr="008A102D">
        <w:rPr>
          <w:lang w:val="en-US"/>
        </w:rPr>
        <w:t>The Member shall be entitled to be paid a second residence accommodation allowance at the rate of $194 for each eligible night.</w:t>
      </w:r>
    </w:p>
    <w:p w14:paraId="17D04AEA" w14:textId="77777777" w:rsidR="00743829" w:rsidRPr="008A102D" w:rsidRDefault="00743829" w:rsidP="00D92BE0">
      <w:pPr>
        <w:pStyle w:val="GG-body"/>
        <w:numPr>
          <w:ilvl w:val="2"/>
          <w:numId w:val="154"/>
        </w:numPr>
        <w:ind w:left="1274"/>
        <w:rPr>
          <w:lang w:val="en-US"/>
        </w:rPr>
      </w:pPr>
      <w:r w:rsidRPr="008A102D">
        <w:rPr>
          <w:lang w:val="en-US"/>
        </w:rPr>
        <w:t>Prior to payment of the allowance, the Member must provide to the Clerk of the House:</w:t>
      </w:r>
    </w:p>
    <w:p w14:paraId="2CD6B7A5" w14:textId="77777777" w:rsidR="00743829" w:rsidRPr="008A102D" w:rsidRDefault="00743829" w:rsidP="00D92BE0">
      <w:pPr>
        <w:pStyle w:val="GG-body"/>
        <w:numPr>
          <w:ilvl w:val="3"/>
          <w:numId w:val="154"/>
        </w:numPr>
        <w:ind w:left="1932"/>
        <w:rPr>
          <w:lang w:val="en-US"/>
        </w:rPr>
      </w:pPr>
      <w:r w:rsidRPr="008A102D">
        <w:rPr>
          <w:lang w:val="en-US"/>
        </w:rPr>
        <w:t xml:space="preserve">a signed declaration confirming </w:t>
      </w:r>
      <w:bookmarkStart w:id="105" w:name="_Hlk82418144"/>
      <w:r w:rsidRPr="008A102D">
        <w:rPr>
          <w:lang w:val="en-US"/>
        </w:rPr>
        <w:t>that a second residence is maintained by the Member in Metropolitan Adelaide, including the address of that second residence</w:t>
      </w:r>
      <w:bookmarkEnd w:id="105"/>
      <w:r w:rsidRPr="008A102D">
        <w:rPr>
          <w:lang w:val="en-US"/>
        </w:rPr>
        <w:t>; and</w:t>
      </w:r>
    </w:p>
    <w:p w14:paraId="444FF71A" w14:textId="77777777" w:rsidR="00743829" w:rsidRPr="008A102D" w:rsidRDefault="00743829" w:rsidP="00D92BE0">
      <w:pPr>
        <w:pStyle w:val="GG-body"/>
        <w:numPr>
          <w:ilvl w:val="3"/>
          <w:numId w:val="154"/>
        </w:numPr>
        <w:ind w:left="1932"/>
        <w:rPr>
          <w:lang w:val="en-US"/>
        </w:rPr>
      </w:pPr>
      <w:r w:rsidRPr="008A102D">
        <w:rPr>
          <w:lang w:val="en-US"/>
        </w:rPr>
        <w:t>a certificate of title or rental agreement showing the Member and/or the Member’s Spouse as the registered owner or tenant of the second residence; and</w:t>
      </w:r>
    </w:p>
    <w:p w14:paraId="4AC78932" w14:textId="77777777" w:rsidR="00743829" w:rsidRPr="008A102D" w:rsidRDefault="00743829" w:rsidP="00D92BE0">
      <w:pPr>
        <w:pStyle w:val="GG-body"/>
        <w:numPr>
          <w:ilvl w:val="3"/>
          <w:numId w:val="154"/>
        </w:numPr>
        <w:ind w:left="1932"/>
        <w:rPr>
          <w:lang w:val="en-US"/>
        </w:rPr>
      </w:pPr>
      <w:r w:rsidRPr="008A102D">
        <w:rPr>
          <w:lang w:val="en-US"/>
        </w:rPr>
        <w:t>a claim form confirming any relevant particulars that the Clerk of the House deems necessary to ensure compliance with the terms of this Determination.</w:t>
      </w:r>
    </w:p>
    <w:p w14:paraId="63E71A74" w14:textId="77777777" w:rsidR="00743829" w:rsidRPr="008A102D" w:rsidRDefault="00743829" w:rsidP="00743829">
      <w:pPr>
        <w:pStyle w:val="GG-body"/>
        <w:numPr>
          <w:ilvl w:val="2"/>
          <w:numId w:val="154"/>
        </w:numPr>
        <w:rPr>
          <w:lang w:val="en-US"/>
        </w:rPr>
      </w:pPr>
      <w:r w:rsidRPr="008A102D">
        <w:rPr>
          <w:lang w:val="en-US"/>
        </w:rPr>
        <w:t>The Member must notify the Clerk of the House within 30 days of a change of circumstances in relation to their second residence, which includes establishing, changing or ceasing to maintain the second residence.</w:t>
      </w:r>
    </w:p>
    <w:p w14:paraId="33EEC56F" w14:textId="77777777" w:rsidR="00743829" w:rsidRPr="008A102D" w:rsidRDefault="00743829" w:rsidP="00743829">
      <w:pPr>
        <w:pStyle w:val="GG-body"/>
        <w:numPr>
          <w:ilvl w:val="2"/>
          <w:numId w:val="154"/>
        </w:numPr>
        <w:rPr>
          <w:lang w:val="en-US"/>
        </w:rPr>
      </w:pPr>
      <w:r w:rsidRPr="008A102D">
        <w:rPr>
          <w:lang w:val="en-US"/>
        </w:rPr>
        <w:t>If a Member’s usual place of residence or second residence is rented out (i.e. rented to a person in exchange for a monetary payment or pecuniary benefit of any kind) for any period within a financial year, then the Member will not be entitled to a second residence allowance for that financial year. This clause (4.2.4) will come into operation commencing from the 2021/22 financial year.</w:t>
      </w:r>
    </w:p>
    <w:p w14:paraId="6A18FF60" w14:textId="77777777" w:rsidR="00743829" w:rsidRPr="008A102D" w:rsidRDefault="00743829" w:rsidP="00743829">
      <w:pPr>
        <w:pStyle w:val="GG-body"/>
        <w:numPr>
          <w:ilvl w:val="1"/>
          <w:numId w:val="154"/>
        </w:numPr>
        <w:rPr>
          <w:lang w:val="en-US"/>
        </w:rPr>
      </w:pPr>
      <w:r w:rsidRPr="008A102D">
        <w:rPr>
          <w:lang w:val="en-US"/>
        </w:rPr>
        <w:t>Maximum Amount of Reimbursement and Allowance Payable under Part A:</w:t>
      </w:r>
    </w:p>
    <w:p w14:paraId="5C09EDB9" w14:textId="77777777" w:rsidR="00743829" w:rsidRPr="008A102D" w:rsidRDefault="00743829" w:rsidP="00743829">
      <w:pPr>
        <w:pStyle w:val="GG-body"/>
        <w:numPr>
          <w:ilvl w:val="2"/>
          <w:numId w:val="154"/>
        </w:numPr>
        <w:rPr>
          <w:lang w:val="en-US"/>
        </w:rPr>
      </w:pPr>
      <w:r w:rsidRPr="008A102D">
        <w:rPr>
          <w:lang w:val="en-US"/>
        </w:rPr>
        <w:t>A maximum cap of 135 nights, per Member, per financial year, applies to the combined total of all Part A reimbursements and allowances, commencing from financial year 2020/21.</w:t>
      </w:r>
    </w:p>
    <w:p w14:paraId="03F1C8F9" w14:textId="77777777" w:rsidR="00743829" w:rsidRPr="008A102D" w:rsidRDefault="00743829" w:rsidP="00743829">
      <w:pPr>
        <w:pStyle w:val="GG-body"/>
        <w:numPr>
          <w:ilvl w:val="2"/>
          <w:numId w:val="154"/>
        </w:numPr>
        <w:rPr>
          <w:lang w:val="en-US"/>
        </w:rPr>
      </w:pPr>
      <w:r w:rsidRPr="008A102D">
        <w:rPr>
          <w:lang w:val="en-US"/>
        </w:rPr>
        <w:t>A member is not entitled to receive both a commercial accommodation expense reimbursement and a second residence accommodation allowance for the same night.</w:t>
      </w:r>
    </w:p>
    <w:p w14:paraId="7C5661A5" w14:textId="53CC240F" w:rsidR="00743829" w:rsidRPr="00D92BE0" w:rsidRDefault="00743829" w:rsidP="00CA30FC">
      <w:pPr>
        <w:pStyle w:val="GG-body"/>
        <w:numPr>
          <w:ilvl w:val="2"/>
          <w:numId w:val="154"/>
        </w:numPr>
        <w:spacing w:after="0" w:line="240" w:lineRule="auto"/>
        <w:jc w:val="left"/>
        <w:rPr>
          <w:lang w:val="en-US"/>
        </w:rPr>
      </w:pPr>
      <w:r w:rsidRPr="00D92BE0">
        <w:rPr>
          <w:lang w:val="en-US"/>
        </w:rPr>
        <w:t>If a Member is not a Member of Parliament for a whole financial year, the maximum number of nights per financial year available under Part A shall be reduced on a pro-rata basis, based on the number of days served as a Member of Parliament in the relevant financial year, as a proportion of the total number of days in that financial year. The pro-rata amount shall be rounded to the nearest whole number.</w:t>
      </w:r>
    </w:p>
    <w:p w14:paraId="39B92818" w14:textId="77777777" w:rsidR="00743829" w:rsidRPr="008A102D" w:rsidRDefault="00743829" w:rsidP="00743829">
      <w:pPr>
        <w:pStyle w:val="GG-body"/>
        <w:rPr>
          <w:b/>
        </w:rPr>
      </w:pPr>
      <w:r w:rsidRPr="008A102D">
        <w:rPr>
          <w:b/>
        </w:rPr>
        <w:lastRenderedPageBreak/>
        <w:t>PART B – ELIGIBILITY CRITERIA AND ENTITLEMENT</w:t>
      </w:r>
    </w:p>
    <w:p w14:paraId="0F43E62E" w14:textId="77777777" w:rsidR="00743829" w:rsidRPr="008A102D" w:rsidRDefault="00743829" w:rsidP="00743829">
      <w:pPr>
        <w:pStyle w:val="GG-body"/>
        <w:numPr>
          <w:ilvl w:val="0"/>
          <w:numId w:val="154"/>
        </w:numPr>
        <w:ind w:left="336" w:hanging="336"/>
        <w:rPr>
          <w:b/>
          <w:bCs/>
          <w:lang w:val="en-US"/>
        </w:rPr>
      </w:pPr>
      <w:r w:rsidRPr="008A102D">
        <w:rPr>
          <w:b/>
          <w:bCs/>
          <w:lang w:val="en-US"/>
        </w:rPr>
        <w:t>Part B Eligibility Criteria</w:t>
      </w:r>
    </w:p>
    <w:p w14:paraId="3AE234CC" w14:textId="77777777" w:rsidR="00743829" w:rsidRPr="008A102D" w:rsidRDefault="00743829" w:rsidP="00743829">
      <w:pPr>
        <w:pStyle w:val="GG-body"/>
        <w:numPr>
          <w:ilvl w:val="1"/>
          <w:numId w:val="154"/>
        </w:numPr>
        <w:rPr>
          <w:lang w:val="en-US"/>
        </w:rPr>
      </w:pPr>
      <w:r w:rsidRPr="008A102D">
        <w:rPr>
          <w:lang w:val="en-US"/>
        </w:rPr>
        <w:t>A Member of either House of Parliament whose usual place of residence is less than 75km by road from the General Post Office at Adelaide (by the most direct route), but is outside of Metropolitan Adelaide; and</w:t>
      </w:r>
    </w:p>
    <w:p w14:paraId="131057E5" w14:textId="77777777" w:rsidR="00743829" w:rsidRPr="008A102D" w:rsidRDefault="00743829" w:rsidP="00743829">
      <w:pPr>
        <w:pStyle w:val="GG-body"/>
        <w:numPr>
          <w:ilvl w:val="1"/>
          <w:numId w:val="154"/>
        </w:numPr>
        <w:rPr>
          <w:lang w:val="en-US"/>
        </w:rPr>
      </w:pPr>
      <w:r w:rsidRPr="008A102D">
        <w:rPr>
          <w:lang w:val="en-US"/>
        </w:rPr>
        <w:t>The Member has incurred actual expenditure for overnight accommodation costs in relation to commercial accommodation within Metropolitan Adelaide; and</w:t>
      </w:r>
    </w:p>
    <w:p w14:paraId="7508A13D" w14:textId="77777777" w:rsidR="00743829" w:rsidRPr="008A102D" w:rsidRDefault="00743829" w:rsidP="00743829">
      <w:pPr>
        <w:pStyle w:val="GG-body"/>
        <w:numPr>
          <w:ilvl w:val="1"/>
          <w:numId w:val="154"/>
        </w:numPr>
        <w:rPr>
          <w:lang w:val="en-US"/>
        </w:rPr>
      </w:pPr>
      <w:r w:rsidRPr="008A102D">
        <w:rPr>
          <w:lang w:val="en-US"/>
        </w:rPr>
        <w:t>The Member has a requirement to stay in Metropolitan Adelaide overnight for the primary purpose of performing either parliamentary, electoral, community, or ministerial duties (but not for the primary purpose of party political duties).</w:t>
      </w:r>
    </w:p>
    <w:p w14:paraId="671E9213" w14:textId="77777777" w:rsidR="00743829" w:rsidRPr="008A102D" w:rsidRDefault="00743829" w:rsidP="00743829">
      <w:pPr>
        <w:pStyle w:val="GG-body"/>
        <w:numPr>
          <w:ilvl w:val="0"/>
          <w:numId w:val="154"/>
        </w:numPr>
        <w:ind w:left="336" w:hanging="336"/>
        <w:rPr>
          <w:b/>
          <w:bCs/>
          <w:lang w:val="en-US"/>
        </w:rPr>
      </w:pPr>
      <w:r w:rsidRPr="008A102D">
        <w:rPr>
          <w:b/>
          <w:bCs/>
          <w:lang w:val="en-US"/>
        </w:rPr>
        <w:t>Part B Entitlement</w:t>
      </w:r>
    </w:p>
    <w:p w14:paraId="1AD6D8EB" w14:textId="77777777" w:rsidR="00743829" w:rsidRPr="008A102D" w:rsidRDefault="00743829" w:rsidP="00743829">
      <w:pPr>
        <w:pStyle w:val="GG-body"/>
        <w:numPr>
          <w:ilvl w:val="1"/>
          <w:numId w:val="154"/>
        </w:numPr>
        <w:rPr>
          <w:lang w:val="en-US"/>
        </w:rPr>
      </w:pPr>
      <w:r w:rsidRPr="008A102D">
        <w:rPr>
          <w:lang w:val="en-US"/>
        </w:rPr>
        <w:t>Commercial Accommodation Expense Reimbursement:</w:t>
      </w:r>
    </w:p>
    <w:p w14:paraId="3F4C6612" w14:textId="77777777" w:rsidR="00743829" w:rsidRPr="008A102D" w:rsidRDefault="00743829" w:rsidP="00D92BE0">
      <w:pPr>
        <w:pStyle w:val="GG-body"/>
        <w:numPr>
          <w:ilvl w:val="2"/>
          <w:numId w:val="154"/>
        </w:numPr>
        <w:ind w:left="1302"/>
        <w:rPr>
          <w:lang w:val="en-US"/>
        </w:rPr>
      </w:pPr>
      <w:r w:rsidRPr="008A102D">
        <w:rPr>
          <w:lang w:val="en-US"/>
        </w:rPr>
        <w:t>The Member shall be entitled to be paid an expense reimbursement in relation to commercial accommodation, based on the actual rate of the Member’s expenditure, up to a maximum amount of $242 for each eligible night.</w:t>
      </w:r>
    </w:p>
    <w:p w14:paraId="70F48AF1" w14:textId="77777777" w:rsidR="00743829" w:rsidRPr="008A102D" w:rsidRDefault="00743829" w:rsidP="00D92BE0">
      <w:pPr>
        <w:pStyle w:val="GG-body"/>
        <w:numPr>
          <w:ilvl w:val="2"/>
          <w:numId w:val="154"/>
        </w:numPr>
        <w:ind w:left="1302"/>
        <w:rPr>
          <w:lang w:val="en-US"/>
        </w:rPr>
      </w:pPr>
      <w:r w:rsidRPr="008A102D">
        <w:rPr>
          <w:lang w:val="en-US"/>
        </w:rPr>
        <w:t>Prior to payment of the reimbursement, the Member must provide to the Clerk of the House:</w:t>
      </w:r>
    </w:p>
    <w:p w14:paraId="7083278C" w14:textId="77777777" w:rsidR="00743829" w:rsidRPr="008A102D" w:rsidRDefault="00743829" w:rsidP="00D92BE0">
      <w:pPr>
        <w:pStyle w:val="GG-body"/>
        <w:numPr>
          <w:ilvl w:val="3"/>
          <w:numId w:val="154"/>
        </w:numPr>
        <w:ind w:left="1960"/>
        <w:rPr>
          <w:lang w:val="en-US"/>
        </w:rPr>
      </w:pPr>
      <w:r w:rsidRPr="008A102D">
        <w:rPr>
          <w:lang w:val="en-US"/>
        </w:rPr>
        <w:t>a receipt as evidence of the amount of actual expenditure for each eligible night; and</w:t>
      </w:r>
    </w:p>
    <w:p w14:paraId="72912A8E" w14:textId="77777777" w:rsidR="00743829" w:rsidRPr="008A102D" w:rsidRDefault="00743829" w:rsidP="00D92BE0">
      <w:pPr>
        <w:pStyle w:val="GG-body"/>
        <w:numPr>
          <w:ilvl w:val="3"/>
          <w:numId w:val="154"/>
        </w:numPr>
        <w:ind w:left="1960"/>
        <w:rPr>
          <w:lang w:val="en-US"/>
        </w:rPr>
      </w:pPr>
      <w:r w:rsidRPr="008A102D">
        <w:rPr>
          <w:lang w:val="en-US"/>
        </w:rPr>
        <w:t>a claim form confirming any relevant particulars that the Clerk of the House deems necessary to ensure compliance with the terms of this Determination.</w:t>
      </w:r>
    </w:p>
    <w:p w14:paraId="461A7DCD" w14:textId="77777777" w:rsidR="00743829" w:rsidRPr="008A102D" w:rsidRDefault="00743829" w:rsidP="00743829">
      <w:pPr>
        <w:pStyle w:val="GG-body"/>
        <w:numPr>
          <w:ilvl w:val="1"/>
          <w:numId w:val="154"/>
        </w:numPr>
        <w:rPr>
          <w:lang w:val="en-US"/>
        </w:rPr>
      </w:pPr>
      <w:r w:rsidRPr="008A102D">
        <w:rPr>
          <w:lang w:val="en-US"/>
        </w:rPr>
        <w:t>No entitlement for second residence under Part B:</w:t>
      </w:r>
    </w:p>
    <w:p w14:paraId="0158F0D3" w14:textId="77777777" w:rsidR="00743829" w:rsidRPr="008A102D" w:rsidRDefault="00743829" w:rsidP="00D92BE0">
      <w:pPr>
        <w:pStyle w:val="GG-body"/>
        <w:numPr>
          <w:ilvl w:val="2"/>
          <w:numId w:val="154"/>
        </w:numPr>
        <w:ind w:left="1302"/>
        <w:rPr>
          <w:lang w:val="en-US"/>
        </w:rPr>
      </w:pPr>
      <w:r w:rsidRPr="008A102D">
        <w:rPr>
          <w:lang w:val="en-US"/>
        </w:rPr>
        <w:t>There is no entitlement to an allowance or reimbursement for a Member’s second residence under Part B.</w:t>
      </w:r>
    </w:p>
    <w:p w14:paraId="4C1B8FD7" w14:textId="77777777" w:rsidR="00743829" w:rsidRPr="008A102D" w:rsidRDefault="00743829" w:rsidP="00743829">
      <w:pPr>
        <w:pStyle w:val="GG-body"/>
        <w:numPr>
          <w:ilvl w:val="1"/>
          <w:numId w:val="154"/>
        </w:numPr>
        <w:rPr>
          <w:lang w:val="en-US"/>
        </w:rPr>
      </w:pPr>
      <w:r w:rsidRPr="008A102D">
        <w:rPr>
          <w:lang w:val="en-US"/>
        </w:rPr>
        <w:t>Maximum Amount of Reimbursement under Part B:</w:t>
      </w:r>
    </w:p>
    <w:p w14:paraId="586A05FE" w14:textId="77777777" w:rsidR="00743829" w:rsidRPr="008A102D" w:rsidRDefault="00743829" w:rsidP="00D92BE0">
      <w:pPr>
        <w:pStyle w:val="GG-body"/>
        <w:numPr>
          <w:ilvl w:val="2"/>
          <w:numId w:val="154"/>
        </w:numPr>
        <w:ind w:left="1302"/>
        <w:rPr>
          <w:lang w:val="en-US"/>
        </w:rPr>
      </w:pPr>
      <w:r w:rsidRPr="008A102D">
        <w:rPr>
          <w:lang w:val="en-US"/>
        </w:rPr>
        <w:t>A maximum cap of 15 nights, per Member, per financial year, applies to the total of all Part B reimbursements commencing from financial year 2020/21.</w:t>
      </w:r>
    </w:p>
    <w:p w14:paraId="7674D33D" w14:textId="77777777" w:rsidR="00743829" w:rsidRPr="005D2DD6" w:rsidRDefault="00743829" w:rsidP="00D92BE0">
      <w:pPr>
        <w:pStyle w:val="GG-body"/>
        <w:numPr>
          <w:ilvl w:val="2"/>
          <w:numId w:val="154"/>
        </w:numPr>
        <w:ind w:left="1302"/>
        <w:rPr>
          <w:lang w:val="en-US"/>
        </w:rPr>
      </w:pPr>
      <w:r w:rsidRPr="00DC64CE">
        <w:rPr>
          <w:lang w:val="en-US"/>
        </w:rPr>
        <w:t>If a Member is not a Member of Parliament for a whole financial year, the maximum number of nights per financial year available under Part B shall be reduced on a pro-rata basis, based on the number of days served as a Member of Parliament in the relevant financial year, as a proportion of the total number of days in that financial year. The pro-rata amount shall be rounded to the nearest whole number.</w:t>
      </w:r>
    </w:p>
    <w:p w14:paraId="7AD8AF90" w14:textId="77777777" w:rsidR="00743829" w:rsidRDefault="00743829" w:rsidP="00743829">
      <w:pPr>
        <w:pStyle w:val="GG-body"/>
        <w:rPr>
          <w:b/>
        </w:rPr>
      </w:pPr>
      <w:r w:rsidRPr="005D2DD6">
        <w:rPr>
          <w:b/>
        </w:rPr>
        <w:t>OPERATI</w:t>
      </w:r>
      <w:r>
        <w:rPr>
          <w:b/>
        </w:rPr>
        <w:t>VE DATE</w:t>
      </w:r>
    </w:p>
    <w:p w14:paraId="65D4106F" w14:textId="77777777" w:rsidR="00743829" w:rsidRPr="00BE59B5" w:rsidRDefault="00743829" w:rsidP="00743829">
      <w:pPr>
        <w:pStyle w:val="GG-body"/>
        <w:numPr>
          <w:ilvl w:val="0"/>
          <w:numId w:val="154"/>
        </w:numPr>
        <w:ind w:left="336" w:hanging="336"/>
        <w:rPr>
          <w:lang w:val="en-US"/>
        </w:rPr>
      </w:pPr>
      <w:r w:rsidRPr="00DC64CE">
        <w:t>This Determination operates from 1 January 2023. It supersedes Determination 6 of 2021</w:t>
      </w:r>
      <w:r>
        <w:t>.</w:t>
      </w:r>
    </w:p>
    <w:p w14:paraId="13876C89" w14:textId="77777777" w:rsidR="00743829" w:rsidRPr="00A51192" w:rsidRDefault="00743829" w:rsidP="00743829">
      <w:pPr>
        <w:pStyle w:val="GG-SDated"/>
      </w:pPr>
      <w:r>
        <w:t>Dated: 14 December 2022</w:t>
      </w:r>
    </w:p>
    <w:p w14:paraId="4D5B810F" w14:textId="77777777" w:rsidR="00743829" w:rsidRDefault="00743829" w:rsidP="00743829">
      <w:pPr>
        <w:pStyle w:val="GG-SName"/>
      </w:pPr>
      <w:r w:rsidRPr="00A51192">
        <w:t>Matthew O’Callaghan</w:t>
      </w:r>
    </w:p>
    <w:p w14:paraId="4A730C9E" w14:textId="77777777" w:rsidR="00743829" w:rsidRPr="00A51192" w:rsidRDefault="00743829" w:rsidP="00743829">
      <w:pPr>
        <w:pStyle w:val="GG-Signature"/>
      </w:pPr>
      <w:r w:rsidRPr="00A51192">
        <w:t>President</w:t>
      </w:r>
    </w:p>
    <w:p w14:paraId="3AB7E004" w14:textId="77777777" w:rsidR="00743829" w:rsidRDefault="00743829" w:rsidP="00743829">
      <w:pPr>
        <w:pStyle w:val="GG-SName"/>
      </w:pPr>
      <w:r w:rsidRPr="00A51192">
        <w:t>Deborah Black</w:t>
      </w:r>
    </w:p>
    <w:p w14:paraId="3B19D265" w14:textId="77777777" w:rsidR="00743829" w:rsidRPr="00A51192" w:rsidRDefault="00743829" w:rsidP="00743829">
      <w:pPr>
        <w:pStyle w:val="GG-Signature"/>
      </w:pPr>
      <w:r w:rsidRPr="00A51192">
        <w:t>Member</w:t>
      </w:r>
    </w:p>
    <w:p w14:paraId="68A93778" w14:textId="77777777" w:rsidR="00743829" w:rsidRPr="00A51192" w:rsidRDefault="00743829" w:rsidP="00743829">
      <w:pPr>
        <w:pStyle w:val="GG-SName"/>
      </w:pPr>
      <w:r w:rsidRPr="00A51192">
        <w:t>Peter de Cure AM</w:t>
      </w:r>
    </w:p>
    <w:p w14:paraId="3EC1DB13" w14:textId="77777777" w:rsidR="00743829" w:rsidRDefault="00743829" w:rsidP="00743829">
      <w:pPr>
        <w:pStyle w:val="GG-Signature"/>
      </w:pPr>
      <w:r w:rsidRPr="00A51192">
        <w:t>Member</w:t>
      </w:r>
    </w:p>
    <w:p w14:paraId="2DFE31A2" w14:textId="77777777" w:rsidR="00743829" w:rsidRDefault="00743829" w:rsidP="00743829">
      <w:pPr>
        <w:pStyle w:val="FootnoteText"/>
        <w:pBdr>
          <w:top w:val="single" w:sz="4" w:space="1" w:color="auto"/>
          <w:left w:val="none" w:sz="0" w:space="0" w:color="auto"/>
          <w:bottom w:val="none" w:sz="0" w:space="0" w:color="auto"/>
          <w:right w:val="none" w:sz="0" w:space="0" w:color="auto"/>
        </w:pBdr>
        <w:spacing w:before="100" w:line="14" w:lineRule="exact"/>
        <w:jc w:val="center"/>
        <w:rPr>
          <w:rFonts w:ascii="Times New Roman" w:hAnsi="Times New Roman" w:cs="Times New Roman"/>
          <w:sz w:val="16"/>
          <w:szCs w:val="16"/>
          <w:lang w:val="en-AU"/>
        </w:rPr>
      </w:pPr>
    </w:p>
    <w:p w14:paraId="27D1529A" w14:textId="599023B2" w:rsidR="009B29CF" w:rsidRDefault="009B29CF" w:rsidP="00965F17">
      <w:pPr>
        <w:pStyle w:val="GG-body"/>
        <w:spacing w:after="0"/>
        <w:rPr>
          <w:lang w:val="en-US"/>
        </w:rPr>
      </w:pPr>
    </w:p>
    <w:p w14:paraId="752AD3DE" w14:textId="77777777" w:rsidR="00D92BE0" w:rsidRPr="00D92BE0" w:rsidRDefault="00D92BE0" w:rsidP="00D92BE0">
      <w:pPr>
        <w:jc w:val="center"/>
        <w:rPr>
          <w:caps/>
          <w:szCs w:val="17"/>
        </w:rPr>
      </w:pPr>
      <w:r w:rsidRPr="00D92BE0">
        <w:rPr>
          <w:caps/>
          <w:szCs w:val="17"/>
        </w:rPr>
        <w:t>The Remuneration Tribunal</w:t>
      </w:r>
    </w:p>
    <w:p w14:paraId="070EDF58" w14:textId="77777777" w:rsidR="00D92BE0" w:rsidRPr="00D92BE0" w:rsidRDefault="00D92BE0" w:rsidP="00D92BE0">
      <w:pPr>
        <w:jc w:val="center"/>
        <w:rPr>
          <w:smallCaps/>
          <w:szCs w:val="17"/>
        </w:rPr>
      </w:pPr>
      <w:r w:rsidRPr="00D92BE0">
        <w:rPr>
          <w:smallCaps/>
          <w:szCs w:val="17"/>
        </w:rPr>
        <w:t>Report—No. 19 of 2022</w:t>
      </w:r>
    </w:p>
    <w:p w14:paraId="609ADD00" w14:textId="77777777" w:rsidR="00D92BE0" w:rsidRPr="00D92BE0" w:rsidRDefault="00D92BE0" w:rsidP="00D92BE0">
      <w:pPr>
        <w:jc w:val="center"/>
        <w:rPr>
          <w:i/>
          <w:szCs w:val="17"/>
        </w:rPr>
      </w:pPr>
      <w:r w:rsidRPr="00D92BE0">
        <w:rPr>
          <w:i/>
          <w:szCs w:val="17"/>
        </w:rPr>
        <w:t>2022 Review of Berri Country Magistrate Housing Allowance</w:t>
      </w:r>
    </w:p>
    <w:p w14:paraId="301D4562" w14:textId="77777777" w:rsidR="00D92BE0" w:rsidRPr="00D92BE0" w:rsidRDefault="00D92BE0" w:rsidP="00D92BE0">
      <w:pPr>
        <w:rPr>
          <w:rFonts w:eastAsia="Times New Roman"/>
          <w:b/>
          <w:bCs/>
          <w:smallCaps/>
          <w:szCs w:val="17"/>
        </w:rPr>
      </w:pPr>
      <w:r w:rsidRPr="00D92BE0">
        <w:rPr>
          <w:rFonts w:eastAsia="Times New Roman"/>
          <w:b/>
          <w:bCs/>
          <w:smallCaps/>
          <w:szCs w:val="17"/>
        </w:rPr>
        <w:t>Report</w:t>
      </w:r>
    </w:p>
    <w:p w14:paraId="6DFB8828" w14:textId="77777777" w:rsidR="00D92BE0" w:rsidRPr="00D92BE0" w:rsidRDefault="00D92BE0" w:rsidP="00D92BE0">
      <w:pPr>
        <w:jc w:val="left"/>
        <w:rPr>
          <w:b/>
          <w:bCs/>
          <w:szCs w:val="17"/>
        </w:rPr>
      </w:pPr>
      <w:r w:rsidRPr="00D92BE0">
        <w:rPr>
          <w:b/>
          <w:bCs/>
          <w:szCs w:val="17"/>
        </w:rPr>
        <w:t>INTRODUCTION</w:t>
      </w:r>
    </w:p>
    <w:p w14:paraId="65A35247" w14:textId="77777777" w:rsidR="00D92BE0" w:rsidRPr="00D92BE0" w:rsidRDefault="00D92BE0" w:rsidP="00D92BE0">
      <w:pPr>
        <w:numPr>
          <w:ilvl w:val="0"/>
          <w:numId w:val="158"/>
        </w:numPr>
        <w:ind w:left="392"/>
        <w:rPr>
          <w:rFonts w:eastAsia="Times New Roman"/>
          <w:szCs w:val="17"/>
        </w:rPr>
      </w:pPr>
      <w:r w:rsidRPr="00D92BE0">
        <w:rPr>
          <w:rFonts w:eastAsia="Times New Roman"/>
          <w:szCs w:val="17"/>
        </w:rPr>
        <w:t>The Remuneration Tribunal (</w:t>
      </w:r>
      <w:r w:rsidRPr="00D92BE0">
        <w:rPr>
          <w:rFonts w:eastAsia="Times New Roman"/>
          <w:b/>
          <w:bCs/>
          <w:szCs w:val="17"/>
        </w:rPr>
        <w:t>Tribunal</w:t>
      </w:r>
      <w:r w:rsidRPr="00D92BE0">
        <w:rPr>
          <w:rFonts w:eastAsia="Times New Roman"/>
          <w:szCs w:val="17"/>
        </w:rPr>
        <w:t>) has conducted a review of Determination 8 of 2019</w:t>
      </w:r>
      <w:r w:rsidRPr="00D92BE0">
        <w:rPr>
          <w:rFonts w:eastAsia="Times New Roman"/>
          <w:szCs w:val="17"/>
          <w:vertAlign w:val="superscript"/>
        </w:rPr>
        <w:t>1</w:t>
      </w:r>
      <w:r w:rsidRPr="00D92BE0">
        <w:rPr>
          <w:rFonts w:eastAsia="Times New Roman"/>
          <w:szCs w:val="17"/>
        </w:rPr>
        <w:t xml:space="preserve"> which allows the member for the Mawson Electorate to claim reimbursements up to $3,380 per annum in respect of expenses necessarily incurred travelling by ferry or aircraft between Kangaroo Island and the Fleurieu Peninsula for electoral purposes.</w:t>
      </w:r>
    </w:p>
    <w:p w14:paraId="45984F6D"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As explained in this report, the Tribunal has determined not to change the current determination which will continue to apply.</w:t>
      </w:r>
    </w:p>
    <w:p w14:paraId="7F2BD612" w14:textId="77777777" w:rsidR="00D92BE0" w:rsidRPr="00D92BE0" w:rsidRDefault="00D92BE0" w:rsidP="00D92BE0">
      <w:pPr>
        <w:rPr>
          <w:rFonts w:eastAsia="Times New Roman"/>
          <w:szCs w:val="17"/>
        </w:rPr>
      </w:pPr>
      <w:r w:rsidRPr="00D92BE0">
        <w:rPr>
          <w:rFonts w:eastAsia="Times New Roman"/>
          <w:noProof/>
          <w:szCs w:val="17"/>
        </w:rPr>
        <mc:AlternateContent>
          <mc:Choice Requires="wps">
            <w:drawing>
              <wp:anchor distT="0" distB="0" distL="114300" distR="114300" simplePos="0" relativeHeight="251688960" behindDoc="0" locked="0" layoutInCell="1" allowOverlap="1" wp14:anchorId="1D27F7F5" wp14:editId="21602FAC">
                <wp:simplePos x="0" y="0"/>
                <wp:positionH relativeFrom="column">
                  <wp:posOffset>9839</wp:posOffset>
                </wp:positionH>
                <wp:positionV relativeFrom="paragraph">
                  <wp:posOffset>55914</wp:posOffset>
                </wp:positionV>
                <wp:extent cx="1708220" cy="0"/>
                <wp:effectExtent l="0" t="0" r="0" b="0"/>
                <wp:wrapNone/>
                <wp:docPr id="23" name="Straight Connector 23"/>
                <wp:cNvGraphicFramePr/>
                <a:graphic xmlns:a="http://schemas.openxmlformats.org/drawingml/2006/main">
                  <a:graphicData uri="http://schemas.microsoft.com/office/word/2010/wordprocessingShape">
                    <wps:wsp>
                      <wps:cNvCnPr/>
                      <wps:spPr>
                        <a:xfrm flipV="1">
                          <a:off x="0" y="0"/>
                          <a:ext cx="17082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5D85C7" id="Straight Connector 2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4pt" to="135.2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" strokecolor="windowText" strokeweight=".5pt">
                <v:stroke joinstyle="miter"/>
              </v:line>
            </w:pict>
          </mc:Fallback>
        </mc:AlternateContent>
      </w:r>
    </w:p>
    <w:p w14:paraId="4FC069B3" w14:textId="77777777" w:rsidR="00D92BE0" w:rsidRPr="00D92BE0" w:rsidRDefault="00D92BE0" w:rsidP="00D92BE0">
      <w:pPr>
        <w:pBdr>
          <w:top w:val="nil"/>
          <w:left w:val="nil"/>
          <w:bottom w:val="nil"/>
          <w:right w:val="nil"/>
          <w:between w:val="nil"/>
          <w:bar w:val="nil"/>
        </w:pBdr>
        <w:spacing w:line="160" w:lineRule="exact"/>
        <w:ind w:left="142" w:hanging="142"/>
        <w:jc w:val="left"/>
        <w:rPr>
          <w:color w:val="000000"/>
          <w:sz w:val="16"/>
          <w:szCs w:val="16"/>
          <w:u w:color="000000"/>
          <w:bdr w:val="nil"/>
          <w:lang w:eastAsia="en-AU"/>
        </w:rPr>
      </w:pPr>
      <w:r w:rsidRPr="00D92BE0">
        <w:rPr>
          <w:color w:val="000000"/>
          <w:sz w:val="16"/>
          <w:szCs w:val="16"/>
          <w:u w:color="000000"/>
          <w:bdr w:val="nil"/>
          <w:vertAlign w:val="superscript"/>
          <w:lang w:val="en-US" w:eastAsia="en-AU"/>
        </w:rPr>
        <w:footnoteRef/>
      </w:r>
      <w:r w:rsidRPr="00D92BE0">
        <w:rPr>
          <w:color w:val="000000"/>
          <w:sz w:val="16"/>
          <w:szCs w:val="16"/>
          <w:u w:color="000000"/>
          <w:bdr w:val="nil"/>
          <w:lang w:val="en-US" w:eastAsia="en-AU"/>
        </w:rPr>
        <w:t xml:space="preserve"> </w:t>
      </w:r>
      <w:r w:rsidRPr="00D92BE0">
        <w:rPr>
          <w:color w:val="000000"/>
          <w:sz w:val="16"/>
          <w:szCs w:val="16"/>
          <w:u w:color="000000"/>
          <w:bdr w:val="nil"/>
          <w:lang w:val="en-US" w:eastAsia="en-AU"/>
        </w:rPr>
        <w:tab/>
      </w:r>
      <w:r w:rsidRPr="00D92BE0">
        <w:rPr>
          <w:color w:val="000000"/>
          <w:sz w:val="16"/>
          <w:szCs w:val="16"/>
          <w:u w:color="000000"/>
          <w:bdr w:val="nil"/>
          <w:lang w:eastAsia="en-AU"/>
        </w:rPr>
        <w:t>Reimbursement of Expenses Applicable to the Electorate of Mawson – Travel to and from Kangaroo Island by Ferry and Aircraft.</w:t>
      </w:r>
    </w:p>
    <w:p w14:paraId="23A3C6EE" w14:textId="77777777" w:rsidR="00D92BE0" w:rsidRPr="00D92BE0" w:rsidRDefault="00D92BE0" w:rsidP="00D92BE0">
      <w:pPr>
        <w:jc w:val="left"/>
        <w:rPr>
          <w:b/>
          <w:bCs/>
          <w:szCs w:val="17"/>
        </w:rPr>
      </w:pPr>
      <w:r w:rsidRPr="00D92BE0">
        <w:rPr>
          <w:b/>
          <w:bCs/>
          <w:szCs w:val="17"/>
        </w:rPr>
        <w:t>THE REVIEW PROCESS</w:t>
      </w:r>
    </w:p>
    <w:p w14:paraId="5D135633"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 xml:space="preserve">On 22 June 2022, and in accordance with sections 10(2) and 10(4) of the </w:t>
      </w:r>
      <w:r w:rsidRPr="00D92BE0">
        <w:rPr>
          <w:rFonts w:eastAsia="Times New Roman"/>
          <w:i/>
          <w:iCs/>
          <w:szCs w:val="17"/>
        </w:rPr>
        <w:t>Remuneration Act 1990</w:t>
      </w:r>
      <w:r w:rsidRPr="00D92BE0">
        <w:rPr>
          <w:rFonts w:eastAsia="Times New Roman"/>
          <w:szCs w:val="17"/>
        </w:rPr>
        <w:t xml:space="preserve"> (</w:t>
      </w:r>
      <w:r w:rsidRPr="00D92BE0">
        <w:rPr>
          <w:rFonts w:eastAsia="Times New Roman"/>
          <w:b/>
          <w:bCs/>
          <w:szCs w:val="17"/>
        </w:rPr>
        <w:t>Act</w:t>
      </w:r>
      <w:r w:rsidRPr="00D92BE0">
        <w:rPr>
          <w:rFonts w:eastAsia="Times New Roman"/>
          <w:szCs w:val="17"/>
        </w:rPr>
        <w:t>), the Tribunal wrote to and invited submissions by 19 August 2022 in respect of this review from:</w:t>
      </w:r>
    </w:p>
    <w:p w14:paraId="49DED624" w14:textId="77777777" w:rsidR="00D92BE0" w:rsidRPr="00D92BE0" w:rsidRDefault="00D92BE0" w:rsidP="00D92BE0">
      <w:pPr>
        <w:numPr>
          <w:ilvl w:val="0"/>
          <w:numId w:val="155"/>
        </w:numPr>
        <w:rPr>
          <w:rFonts w:eastAsia="Times New Roman"/>
          <w:szCs w:val="17"/>
        </w:rPr>
      </w:pPr>
      <w:r w:rsidRPr="00D92BE0">
        <w:rPr>
          <w:rFonts w:eastAsia="Times New Roman"/>
          <w:szCs w:val="17"/>
        </w:rPr>
        <w:t>the Honourable Premier of South Australia – as the Minister responsible for the Act who may make submissions or introduce evidence in the public interest</w:t>
      </w:r>
    </w:p>
    <w:p w14:paraId="04CA0756" w14:textId="77777777" w:rsidR="00D92BE0" w:rsidRPr="00D92BE0" w:rsidRDefault="00D92BE0" w:rsidP="00D92BE0">
      <w:pPr>
        <w:numPr>
          <w:ilvl w:val="0"/>
          <w:numId w:val="155"/>
        </w:numPr>
        <w:rPr>
          <w:rFonts w:eastAsia="Times New Roman"/>
          <w:szCs w:val="17"/>
        </w:rPr>
      </w:pPr>
      <w:r w:rsidRPr="00D92BE0">
        <w:rPr>
          <w:rFonts w:eastAsia="Times New Roman"/>
          <w:szCs w:val="17"/>
        </w:rPr>
        <w:t>members of Parliament</w:t>
      </w:r>
    </w:p>
    <w:p w14:paraId="55882311" w14:textId="77777777" w:rsidR="00D92BE0" w:rsidRPr="00D92BE0" w:rsidRDefault="00D92BE0" w:rsidP="00D92BE0">
      <w:pPr>
        <w:numPr>
          <w:ilvl w:val="0"/>
          <w:numId w:val="155"/>
        </w:numPr>
        <w:rPr>
          <w:rFonts w:eastAsia="Times New Roman"/>
          <w:szCs w:val="17"/>
        </w:rPr>
      </w:pPr>
      <w:r w:rsidRPr="00D92BE0">
        <w:rPr>
          <w:rFonts w:eastAsia="Times New Roman"/>
          <w:szCs w:val="17"/>
        </w:rPr>
        <w:t>the Treasurer</w:t>
      </w:r>
    </w:p>
    <w:p w14:paraId="62B61F30" w14:textId="77777777" w:rsidR="00D92BE0" w:rsidRPr="00D92BE0" w:rsidRDefault="00D92BE0" w:rsidP="00D92BE0">
      <w:pPr>
        <w:numPr>
          <w:ilvl w:val="0"/>
          <w:numId w:val="155"/>
        </w:numPr>
        <w:rPr>
          <w:rFonts w:eastAsia="Times New Roman"/>
          <w:szCs w:val="17"/>
        </w:rPr>
      </w:pPr>
      <w:r w:rsidRPr="00D92BE0">
        <w:rPr>
          <w:rFonts w:eastAsia="Times New Roman"/>
          <w:szCs w:val="17"/>
        </w:rPr>
        <w:t>the Independent Commissioner Against Corruption</w:t>
      </w:r>
    </w:p>
    <w:p w14:paraId="7FD7505F"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 xml:space="preserve">The Tribunal also advertised its intention to review this, and other determinations applicable to members of Parliament, on its website from 22 June 2022. Submissions were also invited by 19 August 2022. </w:t>
      </w:r>
    </w:p>
    <w:p w14:paraId="023347D9"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On 16 August 2022, the Premier’s representative confirmed that no submission would be made. No other submissions were received in respect of this review.</w:t>
      </w:r>
    </w:p>
    <w:p w14:paraId="045802B6" w14:textId="77777777" w:rsidR="00D92BE0" w:rsidRPr="00D92BE0" w:rsidRDefault="00D92BE0" w:rsidP="00D92BE0">
      <w:pPr>
        <w:jc w:val="left"/>
        <w:rPr>
          <w:b/>
          <w:bCs/>
          <w:szCs w:val="17"/>
        </w:rPr>
      </w:pPr>
      <w:r w:rsidRPr="00D92BE0">
        <w:rPr>
          <w:b/>
          <w:bCs/>
          <w:szCs w:val="17"/>
        </w:rPr>
        <w:t>CONSIDERATION AND CONCLUSION</w:t>
      </w:r>
    </w:p>
    <w:p w14:paraId="3F6CC069" w14:textId="70D6401A" w:rsidR="00573848" w:rsidRDefault="00D92BE0" w:rsidP="00D92BE0">
      <w:pPr>
        <w:numPr>
          <w:ilvl w:val="0"/>
          <w:numId w:val="158"/>
        </w:numPr>
        <w:ind w:left="364"/>
        <w:rPr>
          <w:rFonts w:eastAsia="Times New Roman"/>
          <w:szCs w:val="17"/>
        </w:rPr>
      </w:pPr>
      <w:r w:rsidRPr="00D92BE0">
        <w:rPr>
          <w:rFonts w:eastAsia="Times New Roman"/>
          <w:szCs w:val="17"/>
        </w:rPr>
        <w:t xml:space="preserve">In reviewing this entitlement, the Tribunal has had due regard to the necessary statutory considerations under section 4(2)(a) of the </w:t>
      </w:r>
      <w:r w:rsidRPr="00D92BE0">
        <w:rPr>
          <w:rFonts w:eastAsia="Times New Roman"/>
          <w:i/>
          <w:iCs/>
          <w:szCs w:val="17"/>
        </w:rPr>
        <w:t>Parliamentary Remuneration Act 1990</w:t>
      </w:r>
      <w:r w:rsidRPr="00D92BE0">
        <w:rPr>
          <w:rFonts w:eastAsia="Times New Roman"/>
          <w:szCs w:val="17"/>
        </w:rPr>
        <w:t xml:space="preserve"> (</w:t>
      </w:r>
      <w:r w:rsidRPr="00D92BE0">
        <w:rPr>
          <w:rFonts w:eastAsia="Times New Roman"/>
          <w:b/>
          <w:bCs/>
          <w:szCs w:val="17"/>
        </w:rPr>
        <w:t>PR Act</w:t>
      </w:r>
      <w:r w:rsidRPr="00D92BE0">
        <w:rPr>
          <w:rFonts w:eastAsia="Times New Roman"/>
          <w:szCs w:val="17"/>
        </w:rPr>
        <w:t>). That section of the PR Act provides that the Tribunal must, in determining electorate allowances and other remuneration for members of Parliament, have regard not only to their parliamentary duties, but also to:</w:t>
      </w:r>
    </w:p>
    <w:p w14:paraId="23FB0AB3" w14:textId="77C4E2CA" w:rsidR="00D92BE0" w:rsidRPr="00D92BE0" w:rsidRDefault="00573848" w:rsidP="00573848">
      <w:pPr>
        <w:spacing w:after="0" w:line="240" w:lineRule="auto"/>
        <w:jc w:val="left"/>
        <w:rPr>
          <w:rFonts w:eastAsia="Times New Roman"/>
          <w:szCs w:val="17"/>
        </w:rPr>
      </w:pPr>
      <w:r>
        <w:rPr>
          <w:rFonts w:eastAsia="Times New Roman"/>
          <w:szCs w:val="17"/>
        </w:rPr>
        <w:br w:type="page"/>
      </w:r>
    </w:p>
    <w:p w14:paraId="4A1E40C5" w14:textId="77777777" w:rsidR="00D92BE0" w:rsidRPr="00D92BE0" w:rsidRDefault="00D92BE0" w:rsidP="00D92BE0">
      <w:pPr>
        <w:numPr>
          <w:ilvl w:val="0"/>
          <w:numId w:val="156"/>
        </w:numPr>
        <w:rPr>
          <w:rFonts w:eastAsia="Times New Roman"/>
          <w:szCs w:val="17"/>
        </w:rPr>
      </w:pPr>
      <w:r w:rsidRPr="00D92BE0">
        <w:rPr>
          <w:rFonts w:eastAsia="Times New Roman"/>
          <w:szCs w:val="17"/>
        </w:rPr>
        <w:lastRenderedPageBreak/>
        <w:t xml:space="preserve">their duty to be actively involved in community affairs; and </w:t>
      </w:r>
    </w:p>
    <w:p w14:paraId="05A79ECF" w14:textId="77777777" w:rsidR="00D92BE0" w:rsidRPr="00D92BE0" w:rsidRDefault="00D92BE0" w:rsidP="00D92BE0">
      <w:pPr>
        <w:numPr>
          <w:ilvl w:val="0"/>
          <w:numId w:val="156"/>
        </w:numPr>
        <w:rPr>
          <w:rFonts w:eastAsia="Times New Roman"/>
          <w:szCs w:val="17"/>
        </w:rPr>
      </w:pPr>
      <w:r w:rsidRPr="00D92BE0">
        <w:rPr>
          <w:rFonts w:eastAsia="Times New Roman"/>
          <w:szCs w:val="17"/>
        </w:rPr>
        <w:t>their duty to represent and assist their constituents in dealings with governmental and other public agencies and authorities.</w:t>
      </w:r>
    </w:p>
    <w:p w14:paraId="0A842B7E"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The Tribunal has also given due regard to the cost of journeys between Fleurieu Peninsula and Kangaroo Island for the relevant period. The Tribunal notes that the cost of travel on the SeaLink Kangaroo Island Ferry Service has increased by approximately 12% since Determination 8 of 2019 was issued.</w:t>
      </w:r>
    </w:p>
    <w:p w14:paraId="0B852E69"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Despite these cost increases, the Tribunal does not consider it appropriate to adjust the amount of the entitlement at the time of this review in circumstances where the Member for Mawson:</w:t>
      </w:r>
    </w:p>
    <w:p w14:paraId="0F521703" w14:textId="77777777" w:rsidR="00D92BE0" w:rsidRPr="00D92BE0" w:rsidRDefault="00D92BE0" w:rsidP="00D92BE0">
      <w:pPr>
        <w:numPr>
          <w:ilvl w:val="0"/>
          <w:numId w:val="157"/>
        </w:numPr>
        <w:rPr>
          <w:rFonts w:eastAsia="Times New Roman"/>
          <w:szCs w:val="17"/>
        </w:rPr>
      </w:pPr>
      <w:r w:rsidRPr="00D92BE0">
        <w:rPr>
          <w:rFonts w:eastAsia="Times New Roman"/>
          <w:szCs w:val="17"/>
        </w:rPr>
        <w:t>has not sought an increase to the allowance, and has not provided evidence of how often they travel to and from Kangaroo island and the usual costs incurred</w:t>
      </w:r>
    </w:p>
    <w:p w14:paraId="5B498FA7" w14:textId="77777777" w:rsidR="00D92BE0" w:rsidRPr="00D92BE0" w:rsidRDefault="00D92BE0" w:rsidP="00D92BE0">
      <w:pPr>
        <w:numPr>
          <w:ilvl w:val="0"/>
          <w:numId w:val="157"/>
        </w:numPr>
        <w:rPr>
          <w:rFonts w:eastAsia="Times New Roman"/>
          <w:szCs w:val="17"/>
        </w:rPr>
      </w:pPr>
      <w:r w:rsidRPr="00D92BE0">
        <w:rPr>
          <w:rFonts w:eastAsia="Times New Roman"/>
          <w:szCs w:val="17"/>
        </w:rPr>
        <w:t>can meet the costs of ferry or air travel (if over $3,380) using other allowances set by the Tribunal, including the electorate allowance.</w:t>
      </w:r>
    </w:p>
    <w:p w14:paraId="3018D109" w14:textId="77777777" w:rsidR="00D92BE0" w:rsidRPr="00D92BE0" w:rsidRDefault="00D92BE0" w:rsidP="00D92BE0">
      <w:pPr>
        <w:numPr>
          <w:ilvl w:val="0"/>
          <w:numId w:val="158"/>
        </w:numPr>
        <w:ind w:left="364"/>
        <w:rPr>
          <w:rFonts w:eastAsia="Times New Roman"/>
          <w:szCs w:val="17"/>
        </w:rPr>
      </w:pPr>
      <w:r w:rsidRPr="00D92BE0">
        <w:rPr>
          <w:rFonts w:eastAsia="Times New Roman"/>
          <w:szCs w:val="17"/>
        </w:rPr>
        <w:t>Accordingly, Determination 8 of 2019 will continue to apply.</w:t>
      </w:r>
    </w:p>
    <w:p w14:paraId="4318182B" w14:textId="77777777" w:rsidR="00D92BE0" w:rsidRPr="00D92BE0" w:rsidRDefault="00D92BE0" w:rsidP="00D92BE0">
      <w:pPr>
        <w:spacing w:after="0"/>
        <w:rPr>
          <w:rFonts w:eastAsia="Times New Roman"/>
          <w:szCs w:val="17"/>
        </w:rPr>
      </w:pPr>
      <w:r w:rsidRPr="00D92BE0">
        <w:rPr>
          <w:rFonts w:eastAsia="Times New Roman"/>
          <w:szCs w:val="17"/>
        </w:rPr>
        <w:t>Dated: 14 December 2022</w:t>
      </w:r>
    </w:p>
    <w:p w14:paraId="0E63F18E" w14:textId="77777777" w:rsidR="00D92BE0" w:rsidRPr="00D92BE0" w:rsidRDefault="00D92BE0" w:rsidP="00D92BE0">
      <w:pPr>
        <w:spacing w:after="0"/>
        <w:jc w:val="right"/>
        <w:rPr>
          <w:rFonts w:eastAsia="Times New Roman"/>
          <w:smallCaps/>
          <w:szCs w:val="20"/>
        </w:rPr>
      </w:pPr>
      <w:r w:rsidRPr="00D92BE0">
        <w:rPr>
          <w:rFonts w:eastAsia="Times New Roman"/>
          <w:smallCaps/>
          <w:szCs w:val="20"/>
        </w:rPr>
        <w:t>Matthew O’Callaghan</w:t>
      </w:r>
    </w:p>
    <w:p w14:paraId="2B369673" w14:textId="77777777" w:rsidR="00D92BE0" w:rsidRPr="00D92BE0" w:rsidRDefault="00D92BE0" w:rsidP="00D92BE0">
      <w:pPr>
        <w:jc w:val="right"/>
        <w:rPr>
          <w:rFonts w:eastAsia="Times New Roman"/>
          <w:szCs w:val="17"/>
        </w:rPr>
      </w:pPr>
      <w:r w:rsidRPr="00D92BE0">
        <w:rPr>
          <w:rFonts w:eastAsia="Times New Roman"/>
          <w:szCs w:val="17"/>
        </w:rPr>
        <w:t>President</w:t>
      </w:r>
    </w:p>
    <w:p w14:paraId="683686A7" w14:textId="77777777" w:rsidR="00D92BE0" w:rsidRPr="00D92BE0" w:rsidRDefault="00D92BE0" w:rsidP="00D92BE0">
      <w:pPr>
        <w:spacing w:after="0"/>
        <w:jc w:val="right"/>
        <w:rPr>
          <w:rFonts w:eastAsia="Times New Roman"/>
          <w:smallCaps/>
          <w:szCs w:val="20"/>
        </w:rPr>
      </w:pPr>
      <w:r w:rsidRPr="00D92BE0">
        <w:rPr>
          <w:rFonts w:eastAsia="Times New Roman"/>
          <w:smallCaps/>
          <w:szCs w:val="20"/>
        </w:rPr>
        <w:t>Deborah Black</w:t>
      </w:r>
    </w:p>
    <w:p w14:paraId="0ED89C72" w14:textId="77777777" w:rsidR="00D92BE0" w:rsidRPr="00D92BE0" w:rsidRDefault="00D92BE0" w:rsidP="00D92BE0">
      <w:pPr>
        <w:jc w:val="right"/>
        <w:rPr>
          <w:rFonts w:eastAsia="Times New Roman"/>
          <w:szCs w:val="17"/>
        </w:rPr>
      </w:pPr>
      <w:r w:rsidRPr="00D92BE0">
        <w:rPr>
          <w:rFonts w:eastAsia="Times New Roman"/>
          <w:szCs w:val="17"/>
        </w:rPr>
        <w:t>Member</w:t>
      </w:r>
    </w:p>
    <w:p w14:paraId="26F68AD8" w14:textId="77777777" w:rsidR="00D92BE0" w:rsidRPr="00D92BE0" w:rsidRDefault="00D92BE0" w:rsidP="00D92BE0">
      <w:pPr>
        <w:spacing w:after="0"/>
        <w:jc w:val="right"/>
        <w:rPr>
          <w:rFonts w:eastAsia="Times New Roman"/>
          <w:smallCaps/>
          <w:szCs w:val="20"/>
        </w:rPr>
      </w:pPr>
      <w:r w:rsidRPr="00D92BE0">
        <w:rPr>
          <w:rFonts w:eastAsia="Times New Roman"/>
          <w:smallCaps/>
          <w:szCs w:val="20"/>
        </w:rPr>
        <w:t>Peter de Cure AM</w:t>
      </w:r>
    </w:p>
    <w:p w14:paraId="09B6521D" w14:textId="3C1666A9" w:rsidR="00D92BE0" w:rsidRDefault="00D92BE0" w:rsidP="00573848">
      <w:pPr>
        <w:jc w:val="right"/>
        <w:rPr>
          <w:rFonts w:eastAsia="Times New Roman"/>
          <w:szCs w:val="17"/>
        </w:rPr>
      </w:pPr>
      <w:r w:rsidRPr="00D92BE0">
        <w:rPr>
          <w:rFonts w:eastAsia="Times New Roman"/>
          <w:szCs w:val="17"/>
        </w:rPr>
        <w:t>Member</w:t>
      </w:r>
    </w:p>
    <w:p w14:paraId="426D419A" w14:textId="747A9379" w:rsidR="00573848" w:rsidRDefault="00573848" w:rsidP="00573848">
      <w:pPr>
        <w:pBdr>
          <w:bottom w:val="single" w:sz="4" w:space="1" w:color="auto"/>
        </w:pBdr>
        <w:spacing w:after="0" w:line="52" w:lineRule="exact"/>
        <w:jc w:val="center"/>
        <w:rPr>
          <w:lang w:val="en-US"/>
        </w:rPr>
      </w:pPr>
    </w:p>
    <w:p w14:paraId="1D7883B1" w14:textId="3360E528" w:rsidR="00573848" w:rsidRDefault="00573848" w:rsidP="00573848">
      <w:pPr>
        <w:pBdr>
          <w:top w:val="single" w:sz="4" w:space="1" w:color="auto"/>
        </w:pBdr>
        <w:spacing w:before="34" w:after="0" w:line="14" w:lineRule="exact"/>
        <w:jc w:val="center"/>
        <w:rPr>
          <w:lang w:val="en-US"/>
        </w:rPr>
      </w:pPr>
    </w:p>
    <w:p w14:paraId="73008EF1" w14:textId="77777777" w:rsidR="00EB4F41" w:rsidRDefault="00EB4F41" w:rsidP="00965F17">
      <w:pPr>
        <w:pStyle w:val="GG-body"/>
        <w:spacing w:after="0"/>
        <w:rPr>
          <w:lang w:val="en-US"/>
        </w:rPr>
      </w:pPr>
    </w:p>
    <w:p w14:paraId="3CD7DEF3" w14:textId="77777777" w:rsidR="009D1E2E" w:rsidRPr="009D1E2E" w:rsidRDefault="009D1E2E" w:rsidP="00F80EF5">
      <w:pPr>
        <w:pStyle w:val="Heading1"/>
      </w:pPr>
      <w:r>
        <w:rPr>
          <w:lang w:val="en-US"/>
        </w:rPr>
        <w:br w:type="page"/>
      </w:r>
      <w:bookmarkStart w:id="106" w:name="_Toc33707983"/>
      <w:bookmarkStart w:id="107" w:name="_Toc33708154"/>
      <w:bookmarkStart w:id="108" w:name="_Toc122600851"/>
      <w:r>
        <w:lastRenderedPageBreak/>
        <w:t>Local</w:t>
      </w:r>
      <w:r w:rsidRPr="009D1E2E">
        <w:t xml:space="preserve"> Government Instruments</w:t>
      </w:r>
      <w:bookmarkEnd w:id="106"/>
      <w:bookmarkEnd w:id="107"/>
      <w:bookmarkEnd w:id="108"/>
    </w:p>
    <w:p w14:paraId="7944E661" w14:textId="77777777" w:rsidR="00573848" w:rsidRPr="002A0902" w:rsidRDefault="00573848" w:rsidP="00392842">
      <w:pPr>
        <w:pStyle w:val="Heading2"/>
      </w:pPr>
      <w:bookmarkStart w:id="109" w:name="_Toc122600852"/>
      <w:r w:rsidRPr="002A0902">
        <w:t>District Council of Franklin Harbour</w:t>
      </w:r>
      <w:bookmarkEnd w:id="109"/>
    </w:p>
    <w:p w14:paraId="6346FEA3" w14:textId="77777777" w:rsidR="00573848" w:rsidRPr="002A0902" w:rsidRDefault="00573848" w:rsidP="00573848">
      <w:pPr>
        <w:pStyle w:val="GG-Title3"/>
      </w:pPr>
      <w:r w:rsidRPr="002A0902">
        <w:t>Change of Meeting Date</w:t>
      </w:r>
    </w:p>
    <w:p w14:paraId="35A3A688" w14:textId="77777777" w:rsidR="00573848" w:rsidRPr="002A0902" w:rsidRDefault="00573848" w:rsidP="00573848">
      <w:pPr>
        <w:pStyle w:val="GG-body"/>
      </w:pPr>
      <w:r w:rsidRPr="002A0902">
        <w:t>NOTICE is hereby given that the Ordinary January Council Meeting will now be held on Wednesday, 18 January 2023, commencing at 1.00pm in the Council Chambers of Main Street, Cowell, in lieu of Wednesday, 11 January 2023.</w:t>
      </w:r>
    </w:p>
    <w:p w14:paraId="623877C9" w14:textId="77777777" w:rsidR="00573848" w:rsidRPr="002A0902" w:rsidRDefault="00573848" w:rsidP="00573848">
      <w:pPr>
        <w:pStyle w:val="GG-SDated"/>
      </w:pPr>
      <w:r w:rsidRPr="002A0902">
        <w:t>Dated: 15 December 2022</w:t>
      </w:r>
    </w:p>
    <w:p w14:paraId="2B5845B1" w14:textId="77777777" w:rsidR="00573848" w:rsidRPr="002A0902" w:rsidRDefault="00573848" w:rsidP="00573848">
      <w:pPr>
        <w:pStyle w:val="GG-SName"/>
      </w:pPr>
      <w:r w:rsidRPr="002A0902">
        <w:t>S.</w:t>
      </w:r>
      <w:r>
        <w:t xml:space="preserve"> </w:t>
      </w:r>
      <w:r w:rsidRPr="002A0902">
        <w:t>A. Gill</w:t>
      </w:r>
    </w:p>
    <w:p w14:paraId="36B0AF3B" w14:textId="05C792C2" w:rsidR="00573848" w:rsidRDefault="00573848" w:rsidP="00573848">
      <w:pPr>
        <w:pStyle w:val="GG-Signature"/>
      </w:pPr>
      <w:r w:rsidRPr="002A0902">
        <w:t>Chief Executive Officer</w:t>
      </w:r>
    </w:p>
    <w:p w14:paraId="5455BF8B" w14:textId="78A211A2" w:rsidR="00573848" w:rsidRDefault="00573848" w:rsidP="00573848">
      <w:pPr>
        <w:pStyle w:val="GG-Signature"/>
        <w:pBdr>
          <w:bottom w:val="single" w:sz="4" w:space="1" w:color="auto"/>
        </w:pBdr>
        <w:spacing w:line="52" w:lineRule="exact"/>
        <w:jc w:val="center"/>
        <w:rPr>
          <w:sz w:val="22"/>
          <w:szCs w:val="22"/>
          <w:lang w:eastAsia="en-GB"/>
        </w:rPr>
      </w:pPr>
    </w:p>
    <w:p w14:paraId="7C8B6165" w14:textId="0A244F1D" w:rsidR="00573848" w:rsidRDefault="00573848" w:rsidP="00573848">
      <w:pPr>
        <w:pStyle w:val="GG-Signature"/>
        <w:pBdr>
          <w:top w:val="single" w:sz="4" w:space="1" w:color="auto"/>
        </w:pBdr>
        <w:spacing w:before="34" w:line="14" w:lineRule="exact"/>
        <w:jc w:val="center"/>
        <w:rPr>
          <w:sz w:val="22"/>
          <w:szCs w:val="22"/>
          <w:lang w:eastAsia="en-GB"/>
        </w:rPr>
      </w:pPr>
    </w:p>
    <w:p w14:paraId="4090E087" w14:textId="2E71210A" w:rsidR="009D1E2E" w:rsidRDefault="009D1E2E" w:rsidP="00573848">
      <w:pPr>
        <w:pStyle w:val="GG-body"/>
        <w:spacing w:after="0"/>
        <w:rPr>
          <w:lang w:val="en-US"/>
        </w:rPr>
      </w:pPr>
    </w:p>
    <w:p w14:paraId="4ECB4ACC" w14:textId="77777777" w:rsidR="00573848" w:rsidRPr="00573848" w:rsidRDefault="00573848" w:rsidP="00392842">
      <w:pPr>
        <w:pStyle w:val="Heading2"/>
      </w:pPr>
      <w:bookmarkStart w:id="110" w:name="_Toc122600853"/>
      <w:bookmarkStart w:id="111" w:name="_Hlk122523621"/>
      <w:r w:rsidRPr="00573848">
        <w:t>District Council of Kimba</w:t>
      </w:r>
      <w:bookmarkEnd w:id="110"/>
    </w:p>
    <w:p w14:paraId="68015A76" w14:textId="77777777" w:rsidR="00573848" w:rsidRPr="00573848" w:rsidRDefault="00573848" w:rsidP="00573848">
      <w:pPr>
        <w:jc w:val="center"/>
        <w:rPr>
          <w:i/>
          <w:szCs w:val="17"/>
        </w:rPr>
      </w:pPr>
      <w:r w:rsidRPr="00573848">
        <w:rPr>
          <w:i/>
          <w:szCs w:val="17"/>
        </w:rPr>
        <w:t>Assignment of name to a new road</w:t>
      </w:r>
    </w:p>
    <w:p w14:paraId="16F83F5B" w14:textId="77777777" w:rsidR="00573848" w:rsidRPr="00573848" w:rsidRDefault="00573848" w:rsidP="00573848">
      <w:r w:rsidRPr="00573848">
        <w:t xml:space="preserve">NOTICE is hereby given that the District Council of Kimba (the </w:t>
      </w:r>
      <w:r w:rsidRPr="00573848">
        <w:rPr>
          <w:b/>
        </w:rPr>
        <w:t>Council</w:t>
      </w:r>
      <w:r w:rsidRPr="00573848">
        <w:t xml:space="preserve">), at its meeting held on 14 December 2022 and pursuant to section 219 of the </w:t>
      </w:r>
      <w:r w:rsidRPr="00573848">
        <w:rPr>
          <w:i/>
        </w:rPr>
        <w:t>Local Government Act 1999</w:t>
      </w:r>
      <w:r w:rsidRPr="00573848">
        <w:t>, resolved to assign the name “Mayfield Court” to the section of new road extending south off Nugent Road in Kimba.</w:t>
      </w:r>
    </w:p>
    <w:p w14:paraId="4CA33B68" w14:textId="77777777" w:rsidR="00573848" w:rsidRPr="00573848" w:rsidRDefault="00573848" w:rsidP="00573848">
      <w:pPr>
        <w:jc w:val="left"/>
      </w:pPr>
      <w:r w:rsidRPr="00573848">
        <w:t xml:space="preserve">A plan delineating the new road and a copy of the Council resolution, are available for inspection on the Council’s website at </w:t>
      </w:r>
      <w:hyperlink r:id="rId55" w:history="1">
        <w:r w:rsidRPr="00573848">
          <w:rPr>
            <w:color w:val="0563C1" w:themeColor="hyperlink"/>
            <w:u w:val="single"/>
          </w:rPr>
          <w:t>www.kimba.sa.gov.au/</w:t>
        </w:r>
      </w:hyperlink>
      <w:r w:rsidRPr="00573848">
        <w:t>.</w:t>
      </w:r>
    </w:p>
    <w:p w14:paraId="2D2AEB36" w14:textId="77777777" w:rsidR="00573848" w:rsidRPr="00573848" w:rsidRDefault="00573848" w:rsidP="00573848">
      <w:pPr>
        <w:spacing w:after="0"/>
        <w:rPr>
          <w:rFonts w:eastAsia="Times New Roman"/>
          <w:szCs w:val="17"/>
        </w:rPr>
      </w:pPr>
      <w:r w:rsidRPr="00573848">
        <w:rPr>
          <w:rFonts w:eastAsia="Times New Roman"/>
          <w:szCs w:val="17"/>
        </w:rPr>
        <w:t>Dated: 22 December 2022</w:t>
      </w:r>
    </w:p>
    <w:p w14:paraId="628E35B4" w14:textId="77777777" w:rsidR="00573848" w:rsidRPr="00573848" w:rsidRDefault="00573848" w:rsidP="00573848">
      <w:pPr>
        <w:spacing w:after="0"/>
        <w:jc w:val="right"/>
        <w:rPr>
          <w:rFonts w:eastAsia="Times New Roman"/>
          <w:smallCaps/>
          <w:szCs w:val="20"/>
        </w:rPr>
      </w:pPr>
      <w:r w:rsidRPr="00573848">
        <w:rPr>
          <w:rFonts w:eastAsia="Times New Roman"/>
          <w:smallCaps/>
          <w:szCs w:val="20"/>
        </w:rPr>
        <w:t>Deb Larwood</w:t>
      </w:r>
    </w:p>
    <w:p w14:paraId="24D35D80" w14:textId="66E2C493" w:rsidR="00573848" w:rsidRDefault="00573848" w:rsidP="00573848">
      <w:pPr>
        <w:spacing w:after="0"/>
        <w:jc w:val="right"/>
        <w:rPr>
          <w:rFonts w:eastAsia="Times New Roman"/>
          <w:szCs w:val="17"/>
        </w:rPr>
      </w:pPr>
      <w:r w:rsidRPr="00573848">
        <w:rPr>
          <w:rFonts w:eastAsia="Times New Roman"/>
          <w:szCs w:val="17"/>
        </w:rPr>
        <w:t>Chief Executive Officer</w:t>
      </w:r>
      <w:bookmarkEnd w:id="111"/>
    </w:p>
    <w:p w14:paraId="249C3AB5" w14:textId="1884FC89" w:rsidR="00573848" w:rsidRDefault="00573848" w:rsidP="00573848">
      <w:pPr>
        <w:pBdr>
          <w:bottom w:val="single" w:sz="4" w:space="1" w:color="auto"/>
        </w:pBdr>
        <w:spacing w:after="0" w:line="52" w:lineRule="exact"/>
        <w:jc w:val="center"/>
        <w:rPr>
          <w:rFonts w:eastAsia="Times New Roman"/>
          <w:szCs w:val="17"/>
        </w:rPr>
      </w:pPr>
    </w:p>
    <w:p w14:paraId="40D8D1E3" w14:textId="58F8BB31" w:rsidR="00573848" w:rsidRDefault="00573848" w:rsidP="00573848">
      <w:pPr>
        <w:pBdr>
          <w:top w:val="single" w:sz="4" w:space="1" w:color="auto"/>
        </w:pBdr>
        <w:spacing w:before="34" w:after="0" w:line="14" w:lineRule="exact"/>
        <w:jc w:val="center"/>
        <w:rPr>
          <w:rFonts w:eastAsia="Times New Roman"/>
          <w:szCs w:val="17"/>
        </w:rPr>
      </w:pPr>
    </w:p>
    <w:p w14:paraId="450D3F8B" w14:textId="284B9934" w:rsidR="00573848" w:rsidRDefault="00573848" w:rsidP="00573848">
      <w:pPr>
        <w:pStyle w:val="GG-body"/>
        <w:spacing w:after="0"/>
        <w:rPr>
          <w:lang w:val="en-US"/>
        </w:rPr>
      </w:pPr>
    </w:p>
    <w:p w14:paraId="77413455" w14:textId="77777777" w:rsidR="00573848" w:rsidRDefault="00573848" w:rsidP="00573848">
      <w:pPr>
        <w:pStyle w:val="GG-body"/>
        <w:spacing w:after="0"/>
        <w:rPr>
          <w:lang w:val="en-US"/>
        </w:rPr>
      </w:pPr>
    </w:p>
    <w:p w14:paraId="11026321" w14:textId="77777777" w:rsidR="009D1E2E" w:rsidRPr="009D1E2E" w:rsidRDefault="009D1E2E" w:rsidP="00F80EF5">
      <w:pPr>
        <w:pStyle w:val="Heading1"/>
      </w:pPr>
      <w:r>
        <w:rPr>
          <w:lang w:val="en-US"/>
        </w:rPr>
        <w:br w:type="page"/>
      </w:r>
      <w:bookmarkStart w:id="112" w:name="_Toc33707984"/>
      <w:bookmarkStart w:id="113" w:name="_Toc33708155"/>
      <w:bookmarkStart w:id="114" w:name="_Toc122600854"/>
      <w:r>
        <w:lastRenderedPageBreak/>
        <w:t>Public Notices</w:t>
      </w:r>
      <w:bookmarkEnd w:id="112"/>
      <w:bookmarkEnd w:id="113"/>
      <w:bookmarkEnd w:id="114"/>
    </w:p>
    <w:p w14:paraId="21F66855" w14:textId="77777777" w:rsidR="00573848" w:rsidRPr="0006369A" w:rsidRDefault="00573848" w:rsidP="00392842">
      <w:pPr>
        <w:pStyle w:val="Heading2"/>
      </w:pPr>
      <w:bookmarkStart w:id="115" w:name="_Toc122600855"/>
      <w:r w:rsidRPr="0006369A">
        <w:t>National Electricity Law</w:t>
      </w:r>
      <w:bookmarkEnd w:id="115"/>
    </w:p>
    <w:p w14:paraId="050D41F3" w14:textId="77777777" w:rsidR="00573848" w:rsidRPr="0006369A" w:rsidRDefault="00573848" w:rsidP="00573848">
      <w:pPr>
        <w:pStyle w:val="GG-Title3"/>
      </w:pPr>
      <w:r w:rsidRPr="00F5187E">
        <w:rPr>
          <w:bCs/>
          <w:iCs/>
          <w:lang w:val="en-US"/>
        </w:rPr>
        <w:t xml:space="preserve">Notice of Final </w:t>
      </w:r>
      <w:r>
        <w:rPr>
          <w:bCs/>
          <w:iCs/>
          <w:lang w:val="en-US"/>
        </w:rPr>
        <w:t>R</w:t>
      </w:r>
      <w:r w:rsidRPr="00F5187E">
        <w:rPr>
          <w:bCs/>
          <w:iCs/>
          <w:lang w:val="en-US"/>
        </w:rPr>
        <w:t>ule</w:t>
      </w:r>
      <w:r>
        <w:rPr>
          <w:bCs/>
          <w:iCs/>
          <w:lang w:val="en-US"/>
        </w:rPr>
        <w:br/>
      </w:r>
      <w:r w:rsidRPr="00F5187E">
        <w:rPr>
          <w:bCs/>
          <w:iCs/>
          <w:lang w:val="en-US"/>
        </w:rPr>
        <w:t xml:space="preserve">Extension of Final </w:t>
      </w:r>
      <w:r>
        <w:rPr>
          <w:bCs/>
          <w:iCs/>
          <w:lang w:val="en-US"/>
        </w:rPr>
        <w:t>D</w:t>
      </w:r>
      <w:r w:rsidRPr="00F5187E">
        <w:rPr>
          <w:bCs/>
          <w:iCs/>
          <w:lang w:val="en-US"/>
        </w:rPr>
        <w:t>etermination</w:t>
      </w:r>
    </w:p>
    <w:p w14:paraId="68A7BC2D" w14:textId="77777777" w:rsidR="00573848" w:rsidRPr="0006369A" w:rsidRDefault="00573848" w:rsidP="00573848">
      <w:pPr>
        <w:pStyle w:val="GG-body"/>
      </w:pPr>
      <w:r w:rsidRPr="0006369A">
        <w:t>The Australian Energy Market Commission (AEMC) gives notice under the National Electricity Law as follows:</w:t>
      </w:r>
    </w:p>
    <w:p w14:paraId="05EAED55" w14:textId="77777777" w:rsidR="00573848" w:rsidRDefault="00573848" w:rsidP="00573848">
      <w:pPr>
        <w:pStyle w:val="GG-body"/>
        <w:ind w:left="142"/>
        <w:rPr>
          <w:bCs/>
          <w:lang w:val="en-US"/>
        </w:rPr>
      </w:pPr>
      <w:r w:rsidRPr="007219D9">
        <w:rPr>
          <w:lang w:val="en-US"/>
        </w:rPr>
        <w:t xml:space="preserve">Under s 107, the time for the making of the final determination on the </w:t>
      </w:r>
      <w:r w:rsidRPr="007219D9">
        <w:rPr>
          <w:i/>
        </w:rPr>
        <w:t xml:space="preserve">Operational security mechanism </w:t>
      </w:r>
      <w:r w:rsidRPr="007219D9">
        <w:rPr>
          <w:lang w:val="en-US"/>
        </w:rPr>
        <w:t xml:space="preserve">(Ref. ERC0290) </w:t>
      </w:r>
      <w:r w:rsidRPr="007219D9">
        <w:t>proposal</w:t>
      </w:r>
      <w:r w:rsidRPr="007219D9">
        <w:rPr>
          <w:lang w:val="en-US"/>
        </w:rPr>
        <w:t xml:space="preserve"> has been extended to </w:t>
      </w:r>
      <w:r w:rsidRPr="007219D9">
        <w:rPr>
          <w:b/>
          <w:lang w:val="en-US"/>
        </w:rPr>
        <w:t>27 July 2023</w:t>
      </w:r>
      <w:r w:rsidRPr="007219D9">
        <w:rPr>
          <w:bCs/>
          <w:lang w:val="en-US"/>
        </w:rPr>
        <w:t>.</w:t>
      </w:r>
    </w:p>
    <w:p w14:paraId="209F8755" w14:textId="77777777" w:rsidR="00573848" w:rsidRPr="007219D9" w:rsidRDefault="00573848" w:rsidP="00573848">
      <w:pPr>
        <w:pStyle w:val="GG-body"/>
        <w:ind w:left="142"/>
        <w:rPr>
          <w:bCs/>
          <w:lang w:val="en-US"/>
        </w:rPr>
      </w:pPr>
      <w:r w:rsidRPr="00D14743">
        <w:rPr>
          <w:bCs/>
          <w:lang w:val="en-US"/>
        </w:rPr>
        <w:t xml:space="preserve">Under s 107, the time for the making of the final determination on the </w:t>
      </w:r>
      <w:r w:rsidRPr="001F0E3F">
        <w:rPr>
          <w:bCs/>
          <w:i/>
          <w:iCs/>
          <w:lang w:val="en-US"/>
        </w:rPr>
        <w:t>Establishing revenue determinations for Intending TNSPs</w:t>
      </w:r>
      <w:r w:rsidRPr="00D14743">
        <w:rPr>
          <w:bCs/>
          <w:lang w:val="en-US"/>
        </w:rPr>
        <w:t xml:space="preserve"> (Ref. ERC0343) proposal was extended from </w:t>
      </w:r>
      <w:r w:rsidRPr="008757F7">
        <w:rPr>
          <w:b/>
          <w:lang w:val="en-US"/>
        </w:rPr>
        <w:t>1 December 2022</w:t>
      </w:r>
      <w:r w:rsidRPr="00D14743">
        <w:rPr>
          <w:bCs/>
          <w:lang w:val="en-US"/>
        </w:rPr>
        <w:t xml:space="preserve"> to </w:t>
      </w:r>
      <w:r w:rsidRPr="008757F7">
        <w:rPr>
          <w:b/>
          <w:lang w:val="en-US"/>
        </w:rPr>
        <w:t>22 December 2022</w:t>
      </w:r>
      <w:r w:rsidRPr="00D14743">
        <w:rPr>
          <w:bCs/>
          <w:lang w:val="en-US"/>
        </w:rPr>
        <w:t>.</w:t>
      </w:r>
    </w:p>
    <w:p w14:paraId="23179D39" w14:textId="77777777" w:rsidR="00573848" w:rsidRPr="0006369A" w:rsidRDefault="00573848" w:rsidP="00573848">
      <w:pPr>
        <w:pStyle w:val="GG-body"/>
        <w:ind w:left="142"/>
      </w:pPr>
      <w:r w:rsidRPr="007219D9">
        <w:rPr>
          <w:lang w:val="en-US"/>
        </w:rPr>
        <w:t>Under ss 102 and 103, the making of the</w:t>
      </w:r>
      <w:r w:rsidRPr="007219D9">
        <w:rPr>
          <w:i/>
        </w:rPr>
        <w:t xml:space="preserve"> National Electricity Amendment (Establishing revenue determinations for Intending TNSPs) Rule 2022</w:t>
      </w:r>
      <w:r w:rsidRPr="007219D9">
        <w:rPr>
          <w:lang w:val="en-US"/>
        </w:rPr>
        <w:t xml:space="preserve"> </w:t>
      </w:r>
      <w:r w:rsidRPr="007219D9">
        <w:rPr>
          <w:i/>
          <w:lang w:val="en-US"/>
        </w:rPr>
        <w:t xml:space="preserve">No. 12 </w:t>
      </w:r>
      <w:r w:rsidRPr="007219D9">
        <w:rPr>
          <w:lang w:val="en-US"/>
        </w:rPr>
        <w:t xml:space="preserve">(Ref. ERC0343) and related final determination. </w:t>
      </w:r>
      <w:bookmarkStart w:id="116" w:name="Text14"/>
      <w:r w:rsidRPr="007219D9">
        <w:rPr>
          <w:lang w:val="en-US"/>
        </w:rPr>
        <w:t>All provisions commence on</w:t>
      </w:r>
      <w:r w:rsidRPr="007219D9">
        <w:t xml:space="preserve"> </w:t>
      </w:r>
      <w:bookmarkEnd w:id="116"/>
      <w:r w:rsidRPr="007219D9">
        <w:rPr>
          <w:b/>
          <w:lang w:val="en-US"/>
        </w:rPr>
        <w:t>20 January 2023</w:t>
      </w:r>
      <w:r w:rsidRPr="0006369A">
        <w:t>.</w:t>
      </w:r>
    </w:p>
    <w:p w14:paraId="5BF76946" w14:textId="77777777" w:rsidR="00573848" w:rsidRPr="0006369A" w:rsidRDefault="00573848" w:rsidP="00573848">
      <w:pPr>
        <w:pStyle w:val="GG-body"/>
      </w:pPr>
      <w:r w:rsidRPr="0006369A">
        <w:t>Documents referred to above are available on the AEMC</w:t>
      </w:r>
      <w:r>
        <w:t>’</w:t>
      </w:r>
      <w:r w:rsidRPr="0006369A">
        <w:t>s website and are available for inspection at the AEMC</w:t>
      </w:r>
      <w:r>
        <w:t>’</w:t>
      </w:r>
      <w:r w:rsidRPr="0006369A">
        <w:t>s office.</w:t>
      </w:r>
    </w:p>
    <w:p w14:paraId="3D8E8CE7" w14:textId="77777777" w:rsidR="00573848" w:rsidRPr="0006369A" w:rsidRDefault="00573848" w:rsidP="00573848">
      <w:pPr>
        <w:pStyle w:val="GG-body"/>
        <w:spacing w:after="0"/>
        <w:ind w:left="142"/>
      </w:pPr>
      <w:r w:rsidRPr="0006369A">
        <w:t>Australian Energy Market Commission</w:t>
      </w:r>
    </w:p>
    <w:p w14:paraId="20C05808" w14:textId="77777777" w:rsidR="00573848" w:rsidRPr="0006369A" w:rsidRDefault="00573848" w:rsidP="00573848">
      <w:pPr>
        <w:pStyle w:val="GG-body"/>
        <w:spacing w:after="0"/>
        <w:ind w:left="142"/>
      </w:pPr>
      <w:r w:rsidRPr="0006369A">
        <w:t>Level 15, 60 Castlereagh St</w:t>
      </w:r>
    </w:p>
    <w:p w14:paraId="0DFDE3C8" w14:textId="77777777" w:rsidR="00573848" w:rsidRPr="0006369A" w:rsidRDefault="00573848" w:rsidP="00573848">
      <w:pPr>
        <w:pStyle w:val="GG-body"/>
        <w:spacing w:after="40"/>
        <w:ind w:left="142"/>
      </w:pPr>
      <w:r w:rsidRPr="0006369A">
        <w:t>Sydney NSW 2000</w:t>
      </w:r>
    </w:p>
    <w:p w14:paraId="60181DF6" w14:textId="77777777" w:rsidR="00573848" w:rsidRPr="0006369A" w:rsidRDefault="00573848" w:rsidP="00573848">
      <w:pPr>
        <w:pStyle w:val="GG-body"/>
        <w:spacing w:after="0"/>
        <w:ind w:left="142"/>
      </w:pPr>
      <w:r w:rsidRPr="0006369A">
        <w:t>Telephone: (02) 8296 7800</w:t>
      </w:r>
    </w:p>
    <w:p w14:paraId="184249F3" w14:textId="77777777" w:rsidR="00573848" w:rsidRPr="00CD6CE3" w:rsidRDefault="00573848" w:rsidP="00573848">
      <w:pPr>
        <w:pStyle w:val="GG-body"/>
        <w:ind w:left="142"/>
        <w:rPr>
          <w:rStyle w:val="Hyperlink"/>
        </w:rPr>
      </w:pPr>
      <w:r>
        <w:rPr>
          <w:color w:val="0000FF"/>
        </w:rPr>
        <w:fldChar w:fldCharType="begin"/>
      </w:r>
      <w:r>
        <w:rPr>
          <w:color w:val="0000FF"/>
        </w:rPr>
        <w:instrText xml:space="preserve"> HYPERLINK "https://www.aemc.gov.au/" </w:instrText>
      </w:r>
      <w:r>
        <w:rPr>
          <w:color w:val="0000FF"/>
        </w:rPr>
        <w:fldChar w:fldCharType="separate"/>
      </w:r>
      <w:r w:rsidRPr="00CD6CE3">
        <w:rPr>
          <w:rStyle w:val="Hyperlink"/>
        </w:rPr>
        <w:t>www.aemc.gov.au</w:t>
      </w:r>
    </w:p>
    <w:p w14:paraId="26119EFF" w14:textId="63845769" w:rsidR="00573848" w:rsidRDefault="00573848" w:rsidP="00573848">
      <w:pPr>
        <w:pStyle w:val="GG-SDated"/>
      </w:pPr>
      <w:r>
        <w:rPr>
          <w:color w:val="0000FF"/>
        </w:rPr>
        <w:fldChar w:fldCharType="end"/>
      </w:r>
      <w:r>
        <w:t>Dated: 22</w:t>
      </w:r>
      <w:r w:rsidRPr="0006369A">
        <w:t xml:space="preserve"> December 2022</w:t>
      </w:r>
    </w:p>
    <w:p w14:paraId="671A44D6" w14:textId="75CFC2F2" w:rsidR="00573848" w:rsidRDefault="00573848" w:rsidP="00573848">
      <w:pPr>
        <w:pBdr>
          <w:bottom w:val="single" w:sz="4" w:space="1" w:color="auto"/>
        </w:pBdr>
        <w:spacing w:after="0" w:line="52" w:lineRule="exact"/>
        <w:jc w:val="center"/>
      </w:pPr>
    </w:p>
    <w:p w14:paraId="3E76ABC2" w14:textId="69A81667" w:rsidR="00573848" w:rsidRDefault="00573848" w:rsidP="00573848">
      <w:pPr>
        <w:pBdr>
          <w:top w:val="single" w:sz="4" w:space="1" w:color="auto"/>
        </w:pBdr>
        <w:spacing w:before="34" w:after="0" w:line="14" w:lineRule="exact"/>
        <w:jc w:val="center"/>
      </w:pPr>
    </w:p>
    <w:p w14:paraId="23A1926D" w14:textId="77777777" w:rsidR="009D1E2E" w:rsidRDefault="009D1E2E" w:rsidP="00B13C12">
      <w:pPr>
        <w:pStyle w:val="GG-body"/>
        <w:rPr>
          <w:lang w:val="en-US"/>
        </w:rPr>
      </w:pPr>
    </w:p>
    <w:p w14:paraId="087B243C"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7729D3F5" w14:textId="77777777" w:rsidR="00EB5C72" w:rsidRPr="00576D3B" w:rsidRDefault="00EB5C72" w:rsidP="00EB5C72">
      <w:pPr>
        <w:spacing w:after="0" w:line="240" w:lineRule="auto"/>
        <w:ind w:left="600" w:right="600"/>
        <w:jc w:val="center"/>
        <w:rPr>
          <w:color w:val="000000"/>
          <w:sz w:val="20"/>
          <w:szCs w:val="20"/>
        </w:rPr>
      </w:pPr>
    </w:p>
    <w:p w14:paraId="1AB546C2" w14:textId="77777777" w:rsidR="00EB5C72" w:rsidRPr="00576D3B" w:rsidRDefault="00EB5C72" w:rsidP="00EB5C72">
      <w:pPr>
        <w:spacing w:after="0" w:line="240" w:lineRule="auto"/>
        <w:ind w:left="600" w:right="600"/>
        <w:jc w:val="center"/>
        <w:rPr>
          <w:color w:val="000000"/>
          <w:sz w:val="20"/>
          <w:szCs w:val="20"/>
        </w:rPr>
      </w:pPr>
    </w:p>
    <w:p w14:paraId="3768318E" w14:textId="77777777" w:rsidR="00EB5C72" w:rsidRDefault="00EB5C72" w:rsidP="00EB5C72">
      <w:pPr>
        <w:spacing w:after="0" w:line="240" w:lineRule="auto"/>
        <w:ind w:left="600" w:right="600"/>
        <w:jc w:val="center"/>
        <w:rPr>
          <w:color w:val="000000"/>
          <w:sz w:val="20"/>
          <w:szCs w:val="20"/>
        </w:rPr>
      </w:pPr>
    </w:p>
    <w:p w14:paraId="3341ED74" w14:textId="77777777" w:rsidR="00EB5C72" w:rsidRPr="00576D3B" w:rsidRDefault="00EB5C72" w:rsidP="00EB5C72">
      <w:pPr>
        <w:spacing w:after="0" w:line="240" w:lineRule="auto"/>
        <w:ind w:left="600" w:right="600"/>
        <w:jc w:val="center"/>
        <w:rPr>
          <w:color w:val="000000"/>
          <w:sz w:val="20"/>
          <w:szCs w:val="20"/>
        </w:rPr>
      </w:pPr>
    </w:p>
    <w:p w14:paraId="033F3EF4"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C5ED8E1" w14:textId="77777777" w:rsidR="00EB5C72" w:rsidRPr="00576D3B" w:rsidRDefault="00EB5C72" w:rsidP="00EB5C72">
      <w:pPr>
        <w:spacing w:after="0" w:line="240" w:lineRule="auto"/>
        <w:ind w:left="600" w:right="600"/>
        <w:jc w:val="center"/>
        <w:rPr>
          <w:color w:val="000000"/>
          <w:sz w:val="20"/>
          <w:szCs w:val="20"/>
        </w:rPr>
      </w:pPr>
    </w:p>
    <w:p w14:paraId="4DB2F918" w14:textId="77777777" w:rsidR="00EB5C72" w:rsidRDefault="00EB5C72" w:rsidP="00EB5C72">
      <w:pPr>
        <w:spacing w:after="0" w:line="240" w:lineRule="auto"/>
        <w:ind w:left="600" w:right="600"/>
        <w:jc w:val="center"/>
        <w:rPr>
          <w:color w:val="000000"/>
          <w:sz w:val="20"/>
          <w:szCs w:val="20"/>
        </w:rPr>
      </w:pPr>
    </w:p>
    <w:p w14:paraId="660AF7E4" w14:textId="77777777" w:rsidR="00EB5C72" w:rsidRPr="00576D3B" w:rsidRDefault="00EB5C72" w:rsidP="00EB5C72">
      <w:pPr>
        <w:spacing w:after="0" w:line="240" w:lineRule="auto"/>
        <w:ind w:left="600" w:right="600"/>
        <w:jc w:val="center"/>
        <w:rPr>
          <w:color w:val="000000"/>
          <w:sz w:val="20"/>
          <w:szCs w:val="20"/>
        </w:rPr>
      </w:pPr>
    </w:p>
    <w:p w14:paraId="4DD4CE6D"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8001B50"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724C599"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8BD4A0A"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0CE11BD" w14:textId="77777777" w:rsidR="00EB5C72" w:rsidRPr="00576D3B" w:rsidRDefault="00EB5C72" w:rsidP="00EB5C72">
      <w:pPr>
        <w:spacing w:after="0" w:line="240" w:lineRule="auto"/>
        <w:ind w:left="600" w:right="600"/>
        <w:jc w:val="center"/>
        <w:rPr>
          <w:color w:val="000000"/>
          <w:sz w:val="20"/>
          <w:szCs w:val="20"/>
        </w:rPr>
      </w:pPr>
    </w:p>
    <w:p w14:paraId="6C8B4AA9" w14:textId="77777777" w:rsidR="00EB5C72" w:rsidRPr="00576D3B" w:rsidRDefault="00EB5C72" w:rsidP="00EB5C72">
      <w:pPr>
        <w:spacing w:after="0" w:line="240" w:lineRule="auto"/>
        <w:ind w:left="600" w:right="600"/>
        <w:jc w:val="center"/>
        <w:rPr>
          <w:color w:val="000000"/>
          <w:sz w:val="20"/>
          <w:szCs w:val="20"/>
        </w:rPr>
      </w:pPr>
    </w:p>
    <w:p w14:paraId="36BC2EC7" w14:textId="77777777" w:rsidR="00EB5C72" w:rsidRPr="00576D3B" w:rsidRDefault="00EB5C72" w:rsidP="00EB5C72">
      <w:pPr>
        <w:spacing w:after="0" w:line="240" w:lineRule="auto"/>
        <w:ind w:left="600" w:right="600"/>
        <w:jc w:val="center"/>
        <w:rPr>
          <w:color w:val="000000"/>
          <w:sz w:val="20"/>
          <w:szCs w:val="20"/>
        </w:rPr>
      </w:pPr>
    </w:p>
    <w:p w14:paraId="6C5B6C0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A4BF2F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1EB44D4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605D0C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826FAF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A75E68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81A00B2" w14:textId="77777777" w:rsidR="00EB5C72" w:rsidRPr="00576D3B" w:rsidRDefault="00EB5C72" w:rsidP="00EB5C72">
      <w:pPr>
        <w:spacing w:after="0" w:line="240" w:lineRule="auto"/>
        <w:ind w:left="600" w:right="600"/>
        <w:jc w:val="center"/>
        <w:rPr>
          <w:color w:val="000000"/>
          <w:sz w:val="20"/>
          <w:szCs w:val="20"/>
        </w:rPr>
      </w:pPr>
    </w:p>
    <w:p w14:paraId="389967EF" w14:textId="77777777" w:rsidR="00EB5C72" w:rsidRPr="00576D3B" w:rsidRDefault="00EB5C72" w:rsidP="00EB5C72">
      <w:pPr>
        <w:spacing w:after="0" w:line="240" w:lineRule="auto"/>
        <w:ind w:left="600" w:right="600"/>
        <w:jc w:val="center"/>
        <w:rPr>
          <w:color w:val="000000"/>
          <w:sz w:val="20"/>
          <w:szCs w:val="20"/>
        </w:rPr>
      </w:pPr>
    </w:p>
    <w:p w14:paraId="7035094C" w14:textId="77777777" w:rsidR="00EB5C72" w:rsidRPr="00576D3B" w:rsidRDefault="00EB5C72" w:rsidP="00EB5C72">
      <w:pPr>
        <w:spacing w:after="0" w:line="240" w:lineRule="auto"/>
        <w:ind w:left="600" w:right="600"/>
        <w:jc w:val="center"/>
        <w:rPr>
          <w:color w:val="000000"/>
          <w:sz w:val="20"/>
          <w:szCs w:val="20"/>
        </w:rPr>
      </w:pPr>
    </w:p>
    <w:p w14:paraId="3DB2A1C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8F4D17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314A65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A3DFE7E"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7590C06"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E2F43BB" w14:textId="77777777" w:rsidR="00EB5C72" w:rsidRPr="00576D3B" w:rsidRDefault="00EB5C72" w:rsidP="00EB5C72">
      <w:pPr>
        <w:spacing w:after="0" w:line="240" w:lineRule="auto"/>
        <w:ind w:left="600" w:right="600"/>
        <w:jc w:val="center"/>
        <w:rPr>
          <w:color w:val="000000"/>
          <w:sz w:val="20"/>
          <w:szCs w:val="20"/>
        </w:rPr>
      </w:pPr>
    </w:p>
    <w:p w14:paraId="66463905" w14:textId="77777777" w:rsidR="00EB5C72" w:rsidRPr="00576D3B" w:rsidRDefault="00EB5C72" w:rsidP="00EB5C72">
      <w:pPr>
        <w:spacing w:after="0" w:line="240" w:lineRule="auto"/>
        <w:ind w:left="600" w:right="600"/>
        <w:jc w:val="center"/>
        <w:rPr>
          <w:color w:val="000000"/>
          <w:sz w:val="20"/>
          <w:szCs w:val="20"/>
        </w:rPr>
      </w:pPr>
    </w:p>
    <w:p w14:paraId="2F0657B9" w14:textId="77777777" w:rsidR="00EB5C72" w:rsidRPr="00576D3B" w:rsidRDefault="00EB5C72" w:rsidP="00EB5C72">
      <w:pPr>
        <w:spacing w:after="0" w:line="240" w:lineRule="auto"/>
        <w:ind w:left="600" w:right="600"/>
        <w:jc w:val="center"/>
        <w:rPr>
          <w:color w:val="000000"/>
          <w:sz w:val="20"/>
          <w:szCs w:val="20"/>
        </w:rPr>
      </w:pPr>
    </w:p>
    <w:p w14:paraId="2160250F"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6" w:history="1">
        <w:r w:rsidRPr="00576D3B">
          <w:rPr>
            <w:rFonts w:eastAsia="Times New Roman"/>
            <w:color w:val="0000FF"/>
            <w:sz w:val="24"/>
            <w:u w:val="single"/>
            <w:lang w:eastAsia="en-AU"/>
          </w:rPr>
          <w:t>governmentgazettesa@sa.gov.au</w:t>
        </w:r>
      </w:hyperlink>
    </w:p>
    <w:p w14:paraId="007A638E"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7249ED6A"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7" w:history="1">
        <w:r w:rsidRPr="00576D3B">
          <w:rPr>
            <w:rFonts w:eastAsia="Times New Roman"/>
            <w:color w:val="0000FF"/>
            <w:sz w:val="24"/>
            <w:u w:val="single"/>
            <w:lang w:eastAsia="en-AU"/>
          </w:rPr>
          <w:t>www.governmentgazette.sa.gov.au</w:t>
        </w:r>
      </w:hyperlink>
    </w:p>
    <w:p w14:paraId="1925E982" w14:textId="77777777" w:rsidR="00EB5C72" w:rsidRPr="00576D3B" w:rsidRDefault="00EB5C72" w:rsidP="00EB5C72">
      <w:pPr>
        <w:spacing w:after="0" w:line="240" w:lineRule="auto"/>
        <w:ind w:left="600" w:right="600"/>
        <w:jc w:val="center"/>
        <w:rPr>
          <w:color w:val="000000"/>
          <w:sz w:val="20"/>
          <w:szCs w:val="20"/>
        </w:rPr>
      </w:pPr>
    </w:p>
    <w:p w14:paraId="5E7BD1C1" w14:textId="77777777" w:rsidR="00EB5C72" w:rsidRPr="00576D3B" w:rsidRDefault="00EB5C72" w:rsidP="00EB5C72">
      <w:pPr>
        <w:spacing w:after="0" w:line="240" w:lineRule="auto"/>
        <w:ind w:left="600" w:right="600"/>
        <w:jc w:val="center"/>
        <w:rPr>
          <w:color w:val="000000"/>
          <w:sz w:val="20"/>
          <w:szCs w:val="20"/>
        </w:rPr>
      </w:pPr>
    </w:p>
    <w:p w14:paraId="4F2AB56D" w14:textId="77777777" w:rsidR="00EB5C72" w:rsidRPr="00576D3B" w:rsidRDefault="00EB5C72" w:rsidP="00EB5C72">
      <w:pPr>
        <w:spacing w:after="0" w:line="240" w:lineRule="auto"/>
        <w:ind w:left="600" w:right="600"/>
        <w:jc w:val="center"/>
        <w:rPr>
          <w:color w:val="000000"/>
          <w:sz w:val="20"/>
          <w:szCs w:val="20"/>
        </w:rPr>
      </w:pPr>
    </w:p>
    <w:p w14:paraId="347EE80C" w14:textId="77777777" w:rsidR="00EB5C72" w:rsidRPr="00576D3B" w:rsidRDefault="00EB5C72" w:rsidP="00EB5C72">
      <w:pPr>
        <w:spacing w:after="0" w:line="240" w:lineRule="auto"/>
        <w:ind w:left="600" w:right="600"/>
        <w:jc w:val="center"/>
        <w:rPr>
          <w:color w:val="000000"/>
          <w:sz w:val="20"/>
          <w:szCs w:val="20"/>
        </w:rPr>
      </w:pPr>
    </w:p>
    <w:p w14:paraId="0398D8D9" w14:textId="77777777" w:rsidR="00EB5C72" w:rsidRDefault="00EB5C72" w:rsidP="00EB5C72">
      <w:pPr>
        <w:spacing w:after="0" w:line="240" w:lineRule="auto"/>
        <w:ind w:left="600" w:right="600"/>
        <w:jc w:val="center"/>
        <w:rPr>
          <w:color w:val="000000"/>
          <w:sz w:val="20"/>
          <w:szCs w:val="20"/>
        </w:rPr>
      </w:pPr>
    </w:p>
    <w:p w14:paraId="19C3B10F" w14:textId="77777777" w:rsidR="00EB5C72" w:rsidRDefault="00EB5C72" w:rsidP="00EB5C72">
      <w:pPr>
        <w:spacing w:after="0" w:line="240" w:lineRule="auto"/>
        <w:ind w:left="600" w:right="600"/>
        <w:jc w:val="center"/>
        <w:rPr>
          <w:color w:val="000000"/>
          <w:sz w:val="20"/>
          <w:szCs w:val="20"/>
        </w:rPr>
      </w:pPr>
    </w:p>
    <w:p w14:paraId="036C5715" w14:textId="77777777" w:rsidR="00EB5C72" w:rsidRDefault="00EB5C72" w:rsidP="00EB5C72">
      <w:pPr>
        <w:spacing w:after="0" w:line="240" w:lineRule="auto"/>
        <w:ind w:left="600" w:right="600"/>
        <w:jc w:val="center"/>
        <w:rPr>
          <w:color w:val="000000"/>
          <w:sz w:val="20"/>
          <w:szCs w:val="20"/>
        </w:rPr>
      </w:pPr>
    </w:p>
    <w:p w14:paraId="6E5570CE" w14:textId="77777777" w:rsidR="00EB5C72" w:rsidRDefault="00EB5C72" w:rsidP="00EB5C72">
      <w:pPr>
        <w:spacing w:after="0" w:line="240" w:lineRule="auto"/>
        <w:ind w:left="600" w:right="600"/>
        <w:jc w:val="center"/>
        <w:rPr>
          <w:color w:val="000000"/>
          <w:sz w:val="20"/>
          <w:szCs w:val="20"/>
        </w:rPr>
      </w:pPr>
    </w:p>
    <w:p w14:paraId="5ED5872B"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40AF7209"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25B68EF3"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Pr>
          <w:szCs w:val="17"/>
        </w:rPr>
        <w:t>C</w:t>
      </w:r>
      <w:r w:rsidRPr="00576D3B">
        <w:rPr>
          <w:szCs w:val="17"/>
        </w:rPr>
        <w:t xml:space="preserve">. </w:t>
      </w:r>
      <w:r>
        <w:rPr>
          <w:smallCaps/>
          <w:szCs w:val="17"/>
        </w:rPr>
        <w:t>McArdle</w:t>
      </w:r>
      <w:r w:rsidRPr="00576D3B">
        <w:rPr>
          <w:szCs w:val="17"/>
        </w:rPr>
        <w:t>, Government Printer, South Australia</w:t>
      </w:r>
    </w:p>
    <w:p w14:paraId="6796C549"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1E1B6686" w14:textId="77777777" w:rsidR="00EB5C72" w:rsidRDefault="00EB5C72" w:rsidP="00EB5C72">
      <w:pPr>
        <w:pStyle w:val="GG-body"/>
        <w:jc w:val="center"/>
        <w:rPr>
          <w:rFonts w:eastAsia="Calibri"/>
        </w:rPr>
      </w:pPr>
      <w:r w:rsidRPr="00576D3B">
        <w:rPr>
          <w:rFonts w:eastAsia="Calibri"/>
        </w:rPr>
        <w:t xml:space="preserve">Online publications: </w:t>
      </w:r>
      <w:hyperlink r:id="rId58" w:history="1">
        <w:r w:rsidRPr="00576D3B">
          <w:rPr>
            <w:rFonts w:eastAsia="Calibri"/>
            <w:color w:val="0000FF"/>
            <w:u w:val="single"/>
          </w:rPr>
          <w:t>www.governmentgazette.sa.gov.au</w:t>
        </w:r>
      </w:hyperlink>
    </w:p>
    <w:sectPr w:rsidR="00EB5C72" w:rsidSect="001B74B8">
      <w:headerReference w:type="even" r:id="rId59"/>
      <w:headerReference w:type="default" r:id="rId60"/>
      <w:pgSz w:w="11906" w:h="16838"/>
      <w:pgMar w:top="1673" w:right="1259" w:bottom="1134" w:left="1293" w:header="1134" w:footer="1134" w:gutter="0"/>
      <w:pgNumType w:start="694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B5A5" w14:textId="77777777" w:rsidR="001B74B8" w:rsidRDefault="001B74B8" w:rsidP="00777F88">
      <w:pPr>
        <w:spacing w:after="0" w:line="240" w:lineRule="auto"/>
      </w:pPr>
      <w:r>
        <w:separator/>
      </w:r>
    </w:p>
  </w:endnote>
  <w:endnote w:type="continuationSeparator" w:id="0">
    <w:p w14:paraId="49276737" w14:textId="77777777" w:rsidR="001B74B8" w:rsidRDefault="001B74B8"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Arial"/>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1738"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12504"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4D5E41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C9B434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3121EA">
      <w:rPr>
        <w:szCs w:val="17"/>
      </w:rPr>
      <w:t>C</w:t>
    </w:r>
    <w:r w:rsidR="00732FC9">
      <w:rPr>
        <w:szCs w:val="17"/>
      </w:rPr>
      <w:t xml:space="preserve">. </w:t>
    </w:r>
    <w:r w:rsidR="003121EA">
      <w:rPr>
        <w:smallCaps/>
        <w:szCs w:val="17"/>
      </w:rPr>
      <w:t>McArdle</w:t>
    </w:r>
    <w:r w:rsidR="0026731F" w:rsidRPr="00732A1E">
      <w:rPr>
        <w:szCs w:val="17"/>
      </w:rPr>
      <w:t xml:space="preserve">, </w:t>
    </w:r>
    <w:r w:rsidRPr="00B33677">
      <w:rPr>
        <w:szCs w:val="17"/>
      </w:rPr>
      <w:t>Government</w:t>
    </w:r>
    <w:r w:rsidRPr="00777F88">
      <w:rPr>
        <w:szCs w:val="17"/>
      </w:rPr>
      <w:t xml:space="preserve"> Printer, South Australia</w:t>
    </w:r>
  </w:p>
  <w:p w14:paraId="4B71ED17"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6CA1587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FF3C"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274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49F89A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7703C28"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57C0B3B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16BBE7A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4929C" w14:textId="77777777" w:rsidR="001B74B8" w:rsidRDefault="001B74B8" w:rsidP="00777F88">
      <w:pPr>
        <w:spacing w:after="0" w:line="240" w:lineRule="auto"/>
      </w:pPr>
      <w:r>
        <w:separator/>
      </w:r>
    </w:p>
  </w:footnote>
  <w:footnote w:type="continuationSeparator" w:id="0">
    <w:p w14:paraId="6BD40A3C" w14:textId="77777777" w:rsidR="001B74B8" w:rsidRDefault="001B74B8"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05EA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02C434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D1DB22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3D45E"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99B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BEC031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84005C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0EFE0"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E306" w14:textId="7F6DF873"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B74B8">
      <w:rPr>
        <w:rFonts w:eastAsia="Times New Roman"/>
        <w:sz w:val="21"/>
        <w:szCs w:val="21"/>
      </w:rPr>
      <w:t>87</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B74B8">
      <w:rPr>
        <w:rFonts w:eastAsia="Times New Roman"/>
        <w:sz w:val="21"/>
        <w:szCs w:val="21"/>
      </w:rPr>
      <w:t>22 December</w:t>
    </w:r>
    <w:r w:rsidR="00C9018A" w:rsidRPr="00C9018A">
      <w:rPr>
        <w:rFonts w:eastAsia="Times New Roman"/>
        <w:sz w:val="21"/>
        <w:szCs w:val="21"/>
      </w:rPr>
      <w:t xml:space="preserve"> 20</w:t>
    </w:r>
    <w:r>
      <w:rPr>
        <w:rFonts w:eastAsia="Times New Roman"/>
        <w:sz w:val="21"/>
        <w:szCs w:val="21"/>
      </w:rPr>
      <w:t>2</w:t>
    </w:r>
    <w:r w:rsidR="003121EA">
      <w:rPr>
        <w:rFonts w:eastAsia="Times New Roman"/>
        <w:sz w:val="21"/>
        <w:szCs w:val="21"/>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8C6" w14:textId="08CD1707" w:rsidR="00C25241" w:rsidRPr="00C25241" w:rsidRDefault="001B74B8" w:rsidP="00C25241">
    <w:pPr>
      <w:pBdr>
        <w:bottom w:val="single" w:sz="6" w:space="3" w:color="auto"/>
      </w:pBdr>
      <w:tabs>
        <w:tab w:val="center" w:pos="4678"/>
        <w:tab w:val="right" w:pos="9356"/>
      </w:tabs>
      <w:spacing w:after="0" w:line="240" w:lineRule="auto"/>
      <w:jc w:val="left"/>
      <w:rPr>
        <w:rFonts w:eastAsia="Times New Roman"/>
        <w:sz w:val="21"/>
        <w:szCs w:val="21"/>
      </w:rPr>
    </w:pPr>
    <w:r w:rsidRPr="001B74B8">
      <w:rPr>
        <w:rFonts w:eastAsia="Times New Roman"/>
        <w:sz w:val="21"/>
        <w:szCs w:val="21"/>
      </w:rPr>
      <w:t xml:space="preserve">22 December </w:t>
    </w:r>
    <w:r w:rsidR="00A55207" w:rsidRPr="00A55207">
      <w:rPr>
        <w:rFonts w:eastAsia="Times New Roman"/>
        <w:sz w:val="21"/>
        <w:szCs w:val="21"/>
      </w:rPr>
      <w:t>20</w:t>
    </w:r>
    <w:r w:rsidR="006A510F">
      <w:rPr>
        <w:rFonts w:eastAsia="Times New Roman"/>
        <w:sz w:val="21"/>
        <w:szCs w:val="21"/>
      </w:rPr>
      <w:t>2</w:t>
    </w:r>
    <w:r w:rsidR="003121EA">
      <w:rPr>
        <w:rFonts w:eastAsia="Times New Roman"/>
        <w:sz w:val="21"/>
        <w:szCs w:val="21"/>
      </w:rPr>
      <w:t>2</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87</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C29252F"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3267BE"/>
    <w:lvl w:ilvl="0">
      <w:numFmt w:val="decimal"/>
      <w:lvlText w:val="*"/>
      <w:lvlJc w:val="left"/>
    </w:lvl>
  </w:abstractNum>
  <w:abstractNum w:abstractNumId="1" w15:restartNumberingAfterBreak="0">
    <w:nsid w:val="00000402"/>
    <w:multiLevelType w:val="multilevel"/>
    <w:tmpl w:val="87309C3E"/>
    <w:lvl w:ilvl="0">
      <w:start w:val="1"/>
      <w:numFmt w:val="decimal"/>
      <w:lvlText w:val="%1"/>
      <w:lvlJc w:val="left"/>
      <w:pPr>
        <w:ind w:left="688" w:hanging="534"/>
      </w:pPr>
      <w:rPr>
        <w:rFonts w:ascii="Times New Roman" w:hAnsi="Times New Roman" w:cs="Times New Roman"/>
        <w:b w:val="0"/>
        <w:bCs w:val="0"/>
        <w:w w:val="102"/>
        <w:sz w:val="17"/>
        <w:szCs w:val="17"/>
      </w:rPr>
    </w:lvl>
    <w:lvl w:ilvl="1">
      <w:numFmt w:val="bullet"/>
      <w:lvlText w:val="•"/>
      <w:lvlJc w:val="left"/>
      <w:pPr>
        <w:ind w:left="1492" w:hanging="534"/>
      </w:pPr>
    </w:lvl>
    <w:lvl w:ilvl="2">
      <w:numFmt w:val="bullet"/>
      <w:lvlText w:val="•"/>
      <w:lvlJc w:val="left"/>
      <w:pPr>
        <w:ind w:left="2304" w:hanging="534"/>
      </w:pPr>
    </w:lvl>
    <w:lvl w:ilvl="3">
      <w:numFmt w:val="bullet"/>
      <w:lvlText w:val="•"/>
      <w:lvlJc w:val="left"/>
      <w:pPr>
        <w:ind w:left="3116" w:hanging="534"/>
      </w:pPr>
    </w:lvl>
    <w:lvl w:ilvl="4">
      <w:numFmt w:val="bullet"/>
      <w:lvlText w:val="•"/>
      <w:lvlJc w:val="left"/>
      <w:pPr>
        <w:ind w:left="3928" w:hanging="534"/>
      </w:pPr>
    </w:lvl>
    <w:lvl w:ilvl="5">
      <w:numFmt w:val="bullet"/>
      <w:lvlText w:val="•"/>
      <w:lvlJc w:val="left"/>
      <w:pPr>
        <w:ind w:left="4740" w:hanging="534"/>
      </w:pPr>
    </w:lvl>
    <w:lvl w:ilvl="6">
      <w:numFmt w:val="bullet"/>
      <w:lvlText w:val="•"/>
      <w:lvlJc w:val="left"/>
      <w:pPr>
        <w:ind w:left="5552" w:hanging="534"/>
      </w:pPr>
    </w:lvl>
    <w:lvl w:ilvl="7">
      <w:numFmt w:val="bullet"/>
      <w:lvlText w:val="•"/>
      <w:lvlJc w:val="left"/>
      <w:pPr>
        <w:ind w:left="6364" w:hanging="534"/>
      </w:pPr>
    </w:lvl>
    <w:lvl w:ilvl="8">
      <w:numFmt w:val="bullet"/>
      <w:lvlText w:val="•"/>
      <w:lvlJc w:val="left"/>
      <w:pPr>
        <w:ind w:left="7176" w:hanging="534"/>
      </w:pPr>
    </w:lvl>
  </w:abstractNum>
  <w:abstractNum w:abstractNumId="2" w15:restartNumberingAfterBreak="0">
    <w:nsid w:val="00351563"/>
    <w:multiLevelType w:val="hybridMultilevel"/>
    <w:tmpl w:val="4E1E5DD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B00C20"/>
    <w:multiLevelType w:val="hybridMultilevel"/>
    <w:tmpl w:val="CC207566"/>
    <w:lvl w:ilvl="0" w:tplc="ECF87894">
      <w:start w:val="1"/>
      <w:numFmt w:val="decimal"/>
      <w:lvlText w:val="(%1)"/>
      <w:lvlJc w:val="left"/>
      <w:pPr>
        <w:ind w:left="720" w:hanging="360"/>
      </w:pPr>
      <w:rPr>
        <w:rFonts w:hint="default"/>
      </w:rPr>
    </w:lvl>
    <w:lvl w:ilvl="1" w:tplc="24263238">
      <w:start w:val="1"/>
      <w:numFmt w:val="bullet"/>
      <w:lvlText w:val="o"/>
      <w:lvlJc w:val="left"/>
      <w:pPr>
        <w:ind w:left="1440" w:hanging="360"/>
      </w:pPr>
      <w:rPr>
        <w:rFonts w:ascii="Courier New" w:hAnsi="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11A675E"/>
    <w:multiLevelType w:val="hybridMultilevel"/>
    <w:tmpl w:val="888263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1345236"/>
    <w:multiLevelType w:val="hybridMultilevel"/>
    <w:tmpl w:val="590451C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3F6F14"/>
    <w:multiLevelType w:val="hybridMultilevel"/>
    <w:tmpl w:val="3DE04058"/>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06337F86"/>
    <w:multiLevelType w:val="hybridMultilevel"/>
    <w:tmpl w:val="3E3ABFCE"/>
    <w:lvl w:ilvl="0" w:tplc="91701614">
      <w:start w:val="1"/>
      <w:numFmt w:val="upperLetter"/>
      <w:lvlText w:val="%1."/>
      <w:lvlJc w:val="left"/>
      <w:pPr>
        <w:ind w:left="474" w:hanging="357"/>
      </w:pPr>
    </w:lvl>
    <w:lvl w:ilvl="1" w:tplc="0C090019">
      <w:start w:val="1"/>
      <w:numFmt w:val="lowerLetter"/>
      <w:lvlText w:val="%2."/>
      <w:lvlJc w:val="left"/>
      <w:pPr>
        <w:ind w:left="1194" w:hanging="360"/>
      </w:pPr>
    </w:lvl>
    <w:lvl w:ilvl="2" w:tplc="0C09001B">
      <w:start w:val="1"/>
      <w:numFmt w:val="lowerRoman"/>
      <w:lvlText w:val="%3."/>
      <w:lvlJc w:val="right"/>
      <w:pPr>
        <w:ind w:left="1914" w:hanging="180"/>
      </w:pPr>
    </w:lvl>
    <w:lvl w:ilvl="3" w:tplc="0C09000F">
      <w:start w:val="1"/>
      <w:numFmt w:val="decimal"/>
      <w:lvlText w:val="%4."/>
      <w:lvlJc w:val="left"/>
      <w:pPr>
        <w:ind w:left="2634" w:hanging="360"/>
      </w:pPr>
    </w:lvl>
    <w:lvl w:ilvl="4" w:tplc="0C090019">
      <w:start w:val="1"/>
      <w:numFmt w:val="lowerLetter"/>
      <w:lvlText w:val="%5."/>
      <w:lvlJc w:val="left"/>
      <w:pPr>
        <w:ind w:left="3354" w:hanging="360"/>
      </w:pPr>
    </w:lvl>
    <w:lvl w:ilvl="5" w:tplc="0C09001B">
      <w:start w:val="1"/>
      <w:numFmt w:val="lowerRoman"/>
      <w:lvlText w:val="%6."/>
      <w:lvlJc w:val="right"/>
      <w:pPr>
        <w:ind w:left="4074" w:hanging="180"/>
      </w:pPr>
    </w:lvl>
    <w:lvl w:ilvl="6" w:tplc="0C09000F">
      <w:start w:val="1"/>
      <w:numFmt w:val="decimal"/>
      <w:lvlText w:val="%7."/>
      <w:lvlJc w:val="left"/>
      <w:pPr>
        <w:ind w:left="4794" w:hanging="360"/>
      </w:pPr>
    </w:lvl>
    <w:lvl w:ilvl="7" w:tplc="0C090019">
      <w:start w:val="1"/>
      <w:numFmt w:val="lowerLetter"/>
      <w:lvlText w:val="%8."/>
      <w:lvlJc w:val="left"/>
      <w:pPr>
        <w:ind w:left="5514" w:hanging="360"/>
      </w:pPr>
    </w:lvl>
    <w:lvl w:ilvl="8" w:tplc="0C09001B">
      <w:start w:val="1"/>
      <w:numFmt w:val="lowerRoman"/>
      <w:lvlText w:val="%9."/>
      <w:lvlJc w:val="right"/>
      <w:pPr>
        <w:ind w:left="6234" w:hanging="180"/>
      </w:pPr>
    </w:lvl>
  </w:abstractNum>
  <w:abstractNum w:abstractNumId="8" w15:restartNumberingAfterBreak="0">
    <w:nsid w:val="06D005D5"/>
    <w:multiLevelType w:val="hybridMultilevel"/>
    <w:tmpl w:val="E86AC0F0"/>
    <w:lvl w:ilvl="0" w:tplc="D5A2276C">
      <w:start w:val="1"/>
      <w:numFmt w:val="bullet"/>
      <w:lvlRestart w:val="0"/>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6F0497E"/>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10" w15:restartNumberingAfterBreak="0">
    <w:nsid w:val="071A2AF2"/>
    <w:multiLevelType w:val="multilevel"/>
    <w:tmpl w:val="98D80A88"/>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436639"/>
    <w:multiLevelType w:val="hybridMultilevel"/>
    <w:tmpl w:val="459E1A14"/>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B32735"/>
    <w:multiLevelType w:val="hybridMultilevel"/>
    <w:tmpl w:val="F62A30EA"/>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CC5497"/>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5" w15:restartNumberingAfterBreak="0">
    <w:nsid w:val="0E516A16"/>
    <w:multiLevelType w:val="hybridMultilevel"/>
    <w:tmpl w:val="A6E4F4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FEE4565"/>
    <w:multiLevelType w:val="hybridMultilevel"/>
    <w:tmpl w:val="35882E50"/>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7D4234"/>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047A7D"/>
    <w:multiLevelType w:val="multilevel"/>
    <w:tmpl w:val="98D80A88"/>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1" w15:restartNumberingAfterBreak="0">
    <w:nsid w:val="12840445"/>
    <w:multiLevelType w:val="hybridMultilevel"/>
    <w:tmpl w:val="1430F7A2"/>
    <w:lvl w:ilvl="0" w:tplc="0C09000F">
      <w:start w:val="1"/>
      <w:numFmt w:val="decimal"/>
      <w:lvlText w:val="%1."/>
      <w:lvlJc w:val="left"/>
      <w:pPr>
        <w:ind w:left="2344"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2DA71A4"/>
    <w:multiLevelType w:val="hybridMultilevel"/>
    <w:tmpl w:val="1430F7A2"/>
    <w:lvl w:ilvl="0" w:tplc="FFFFFFFF">
      <w:start w:val="1"/>
      <w:numFmt w:val="decimal"/>
      <w:lvlText w:val="%1."/>
      <w:lvlJc w:val="left"/>
      <w:pPr>
        <w:ind w:left="2344"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13EF7464"/>
    <w:multiLevelType w:val="multilevel"/>
    <w:tmpl w:val="738E9CC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5" w15:restartNumberingAfterBreak="0">
    <w:nsid w:val="1688169D"/>
    <w:multiLevelType w:val="hybridMultilevel"/>
    <w:tmpl w:val="7E3A10CE"/>
    <w:lvl w:ilvl="0" w:tplc="F6BC1C90">
      <w:start w:val="1"/>
      <w:numFmt w:val="lowerRoman"/>
      <w:lvlText w:val="%1."/>
      <w:lvlJc w:val="left"/>
      <w:pPr>
        <w:ind w:left="1495"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15:restartNumberingAfterBreak="0">
    <w:nsid w:val="18604ADD"/>
    <w:multiLevelType w:val="hybridMultilevel"/>
    <w:tmpl w:val="37A28FB6"/>
    <w:lvl w:ilvl="0" w:tplc="ADA081BA">
      <w:start w:val="1"/>
      <w:numFmt w:val="lowerRoman"/>
      <w:lvlText w:val="(%1)"/>
      <w:lvlJc w:val="left"/>
      <w:pPr>
        <w:ind w:left="1187" w:hanging="720"/>
      </w:pPr>
    </w:lvl>
    <w:lvl w:ilvl="1" w:tplc="0C090019">
      <w:start w:val="1"/>
      <w:numFmt w:val="lowerLetter"/>
      <w:lvlText w:val="%2."/>
      <w:lvlJc w:val="left"/>
      <w:pPr>
        <w:ind w:left="1547" w:hanging="360"/>
      </w:pPr>
    </w:lvl>
    <w:lvl w:ilvl="2" w:tplc="0C09001B">
      <w:start w:val="1"/>
      <w:numFmt w:val="lowerRoman"/>
      <w:lvlText w:val="%3."/>
      <w:lvlJc w:val="right"/>
      <w:pPr>
        <w:ind w:left="2267" w:hanging="180"/>
      </w:pPr>
    </w:lvl>
    <w:lvl w:ilvl="3" w:tplc="0C09000F">
      <w:start w:val="1"/>
      <w:numFmt w:val="decimal"/>
      <w:lvlText w:val="%4."/>
      <w:lvlJc w:val="left"/>
      <w:pPr>
        <w:ind w:left="2987" w:hanging="360"/>
      </w:pPr>
    </w:lvl>
    <w:lvl w:ilvl="4" w:tplc="0C090019">
      <w:start w:val="1"/>
      <w:numFmt w:val="lowerLetter"/>
      <w:lvlText w:val="%5."/>
      <w:lvlJc w:val="left"/>
      <w:pPr>
        <w:ind w:left="3707" w:hanging="360"/>
      </w:pPr>
    </w:lvl>
    <w:lvl w:ilvl="5" w:tplc="0C09001B">
      <w:start w:val="1"/>
      <w:numFmt w:val="lowerRoman"/>
      <w:lvlText w:val="%6."/>
      <w:lvlJc w:val="right"/>
      <w:pPr>
        <w:ind w:left="4427" w:hanging="180"/>
      </w:pPr>
    </w:lvl>
    <w:lvl w:ilvl="6" w:tplc="0C09000F">
      <w:start w:val="1"/>
      <w:numFmt w:val="decimal"/>
      <w:lvlText w:val="%7."/>
      <w:lvlJc w:val="left"/>
      <w:pPr>
        <w:ind w:left="5147" w:hanging="360"/>
      </w:pPr>
    </w:lvl>
    <w:lvl w:ilvl="7" w:tplc="0C090019">
      <w:start w:val="1"/>
      <w:numFmt w:val="lowerLetter"/>
      <w:lvlText w:val="%8."/>
      <w:lvlJc w:val="left"/>
      <w:pPr>
        <w:ind w:left="5867" w:hanging="360"/>
      </w:pPr>
    </w:lvl>
    <w:lvl w:ilvl="8" w:tplc="0C09001B">
      <w:start w:val="1"/>
      <w:numFmt w:val="lowerRoman"/>
      <w:lvlText w:val="%9."/>
      <w:lvlJc w:val="right"/>
      <w:pPr>
        <w:ind w:left="6587" w:hanging="180"/>
      </w:pPr>
    </w:lvl>
  </w:abstractNum>
  <w:abstractNum w:abstractNumId="27" w15:restartNumberingAfterBreak="0">
    <w:nsid w:val="193377F4"/>
    <w:multiLevelType w:val="hybridMultilevel"/>
    <w:tmpl w:val="FE7EF4A2"/>
    <w:lvl w:ilvl="0" w:tplc="082CC430">
      <w:start w:val="1"/>
      <w:numFmt w:val="lowerLetter"/>
      <w:lvlText w:val="(%1)"/>
      <w:lvlJc w:val="left"/>
      <w:pPr>
        <w:ind w:left="2487" w:hanging="36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28" w15:restartNumberingAfterBreak="0">
    <w:nsid w:val="1A8F0333"/>
    <w:multiLevelType w:val="multilevel"/>
    <w:tmpl w:val="98D80A88"/>
    <w:lvl w:ilvl="0">
      <w:start w:val="1"/>
      <w:numFmt w:val="decimal"/>
      <w:lvlText w:val="%1."/>
      <w:lvlJc w:val="left"/>
      <w:pPr>
        <w:ind w:left="360" w:hanging="360"/>
      </w:p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53670F"/>
    <w:multiLevelType w:val="hybridMultilevel"/>
    <w:tmpl w:val="1E0ACD2E"/>
    <w:lvl w:ilvl="0" w:tplc="C742DF9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1C0E0535"/>
    <w:multiLevelType w:val="hybridMultilevel"/>
    <w:tmpl w:val="9A589480"/>
    <w:lvl w:ilvl="0" w:tplc="0C090001">
      <w:start w:val="1"/>
      <w:numFmt w:val="bullet"/>
      <w:lvlText w:val=""/>
      <w:lvlJc w:val="left"/>
      <w:pPr>
        <w:ind w:left="2344"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C2A28F7"/>
    <w:multiLevelType w:val="hybridMultilevel"/>
    <w:tmpl w:val="6ABE6F26"/>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F4962FA"/>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0B8746C"/>
    <w:multiLevelType w:val="hybridMultilevel"/>
    <w:tmpl w:val="CF5C9B24"/>
    <w:lvl w:ilvl="0" w:tplc="055CD37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220713BF"/>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2DE6107"/>
    <w:multiLevelType w:val="hybridMultilevel"/>
    <w:tmpl w:val="D188FA0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B8080E"/>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46023ED"/>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5A74379"/>
    <w:multiLevelType w:val="hybridMultilevel"/>
    <w:tmpl w:val="1430F7A2"/>
    <w:lvl w:ilvl="0" w:tplc="FFFFFFFF">
      <w:start w:val="1"/>
      <w:numFmt w:val="decimal"/>
      <w:lvlText w:val="%1."/>
      <w:lvlJc w:val="left"/>
      <w:pPr>
        <w:ind w:left="2344"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262755CA"/>
    <w:multiLevelType w:val="hybridMultilevel"/>
    <w:tmpl w:val="8242A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26787FE4"/>
    <w:multiLevelType w:val="hybridMultilevel"/>
    <w:tmpl w:val="3BF0B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820B68"/>
    <w:multiLevelType w:val="hybridMultilevel"/>
    <w:tmpl w:val="B0F2C794"/>
    <w:lvl w:ilvl="0" w:tplc="B6FC5418">
      <w:start w:val="1"/>
      <w:numFmt w:val="lowerLetter"/>
      <w:lvlText w:val="(%1)"/>
      <w:lvlJc w:val="left"/>
      <w:pPr>
        <w:ind w:left="683" w:hanging="360"/>
      </w:pPr>
    </w:lvl>
    <w:lvl w:ilvl="1" w:tplc="0C090019">
      <w:start w:val="1"/>
      <w:numFmt w:val="lowerLetter"/>
      <w:lvlText w:val="%2."/>
      <w:lvlJc w:val="left"/>
      <w:pPr>
        <w:ind w:left="1403" w:hanging="360"/>
      </w:pPr>
    </w:lvl>
    <w:lvl w:ilvl="2" w:tplc="0C09001B">
      <w:start w:val="1"/>
      <w:numFmt w:val="lowerRoman"/>
      <w:lvlText w:val="%3."/>
      <w:lvlJc w:val="right"/>
      <w:pPr>
        <w:ind w:left="2123" w:hanging="180"/>
      </w:pPr>
    </w:lvl>
    <w:lvl w:ilvl="3" w:tplc="0C09000F">
      <w:start w:val="1"/>
      <w:numFmt w:val="decimal"/>
      <w:lvlText w:val="%4."/>
      <w:lvlJc w:val="left"/>
      <w:pPr>
        <w:ind w:left="2843" w:hanging="360"/>
      </w:pPr>
    </w:lvl>
    <w:lvl w:ilvl="4" w:tplc="0C090019">
      <w:start w:val="1"/>
      <w:numFmt w:val="lowerLetter"/>
      <w:lvlText w:val="%5."/>
      <w:lvlJc w:val="left"/>
      <w:pPr>
        <w:ind w:left="3563" w:hanging="360"/>
      </w:pPr>
    </w:lvl>
    <w:lvl w:ilvl="5" w:tplc="0C09001B">
      <w:start w:val="1"/>
      <w:numFmt w:val="lowerRoman"/>
      <w:lvlText w:val="%6."/>
      <w:lvlJc w:val="right"/>
      <w:pPr>
        <w:ind w:left="4283" w:hanging="180"/>
      </w:pPr>
    </w:lvl>
    <w:lvl w:ilvl="6" w:tplc="0C09000F">
      <w:start w:val="1"/>
      <w:numFmt w:val="decimal"/>
      <w:lvlText w:val="%7."/>
      <w:lvlJc w:val="left"/>
      <w:pPr>
        <w:ind w:left="5003" w:hanging="360"/>
      </w:pPr>
    </w:lvl>
    <w:lvl w:ilvl="7" w:tplc="0C090019">
      <w:start w:val="1"/>
      <w:numFmt w:val="lowerLetter"/>
      <w:lvlText w:val="%8."/>
      <w:lvlJc w:val="left"/>
      <w:pPr>
        <w:ind w:left="5723" w:hanging="360"/>
      </w:pPr>
    </w:lvl>
    <w:lvl w:ilvl="8" w:tplc="0C09001B">
      <w:start w:val="1"/>
      <w:numFmt w:val="lowerRoman"/>
      <w:lvlText w:val="%9."/>
      <w:lvlJc w:val="right"/>
      <w:pPr>
        <w:ind w:left="6443" w:hanging="180"/>
      </w:pPr>
    </w:lvl>
  </w:abstractNum>
  <w:abstractNum w:abstractNumId="43" w15:restartNumberingAfterBreak="0">
    <w:nsid w:val="276B77FA"/>
    <w:multiLevelType w:val="hybridMultilevel"/>
    <w:tmpl w:val="30F0EA2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7947FB7"/>
    <w:multiLevelType w:val="hybridMultilevel"/>
    <w:tmpl w:val="2690D3AA"/>
    <w:lvl w:ilvl="0" w:tplc="8A94E9B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5" w15:restartNumberingAfterBreak="0">
    <w:nsid w:val="29684370"/>
    <w:multiLevelType w:val="hybridMultilevel"/>
    <w:tmpl w:val="C26E6B30"/>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9CC422E"/>
    <w:multiLevelType w:val="hybridMultilevel"/>
    <w:tmpl w:val="DDD0F46C"/>
    <w:lvl w:ilvl="0" w:tplc="3B56E34E">
      <w:start w:val="1"/>
      <w:numFmt w:val="lowerLetter"/>
      <w:lvlText w:val="(%1)"/>
      <w:lvlJc w:val="left"/>
      <w:pPr>
        <w:ind w:left="720" w:hanging="360"/>
      </w:pPr>
      <w:rPr>
        <w:rFonts w:cstheme="minorBid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7" w15:restartNumberingAfterBreak="0">
    <w:nsid w:val="2A1112CB"/>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AEF5064"/>
    <w:multiLevelType w:val="hybridMultilevel"/>
    <w:tmpl w:val="FE2689D0"/>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767EFC"/>
    <w:multiLevelType w:val="hybridMultilevel"/>
    <w:tmpl w:val="38324C4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C782120"/>
    <w:multiLevelType w:val="hybridMultilevel"/>
    <w:tmpl w:val="539C193A"/>
    <w:lvl w:ilvl="0" w:tplc="C38C5B94">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2D3518D2"/>
    <w:multiLevelType w:val="hybridMultilevel"/>
    <w:tmpl w:val="315C15D2"/>
    <w:lvl w:ilvl="0" w:tplc="AA14735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2"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3" w15:restartNumberingAfterBreak="0">
    <w:nsid w:val="2DF37389"/>
    <w:multiLevelType w:val="hybridMultilevel"/>
    <w:tmpl w:val="34529E24"/>
    <w:lvl w:ilvl="0" w:tplc="C4C41218">
      <w:start w:val="1"/>
      <w:numFmt w:val="lowerLetter"/>
      <w:lvlText w:val="(%1)"/>
      <w:lvlJc w:val="left"/>
      <w:pPr>
        <w:ind w:left="360" w:hanging="360"/>
      </w:pPr>
      <w:rPr>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4" w15:restartNumberingAfterBreak="0">
    <w:nsid w:val="2DFE3221"/>
    <w:multiLevelType w:val="hybridMultilevel"/>
    <w:tmpl w:val="0200084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2E7D39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EFA5753"/>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5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0DB0804"/>
    <w:multiLevelType w:val="hybridMultilevel"/>
    <w:tmpl w:val="ABFC722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59" w15:restartNumberingAfterBreak="0">
    <w:nsid w:val="30DF1372"/>
    <w:multiLevelType w:val="hybridMultilevel"/>
    <w:tmpl w:val="3DA8C57C"/>
    <w:lvl w:ilvl="0" w:tplc="B2C4A960">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1067B23"/>
    <w:multiLevelType w:val="hybridMultilevel"/>
    <w:tmpl w:val="1430F7A2"/>
    <w:lvl w:ilvl="0" w:tplc="FFFFFFFF">
      <w:start w:val="1"/>
      <w:numFmt w:val="decimal"/>
      <w:lvlText w:val="%1."/>
      <w:lvlJc w:val="left"/>
      <w:pPr>
        <w:ind w:left="2344"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33946878"/>
    <w:multiLevelType w:val="hybridMultilevel"/>
    <w:tmpl w:val="157EE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35537C96"/>
    <w:multiLevelType w:val="hybridMultilevel"/>
    <w:tmpl w:val="62CC8786"/>
    <w:lvl w:ilvl="0" w:tplc="0C090001">
      <w:start w:val="1"/>
      <w:numFmt w:val="bullet"/>
      <w:lvlText w:val=""/>
      <w:lvlJc w:val="left"/>
      <w:pPr>
        <w:ind w:left="2344"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358914BC"/>
    <w:multiLevelType w:val="hybridMultilevel"/>
    <w:tmpl w:val="0752544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6116CED"/>
    <w:multiLevelType w:val="hybridMultilevel"/>
    <w:tmpl w:val="3DC04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7184BC1"/>
    <w:multiLevelType w:val="hybridMultilevel"/>
    <w:tmpl w:val="00006F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37A7486C"/>
    <w:multiLevelType w:val="hybridMultilevel"/>
    <w:tmpl w:val="E550AFE6"/>
    <w:lvl w:ilvl="0" w:tplc="F1A04678">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67"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9605324"/>
    <w:multiLevelType w:val="hybridMultilevel"/>
    <w:tmpl w:val="B588D2DC"/>
    <w:lvl w:ilvl="0" w:tplc="C4C41218">
      <w:start w:val="1"/>
      <w:numFmt w:val="lowerLetter"/>
      <w:lvlText w:val="(%1)"/>
      <w:lvlJc w:val="left"/>
      <w:pPr>
        <w:ind w:left="720" w:hanging="360"/>
      </w:pPr>
      <w:rPr>
        <w:rFonts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A575DD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B834DD1"/>
    <w:multiLevelType w:val="hybridMultilevel"/>
    <w:tmpl w:val="3D88199C"/>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1" w15:restartNumberingAfterBreak="0">
    <w:nsid w:val="3D2E400D"/>
    <w:multiLevelType w:val="hybridMultilevel"/>
    <w:tmpl w:val="FE4AF372"/>
    <w:lvl w:ilvl="0" w:tplc="99B66F2E">
      <w:start w:val="1"/>
      <w:numFmt w:val="bullet"/>
      <w:lvlText w:val=""/>
      <w:lvlJc w:val="left"/>
      <w:pPr>
        <w:ind w:left="776" w:hanging="360"/>
      </w:pPr>
      <w:rPr>
        <w:rFonts w:ascii="Wingdings 2" w:hAnsi="Wingdings 2" w:hint="default"/>
        <w:color w:val="000000" w:themeColor="text1"/>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72"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7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4" w15:restartNumberingAfterBreak="0">
    <w:nsid w:val="3F8D547E"/>
    <w:multiLevelType w:val="hybridMultilevel"/>
    <w:tmpl w:val="91D4F522"/>
    <w:lvl w:ilvl="0" w:tplc="FFFFFFFF">
      <w:start w:val="1"/>
      <w:numFmt w:val="decimal"/>
      <w:lvlText w:val="%1."/>
      <w:lvlJc w:val="left"/>
      <w:pPr>
        <w:ind w:left="540" w:hanging="540"/>
      </w:pPr>
      <w:rPr>
        <w:rFonts w:hint="default"/>
        <w:b w:val="0"/>
        <w:color w:val="auto"/>
        <w:sz w:val="17"/>
        <w:szCs w:val="17"/>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40DF6FAC"/>
    <w:multiLevelType w:val="hybridMultilevel"/>
    <w:tmpl w:val="6CDCD274"/>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6" w15:restartNumberingAfterBreak="0">
    <w:nsid w:val="412725EA"/>
    <w:multiLevelType w:val="hybridMultilevel"/>
    <w:tmpl w:val="7D384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43166FF9"/>
    <w:multiLevelType w:val="hybridMultilevel"/>
    <w:tmpl w:val="80FE37A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442F051B"/>
    <w:multiLevelType w:val="hybridMultilevel"/>
    <w:tmpl w:val="189C865A"/>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9" w15:restartNumberingAfterBreak="0">
    <w:nsid w:val="44EA7742"/>
    <w:multiLevelType w:val="hybridMultilevel"/>
    <w:tmpl w:val="8EC82AA2"/>
    <w:lvl w:ilvl="0" w:tplc="0C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0" w15:restartNumberingAfterBreak="0">
    <w:nsid w:val="46771605"/>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48617FD3"/>
    <w:multiLevelType w:val="hybridMultilevel"/>
    <w:tmpl w:val="45ECCCC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2" w15:restartNumberingAfterBreak="0">
    <w:nsid w:val="49B30D7C"/>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83" w15:restartNumberingAfterBreak="0">
    <w:nsid w:val="4A141D0F"/>
    <w:multiLevelType w:val="hybridMultilevel"/>
    <w:tmpl w:val="7CC054BA"/>
    <w:lvl w:ilvl="0" w:tplc="0382FF50">
      <w:start w:val="1"/>
      <w:numFmt w:val="lowerRoman"/>
      <w:lvlText w:val="(%1)"/>
      <w:lvlJc w:val="left"/>
      <w:pPr>
        <w:ind w:left="1440" w:hanging="720"/>
      </w:pPr>
    </w:lvl>
    <w:lvl w:ilvl="1" w:tplc="D34A7264">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84" w15:restartNumberingAfterBreak="0">
    <w:nsid w:val="4A18411C"/>
    <w:multiLevelType w:val="hybridMultilevel"/>
    <w:tmpl w:val="3A00604A"/>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A92779B"/>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4B0A72AB"/>
    <w:multiLevelType w:val="hybridMultilevel"/>
    <w:tmpl w:val="C38439AC"/>
    <w:lvl w:ilvl="0" w:tplc="AEEAB64A">
      <w:start w:val="1"/>
      <w:numFmt w:val="lowerLetter"/>
      <w:lvlText w:val="(%1)"/>
      <w:lvlJc w:val="left"/>
      <w:pPr>
        <w:ind w:left="825" w:hanging="465"/>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7" w15:restartNumberingAfterBreak="0">
    <w:nsid w:val="4B1811C5"/>
    <w:multiLevelType w:val="hybridMultilevel"/>
    <w:tmpl w:val="86F6EE1E"/>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8" w15:restartNumberingAfterBreak="0">
    <w:nsid w:val="4BEE2B52"/>
    <w:multiLevelType w:val="hybridMultilevel"/>
    <w:tmpl w:val="C04E1BEA"/>
    <w:lvl w:ilvl="0" w:tplc="F6BC1C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4C494473"/>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C7853D8"/>
    <w:multiLevelType w:val="multilevel"/>
    <w:tmpl w:val="0E808B0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4D3E0429"/>
    <w:multiLevelType w:val="hybridMultilevel"/>
    <w:tmpl w:val="635AE6A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D7D0175"/>
    <w:multiLevelType w:val="hybridMultilevel"/>
    <w:tmpl w:val="76E6F8C2"/>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F4269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F803504"/>
    <w:multiLevelType w:val="hybridMultilevel"/>
    <w:tmpl w:val="153C19FE"/>
    <w:lvl w:ilvl="0" w:tplc="FD761F56">
      <w:start w:val="1"/>
      <w:numFmt w:val="bullet"/>
      <w:lvlText w:val=""/>
      <w:lvlJc w:val="left"/>
      <w:pPr>
        <w:ind w:left="749" w:hanging="360"/>
      </w:pPr>
      <w:rPr>
        <w:rFonts w:ascii="Wingdings 2" w:hAnsi="Wingdings 2"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95" w15:restartNumberingAfterBreak="0">
    <w:nsid w:val="50F51EF9"/>
    <w:multiLevelType w:val="hybridMultilevel"/>
    <w:tmpl w:val="C2B6311C"/>
    <w:lvl w:ilvl="0" w:tplc="53B829C4">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6" w15:restartNumberingAfterBreak="0">
    <w:nsid w:val="511C5696"/>
    <w:multiLevelType w:val="hybridMultilevel"/>
    <w:tmpl w:val="A3F2191C"/>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98" w15:restartNumberingAfterBreak="0">
    <w:nsid w:val="535A7D86"/>
    <w:multiLevelType w:val="hybridMultilevel"/>
    <w:tmpl w:val="101A2D50"/>
    <w:lvl w:ilvl="0" w:tplc="F6BC1C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3885A11"/>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100" w15:restartNumberingAfterBreak="0">
    <w:nsid w:val="53D14AD5"/>
    <w:multiLevelType w:val="hybridMultilevel"/>
    <w:tmpl w:val="6CDCD274"/>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01" w15:restartNumberingAfterBreak="0">
    <w:nsid w:val="547C6CD6"/>
    <w:multiLevelType w:val="hybridMultilevel"/>
    <w:tmpl w:val="3BF0B1E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63039DC"/>
    <w:multiLevelType w:val="hybridMultilevel"/>
    <w:tmpl w:val="E114526A"/>
    <w:lvl w:ilvl="0" w:tplc="1F7E9D10">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3" w15:restartNumberingAfterBreak="0">
    <w:nsid w:val="56362345"/>
    <w:multiLevelType w:val="hybridMultilevel"/>
    <w:tmpl w:val="A5E0F6D6"/>
    <w:lvl w:ilvl="0" w:tplc="8BD00DBA">
      <w:start w:val="1"/>
      <w:numFmt w:val="bullet"/>
      <w:lvlText w:val=""/>
      <w:lvlJc w:val="left"/>
      <w:pPr>
        <w:ind w:left="360" w:hanging="360"/>
      </w:pPr>
      <w:rPr>
        <w:rFonts w:ascii="Wingdings 2" w:hAnsi="Wingdings 2" w:hint="default"/>
        <w:color w:val="000000" w:themeColor="text1"/>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4" w15:restartNumberingAfterBreak="0">
    <w:nsid w:val="56652E46"/>
    <w:multiLevelType w:val="hybridMultilevel"/>
    <w:tmpl w:val="1430F7A2"/>
    <w:lvl w:ilvl="0" w:tplc="FFFFFFFF">
      <w:start w:val="1"/>
      <w:numFmt w:val="decimal"/>
      <w:lvlText w:val="%1."/>
      <w:lvlJc w:val="left"/>
      <w:pPr>
        <w:ind w:left="2344"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5" w15:restartNumberingAfterBreak="0">
    <w:nsid w:val="56665614"/>
    <w:multiLevelType w:val="hybridMultilevel"/>
    <w:tmpl w:val="37E4848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6" w15:restartNumberingAfterBreak="0">
    <w:nsid w:val="57A52717"/>
    <w:multiLevelType w:val="hybridMultilevel"/>
    <w:tmpl w:val="B900AA62"/>
    <w:lvl w:ilvl="0" w:tplc="FD761F56">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82D769A"/>
    <w:multiLevelType w:val="hybridMultilevel"/>
    <w:tmpl w:val="B0DC70AA"/>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8" w15:restartNumberingAfterBreak="0">
    <w:nsid w:val="58447BB0"/>
    <w:multiLevelType w:val="hybridMultilevel"/>
    <w:tmpl w:val="C2C478F6"/>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8C65FAD"/>
    <w:multiLevelType w:val="hybridMultilevel"/>
    <w:tmpl w:val="3A00604A"/>
    <w:lvl w:ilvl="0" w:tplc="F6BC1C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96D0365"/>
    <w:multiLevelType w:val="multilevel"/>
    <w:tmpl w:val="0C09001F"/>
    <w:lvl w:ilvl="0">
      <w:start w:val="1"/>
      <w:numFmt w:val="decimal"/>
      <w:lvlText w:val="%1."/>
      <w:lvlJc w:val="left"/>
      <w:pPr>
        <w:ind w:left="7306" w:hanging="360"/>
      </w:pPr>
    </w:lvl>
    <w:lvl w:ilvl="1">
      <w:start w:val="1"/>
      <w:numFmt w:val="decimal"/>
      <w:lvlText w:val="%1.%2."/>
      <w:lvlJc w:val="left"/>
      <w:pPr>
        <w:ind w:left="5611" w:hanging="432"/>
      </w:pPr>
    </w:lvl>
    <w:lvl w:ilvl="2">
      <w:start w:val="1"/>
      <w:numFmt w:val="decimal"/>
      <w:lvlText w:val="%1.%2.%3."/>
      <w:lvlJc w:val="left"/>
      <w:pPr>
        <w:ind w:left="6043" w:hanging="504"/>
      </w:pPr>
    </w:lvl>
    <w:lvl w:ilvl="3">
      <w:start w:val="1"/>
      <w:numFmt w:val="decimal"/>
      <w:lvlText w:val="%1.%2.%3.%4."/>
      <w:lvlJc w:val="left"/>
      <w:pPr>
        <w:ind w:left="6547" w:hanging="648"/>
      </w:pPr>
    </w:lvl>
    <w:lvl w:ilvl="4">
      <w:start w:val="1"/>
      <w:numFmt w:val="decimal"/>
      <w:lvlText w:val="%1.%2.%3.%4.%5."/>
      <w:lvlJc w:val="left"/>
      <w:pPr>
        <w:ind w:left="7051" w:hanging="792"/>
      </w:pPr>
    </w:lvl>
    <w:lvl w:ilvl="5">
      <w:start w:val="1"/>
      <w:numFmt w:val="decimal"/>
      <w:lvlText w:val="%1.%2.%3.%4.%5.%6."/>
      <w:lvlJc w:val="left"/>
      <w:pPr>
        <w:ind w:left="7555" w:hanging="936"/>
      </w:pPr>
    </w:lvl>
    <w:lvl w:ilvl="6">
      <w:start w:val="1"/>
      <w:numFmt w:val="decimal"/>
      <w:lvlText w:val="%1.%2.%3.%4.%5.%6.%7."/>
      <w:lvlJc w:val="left"/>
      <w:pPr>
        <w:ind w:left="8059" w:hanging="1080"/>
      </w:pPr>
    </w:lvl>
    <w:lvl w:ilvl="7">
      <w:start w:val="1"/>
      <w:numFmt w:val="decimal"/>
      <w:lvlText w:val="%1.%2.%3.%4.%5.%6.%7.%8."/>
      <w:lvlJc w:val="left"/>
      <w:pPr>
        <w:ind w:left="8563" w:hanging="1224"/>
      </w:pPr>
    </w:lvl>
    <w:lvl w:ilvl="8">
      <w:start w:val="1"/>
      <w:numFmt w:val="decimal"/>
      <w:lvlText w:val="%1.%2.%3.%4.%5.%6.%7.%8.%9."/>
      <w:lvlJc w:val="left"/>
      <w:pPr>
        <w:ind w:left="9139" w:hanging="1440"/>
      </w:pPr>
    </w:lvl>
  </w:abstractNum>
  <w:abstractNum w:abstractNumId="112" w15:restartNumberingAfterBreak="0">
    <w:nsid w:val="5AE25B9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5B60411B"/>
    <w:multiLevelType w:val="hybridMultilevel"/>
    <w:tmpl w:val="1A0A59BA"/>
    <w:lvl w:ilvl="0" w:tplc="EFBCB206">
      <w:start w:val="1"/>
      <w:numFmt w:val="lowerRoman"/>
      <w:lvlText w:val="(%1)"/>
      <w:lvlJc w:val="left"/>
      <w:pPr>
        <w:ind w:left="1043" w:hanging="720"/>
      </w:pPr>
    </w:lvl>
    <w:lvl w:ilvl="1" w:tplc="0C090019">
      <w:start w:val="1"/>
      <w:numFmt w:val="lowerLetter"/>
      <w:lvlText w:val="%2."/>
      <w:lvlJc w:val="left"/>
      <w:pPr>
        <w:ind w:left="1403" w:hanging="360"/>
      </w:pPr>
    </w:lvl>
    <w:lvl w:ilvl="2" w:tplc="0C09001B">
      <w:start w:val="1"/>
      <w:numFmt w:val="lowerRoman"/>
      <w:lvlText w:val="%3."/>
      <w:lvlJc w:val="right"/>
      <w:pPr>
        <w:ind w:left="2123" w:hanging="180"/>
      </w:pPr>
    </w:lvl>
    <w:lvl w:ilvl="3" w:tplc="0C09000F">
      <w:start w:val="1"/>
      <w:numFmt w:val="decimal"/>
      <w:lvlText w:val="%4."/>
      <w:lvlJc w:val="left"/>
      <w:pPr>
        <w:ind w:left="2843" w:hanging="360"/>
      </w:pPr>
    </w:lvl>
    <w:lvl w:ilvl="4" w:tplc="0C090019">
      <w:start w:val="1"/>
      <w:numFmt w:val="lowerLetter"/>
      <w:lvlText w:val="%5."/>
      <w:lvlJc w:val="left"/>
      <w:pPr>
        <w:ind w:left="3563" w:hanging="360"/>
      </w:pPr>
    </w:lvl>
    <w:lvl w:ilvl="5" w:tplc="0C09001B">
      <w:start w:val="1"/>
      <w:numFmt w:val="lowerRoman"/>
      <w:lvlText w:val="%6."/>
      <w:lvlJc w:val="right"/>
      <w:pPr>
        <w:ind w:left="4283" w:hanging="180"/>
      </w:pPr>
    </w:lvl>
    <w:lvl w:ilvl="6" w:tplc="0C09000F">
      <w:start w:val="1"/>
      <w:numFmt w:val="decimal"/>
      <w:lvlText w:val="%7."/>
      <w:lvlJc w:val="left"/>
      <w:pPr>
        <w:ind w:left="5003" w:hanging="360"/>
      </w:pPr>
    </w:lvl>
    <w:lvl w:ilvl="7" w:tplc="0C090019">
      <w:start w:val="1"/>
      <w:numFmt w:val="lowerLetter"/>
      <w:lvlText w:val="%8."/>
      <w:lvlJc w:val="left"/>
      <w:pPr>
        <w:ind w:left="5723" w:hanging="360"/>
      </w:pPr>
    </w:lvl>
    <w:lvl w:ilvl="8" w:tplc="0C09001B">
      <w:start w:val="1"/>
      <w:numFmt w:val="lowerRoman"/>
      <w:lvlText w:val="%9."/>
      <w:lvlJc w:val="right"/>
      <w:pPr>
        <w:ind w:left="6443" w:hanging="180"/>
      </w:pPr>
    </w:lvl>
  </w:abstractNum>
  <w:abstractNum w:abstractNumId="114" w15:restartNumberingAfterBreak="0">
    <w:nsid w:val="5CF73D31"/>
    <w:multiLevelType w:val="hybridMultilevel"/>
    <w:tmpl w:val="031489C8"/>
    <w:lvl w:ilvl="0" w:tplc="F6BC1C90">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D1A6D3C"/>
    <w:multiLevelType w:val="hybridMultilevel"/>
    <w:tmpl w:val="6EA87AC6"/>
    <w:lvl w:ilvl="0" w:tplc="A5542B30">
      <w:start w:val="1"/>
      <w:numFmt w:val="bullet"/>
      <w:lvlText w:val=""/>
      <w:lvlJc w:val="left"/>
      <w:pPr>
        <w:ind w:left="2466" w:hanging="360"/>
      </w:pPr>
      <w:rPr>
        <w:rFonts w:ascii="Symbol" w:hAnsi="Symbol" w:hint="default"/>
      </w:rPr>
    </w:lvl>
    <w:lvl w:ilvl="1" w:tplc="0C090003" w:tentative="1">
      <w:start w:val="1"/>
      <w:numFmt w:val="bullet"/>
      <w:lvlText w:val="o"/>
      <w:lvlJc w:val="left"/>
      <w:pPr>
        <w:ind w:left="3186" w:hanging="360"/>
      </w:pPr>
      <w:rPr>
        <w:rFonts w:ascii="Courier New" w:hAnsi="Courier New" w:cs="Courier New" w:hint="default"/>
      </w:rPr>
    </w:lvl>
    <w:lvl w:ilvl="2" w:tplc="0C090005" w:tentative="1">
      <w:start w:val="1"/>
      <w:numFmt w:val="bullet"/>
      <w:lvlText w:val=""/>
      <w:lvlJc w:val="left"/>
      <w:pPr>
        <w:ind w:left="3906" w:hanging="360"/>
      </w:pPr>
      <w:rPr>
        <w:rFonts w:ascii="Wingdings" w:hAnsi="Wingdings" w:hint="default"/>
      </w:rPr>
    </w:lvl>
    <w:lvl w:ilvl="3" w:tplc="0C090001" w:tentative="1">
      <w:start w:val="1"/>
      <w:numFmt w:val="bullet"/>
      <w:lvlText w:val=""/>
      <w:lvlJc w:val="left"/>
      <w:pPr>
        <w:ind w:left="4626" w:hanging="360"/>
      </w:pPr>
      <w:rPr>
        <w:rFonts w:ascii="Symbol" w:hAnsi="Symbol" w:hint="default"/>
      </w:rPr>
    </w:lvl>
    <w:lvl w:ilvl="4" w:tplc="0C090003" w:tentative="1">
      <w:start w:val="1"/>
      <w:numFmt w:val="bullet"/>
      <w:lvlText w:val="o"/>
      <w:lvlJc w:val="left"/>
      <w:pPr>
        <w:ind w:left="5346" w:hanging="360"/>
      </w:pPr>
      <w:rPr>
        <w:rFonts w:ascii="Courier New" w:hAnsi="Courier New" w:cs="Courier New" w:hint="default"/>
      </w:rPr>
    </w:lvl>
    <w:lvl w:ilvl="5" w:tplc="0C090005" w:tentative="1">
      <w:start w:val="1"/>
      <w:numFmt w:val="bullet"/>
      <w:lvlText w:val=""/>
      <w:lvlJc w:val="left"/>
      <w:pPr>
        <w:ind w:left="6066" w:hanging="360"/>
      </w:pPr>
      <w:rPr>
        <w:rFonts w:ascii="Wingdings" w:hAnsi="Wingdings" w:hint="default"/>
      </w:rPr>
    </w:lvl>
    <w:lvl w:ilvl="6" w:tplc="0C090001" w:tentative="1">
      <w:start w:val="1"/>
      <w:numFmt w:val="bullet"/>
      <w:lvlText w:val=""/>
      <w:lvlJc w:val="left"/>
      <w:pPr>
        <w:ind w:left="6786" w:hanging="360"/>
      </w:pPr>
      <w:rPr>
        <w:rFonts w:ascii="Symbol" w:hAnsi="Symbol" w:hint="default"/>
      </w:rPr>
    </w:lvl>
    <w:lvl w:ilvl="7" w:tplc="0C090003" w:tentative="1">
      <w:start w:val="1"/>
      <w:numFmt w:val="bullet"/>
      <w:lvlText w:val="o"/>
      <w:lvlJc w:val="left"/>
      <w:pPr>
        <w:ind w:left="7506" w:hanging="360"/>
      </w:pPr>
      <w:rPr>
        <w:rFonts w:ascii="Courier New" w:hAnsi="Courier New" w:cs="Courier New" w:hint="default"/>
      </w:rPr>
    </w:lvl>
    <w:lvl w:ilvl="8" w:tplc="0C090005" w:tentative="1">
      <w:start w:val="1"/>
      <w:numFmt w:val="bullet"/>
      <w:lvlText w:val=""/>
      <w:lvlJc w:val="left"/>
      <w:pPr>
        <w:ind w:left="8226" w:hanging="360"/>
      </w:pPr>
      <w:rPr>
        <w:rFonts w:ascii="Wingdings" w:hAnsi="Wingdings" w:hint="default"/>
      </w:rPr>
    </w:lvl>
  </w:abstractNum>
  <w:abstractNum w:abstractNumId="11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17" w15:restartNumberingAfterBreak="0">
    <w:nsid w:val="5DC52204"/>
    <w:multiLevelType w:val="hybridMultilevel"/>
    <w:tmpl w:val="D188FA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F6F6CA2"/>
    <w:multiLevelType w:val="hybridMultilevel"/>
    <w:tmpl w:val="9E464C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62DE1B3D"/>
    <w:multiLevelType w:val="hybridMultilevel"/>
    <w:tmpl w:val="00006F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4333264"/>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123" w15:restartNumberingAfterBreak="0">
    <w:nsid w:val="64B30497"/>
    <w:multiLevelType w:val="hybridMultilevel"/>
    <w:tmpl w:val="04301FA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75B4F97"/>
    <w:multiLevelType w:val="hybridMultilevel"/>
    <w:tmpl w:val="E9564DF2"/>
    <w:lvl w:ilvl="0" w:tplc="4C20B9F8">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5" w15:restartNumberingAfterBreak="0">
    <w:nsid w:val="68C528D1"/>
    <w:multiLevelType w:val="multilevel"/>
    <w:tmpl w:val="A48C3576"/>
    <w:lvl w:ilvl="0">
      <w:start w:val="3"/>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944280C"/>
    <w:multiLevelType w:val="hybridMultilevel"/>
    <w:tmpl w:val="5F92F32A"/>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B8B0D71"/>
    <w:multiLevelType w:val="hybridMultilevel"/>
    <w:tmpl w:val="6CDCD274"/>
    <w:lvl w:ilvl="0" w:tplc="4C20B9F8">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8"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9" w15:restartNumberingAfterBreak="0">
    <w:nsid w:val="6D5A578A"/>
    <w:multiLevelType w:val="hybridMultilevel"/>
    <w:tmpl w:val="E9564DF2"/>
    <w:lvl w:ilvl="0" w:tplc="4C20B9F8">
      <w:start w:val="1"/>
      <w:numFmt w:val="lowerLetter"/>
      <w:lvlText w:val="(%1)"/>
      <w:lvlJc w:val="left"/>
      <w:pPr>
        <w:ind w:left="400" w:hanging="360"/>
      </w:pPr>
    </w:lvl>
    <w:lvl w:ilvl="1" w:tplc="0C090019">
      <w:start w:val="1"/>
      <w:numFmt w:val="lowerLetter"/>
      <w:lvlText w:val="%2."/>
      <w:lvlJc w:val="left"/>
      <w:pPr>
        <w:ind w:left="1120" w:hanging="360"/>
      </w:pPr>
    </w:lvl>
    <w:lvl w:ilvl="2" w:tplc="0C09001B">
      <w:start w:val="1"/>
      <w:numFmt w:val="lowerRoman"/>
      <w:lvlText w:val="%3."/>
      <w:lvlJc w:val="right"/>
      <w:pPr>
        <w:ind w:left="1840" w:hanging="180"/>
      </w:pPr>
    </w:lvl>
    <w:lvl w:ilvl="3" w:tplc="0C09000F">
      <w:start w:val="1"/>
      <w:numFmt w:val="decimal"/>
      <w:lvlText w:val="%4."/>
      <w:lvlJc w:val="left"/>
      <w:pPr>
        <w:ind w:left="2560" w:hanging="360"/>
      </w:pPr>
    </w:lvl>
    <w:lvl w:ilvl="4" w:tplc="0C090019">
      <w:start w:val="1"/>
      <w:numFmt w:val="lowerLetter"/>
      <w:lvlText w:val="%5."/>
      <w:lvlJc w:val="left"/>
      <w:pPr>
        <w:ind w:left="3280" w:hanging="360"/>
      </w:pPr>
    </w:lvl>
    <w:lvl w:ilvl="5" w:tplc="0C09001B">
      <w:start w:val="1"/>
      <w:numFmt w:val="lowerRoman"/>
      <w:lvlText w:val="%6."/>
      <w:lvlJc w:val="right"/>
      <w:pPr>
        <w:ind w:left="4000" w:hanging="180"/>
      </w:pPr>
    </w:lvl>
    <w:lvl w:ilvl="6" w:tplc="0C09000F">
      <w:start w:val="1"/>
      <w:numFmt w:val="decimal"/>
      <w:lvlText w:val="%7."/>
      <w:lvlJc w:val="left"/>
      <w:pPr>
        <w:ind w:left="4720" w:hanging="360"/>
      </w:pPr>
    </w:lvl>
    <w:lvl w:ilvl="7" w:tplc="0C090019">
      <w:start w:val="1"/>
      <w:numFmt w:val="lowerLetter"/>
      <w:lvlText w:val="%8."/>
      <w:lvlJc w:val="left"/>
      <w:pPr>
        <w:ind w:left="5440" w:hanging="360"/>
      </w:pPr>
    </w:lvl>
    <w:lvl w:ilvl="8" w:tplc="0C09001B">
      <w:start w:val="1"/>
      <w:numFmt w:val="lowerRoman"/>
      <w:lvlText w:val="%9."/>
      <w:lvlJc w:val="right"/>
      <w:pPr>
        <w:ind w:left="6160" w:hanging="180"/>
      </w:pPr>
    </w:lvl>
  </w:abstractNum>
  <w:abstractNum w:abstractNumId="130" w15:restartNumberingAfterBreak="0">
    <w:nsid w:val="6FE91D1C"/>
    <w:multiLevelType w:val="hybridMultilevel"/>
    <w:tmpl w:val="F04E97C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72B843B8"/>
    <w:multiLevelType w:val="hybridMultilevel"/>
    <w:tmpl w:val="342CC2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2" w15:restartNumberingAfterBreak="0">
    <w:nsid w:val="72C95AE6"/>
    <w:multiLevelType w:val="hybridMultilevel"/>
    <w:tmpl w:val="E8BACCB4"/>
    <w:lvl w:ilvl="0" w:tplc="0C090001">
      <w:start w:val="1"/>
      <w:numFmt w:val="bullet"/>
      <w:lvlText w:val=""/>
      <w:lvlJc w:val="left"/>
      <w:pPr>
        <w:ind w:left="2344"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3" w15:restartNumberingAfterBreak="0">
    <w:nsid w:val="73C80A10"/>
    <w:multiLevelType w:val="multilevel"/>
    <w:tmpl w:val="0E808B0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73EB5AF9"/>
    <w:multiLevelType w:val="multilevel"/>
    <w:tmpl w:val="7256ED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74314424"/>
    <w:multiLevelType w:val="multilevel"/>
    <w:tmpl w:val="0C09001F"/>
    <w:lvl w:ilvl="0">
      <w:start w:val="1"/>
      <w:numFmt w:val="decimal"/>
      <w:lvlText w:val="%1."/>
      <w:lvlJc w:val="left"/>
      <w:pPr>
        <w:ind w:left="7306" w:hanging="360"/>
      </w:pPr>
    </w:lvl>
    <w:lvl w:ilvl="1">
      <w:start w:val="1"/>
      <w:numFmt w:val="decimal"/>
      <w:lvlText w:val="%1.%2."/>
      <w:lvlJc w:val="left"/>
      <w:pPr>
        <w:ind w:left="5611" w:hanging="432"/>
      </w:pPr>
    </w:lvl>
    <w:lvl w:ilvl="2">
      <w:start w:val="1"/>
      <w:numFmt w:val="decimal"/>
      <w:lvlText w:val="%1.%2.%3."/>
      <w:lvlJc w:val="left"/>
      <w:pPr>
        <w:ind w:left="6043" w:hanging="504"/>
      </w:pPr>
    </w:lvl>
    <w:lvl w:ilvl="3">
      <w:start w:val="1"/>
      <w:numFmt w:val="decimal"/>
      <w:lvlText w:val="%1.%2.%3.%4."/>
      <w:lvlJc w:val="left"/>
      <w:pPr>
        <w:ind w:left="6547" w:hanging="648"/>
      </w:pPr>
    </w:lvl>
    <w:lvl w:ilvl="4">
      <w:start w:val="1"/>
      <w:numFmt w:val="decimal"/>
      <w:lvlText w:val="%1.%2.%3.%4.%5."/>
      <w:lvlJc w:val="left"/>
      <w:pPr>
        <w:ind w:left="7051" w:hanging="792"/>
      </w:pPr>
    </w:lvl>
    <w:lvl w:ilvl="5">
      <w:start w:val="1"/>
      <w:numFmt w:val="decimal"/>
      <w:lvlText w:val="%1.%2.%3.%4.%5.%6."/>
      <w:lvlJc w:val="left"/>
      <w:pPr>
        <w:ind w:left="7555" w:hanging="936"/>
      </w:pPr>
    </w:lvl>
    <w:lvl w:ilvl="6">
      <w:start w:val="1"/>
      <w:numFmt w:val="decimal"/>
      <w:lvlText w:val="%1.%2.%3.%4.%5.%6.%7."/>
      <w:lvlJc w:val="left"/>
      <w:pPr>
        <w:ind w:left="8059" w:hanging="1080"/>
      </w:pPr>
    </w:lvl>
    <w:lvl w:ilvl="7">
      <w:start w:val="1"/>
      <w:numFmt w:val="decimal"/>
      <w:lvlText w:val="%1.%2.%3.%4.%5.%6.%7.%8."/>
      <w:lvlJc w:val="left"/>
      <w:pPr>
        <w:ind w:left="8563" w:hanging="1224"/>
      </w:pPr>
    </w:lvl>
    <w:lvl w:ilvl="8">
      <w:start w:val="1"/>
      <w:numFmt w:val="decimal"/>
      <w:lvlText w:val="%1.%2.%3.%4.%5.%6.%7.%8.%9."/>
      <w:lvlJc w:val="left"/>
      <w:pPr>
        <w:ind w:left="9139" w:hanging="1440"/>
      </w:pPr>
    </w:lvl>
  </w:abstractNum>
  <w:abstractNum w:abstractNumId="136" w15:restartNumberingAfterBreak="0">
    <w:nsid w:val="74844C7B"/>
    <w:multiLevelType w:val="multilevel"/>
    <w:tmpl w:val="0E808B0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4A937C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4C868DC"/>
    <w:multiLevelType w:val="hybridMultilevel"/>
    <w:tmpl w:val="DE60B6C6"/>
    <w:lvl w:ilvl="0" w:tplc="6290B98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6F43212"/>
    <w:multiLevelType w:val="hybridMultilevel"/>
    <w:tmpl w:val="52922EA4"/>
    <w:lvl w:ilvl="0" w:tplc="FFFFFFFF">
      <w:start w:val="1"/>
      <w:numFmt w:val="lowerLetter"/>
      <w:lvlText w:val="%1."/>
      <w:lvlJc w:val="left"/>
      <w:pPr>
        <w:ind w:left="720" w:hanging="360"/>
      </w:pPr>
      <w:rPr>
        <w:b w:val="0"/>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A916645"/>
    <w:multiLevelType w:val="hybridMultilevel"/>
    <w:tmpl w:val="0F4083A8"/>
    <w:lvl w:ilvl="0" w:tplc="0C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43" w15:restartNumberingAfterBreak="0">
    <w:nsid w:val="7D671E1E"/>
    <w:multiLevelType w:val="hybridMultilevel"/>
    <w:tmpl w:val="101A2D50"/>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D8E1359"/>
    <w:multiLevelType w:val="multilevel"/>
    <w:tmpl w:val="0E808B00"/>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EE1646D"/>
    <w:multiLevelType w:val="hybridMultilevel"/>
    <w:tmpl w:val="8818A5AC"/>
    <w:lvl w:ilvl="0" w:tplc="3632864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7" w15:restartNumberingAfterBreak="0">
    <w:nsid w:val="7F941C2F"/>
    <w:multiLevelType w:val="hybridMultilevel"/>
    <w:tmpl w:val="359ABA72"/>
    <w:lvl w:ilvl="0" w:tplc="0C090001">
      <w:start w:val="1"/>
      <w:numFmt w:val="bullet"/>
      <w:lvlText w:val=""/>
      <w:lvlJc w:val="left"/>
      <w:pPr>
        <w:ind w:left="2344"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8" w15:restartNumberingAfterBreak="0">
    <w:nsid w:val="7FD555CB"/>
    <w:multiLevelType w:val="hybridMultilevel"/>
    <w:tmpl w:val="91D4F522"/>
    <w:lvl w:ilvl="0" w:tplc="BD9694EE">
      <w:start w:val="1"/>
      <w:numFmt w:val="decimal"/>
      <w:lvlText w:val="%1."/>
      <w:lvlJc w:val="left"/>
      <w:pPr>
        <w:ind w:left="540" w:hanging="540"/>
      </w:pPr>
      <w:rPr>
        <w:rFonts w:hint="default"/>
        <w:b w:val="0"/>
        <w:color w:val="auto"/>
        <w:sz w:val="17"/>
        <w:szCs w:val="17"/>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9123579">
    <w:abstractNumId w:val="121"/>
  </w:num>
  <w:num w:numId="2" w16cid:durableId="533345528">
    <w:abstractNumId w:val="142"/>
  </w:num>
  <w:num w:numId="3" w16cid:durableId="1330908260">
    <w:abstractNumId w:val="119"/>
  </w:num>
  <w:num w:numId="4" w16cid:durableId="472061155">
    <w:abstractNumId w:val="97"/>
  </w:num>
  <w:num w:numId="5" w16cid:durableId="34432493">
    <w:abstractNumId w:val="14"/>
  </w:num>
  <w:num w:numId="6" w16cid:durableId="2085253009">
    <w:abstractNumId w:val="72"/>
  </w:num>
  <w:num w:numId="7" w16cid:durableId="1630864829">
    <w:abstractNumId w:val="116"/>
  </w:num>
  <w:num w:numId="8" w16cid:durableId="1198740854">
    <w:abstractNumId w:val="24"/>
  </w:num>
  <w:num w:numId="9" w16cid:durableId="1275593610">
    <w:abstractNumId w:val="52"/>
  </w:num>
  <w:num w:numId="10" w16cid:durableId="1983388141">
    <w:abstractNumId w:val="20"/>
  </w:num>
  <w:num w:numId="11" w16cid:durableId="1309238326">
    <w:abstractNumId w:val="146"/>
  </w:num>
  <w:num w:numId="12" w16cid:durableId="772752148">
    <w:abstractNumId w:val="73"/>
  </w:num>
  <w:num w:numId="13" w16cid:durableId="333150676">
    <w:abstractNumId w:val="57"/>
  </w:num>
  <w:num w:numId="14" w16cid:durableId="497698653">
    <w:abstractNumId w:val="139"/>
  </w:num>
  <w:num w:numId="15" w16cid:durableId="13767911">
    <w:abstractNumId w:val="148"/>
  </w:num>
  <w:num w:numId="16" w16cid:durableId="914582333">
    <w:abstractNumId w:val="1"/>
    <w:lvlOverride w:ilvl="0">
      <w:startOverride w:val="1"/>
    </w:lvlOverride>
    <w:lvlOverride w:ilvl="1"/>
    <w:lvlOverride w:ilvl="2"/>
    <w:lvlOverride w:ilvl="3"/>
    <w:lvlOverride w:ilvl="4"/>
    <w:lvlOverride w:ilvl="5"/>
    <w:lvlOverride w:ilvl="6"/>
    <w:lvlOverride w:ilvl="7"/>
    <w:lvlOverride w:ilvl="8"/>
  </w:num>
  <w:num w:numId="17" w16cid:durableId="6114745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0201882">
    <w:abstractNumId w:val="131"/>
  </w:num>
  <w:num w:numId="19" w16cid:durableId="1169826164">
    <w:abstractNumId w:val="31"/>
  </w:num>
  <w:num w:numId="20" w16cid:durableId="654990831">
    <w:abstractNumId w:val="94"/>
  </w:num>
  <w:num w:numId="21" w16cid:durableId="1607539017">
    <w:abstractNumId w:val="106"/>
  </w:num>
  <w:num w:numId="22" w16cid:durableId="796024087">
    <w:abstractNumId w:val="103"/>
  </w:num>
  <w:num w:numId="23" w16cid:durableId="22823545">
    <w:abstractNumId w:val="11"/>
  </w:num>
  <w:num w:numId="24" w16cid:durableId="1259606550">
    <w:abstractNumId w:val="12"/>
  </w:num>
  <w:num w:numId="25" w16cid:durableId="192813531">
    <w:abstractNumId w:val="50"/>
  </w:num>
  <w:num w:numId="26" w16cid:durableId="298845230">
    <w:abstractNumId w:val="71"/>
  </w:num>
  <w:num w:numId="27" w16cid:durableId="17710037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937977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37652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80418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6882060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0326966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168841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67842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50189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3068732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565342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646112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6248237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63418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80791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658907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6670902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263028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991439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3937799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136066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220518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043642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49207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74867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402563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79872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14570654">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12970491">
    <w:abstractNumId w:val="64"/>
  </w:num>
  <w:num w:numId="56" w16cid:durableId="1653757584">
    <w:abstractNumId w:val="0"/>
    <w:lvlOverride w:ilvl="0">
      <w:lvl w:ilvl="0">
        <w:start w:val="1"/>
        <w:numFmt w:val="bullet"/>
        <w:lvlText w:val=""/>
        <w:legacy w:legacy="1" w:legacySpace="0" w:legacyIndent="283"/>
        <w:lvlJc w:val="left"/>
        <w:pPr>
          <w:ind w:left="283" w:hanging="283"/>
        </w:pPr>
        <w:rPr>
          <w:rFonts w:ascii="Symbol" w:hAnsi="Symbol" w:hint="default"/>
          <w:color w:val="auto"/>
        </w:rPr>
      </w:lvl>
    </w:lvlOverride>
  </w:num>
  <w:num w:numId="57" w16cid:durableId="968433662">
    <w:abstractNumId w:val="74"/>
  </w:num>
  <w:num w:numId="58" w16cid:durableId="111826432">
    <w:abstractNumId w:val="8"/>
  </w:num>
  <w:num w:numId="59" w16cid:durableId="1967663979">
    <w:abstractNumId w:val="105"/>
  </w:num>
  <w:num w:numId="60" w16cid:durableId="62222622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63734532">
    <w:abstractNumId w:val="21"/>
  </w:num>
  <w:num w:numId="62" w16cid:durableId="852375418">
    <w:abstractNumId w:val="79"/>
  </w:num>
  <w:num w:numId="63" w16cid:durableId="23555583">
    <w:abstractNumId w:val="147"/>
  </w:num>
  <w:num w:numId="64" w16cid:durableId="426317633">
    <w:abstractNumId w:val="60"/>
  </w:num>
  <w:num w:numId="65" w16cid:durableId="1166440172">
    <w:abstractNumId w:val="30"/>
  </w:num>
  <w:num w:numId="66" w16cid:durableId="319308310">
    <w:abstractNumId w:val="95"/>
  </w:num>
  <w:num w:numId="67" w16cid:durableId="49502196">
    <w:abstractNumId w:val="15"/>
  </w:num>
  <w:num w:numId="68" w16cid:durableId="1168405424">
    <w:abstractNumId w:val="39"/>
  </w:num>
  <w:num w:numId="69" w16cid:durableId="197937796">
    <w:abstractNumId w:val="62"/>
  </w:num>
  <w:num w:numId="70" w16cid:durableId="1980500809">
    <w:abstractNumId w:val="132"/>
  </w:num>
  <w:num w:numId="71" w16cid:durableId="1814788450">
    <w:abstractNumId w:val="22"/>
  </w:num>
  <w:num w:numId="72" w16cid:durableId="1664695440">
    <w:abstractNumId w:val="104"/>
  </w:num>
  <w:num w:numId="73" w16cid:durableId="579170664">
    <w:abstractNumId w:val="111"/>
  </w:num>
  <w:num w:numId="74" w16cid:durableId="808550379">
    <w:abstractNumId w:val="61"/>
  </w:num>
  <w:num w:numId="75" w16cid:durableId="1803845047">
    <w:abstractNumId w:val="135"/>
  </w:num>
  <w:num w:numId="76" w16cid:durableId="1135029913">
    <w:abstractNumId w:val="145"/>
  </w:num>
  <w:num w:numId="77" w16cid:durableId="1032540327">
    <w:abstractNumId w:val="17"/>
  </w:num>
  <w:num w:numId="78" w16cid:durableId="1641618002">
    <w:abstractNumId w:val="128"/>
  </w:num>
  <w:num w:numId="79" w16cid:durableId="1849712915">
    <w:abstractNumId w:val="110"/>
  </w:num>
  <w:num w:numId="80" w16cid:durableId="1895041887">
    <w:abstractNumId w:val="67"/>
  </w:num>
  <w:num w:numId="81" w16cid:durableId="1941600351">
    <w:abstractNumId w:val="32"/>
  </w:num>
  <w:num w:numId="82" w16cid:durableId="604923861">
    <w:abstractNumId w:val="140"/>
  </w:num>
  <w:num w:numId="83" w16cid:durableId="1240822834">
    <w:abstractNumId w:val="40"/>
  </w:num>
  <w:num w:numId="84" w16cid:durableId="1186362756">
    <w:abstractNumId w:val="118"/>
  </w:num>
  <w:num w:numId="85" w16cid:durableId="506015527">
    <w:abstractNumId w:val="65"/>
  </w:num>
  <w:num w:numId="86" w16cid:durableId="377781295">
    <w:abstractNumId w:val="120"/>
  </w:num>
  <w:num w:numId="87" w16cid:durableId="248582217">
    <w:abstractNumId w:val="144"/>
  </w:num>
  <w:num w:numId="88" w16cid:durableId="2088768877">
    <w:abstractNumId w:val="41"/>
  </w:num>
  <w:num w:numId="89" w16cid:durableId="154147942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66267701">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555412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2219959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03283253">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665204089">
    <w:abstractNumId w:val="144"/>
    <w:lvlOverride w:ilvl="0">
      <w:startOverride w:val="5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420418358">
    <w:abstractNumId w:val="19"/>
  </w:num>
  <w:num w:numId="96" w16cid:durableId="732507683">
    <w:abstractNumId w:val="89"/>
  </w:num>
  <w:num w:numId="97" w16cid:durableId="799885936">
    <w:abstractNumId w:val="125"/>
  </w:num>
  <w:num w:numId="98" w16cid:durableId="1345716469">
    <w:abstractNumId w:val="10"/>
  </w:num>
  <w:num w:numId="99" w16cid:durableId="1113398292">
    <w:abstractNumId w:val="90"/>
  </w:num>
  <w:num w:numId="100" w16cid:durableId="1677464759">
    <w:abstractNumId w:val="28"/>
  </w:num>
  <w:num w:numId="101" w16cid:durableId="588319437">
    <w:abstractNumId w:val="58"/>
  </w:num>
  <w:num w:numId="102" w16cid:durableId="509564959">
    <w:abstractNumId w:val="27"/>
  </w:num>
  <w:num w:numId="103" w16cid:durableId="1452089401">
    <w:abstractNumId w:val="136"/>
  </w:num>
  <w:num w:numId="104" w16cid:durableId="1751660792">
    <w:abstractNumId w:val="23"/>
  </w:num>
  <w:num w:numId="105" w16cid:durableId="480272860">
    <w:abstractNumId w:val="138"/>
  </w:num>
  <w:num w:numId="106" w16cid:durableId="1873152315">
    <w:abstractNumId w:val="115"/>
  </w:num>
  <w:num w:numId="107" w16cid:durableId="1476096652">
    <w:abstractNumId w:val="138"/>
    <w:lvlOverride w:ilvl="0">
      <w:startOverride w:val="1"/>
    </w:lvlOverride>
  </w:num>
  <w:num w:numId="108" w16cid:durableId="2007006002">
    <w:abstractNumId w:val="44"/>
  </w:num>
  <w:num w:numId="109" w16cid:durableId="320427329">
    <w:abstractNumId w:val="138"/>
    <w:lvlOverride w:ilvl="0">
      <w:startOverride w:val="1"/>
    </w:lvlOverride>
  </w:num>
  <w:num w:numId="110" w16cid:durableId="1542984934">
    <w:abstractNumId w:val="76"/>
  </w:num>
  <w:num w:numId="111" w16cid:durableId="2056587986">
    <w:abstractNumId w:val="107"/>
  </w:num>
  <w:num w:numId="112" w16cid:durableId="1060789587">
    <w:abstractNumId w:val="81"/>
  </w:num>
  <w:num w:numId="113" w16cid:durableId="2081902075">
    <w:abstractNumId w:val="4"/>
  </w:num>
  <w:num w:numId="114" w16cid:durableId="1278442904">
    <w:abstractNumId w:val="133"/>
  </w:num>
  <w:num w:numId="115" w16cid:durableId="1349453714">
    <w:abstractNumId w:val="16"/>
  </w:num>
  <w:num w:numId="116" w16cid:durableId="778571935">
    <w:abstractNumId w:val="47"/>
  </w:num>
  <w:num w:numId="117" w16cid:durableId="212229434">
    <w:abstractNumId w:val="48"/>
  </w:num>
  <w:num w:numId="118" w16cid:durableId="1053238755">
    <w:abstractNumId w:val="45"/>
  </w:num>
  <w:num w:numId="119" w16cid:durableId="727387425">
    <w:abstractNumId w:val="18"/>
  </w:num>
  <w:num w:numId="120" w16cid:durableId="1344698759">
    <w:abstractNumId w:val="92"/>
  </w:num>
  <w:num w:numId="121" w16cid:durableId="793596969">
    <w:abstractNumId w:val="101"/>
  </w:num>
  <w:num w:numId="122" w16cid:durableId="1936743072">
    <w:abstractNumId w:val="123"/>
  </w:num>
  <w:num w:numId="123" w16cid:durableId="1948154848">
    <w:abstractNumId w:val="54"/>
  </w:num>
  <w:num w:numId="124" w16cid:durableId="1845434094">
    <w:abstractNumId w:val="38"/>
  </w:num>
  <w:num w:numId="125" w16cid:durableId="1414936595">
    <w:abstractNumId w:val="126"/>
  </w:num>
  <w:num w:numId="126" w16cid:durableId="1919899044">
    <w:abstractNumId w:val="112"/>
  </w:num>
  <w:num w:numId="127" w16cid:durableId="1000425413">
    <w:abstractNumId w:val="37"/>
  </w:num>
  <w:num w:numId="128" w16cid:durableId="101583420">
    <w:abstractNumId w:val="43"/>
  </w:num>
  <w:num w:numId="129" w16cid:durableId="1623419680">
    <w:abstractNumId w:val="2"/>
  </w:num>
  <w:num w:numId="130" w16cid:durableId="62223180">
    <w:abstractNumId w:val="96"/>
  </w:num>
  <w:num w:numId="131" w16cid:durableId="1844780915">
    <w:abstractNumId w:val="25"/>
  </w:num>
  <w:num w:numId="132" w16cid:durableId="924261480">
    <w:abstractNumId w:val="88"/>
  </w:num>
  <w:num w:numId="133" w16cid:durableId="2060739489">
    <w:abstractNumId w:val="114"/>
  </w:num>
  <w:num w:numId="134" w16cid:durableId="1951468714">
    <w:abstractNumId w:val="134"/>
  </w:num>
  <w:num w:numId="135" w16cid:durableId="1387411984">
    <w:abstractNumId w:val="85"/>
  </w:num>
  <w:num w:numId="136" w16cid:durableId="1432360782">
    <w:abstractNumId w:val="93"/>
  </w:num>
  <w:num w:numId="137" w16cid:durableId="318197040">
    <w:abstractNumId w:val="36"/>
  </w:num>
  <w:num w:numId="138" w16cid:durableId="2130510970">
    <w:abstractNumId w:val="63"/>
  </w:num>
  <w:num w:numId="139" w16cid:durableId="1947882761">
    <w:abstractNumId w:val="98"/>
  </w:num>
  <w:num w:numId="140" w16cid:durableId="1903372069">
    <w:abstractNumId w:val="109"/>
  </w:num>
  <w:num w:numId="141" w16cid:durableId="2134207703">
    <w:abstractNumId w:val="141"/>
  </w:num>
  <w:num w:numId="142" w16cid:durableId="805850258">
    <w:abstractNumId w:val="35"/>
  </w:num>
  <w:num w:numId="143" w16cid:durableId="698704651">
    <w:abstractNumId w:val="137"/>
  </w:num>
  <w:num w:numId="144" w16cid:durableId="336035683">
    <w:abstractNumId w:val="91"/>
  </w:num>
  <w:num w:numId="145" w16cid:durableId="2046058174">
    <w:abstractNumId w:val="13"/>
  </w:num>
  <w:num w:numId="146" w16cid:durableId="775061199">
    <w:abstractNumId w:val="143"/>
  </w:num>
  <w:num w:numId="147" w16cid:durableId="248732450">
    <w:abstractNumId w:val="84"/>
  </w:num>
  <w:num w:numId="148" w16cid:durableId="1856378154">
    <w:abstractNumId w:val="69"/>
  </w:num>
  <w:num w:numId="149" w16cid:durableId="669255603">
    <w:abstractNumId w:val="130"/>
  </w:num>
  <w:num w:numId="150" w16cid:durableId="2118594453">
    <w:abstractNumId w:val="5"/>
  </w:num>
  <w:num w:numId="151" w16cid:durableId="1872184371">
    <w:abstractNumId w:val="3"/>
  </w:num>
  <w:num w:numId="152" w16cid:durableId="1276906802">
    <w:abstractNumId w:val="33"/>
  </w:num>
  <w:num w:numId="153" w16cid:durableId="552809276">
    <w:abstractNumId w:val="117"/>
  </w:num>
  <w:num w:numId="154" w16cid:durableId="227037042">
    <w:abstractNumId w:val="55"/>
  </w:num>
  <w:num w:numId="155" w16cid:durableId="492262139">
    <w:abstractNumId w:val="77"/>
  </w:num>
  <w:num w:numId="156" w16cid:durableId="756050136">
    <w:abstractNumId w:val="108"/>
  </w:num>
  <w:num w:numId="157" w16cid:durableId="1663045356">
    <w:abstractNumId w:val="49"/>
  </w:num>
  <w:num w:numId="158" w16cid:durableId="47144702">
    <w:abstractNumId w:val="80"/>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B8"/>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D6664"/>
    <w:rsid w:val="000E332A"/>
    <w:rsid w:val="000E655C"/>
    <w:rsid w:val="000F0B45"/>
    <w:rsid w:val="000F2CEA"/>
    <w:rsid w:val="00104BC5"/>
    <w:rsid w:val="00110167"/>
    <w:rsid w:val="001169F7"/>
    <w:rsid w:val="00116F04"/>
    <w:rsid w:val="00121D2F"/>
    <w:rsid w:val="00123302"/>
    <w:rsid w:val="0012344D"/>
    <w:rsid w:val="0012772C"/>
    <w:rsid w:val="00133D99"/>
    <w:rsid w:val="00147592"/>
    <w:rsid w:val="00153708"/>
    <w:rsid w:val="001572AD"/>
    <w:rsid w:val="001576DB"/>
    <w:rsid w:val="00160CDB"/>
    <w:rsid w:val="0016463B"/>
    <w:rsid w:val="001707AB"/>
    <w:rsid w:val="0018240B"/>
    <w:rsid w:val="00183633"/>
    <w:rsid w:val="001A6981"/>
    <w:rsid w:val="001A7A85"/>
    <w:rsid w:val="001B2310"/>
    <w:rsid w:val="001B7138"/>
    <w:rsid w:val="001B74B8"/>
    <w:rsid w:val="001B79A6"/>
    <w:rsid w:val="001C09DA"/>
    <w:rsid w:val="001D5A30"/>
    <w:rsid w:val="001E29AE"/>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F5751"/>
    <w:rsid w:val="00304833"/>
    <w:rsid w:val="003121EA"/>
    <w:rsid w:val="00314651"/>
    <w:rsid w:val="00322D71"/>
    <w:rsid w:val="0034074D"/>
    <w:rsid w:val="0035143A"/>
    <w:rsid w:val="0035604B"/>
    <w:rsid w:val="00362C85"/>
    <w:rsid w:val="00372CA3"/>
    <w:rsid w:val="00375085"/>
    <w:rsid w:val="00376590"/>
    <w:rsid w:val="00380942"/>
    <w:rsid w:val="00384F68"/>
    <w:rsid w:val="00386A66"/>
    <w:rsid w:val="00392842"/>
    <w:rsid w:val="00394510"/>
    <w:rsid w:val="00394788"/>
    <w:rsid w:val="003967FE"/>
    <w:rsid w:val="003A362B"/>
    <w:rsid w:val="003B43DE"/>
    <w:rsid w:val="003C2BF7"/>
    <w:rsid w:val="003D2332"/>
    <w:rsid w:val="003D5923"/>
    <w:rsid w:val="003E016D"/>
    <w:rsid w:val="003E0181"/>
    <w:rsid w:val="003E2F5F"/>
    <w:rsid w:val="003E3565"/>
    <w:rsid w:val="003F4643"/>
    <w:rsid w:val="004120A4"/>
    <w:rsid w:val="0041701B"/>
    <w:rsid w:val="00421804"/>
    <w:rsid w:val="0043387B"/>
    <w:rsid w:val="00435ECE"/>
    <w:rsid w:val="00441E8D"/>
    <w:rsid w:val="004530F1"/>
    <w:rsid w:val="004535E8"/>
    <w:rsid w:val="00475212"/>
    <w:rsid w:val="00480FA5"/>
    <w:rsid w:val="004872C1"/>
    <w:rsid w:val="00487DCB"/>
    <w:rsid w:val="004A1361"/>
    <w:rsid w:val="004A5341"/>
    <w:rsid w:val="004B1B9B"/>
    <w:rsid w:val="004B39A1"/>
    <w:rsid w:val="004C06D5"/>
    <w:rsid w:val="004C1538"/>
    <w:rsid w:val="004C3299"/>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67B0D"/>
    <w:rsid w:val="00571552"/>
    <w:rsid w:val="00573848"/>
    <w:rsid w:val="005956F0"/>
    <w:rsid w:val="005A3A1B"/>
    <w:rsid w:val="005A69A9"/>
    <w:rsid w:val="005B4E55"/>
    <w:rsid w:val="005B69B3"/>
    <w:rsid w:val="005C6C9D"/>
    <w:rsid w:val="005D24AC"/>
    <w:rsid w:val="005E7D95"/>
    <w:rsid w:val="005F4618"/>
    <w:rsid w:val="0060264D"/>
    <w:rsid w:val="00602B9D"/>
    <w:rsid w:val="00612978"/>
    <w:rsid w:val="00615806"/>
    <w:rsid w:val="00622654"/>
    <w:rsid w:val="00623058"/>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43829"/>
    <w:rsid w:val="0075022D"/>
    <w:rsid w:val="0076638C"/>
    <w:rsid w:val="00777F88"/>
    <w:rsid w:val="007850FA"/>
    <w:rsid w:val="0079069D"/>
    <w:rsid w:val="007A120B"/>
    <w:rsid w:val="007A37F9"/>
    <w:rsid w:val="007A4399"/>
    <w:rsid w:val="007B4546"/>
    <w:rsid w:val="007C3E7B"/>
    <w:rsid w:val="007E5D21"/>
    <w:rsid w:val="007F1191"/>
    <w:rsid w:val="007F7570"/>
    <w:rsid w:val="0080019C"/>
    <w:rsid w:val="008008DD"/>
    <w:rsid w:val="00802077"/>
    <w:rsid w:val="00822107"/>
    <w:rsid w:val="00822145"/>
    <w:rsid w:val="008226D4"/>
    <w:rsid w:val="008250FE"/>
    <w:rsid w:val="00831BDE"/>
    <w:rsid w:val="00854962"/>
    <w:rsid w:val="00861BD1"/>
    <w:rsid w:val="00867EF2"/>
    <w:rsid w:val="0087395E"/>
    <w:rsid w:val="00883CE4"/>
    <w:rsid w:val="00891067"/>
    <w:rsid w:val="008A405A"/>
    <w:rsid w:val="008D0F2D"/>
    <w:rsid w:val="008E4F1E"/>
    <w:rsid w:val="00901E82"/>
    <w:rsid w:val="00902C46"/>
    <w:rsid w:val="0090520A"/>
    <w:rsid w:val="00914649"/>
    <w:rsid w:val="00920880"/>
    <w:rsid w:val="00920FFF"/>
    <w:rsid w:val="00921240"/>
    <w:rsid w:val="0093079E"/>
    <w:rsid w:val="00947809"/>
    <w:rsid w:val="00955694"/>
    <w:rsid w:val="009562D8"/>
    <w:rsid w:val="00962B7D"/>
    <w:rsid w:val="00964B4D"/>
    <w:rsid w:val="00965F17"/>
    <w:rsid w:val="009750C8"/>
    <w:rsid w:val="00977C9F"/>
    <w:rsid w:val="00985AEE"/>
    <w:rsid w:val="009A6661"/>
    <w:rsid w:val="009B29CF"/>
    <w:rsid w:val="009B2C75"/>
    <w:rsid w:val="009B6FFD"/>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80A66"/>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CD7E9E"/>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92BE0"/>
    <w:rsid w:val="00DA08BE"/>
    <w:rsid w:val="00DA30CF"/>
    <w:rsid w:val="00DA6921"/>
    <w:rsid w:val="00DB5A8F"/>
    <w:rsid w:val="00DB6A8B"/>
    <w:rsid w:val="00DC2219"/>
    <w:rsid w:val="00DC7AC3"/>
    <w:rsid w:val="00DD670D"/>
    <w:rsid w:val="00DE347D"/>
    <w:rsid w:val="00DF632D"/>
    <w:rsid w:val="00DF7C60"/>
    <w:rsid w:val="00E21999"/>
    <w:rsid w:val="00E222C6"/>
    <w:rsid w:val="00E27CBD"/>
    <w:rsid w:val="00E35940"/>
    <w:rsid w:val="00E4308C"/>
    <w:rsid w:val="00E50B26"/>
    <w:rsid w:val="00E519D3"/>
    <w:rsid w:val="00E525DE"/>
    <w:rsid w:val="00E57D4E"/>
    <w:rsid w:val="00E60854"/>
    <w:rsid w:val="00E663DF"/>
    <w:rsid w:val="00E900FE"/>
    <w:rsid w:val="00E92649"/>
    <w:rsid w:val="00E95550"/>
    <w:rsid w:val="00EA2CCE"/>
    <w:rsid w:val="00EB4136"/>
    <w:rsid w:val="00EB4F41"/>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799E6B"/>
  <w15:chartTrackingRefBased/>
  <w15:docId w15:val="{13616513-A4FB-40DB-A740-9ADDB280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8"/>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numbering" w:customStyle="1" w:styleId="NoList2">
    <w:name w:val="No List2"/>
    <w:next w:val="NoList"/>
    <w:uiPriority w:val="99"/>
    <w:semiHidden/>
    <w:unhideWhenUsed/>
    <w:rsid w:val="00DF7C60"/>
  </w:style>
  <w:style w:type="table" w:styleId="TableGrid">
    <w:name w:val="Table Grid"/>
    <w:basedOn w:val="TableNormal"/>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DF7C60"/>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DF7C60"/>
    <w:rPr>
      <w:color w:val="800080"/>
      <w:u w:val="single"/>
    </w:rPr>
  </w:style>
  <w:style w:type="paragraph" w:customStyle="1" w:styleId="Number7">
    <w:name w:val="Number 7"/>
    <w:basedOn w:val="Heading7"/>
    <w:rsid w:val="00DF7C60"/>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DF7C60"/>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DF7C60"/>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DF7C60"/>
    <w:pPr>
      <w:keepLines w:val="0"/>
      <w:numPr>
        <w:ilvl w:val="2"/>
      </w:numPr>
      <w:tabs>
        <w:tab w:val="num" w:pos="2127"/>
      </w:tabs>
      <w:autoSpaceDE/>
      <w:autoSpaceDN/>
      <w:adjustRightInd/>
      <w:spacing w:before="0" w:after="240" w:line="170" w:lineRule="exact"/>
      <w:ind w:left="2127" w:hanging="851"/>
      <w:outlineLvl w:val="9"/>
    </w:pPr>
    <w:rPr>
      <w:rFonts w:eastAsia="Times New Roman"/>
      <w:b w:val="0"/>
      <w:bCs w:val="0"/>
      <w:color w:val="auto"/>
      <w:sz w:val="17"/>
      <w:szCs w:val="20"/>
    </w:rPr>
  </w:style>
  <w:style w:type="paragraph" w:customStyle="1" w:styleId="Number4">
    <w:name w:val="Number 4"/>
    <w:basedOn w:val="Heading4"/>
    <w:rsid w:val="00DF7C60"/>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DF7C60"/>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DF7C60"/>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DF7C60"/>
    <w:pPr>
      <w:numPr>
        <w:numId w:val="5"/>
      </w:numPr>
      <w:spacing w:after="240"/>
    </w:pPr>
    <w:rPr>
      <w:rFonts w:eastAsia="Times New Roman"/>
      <w:szCs w:val="20"/>
    </w:rPr>
  </w:style>
  <w:style w:type="paragraph" w:customStyle="1" w:styleId="Level2">
    <w:name w:val="Level 2"/>
    <w:basedOn w:val="Normal"/>
    <w:rsid w:val="00DF7C60"/>
    <w:pPr>
      <w:spacing w:after="240"/>
      <w:ind w:left="1276"/>
    </w:pPr>
    <w:rPr>
      <w:rFonts w:eastAsia="Times New Roman"/>
      <w:szCs w:val="20"/>
    </w:rPr>
  </w:style>
  <w:style w:type="paragraph" w:customStyle="1" w:styleId="Level3">
    <w:name w:val="Level 3"/>
    <w:basedOn w:val="Normal"/>
    <w:rsid w:val="00DF7C60"/>
    <w:pPr>
      <w:tabs>
        <w:tab w:val="left" w:pos="2127"/>
      </w:tabs>
      <w:spacing w:after="240"/>
      <w:ind w:left="2127"/>
    </w:pPr>
    <w:rPr>
      <w:rFonts w:eastAsia="Times New Roman"/>
      <w:szCs w:val="20"/>
    </w:rPr>
  </w:style>
  <w:style w:type="paragraph" w:customStyle="1" w:styleId="Level1">
    <w:name w:val="Level 1"/>
    <w:basedOn w:val="Normal"/>
    <w:rsid w:val="00DF7C60"/>
    <w:pPr>
      <w:spacing w:after="240"/>
      <w:ind w:left="567"/>
    </w:pPr>
    <w:rPr>
      <w:rFonts w:eastAsia="Times New Roman"/>
      <w:szCs w:val="20"/>
    </w:rPr>
  </w:style>
  <w:style w:type="paragraph" w:styleId="BodyTextIndent">
    <w:name w:val="Body Text Indent"/>
    <w:basedOn w:val="Normal"/>
    <w:link w:val="BodyTextIndentChar"/>
    <w:rsid w:val="00DF7C60"/>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DF7C60"/>
    <w:rPr>
      <w:rFonts w:ascii="CG Times (W1)" w:eastAsia="Times New Roman" w:hAnsi="CG Times (W1)"/>
      <w:i/>
      <w:sz w:val="17"/>
      <w:lang w:eastAsia="en-US"/>
    </w:rPr>
  </w:style>
  <w:style w:type="paragraph" w:styleId="BodyTextIndent2">
    <w:name w:val="Body Text Indent 2"/>
    <w:basedOn w:val="Normal"/>
    <w:link w:val="BodyTextIndent2Char"/>
    <w:rsid w:val="00DF7C60"/>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DF7C60"/>
    <w:rPr>
      <w:rFonts w:ascii="CG Times (W1)" w:eastAsia="Times New Roman" w:hAnsi="CG Times (W1)"/>
      <w:i/>
      <w:iCs/>
      <w:sz w:val="17"/>
      <w:lang w:eastAsia="en-US"/>
    </w:rPr>
  </w:style>
  <w:style w:type="paragraph" w:customStyle="1" w:styleId="ScheduleAppendix">
    <w:name w:val="Schedule/Appendix"/>
    <w:basedOn w:val="Normal"/>
    <w:rsid w:val="00DF7C60"/>
    <w:pPr>
      <w:spacing w:after="240"/>
      <w:jc w:val="center"/>
    </w:pPr>
    <w:rPr>
      <w:rFonts w:eastAsia="Times New Roman"/>
      <w:b/>
      <w:caps/>
      <w:szCs w:val="20"/>
    </w:rPr>
  </w:style>
  <w:style w:type="paragraph" w:customStyle="1" w:styleId="GSAPaperBullet1">
    <w:name w:val="GSAPaperBullet1"/>
    <w:basedOn w:val="GSAPaperStd"/>
    <w:rsid w:val="00DF7C60"/>
    <w:pPr>
      <w:numPr>
        <w:numId w:val="6"/>
      </w:numPr>
      <w:tabs>
        <w:tab w:val="clear" w:pos="360"/>
        <w:tab w:val="left" w:pos="936"/>
      </w:tabs>
      <w:spacing w:before="0" w:line="240" w:lineRule="auto"/>
      <w:ind w:left="936"/>
    </w:pPr>
  </w:style>
  <w:style w:type="paragraph" w:customStyle="1" w:styleId="GSAPaperStd">
    <w:name w:val="GSAPaperStd"/>
    <w:basedOn w:val="GSAPaperCore"/>
    <w:rsid w:val="00DF7C60"/>
    <w:pPr>
      <w:spacing w:before="120" w:after="120"/>
      <w:ind w:left="576" w:hanging="576"/>
    </w:pPr>
  </w:style>
  <w:style w:type="paragraph" w:customStyle="1" w:styleId="GSAPaperCore">
    <w:name w:val="GSAPaperCore"/>
    <w:rsid w:val="00DF7C60"/>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DF7C60"/>
    <w:pPr>
      <w:numPr>
        <w:numId w:val="9"/>
      </w:numPr>
      <w:tabs>
        <w:tab w:val="clear" w:pos="360"/>
        <w:tab w:val="left" w:pos="936"/>
      </w:tabs>
      <w:spacing w:before="0"/>
      <w:ind w:left="936"/>
    </w:pPr>
  </w:style>
  <w:style w:type="paragraph" w:customStyle="1" w:styleId="GSALegExMemMain">
    <w:name w:val="GSALegExMemMain"/>
    <w:basedOn w:val="GSALegText"/>
    <w:rsid w:val="00DF7C60"/>
    <w:pPr>
      <w:spacing w:before="120" w:after="120"/>
      <w:ind w:left="576" w:hanging="576"/>
    </w:pPr>
  </w:style>
  <w:style w:type="paragraph" w:customStyle="1" w:styleId="GSALegText">
    <w:name w:val="GSALegText"/>
    <w:rsid w:val="00DF7C60"/>
    <w:rPr>
      <w:rFonts w:ascii="Times New Roman" w:eastAsia="Times New Roman" w:hAnsi="Times New Roman"/>
      <w:noProof/>
      <w:sz w:val="24"/>
      <w:lang w:eastAsia="en-US"/>
    </w:rPr>
  </w:style>
  <w:style w:type="paragraph" w:customStyle="1" w:styleId="GSAActionBullet1">
    <w:name w:val="GSAActionBullet1"/>
    <w:basedOn w:val="GSAActionDeadline"/>
    <w:rsid w:val="00DF7C60"/>
    <w:pPr>
      <w:numPr>
        <w:numId w:val="7"/>
      </w:numPr>
    </w:pPr>
  </w:style>
  <w:style w:type="paragraph" w:customStyle="1" w:styleId="GSAActionDeadline">
    <w:name w:val="GSAActionDeadline"/>
    <w:basedOn w:val="GSAActionCore"/>
    <w:rsid w:val="00DF7C60"/>
    <w:pPr>
      <w:spacing w:after="20"/>
    </w:pPr>
  </w:style>
  <w:style w:type="paragraph" w:customStyle="1" w:styleId="GSAActionCore">
    <w:name w:val="GSAActionCore"/>
    <w:rsid w:val="00DF7C60"/>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DF7C60"/>
    <w:pPr>
      <w:numPr>
        <w:numId w:val="8"/>
      </w:numPr>
      <w:tabs>
        <w:tab w:val="clear" w:pos="360"/>
        <w:tab w:val="num" w:pos="1296"/>
      </w:tabs>
      <w:ind w:left="1296"/>
    </w:pPr>
  </w:style>
  <w:style w:type="paragraph" w:customStyle="1" w:styleId="GSAMinuterBullet1">
    <w:name w:val="GSAMinuterBullet1"/>
    <w:basedOn w:val="GSAMinuteStd"/>
    <w:rsid w:val="00DF7C60"/>
    <w:pPr>
      <w:tabs>
        <w:tab w:val="left" w:pos="936"/>
      </w:tabs>
      <w:spacing w:before="0"/>
      <w:ind w:left="0"/>
    </w:pPr>
  </w:style>
  <w:style w:type="paragraph" w:customStyle="1" w:styleId="GSAMinuteStd">
    <w:name w:val="GSAMinuteStd"/>
    <w:basedOn w:val="GSAMinuteCore"/>
    <w:rsid w:val="00DF7C60"/>
    <w:pPr>
      <w:spacing w:before="120" w:after="120"/>
      <w:ind w:left="576"/>
    </w:pPr>
  </w:style>
  <w:style w:type="paragraph" w:customStyle="1" w:styleId="GSAMinuteCore">
    <w:name w:val="GSAMinuteCore"/>
    <w:rsid w:val="00DF7C60"/>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DF7C60"/>
    <w:pPr>
      <w:numPr>
        <w:numId w:val="10"/>
      </w:numPr>
      <w:ind w:left="720"/>
    </w:pPr>
  </w:style>
  <w:style w:type="paragraph" w:customStyle="1" w:styleId="LetterBullet1">
    <w:name w:val="Letter Bullet1"/>
    <w:basedOn w:val="LetterStandard"/>
    <w:rsid w:val="00DF7C60"/>
    <w:pPr>
      <w:numPr>
        <w:numId w:val="4"/>
      </w:numPr>
      <w:spacing w:before="0"/>
    </w:pPr>
  </w:style>
  <w:style w:type="paragraph" w:customStyle="1" w:styleId="LetterStandard">
    <w:name w:val="Letter Standard"/>
    <w:rsid w:val="00DF7C60"/>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DF7C60"/>
    <w:pPr>
      <w:numPr>
        <w:numId w:val="11"/>
      </w:numPr>
      <w:spacing w:before="40"/>
    </w:pPr>
  </w:style>
  <w:style w:type="paragraph" w:customStyle="1" w:styleId="ARText1">
    <w:name w:val="ARText1"/>
    <w:basedOn w:val="ARBase"/>
    <w:rsid w:val="00DF7C60"/>
    <w:pPr>
      <w:spacing w:before="80" w:after="80"/>
      <w:ind w:left="720"/>
      <w:jc w:val="both"/>
    </w:pPr>
  </w:style>
  <w:style w:type="paragraph" w:customStyle="1" w:styleId="ARBase">
    <w:name w:val="ARBase"/>
    <w:rsid w:val="00DF7C60"/>
    <w:pPr>
      <w:spacing w:line="245" w:lineRule="auto"/>
    </w:pPr>
    <w:rPr>
      <w:rFonts w:ascii="Times New Roman" w:eastAsia="Times New Roman" w:hAnsi="Times New Roman"/>
      <w:sz w:val="24"/>
      <w:lang w:eastAsia="en-US"/>
    </w:rPr>
  </w:style>
  <w:style w:type="paragraph" w:styleId="ListBullet">
    <w:name w:val="List Bullet"/>
    <w:basedOn w:val="Normal"/>
    <w:autoRedefine/>
    <w:rsid w:val="00DF7C60"/>
    <w:pPr>
      <w:tabs>
        <w:tab w:val="num" w:pos="360"/>
      </w:tabs>
      <w:ind w:left="360" w:hanging="360"/>
    </w:pPr>
    <w:rPr>
      <w:rFonts w:eastAsia="Times New Roman"/>
      <w:szCs w:val="20"/>
    </w:rPr>
  </w:style>
  <w:style w:type="paragraph" w:styleId="ListBullet2">
    <w:name w:val="List Bullet 2"/>
    <w:basedOn w:val="Normal"/>
    <w:autoRedefine/>
    <w:rsid w:val="00DF7C60"/>
    <w:pPr>
      <w:tabs>
        <w:tab w:val="num" w:pos="643"/>
      </w:tabs>
      <w:ind w:left="643" w:hanging="360"/>
    </w:pPr>
    <w:rPr>
      <w:rFonts w:eastAsia="Times New Roman"/>
      <w:szCs w:val="20"/>
    </w:rPr>
  </w:style>
  <w:style w:type="paragraph" w:styleId="ListBullet3">
    <w:name w:val="List Bullet 3"/>
    <w:basedOn w:val="Normal"/>
    <w:autoRedefine/>
    <w:rsid w:val="00DF7C60"/>
    <w:pPr>
      <w:tabs>
        <w:tab w:val="num" w:pos="1080"/>
      </w:tabs>
      <w:ind w:left="1080" w:hanging="360"/>
    </w:pPr>
    <w:rPr>
      <w:rFonts w:eastAsia="Times New Roman"/>
      <w:szCs w:val="20"/>
    </w:rPr>
  </w:style>
  <w:style w:type="paragraph" w:styleId="ListBullet4">
    <w:name w:val="List Bullet 4"/>
    <w:basedOn w:val="Normal"/>
    <w:autoRedefine/>
    <w:rsid w:val="00DF7C60"/>
    <w:pPr>
      <w:tabs>
        <w:tab w:val="num" w:pos="1440"/>
      </w:tabs>
      <w:ind w:left="1440" w:hanging="360"/>
    </w:pPr>
    <w:rPr>
      <w:rFonts w:eastAsia="Times New Roman"/>
      <w:szCs w:val="20"/>
    </w:rPr>
  </w:style>
  <w:style w:type="paragraph" w:styleId="ListBullet5">
    <w:name w:val="List Bullet 5"/>
    <w:basedOn w:val="Normal"/>
    <w:autoRedefine/>
    <w:rsid w:val="00DF7C60"/>
    <w:pPr>
      <w:tabs>
        <w:tab w:val="num" w:pos="1492"/>
      </w:tabs>
      <w:ind w:left="1492" w:hanging="360"/>
    </w:pPr>
    <w:rPr>
      <w:rFonts w:eastAsia="Times New Roman"/>
      <w:szCs w:val="20"/>
    </w:rPr>
  </w:style>
  <w:style w:type="paragraph" w:styleId="ListNumber">
    <w:name w:val="List Number"/>
    <w:basedOn w:val="Normal"/>
    <w:rsid w:val="00DF7C60"/>
    <w:pPr>
      <w:tabs>
        <w:tab w:val="num" w:pos="360"/>
      </w:tabs>
      <w:ind w:left="360" w:hanging="360"/>
    </w:pPr>
    <w:rPr>
      <w:rFonts w:eastAsia="Times New Roman"/>
      <w:szCs w:val="20"/>
    </w:rPr>
  </w:style>
  <w:style w:type="paragraph" w:styleId="ListNumber2">
    <w:name w:val="List Number 2"/>
    <w:basedOn w:val="Normal"/>
    <w:rsid w:val="00DF7C60"/>
    <w:pPr>
      <w:tabs>
        <w:tab w:val="num" w:pos="643"/>
      </w:tabs>
      <w:ind w:left="643" w:hanging="360"/>
    </w:pPr>
    <w:rPr>
      <w:rFonts w:eastAsia="Times New Roman"/>
      <w:szCs w:val="20"/>
    </w:rPr>
  </w:style>
  <w:style w:type="paragraph" w:styleId="ListNumber3">
    <w:name w:val="List Number 3"/>
    <w:basedOn w:val="Normal"/>
    <w:rsid w:val="00DF7C60"/>
    <w:pPr>
      <w:tabs>
        <w:tab w:val="num" w:pos="1080"/>
      </w:tabs>
      <w:ind w:left="1080" w:hanging="360"/>
    </w:pPr>
    <w:rPr>
      <w:rFonts w:eastAsia="Times New Roman"/>
      <w:szCs w:val="20"/>
    </w:rPr>
  </w:style>
  <w:style w:type="paragraph" w:styleId="ListNumber4">
    <w:name w:val="List Number 4"/>
    <w:basedOn w:val="Normal"/>
    <w:rsid w:val="00DF7C60"/>
    <w:pPr>
      <w:tabs>
        <w:tab w:val="num" w:pos="1440"/>
      </w:tabs>
      <w:ind w:left="1440" w:hanging="360"/>
    </w:pPr>
    <w:rPr>
      <w:rFonts w:eastAsia="Times New Roman"/>
      <w:szCs w:val="20"/>
    </w:rPr>
  </w:style>
  <w:style w:type="paragraph" w:styleId="ListNumber5">
    <w:name w:val="List Number 5"/>
    <w:basedOn w:val="Normal"/>
    <w:rsid w:val="00DF7C60"/>
    <w:pPr>
      <w:tabs>
        <w:tab w:val="num" w:pos="1800"/>
      </w:tabs>
      <w:ind w:left="1800" w:hanging="360"/>
    </w:pPr>
    <w:rPr>
      <w:rFonts w:eastAsia="Times New Roman"/>
      <w:szCs w:val="20"/>
    </w:rPr>
  </w:style>
  <w:style w:type="character" w:styleId="FootnoteReference">
    <w:name w:val="footnote reference"/>
    <w:uiPriority w:val="99"/>
    <w:semiHidden/>
    <w:rsid w:val="00DF7C60"/>
    <w:rPr>
      <w:vertAlign w:val="superscript"/>
    </w:rPr>
  </w:style>
  <w:style w:type="paragraph" w:styleId="NormalWeb">
    <w:name w:val="Normal (Web)"/>
    <w:basedOn w:val="Normal"/>
    <w:rsid w:val="00DF7C60"/>
    <w:pPr>
      <w:spacing w:after="120"/>
    </w:pPr>
    <w:rPr>
      <w:rFonts w:ascii="Arial Unicode MS" w:eastAsia="Arial Unicode MS" w:hAnsi="Arial Unicode MS" w:cs="Arial Unicode MS"/>
      <w:szCs w:val="24"/>
    </w:rPr>
  </w:style>
  <w:style w:type="paragraph" w:styleId="PlainText">
    <w:name w:val="Plain Text"/>
    <w:basedOn w:val="Normal"/>
    <w:link w:val="PlainTextChar"/>
    <w:rsid w:val="00DF7C60"/>
    <w:rPr>
      <w:rFonts w:ascii="Courier New" w:eastAsia="Times New Roman" w:hAnsi="Courier New" w:cs="Courier New"/>
      <w:sz w:val="20"/>
      <w:szCs w:val="20"/>
    </w:rPr>
  </w:style>
  <w:style w:type="character" w:customStyle="1" w:styleId="PlainTextChar">
    <w:name w:val="Plain Text Char"/>
    <w:basedOn w:val="DefaultParagraphFont"/>
    <w:link w:val="PlainText"/>
    <w:rsid w:val="00DF7C60"/>
    <w:rPr>
      <w:rFonts w:ascii="Courier New" w:eastAsia="Times New Roman" w:hAnsi="Courier New" w:cs="Courier New"/>
      <w:lang w:eastAsia="en-US"/>
    </w:rPr>
  </w:style>
  <w:style w:type="table" w:customStyle="1" w:styleId="TableGrid11">
    <w:name w:val="Table Grid11"/>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F7C60"/>
    <w:pPr>
      <w:spacing w:after="120" w:line="480" w:lineRule="auto"/>
    </w:pPr>
    <w:rPr>
      <w:rFonts w:eastAsia="Times New Roman"/>
      <w:szCs w:val="24"/>
    </w:rPr>
  </w:style>
  <w:style w:type="character" w:customStyle="1" w:styleId="BodyText2Char">
    <w:name w:val="Body Text 2 Char"/>
    <w:basedOn w:val="DefaultParagraphFont"/>
    <w:link w:val="BodyText2"/>
    <w:rsid w:val="00DF7C60"/>
    <w:rPr>
      <w:rFonts w:ascii="Times New Roman" w:eastAsia="Times New Roman" w:hAnsi="Times New Roman"/>
      <w:sz w:val="17"/>
      <w:szCs w:val="24"/>
      <w:lang w:eastAsia="en-US"/>
    </w:rPr>
  </w:style>
  <w:style w:type="paragraph" w:customStyle="1" w:styleId="WCbodycopy">
    <w:name w:val="WC body copy"/>
    <w:basedOn w:val="Normal"/>
    <w:rsid w:val="00DF7C60"/>
    <w:pPr>
      <w:spacing w:line="280" w:lineRule="exact"/>
    </w:pPr>
    <w:rPr>
      <w:rFonts w:ascii="Arial" w:eastAsia="Times" w:hAnsi="Arial"/>
      <w:sz w:val="18"/>
      <w:szCs w:val="20"/>
    </w:rPr>
  </w:style>
  <w:style w:type="table" w:customStyle="1" w:styleId="TableGrid12">
    <w:name w:val="Table Grid12"/>
    <w:basedOn w:val="TableNormal"/>
    <w:next w:val="TableGrid"/>
    <w:uiPriority w:val="59"/>
    <w:rsid w:val="00DF7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DF7C60"/>
    <w:rPr>
      <w:i/>
      <w:iCs/>
      <w:color w:val="666666"/>
      <w:sz w:val="22"/>
      <w:szCs w:val="22"/>
    </w:rPr>
  </w:style>
  <w:style w:type="character" w:styleId="HTMLCite">
    <w:name w:val="HTML Cite"/>
    <w:rsid w:val="00DF7C60"/>
    <w:rPr>
      <w:i/>
      <w:iCs/>
    </w:rPr>
  </w:style>
  <w:style w:type="character" w:customStyle="1" w:styleId="section">
    <w:name w:val="section"/>
    <w:rsid w:val="00DF7C60"/>
  </w:style>
  <w:style w:type="paragraph" w:customStyle="1" w:styleId="GSALegTextHeadSection">
    <w:name w:val="GSALegTextHeadSection"/>
    <w:basedOn w:val="GSALegText"/>
    <w:next w:val="GSALegText1"/>
    <w:rsid w:val="00DF7C60"/>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DF7C60"/>
    <w:pPr>
      <w:tabs>
        <w:tab w:val="right" w:pos="1296"/>
        <w:tab w:val="left" w:pos="1440"/>
      </w:tabs>
      <w:spacing w:before="120" w:after="120"/>
      <w:ind w:left="1440" w:hanging="1440"/>
      <w:jc w:val="both"/>
    </w:pPr>
  </w:style>
  <w:style w:type="paragraph" w:customStyle="1" w:styleId="GSALegText1D">
    <w:name w:val="GSALegText1D"/>
    <w:basedOn w:val="GSALegText1"/>
    <w:rsid w:val="00DF7C60"/>
    <w:pPr>
      <w:ind w:left="2016" w:hanging="2016"/>
    </w:pPr>
  </w:style>
  <w:style w:type="paragraph" w:customStyle="1" w:styleId="GSALegTextHeadSectionIns">
    <w:name w:val="GSALegTextHeadSectionIns"/>
    <w:basedOn w:val="GSALegTextHeadSection"/>
    <w:rsid w:val="00DF7C60"/>
  </w:style>
  <w:style w:type="paragraph" w:customStyle="1" w:styleId="GSALegText2">
    <w:name w:val="GSALegText2"/>
    <w:basedOn w:val="GSALegText1"/>
    <w:rsid w:val="00DF7C60"/>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DF7C60"/>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DF7C60"/>
    <w:pPr>
      <w:tabs>
        <w:tab w:val="right" w:pos="144"/>
        <w:tab w:val="left" w:pos="288"/>
      </w:tabs>
      <w:spacing w:before="60" w:after="60"/>
      <w:ind w:left="288" w:hanging="288"/>
    </w:pPr>
    <w:rPr>
      <w:sz w:val="20"/>
    </w:rPr>
  </w:style>
  <w:style w:type="character" w:customStyle="1" w:styleId="Paranumbers">
    <w:name w:val="Para numbers"/>
    <w:rsid w:val="00DF7C60"/>
    <w:rPr>
      <w:rFonts w:ascii="CG Times" w:hAnsi="CG Times"/>
      <w:noProof w:val="0"/>
      <w:sz w:val="22"/>
      <w:lang w:val="en-US"/>
    </w:rPr>
  </w:style>
  <w:style w:type="paragraph" w:customStyle="1" w:styleId="general2">
    <w:name w:val="general 2"/>
    <w:rsid w:val="00DF7C60"/>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DF7C60"/>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DF7C60"/>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DF7C60"/>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DF7C60"/>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DF7C60"/>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DF7C60"/>
    <w:pPr>
      <w:tabs>
        <w:tab w:val="left" w:pos="-720"/>
      </w:tabs>
      <w:suppressAutoHyphens/>
    </w:pPr>
    <w:rPr>
      <w:rFonts w:ascii="CG Times" w:eastAsia="Times New Roman" w:hAnsi="CG Times"/>
      <w:sz w:val="22"/>
      <w:lang w:val="en-US" w:eastAsia="en-US"/>
    </w:rPr>
  </w:style>
  <w:style w:type="paragraph" w:customStyle="1" w:styleId="general6">
    <w:name w:val="general 6"/>
    <w:rsid w:val="00DF7C60"/>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DF7C60"/>
  </w:style>
  <w:style w:type="paragraph" w:customStyle="1" w:styleId="RightPar1">
    <w:name w:val="Right Par 1"/>
    <w:rsid w:val="00DF7C60"/>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DF7C60"/>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DF7C60"/>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DF7C60"/>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DF7C60"/>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DF7C60"/>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DF7C60"/>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DF7C6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DF7C60"/>
    <w:rPr>
      <w:rFonts w:ascii="CG Times" w:hAnsi="CG Times"/>
      <w:noProof w:val="0"/>
      <w:sz w:val="22"/>
      <w:lang w:val="en-US"/>
    </w:rPr>
  </w:style>
  <w:style w:type="paragraph" w:customStyle="1" w:styleId="Technical5">
    <w:name w:val="Technical 5"/>
    <w:rsid w:val="00DF7C60"/>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DF7C60"/>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DF7C60"/>
    <w:rPr>
      <w:rFonts w:ascii="CG Times" w:hAnsi="CG Times"/>
      <w:noProof w:val="0"/>
      <w:sz w:val="22"/>
      <w:lang w:val="en-US"/>
    </w:rPr>
  </w:style>
  <w:style w:type="character" w:customStyle="1" w:styleId="Technical3">
    <w:name w:val="Technical 3"/>
    <w:rsid w:val="00DF7C60"/>
    <w:rPr>
      <w:rFonts w:ascii="CG Times" w:hAnsi="CG Times"/>
      <w:noProof w:val="0"/>
      <w:sz w:val="22"/>
      <w:lang w:val="en-US"/>
    </w:rPr>
  </w:style>
  <w:style w:type="paragraph" w:customStyle="1" w:styleId="Technical4">
    <w:name w:val="Technical 4"/>
    <w:rsid w:val="00DF7C60"/>
    <w:pPr>
      <w:tabs>
        <w:tab w:val="left" w:pos="-720"/>
      </w:tabs>
      <w:suppressAutoHyphens/>
    </w:pPr>
    <w:rPr>
      <w:rFonts w:ascii="CG Times" w:eastAsia="Times New Roman" w:hAnsi="CG Times"/>
      <w:b/>
      <w:sz w:val="22"/>
      <w:lang w:val="en-US" w:eastAsia="en-US"/>
    </w:rPr>
  </w:style>
  <w:style w:type="character" w:customStyle="1" w:styleId="Technical1">
    <w:name w:val="Technical 1"/>
    <w:rsid w:val="00DF7C60"/>
    <w:rPr>
      <w:rFonts w:ascii="CG Times" w:hAnsi="CG Times"/>
      <w:noProof w:val="0"/>
      <w:sz w:val="22"/>
      <w:lang w:val="en-US"/>
    </w:rPr>
  </w:style>
  <w:style w:type="paragraph" w:customStyle="1" w:styleId="Technical7">
    <w:name w:val="Technical 7"/>
    <w:rsid w:val="00DF7C60"/>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DF7C60"/>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DF7C60"/>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DF7C60"/>
  </w:style>
  <w:style w:type="character" w:customStyle="1" w:styleId="EquationCaption">
    <w:name w:val="_Equation Caption"/>
    <w:rsid w:val="00DF7C60"/>
  </w:style>
  <w:style w:type="paragraph" w:customStyle="1" w:styleId="galley0">
    <w:name w:val="galley"/>
    <w:basedOn w:val="Normal"/>
    <w:rsid w:val="00DF7C60"/>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DF7C60"/>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DF7C60"/>
    <w:pPr>
      <w:spacing w:after="120"/>
    </w:pPr>
    <w:rPr>
      <w:rFonts w:eastAsia="Times New Roman"/>
      <w:szCs w:val="20"/>
    </w:rPr>
  </w:style>
  <w:style w:type="character" w:customStyle="1" w:styleId="BodyTextChar">
    <w:name w:val="Body Text Char"/>
    <w:basedOn w:val="DefaultParagraphFont"/>
    <w:link w:val="BodyText"/>
    <w:rsid w:val="00DF7C60"/>
    <w:rPr>
      <w:rFonts w:ascii="Times New Roman" w:eastAsia="Times New Roman" w:hAnsi="Times New Roman"/>
      <w:sz w:val="17"/>
      <w:lang w:eastAsia="en-US"/>
    </w:rPr>
  </w:style>
  <w:style w:type="paragraph" w:customStyle="1" w:styleId="GFirstWord">
    <w:name w:val="G First Word"/>
    <w:basedOn w:val="Galley"/>
    <w:link w:val="GFirstWordChar"/>
    <w:rsid w:val="00DF7C60"/>
    <w:pPr>
      <w:spacing w:after="0"/>
    </w:pPr>
    <w:rPr>
      <w:lang w:val="x-none" w:eastAsia="x-none"/>
    </w:rPr>
  </w:style>
  <w:style w:type="character" w:customStyle="1" w:styleId="GFirstWordChar">
    <w:name w:val="G First Word Char"/>
    <w:link w:val="GFirstWord"/>
    <w:rsid w:val="00DF7C60"/>
    <w:rPr>
      <w:rFonts w:ascii="Times New Roman" w:eastAsia="Times New Roman" w:hAnsi="Times New Roman"/>
      <w:sz w:val="17"/>
      <w:lang w:val="x-none" w:eastAsia="x-none"/>
    </w:rPr>
  </w:style>
  <w:style w:type="table" w:customStyle="1" w:styleId="TableGrid21">
    <w:name w:val="Table Grid21"/>
    <w:basedOn w:val="TableNormal"/>
    <w:next w:val="TableGrid"/>
    <w:rsid w:val="00DF7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F7C60"/>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F7C60"/>
    <w:rPr>
      <w:rFonts w:ascii="Times New Roman" w:eastAsia="Times New Roman" w:hAnsi="Times New Roman"/>
      <w:sz w:val="16"/>
      <w:szCs w:val="16"/>
      <w:lang w:eastAsia="en-US"/>
    </w:rPr>
  </w:style>
  <w:style w:type="character" w:styleId="CommentReference">
    <w:name w:val="annotation reference"/>
    <w:uiPriority w:val="99"/>
    <w:rsid w:val="00DF7C60"/>
    <w:rPr>
      <w:sz w:val="16"/>
      <w:szCs w:val="16"/>
    </w:rPr>
  </w:style>
  <w:style w:type="paragraph" w:styleId="CommentText">
    <w:name w:val="annotation text"/>
    <w:basedOn w:val="Normal"/>
    <w:link w:val="CommentTextChar"/>
    <w:uiPriority w:val="99"/>
    <w:rsid w:val="00DF7C60"/>
    <w:rPr>
      <w:rFonts w:eastAsia="Times New Roman"/>
      <w:sz w:val="20"/>
      <w:szCs w:val="20"/>
    </w:rPr>
  </w:style>
  <w:style w:type="character" w:customStyle="1" w:styleId="CommentTextChar">
    <w:name w:val="Comment Text Char"/>
    <w:basedOn w:val="DefaultParagraphFont"/>
    <w:link w:val="CommentText"/>
    <w:uiPriority w:val="99"/>
    <w:rsid w:val="00DF7C60"/>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DF7C60"/>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DF7C6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DF7C6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DF7C60"/>
    <w:pPr>
      <w:keepNext/>
      <w:keepLines w:val="0"/>
      <w:autoSpaceDE/>
      <w:autoSpaceDN/>
      <w:adjustRightInd/>
      <w:spacing w:before="0" w:after="40" w:line="170" w:lineRule="exact"/>
    </w:pPr>
    <w:rPr>
      <w:rFonts w:eastAsia="Times New Roman"/>
      <w:iCs/>
      <w:color w:val="auto"/>
      <w:sz w:val="20"/>
      <w:szCs w:val="20"/>
    </w:rPr>
  </w:style>
  <w:style w:type="character" w:customStyle="1" w:styleId="StyleHeading1Kernat18ptChar">
    <w:name w:val="Style Heading 1 + Kern at 18 pt Char"/>
    <w:link w:val="StyleHeading1Kernat18pt"/>
    <w:rsid w:val="00DF7C60"/>
    <w:rPr>
      <w:rFonts w:ascii="Times New Roman" w:eastAsia="Times New Roman" w:hAnsi="Times New Roman"/>
      <w:b/>
      <w:bCs/>
      <w:caps/>
      <w:kern w:val="36"/>
      <w:sz w:val="22"/>
      <w:lang w:eastAsia="en-US"/>
    </w:rPr>
  </w:style>
  <w:style w:type="character" w:customStyle="1" w:styleId="Instruction">
    <w:name w:val="Instruction"/>
    <w:rsid w:val="00DF7C60"/>
    <w:rPr>
      <w:rFonts w:ascii="Times New Roman" w:hAnsi="Times New Roman" w:cs="Courier New"/>
      <w:i/>
      <w:sz w:val="22"/>
    </w:rPr>
  </w:style>
  <w:style w:type="paragraph" w:customStyle="1" w:styleId="CoverTitle">
    <w:name w:val="Cover Title"/>
    <w:next w:val="CoverSub-title"/>
    <w:rsid w:val="00DF7C60"/>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DF7C60"/>
    <w:pPr>
      <w:spacing w:before="60" w:after="0" w:line="312" w:lineRule="auto"/>
    </w:pPr>
    <w:rPr>
      <w:color w:val="auto"/>
      <w:sz w:val="24"/>
    </w:rPr>
  </w:style>
  <w:style w:type="paragraph" w:customStyle="1" w:styleId="CoverText">
    <w:name w:val="Cover Text"/>
    <w:basedOn w:val="CoverTitle"/>
    <w:next w:val="Normal"/>
    <w:rsid w:val="00DF7C60"/>
    <w:pPr>
      <w:spacing w:before="600" w:after="0" w:line="312" w:lineRule="auto"/>
    </w:pPr>
    <w:rPr>
      <w:color w:val="auto"/>
      <w:sz w:val="24"/>
    </w:rPr>
  </w:style>
  <w:style w:type="paragraph" w:customStyle="1" w:styleId="Noparagraphstyle">
    <w:name w:val="[No paragraph style]"/>
    <w:rsid w:val="00DF7C60"/>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DF7C60"/>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DF7C60"/>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DF7C6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DF7C60"/>
    <w:pPr>
      <w:keepLines w:val="0"/>
      <w:tabs>
        <w:tab w:val="right" w:leader="dot" w:pos="9360"/>
      </w:tabs>
      <w:autoSpaceDE/>
      <w:autoSpaceDN/>
      <w:adjustRightInd/>
      <w:spacing w:before="60" w:after="60" w:line="240" w:lineRule="auto"/>
      <w:ind w:right="1000"/>
      <w:outlineLvl w:val="0"/>
    </w:pPr>
    <w:rPr>
      <w:rFonts w:ascii="Arial" w:hAnsi="Arial" w:cs="Arial"/>
      <w:b/>
      <w:bCs/>
      <w:smallCaps/>
      <w:noProof/>
      <w:color w:val="auto"/>
      <w:sz w:val="20"/>
      <w:szCs w:val="20"/>
      <w:lang w:val="en-GB" w:eastAsia="en-US"/>
    </w:rPr>
  </w:style>
  <w:style w:type="paragraph" w:customStyle="1" w:styleId="Style10ptBoldBefore4ptAfter4pt">
    <w:name w:val="Style 10 pt Bold Before:  4 pt After:  4 pt"/>
    <w:basedOn w:val="Normal"/>
    <w:autoRedefine/>
    <w:rsid w:val="00DF7C60"/>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DF7C60"/>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DF7C60"/>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DF7C60"/>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DF7C60"/>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DF7C60"/>
    <w:pPr>
      <w:keepNext/>
      <w:numPr>
        <w:ilvl w:val="1"/>
        <w:numId w:val="1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DF7C60"/>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DF7C60"/>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uiPriority w:val="99"/>
    <w:rsid w:val="00DF7C60"/>
    <w:rPr>
      <w:b/>
      <w:bCs/>
    </w:rPr>
  </w:style>
  <w:style w:type="character" w:customStyle="1" w:styleId="CommentSubjectChar">
    <w:name w:val="Comment Subject Char"/>
    <w:basedOn w:val="CommentTextChar"/>
    <w:link w:val="CommentSubject"/>
    <w:uiPriority w:val="99"/>
    <w:rsid w:val="00DF7C60"/>
    <w:rPr>
      <w:rFonts w:ascii="Times New Roman" w:eastAsia="Times New Roman" w:hAnsi="Times New Roman"/>
      <w:b/>
      <w:bCs/>
      <w:lang w:eastAsia="en-US"/>
    </w:rPr>
  </w:style>
  <w:style w:type="paragraph" w:customStyle="1" w:styleId="Style2">
    <w:name w:val="Style2"/>
    <w:basedOn w:val="Normal"/>
    <w:link w:val="Style2Char"/>
    <w:autoRedefine/>
    <w:rsid w:val="00DF7C60"/>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DF7C60"/>
    <w:rPr>
      <w:rFonts w:ascii="Times New Roman" w:eastAsia="Times New Roman" w:hAnsi="Times New Roman"/>
      <w:b/>
      <w:bCs/>
      <w:caps/>
      <w:kern w:val="36"/>
      <w:sz w:val="22"/>
    </w:rPr>
  </w:style>
  <w:style w:type="paragraph" w:customStyle="1" w:styleId="Default">
    <w:name w:val="Default"/>
    <w:rsid w:val="00DF7C60"/>
    <w:pPr>
      <w:widowControl w:val="0"/>
      <w:autoSpaceDE w:val="0"/>
      <w:autoSpaceDN w:val="0"/>
      <w:adjustRightInd w:val="0"/>
    </w:pPr>
    <w:rPr>
      <w:rFonts w:ascii="AFHDL H+ Helvetica Neue" w:eastAsia="Times New Roman" w:hAnsi="AFHDL H+ Helvetica Neue" w:cs="AFHDL H+ Helvetica Neue"/>
      <w:color w:val="000000"/>
      <w:sz w:val="24"/>
      <w:szCs w:val="24"/>
    </w:rPr>
  </w:style>
  <w:style w:type="paragraph" w:customStyle="1" w:styleId="Groupheading">
    <w:name w:val="Group heading"/>
    <w:basedOn w:val="Normal"/>
    <w:link w:val="GroupheadingChar"/>
    <w:autoRedefine/>
    <w:rsid w:val="00DF7C60"/>
    <w:rPr>
      <w:rFonts w:eastAsia="Times New Roman"/>
      <w:b/>
      <w:bCs/>
      <w:caps/>
      <w:sz w:val="22"/>
      <w:szCs w:val="20"/>
      <w:lang w:eastAsia="en-AU"/>
    </w:rPr>
  </w:style>
  <w:style w:type="character" w:customStyle="1" w:styleId="GroupheadingChar">
    <w:name w:val="Group heading Char"/>
    <w:link w:val="Groupheading"/>
    <w:rsid w:val="00DF7C60"/>
    <w:rPr>
      <w:rFonts w:ascii="Times New Roman" w:eastAsia="Times New Roman" w:hAnsi="Times New Roman"/>
      <w:b/>
      <w:bCs/>
      <w:caps/>
      <w:sz w:val="22"/>
    </w:rPr>
  </w:style>
  <w:style w:type="paragraph" w:customStyle="1" w:styleId="font5">
    <w:name w:val="font5"/>
    <w:basedOn w:val="Normal"/>
    <w:rsid w:val="00DF7C60"/>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DF7C60"/>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DF7C60"/>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DF7C60"/>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DF7C60"/>
    <w:pPr>
      <w:numPr>
        <w:numId w:val="14"/>
      </w:numPr>
      <w:tabs>
        <w:tab w:val="num" w:pos="2007"/>
      </w:tabs>
      <w:ind w:left="426" w:hanging="426"/>
    </w:pPr>
  </w:style>
  <w:style w:type="paragraph" w:customStyle="1" w:styleId="MainHeadingCover">
    <w:name w:val="Main Heading Cover"/>
    <w:basedOn w:val="Normal"/>
    <w:uiPriority w:val="1"/>
    <w:rsid w:val="00DF7C60"/>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DF7C60"/>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DF7C60"/>
    <w:pPr>
      <w:numPr>
        <w:numId w:val="13"/>
      </w:numPr>
      <w:tabs>
        <w:tab w:val="num" w:pos="567"/>
      </w:tabs>
      <w:ind w:left="567" w:hanging="567"/>
    </w:pPr>
  </w:style>
  <w:style w:type="paragraph" w:customStyle="1" w:styleId="TOCHeader">
    <w:name w:val="TOC Header"/>
    <w:basedOn w:val="Normal"/>
    <w:uiPriority w:val="1"/>
    <w:rsid w:val="00DF7C60"/>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DF7C6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F7C60"/>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DF7C60"/>
    <w:rPr>
      <w:color w:val="FFFFFF"/>
    </w:rPr>
  </w:style>
  <w:style w:type="paragraph" w:customStyle="1" w:styleId="Hangindent">
    <w:name w:val="Hang indent"/>
    <w:basedOn w:val="Normal"/>
    <w:qFormat/>
    <w:rsid w:val="00DF7C60"/>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DF7C60"/>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DF7C60"/>
    <w:pPr>
      <w:ind w:left="0"/>
    </w:pPr>
    <w:rPr>
      <w:rFonts w:eastAsia="Times New Roman"/>
      <w:szCs w:val="17"/>
    </w:rPr>
  </w:style>
  <w:style w:type="character" w:customStyle="1" w:styleId="Numbers1Char">
    <w:name w:val="Numbers1 Char"/>
    <w:basedOn w:val="DefaultParagraphFont"/>
    <w:link w:val="Numbers1"/>
    <w:rsid w:val="00DF7C60"/>
    <w:rPr>
      <w:rFonts w:ascii="Times New Roman" w:eastAsia="Times New Roman" w:hAnsi="Times New Roman"/>
      <w:sz w:val="17"/>
      <w:szCs w:val="17"/>
      <w:lang w:eastAsia="en-US"/>
    </w:rPr>
  </w:style>
  <w:style w:type="paragraph" w:customStyle="1" w:styleId="NormalRight">
    <w:name w:val="NormalRight"/>
    <w:basedOn w:val="Normal"/>
    <w:link w:val="NormalRightChar"/>
    <w:rsid w:val="00DF7C60"/>
    <w:pPr>
      <w:jc w:val="right"/>
    </w:pPr>
    <w:rPr>
      <w:rFonts w:eastAsia="Times New Roman"/>
      <w:szCs w:val="17"/>
    </w:rPr>
  </w:style>
  <w:style w:type="character" w:customStyle="1" w:styleId="NormalRightChar">
    <w:name w:val="NormalRight Char"/>
    <w:basedOn w:val="DefaultParagraphFont"/>
    <w:link w:val="NormalRight"/>
    <w:rsid w:val="00DF7C60"/>
    <w:rPr>
      <w:rFonts w:ascii="Times New Roman" w:eastAsia="Times New Roman" w:hAnsi="Times New Roman"/>
      <w:sz w:val="17"/>
      <w:szCs w:val="17"/>
      <w:lang w:eastAsia="en-US"/>
    </w:rPr>
  </w:style>
  <w:style w:type="character" w:customStyle="1" w:styleId="SmallCaps">
    <w:name w:val="SmallCaps"/>
    <w:basedOn w:val="DefaultParagraphFont"/>
    <w:uiPriority w:val="1"/>
    <w:rsid w:val="00DF7C60"/>
    <w:rPr>
      <w:smallCaps/>
    </w:rPr>
  </w:style>
  <w:style w:type="paragraph" w:customStyle="1" w:styleId="xl65">
    <w:name w:val="xl65"/>
    <w:basedOn w:val="Normal"/>
    <w:rsid w:val="00DF7C60"/>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DF7C60"/>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table" w:customStyle="1" w:styleId="TableGrid13">
    <w:name w:val="Table Grid13"/>
    <w:basedOn w:val="TableNormal"/>
    <w:next w:val="TableGrid"/>
    <w:uiPriority w:val="59"/>
    <w:rsid w:val="00DF7C6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F7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DF7C6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F7C6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DF7C6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F7C60"/>
    <w:rPr>
      <w:rFonts w:ascii="Source Sans Pro" w:eastAsia="MS Mincho" w:hAnsi="Source Sans Pro"/>
      <w:sz w:val="22"/>
      <w:szCs w:val="24"/>
      <w:lang w:eastAsia="en-US"/>
    </w:rPr>
    <w:tblPr/>
    <w:tcPr>
      <w:shd w:val="clear" w:color="auto" w:fill="auto"/>
    </w:tcPr>
  </w:style>
  <w:style w:type="paragraph" w:customStyle="1" w:styleId="msonormal0">
    <w:name w:val="msonormal"/>
    <w:basedOn w:val="Normal"/>
    <w:rsid w:val="00DF7C60"/>
    <w:pPr>
      <w:spacing w:before="100" w:beforeAutospacing="1" w:after="100" w:afterAutospacing="1" w:line="240" w:lineRule="auto"/>
      <w:jc w:val="left"/>
    </w:pPr>
    <w:rPr>
      <w:rFonts w:eastAsia="Times New Roman"/>
      <w:sz w:val="24"/>
      <w:szCs w:val="24"/>
      <w:lang w:eastAsia="en-AU"/>
    </w:rPr>
  </w:style>
  <w:style w:type="paragraph" w:styleId="Revision">
    <w:name w:val="Revision"/>
    <w:uiPriority w:val="99"/>
    <w:semiHidden/>
    <w:rsid w:val="00DF7C60"/>
    <w:rPr>
      <w:rFonts w:ascii="Times New Roman" w:eastAsia="Times New Roman" w:hAnsi="Times New Roman"/>
      <w:sz w:val="24"/>
      <w:lang w:eastAsia="en-US"/>
    </w:rPr>
  </w:style>
  <w:style w:type="paragraph" w:customStyle="1" w:styleId="Doublehangindent">
    <w:name w:val="Double hang indent"/>
    <w:basedOn w:val="Normal"/>
    <w:qFormat/>
    <w:rsid w:val="00DF7C60"/>
    <w:pPr>
      <w:spacing w:before="120" w:after="120" w:line="240" w:lineRule="auto"/>
      <w:ind w:left="1701" w:hanging="567"/>
    </w:pPr>
    <w:rPr>
      <w:sz w:val="23"/>
      <w:szCs w:val="23"/>
    </w:rPr>
  </w:style>
  <w:style w:type="paragraph" w:customStyle="1" w:styleId="NoteText">
    <w:name w:val="NoteText"/>
    <w:basedOn w:val="Normal"/>
    <w:qFormat/>
    <w:rsid w:val="00DF7C60"/>
    <w:pPr>
      <w:autoSpaceDE w:val="0"/>
      <w:autoSpaceDN w:val="0"/>
      <w:adjustRightInd w:val="0"/>
      <w:spacing w:before="120" w:after="0" w:line="240" w:lineRule="auto"/>
      <w:ind w:left="1418"/>
    </w:pPr>
    <w:rPr>
      <w:sz w:val="20"/>
      <w:szCs w:val="20"/>
    </w:rPr>
  </w:style>
  <w:style w:type="paragraph" w:customStyle="1" w:styleId="NoteHeader">
    <w:name w:val="NoteHeader"/>
    <w:basedOn w:val="Normal"/>
    <w:qFormat/>
    <w:rsid w:val="00DF7C60"/>
    <w:pPr>
      <w:autoSpaceDE w:val="0"/>
      <w:autoSpaceDN w:val="0"/>
      <w:adjustRightInd w:val="0"/>
      <w:spacing w:before="120" w:after="0" w:line="240" w:lineRule="auto"/>
      <w:ind w:left="1134"/>
      <w:jc w:val="left"/>
    </w:pPr>
    <w:rPr>
      <w:b/>
      <w:bCs/>
      <w:sz w:val="20"/>
      <w:szCs w:val="20"/>
    </w:rPr>
  </w:style>
  <w:style w:type="paragraph" w:customStyle="1" w:styleId="Triplehangindent">
    <w:name w:val="Triple hang indent"/>
    <w:basedOn w:val="Normal"/>
    <w:qFormat/>
    <w:rsid w:val="00DF7C60"/>
    <w:pPr>
      <w:autoSpaceDE w:val="0"/>
      <w:autoSpaceDN w:val="0"/>
      <w:adjustRightInd w:val="0"/>
      <w:spacing w:before="120" w:after="120" w:line="240" w:lineRule="auto"/>
      <w:ind w:left="2268" w:hanging="567"/>
    </w:pPr>
    <w:rPr>
      <w:color w:val="000000"/>
      <w:sz w:val="23"/>
      <w:szCs w:val="23"/>
      <w:lang w:val="en-US"/>
    </w:rPr>
  </w:style>
  <w:style w:type="paragraph" w:customStyle="1" w:styleId="Chapter">
    <w:name w:val="Chapter"/>
    <w:basedOn w:val="Normal"/>
    <w:next w:val="Normal"/>
    <w:qFormat/>
    <w:rsid w:val="00DF7C60"/>
    <w:pPr>
      <w:keepNext/>
      <w:keepLines/>
      <w:autoSpaceDE w:val="0"/>
      <w:autoSpaceDN w:val="0"/>
      <w:adjustRightInd w:val="0"/>
      <w:spacing w:before="240" w:after="120" w:line="240" w:lineRule="auto"/>
      <w:ind w:left="567" w:hanging="567"/>
      <w:jc w:val="left"/>
      <w:outlineLvl w:val="0"/>
    </w:pPr>
    <w:rPr>
      <w:rFonts w:eastAsia="Times New Roman"/>
      <w:b/>
      <w:bCs/>
      <w:color w:val="000000"/>
      <w:sz w:val="34"/>
      <w:szCs w:val="34"/>
      <w:lang w:val="en-US"/>
    </w:rPr>
  </w:style>
  <w:style w:type="table" w:customStyle="1" w:styleId="TableGrid15">
    <w:name w:val="Table Grid15"/>
    <w:basedOn w:val="TableNormal"/>
    <w:next w:val="TableGrid"/>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DF7C60"/>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uiPriority w:val="59"/>
    <w:rsid w:val="00DF7C60"/>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DF7C60"/>
    <w:rPr>
      <w:rFonts w:eastAsia="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F7C60"/>
  </w:style>
  <w:style w:type="table" w:customStyle="1" w:styleId="TableGrid38">
    <w:name w:val="Table Grid38"/>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DF7C60"/>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link w:val="FootnoteTextChar"/>
    <w:uiPriority w:val="99"/>
    <w:rsid w:val="0035143A"/>
    <w:pPr>
      <w:pBdr>
        <w:top w:val="nil"/>
        <w:left w:val="nil"/>
        <w:bottom w:val="nil"/>
        <w:right w:val="nil"/>
        <w:between w:val="nil"/>
        <w:bar w:val="nil"/>
      </w:pBdr>
    </w:pPr>
    <w:rPr>
      <w:rFonts w:cs="Calibri"/>
      <w:color w:val="000000"/>
      <w:u w:color="000000"/>
      <w:bdr w:val="nil"/>
      <w:lang w:val="en-US"/>
    </w:rPr>
  </w:style>
  <w:style w:type="character" w:customStyle="1" w:styleId="FootnoteTextChar">
    <w:name w:val="Footnote Text Char"/>
    <w:basedOn w:val="DefaultParagraphFont"/>
    <w:link w:val="FootnoteText"/>
    <w:uiPriority w:val="99"/>
    <w:rsid w:val="0035143A"/>
    <w:rPr>
      <w:rFonts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KCSSVW\AppData\Local\Microsoft\Windows\INetCache\Content.Outlook\6FHI29ZE\Draft%20Uniform%20Civil%20(No%207)%20Amending%20Rules%202021%20(003).docx" TargetMode="External"/><Relationship Id="rId26" Type="http://schemas.openxmlformats.org/officeDocument/2006/relationships/hyperlink" Target="file:///C:\Users\KCSSVW\AppData\Local\Microsoft\Windows\INetCache\Content.Outlook\6FHI29ZE\Draft%20Uniform%20Civil%20(No%207)%20Amending%20Rules%202021%20(003).docx" TargetMode="External"/><Relationship Id="rId39" Type="http://schemas.openxmlformats.org/officeDocument/2006/relationships/hyperlink" Target="file:///C:\Users\KCSSVW\AppData\Local\Microsoft\Windows\INetCache\Content.Outlook\6FHI29ZE\Costs%20Scale%20Amendment%20Proposal%20(002).docx" TargetMode="External"/><Relationship Id="rId21" Type="http://schemas.openxmlformats.org/officeDocument/2006/relationships/hyperlink" Target="file:///C:\Users\KCSSVW\AppData\Local\Microsoft\Windows\INetCache\Content.Outlook\6FHI29ZE\Draft%20Uniform%20Civil%20(No%207)%20Amending%20Rules%202021%20(003).docx" TargetMode="External"/><Relationship Id="rId34" Type="http://schemas.openxmlformats.org/officeDocument/2006/relationships/hyperlink" Target="file:///C:\Users\KCSSVW\AppData\Local\Microsoft\Windows\INetCache\Content.Outlook\6FHI29ZE\Draft%20Uniform%20Civil%20(No%207)%20Amending%20Rules%202021%20(003).docx" TargetMode="External"/><Relationship Id="rId42" Type="http://schemas.openxmlformats.org/officeDocument/2006/relationships/hyperlink" Target="file:///C:\Users\KCSSVW\AppData\Local\Microsoft\Windows\INetCache\Content.Outlook\6FHI29ZE\Costs%20Scale%20Amendment%20Proposal%20(002).docx" TargetMode="External"/><Relationship Id="rId47" Type="http://schemas.openxmlformats.org/officeDocument/2006/relationships/hyperlink" Target="file:///\\dtup.sa.gov.au\DFSCommon\GovPub\GAZETTE\GAZETTE%20NOTICES\3.%20STATE%20GOVERNMENT%20INSTRUMENTS\22%20December%202022\ecsa.sa.gov.au\nominate" TargetMode="External"/><Relationship Id="rId50" Type="http://schemas.openxmlformats.org/officeDocument/2006/relationships/hyperlink" Target="http://www.aemc.gov.au" TargetMode="External"/><Relationship Id="rId55" Type="http://schemas.openxmlformats.org/officeDocument/2006/relationships/hyperlink" Target="https://www.kimba.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file:///C:\Users\KCSSVW\AppData\Local\Microsoft\Windows\INetCache\Content.Outlook\6FHI29ZE\Draft%20Uniform%20Civil%20(No%207)%20Amending%20Rules%202021%20(003).docx" TargetMode="External"/><Relationship Id="rId11" Type="http://schemas.openxmlformats.org/officeDocument/2006/relationships/footer" Target="footer1.xml"/><Relationship Id="rId24" Type="http://schemas.openxmlformats.org/officeDocument/2006/relationships/hyperlink" Target="file:///C:\Users\KCSSVW\AppData\Local\Microsoft\Windows\INetCache\Content.Outlook\6FHI29ZE\Draft%20Uniform%20Civil%20(No%207)%20Amending%20Rules%202021%20(003).docx" TargetMode="External"/><Relationship Id="rId32" Type="http://schemas.openxmlformats.org/officeDocument/2006/relationships/hyperlink" Target="file:///C:\Users\KCSSVW\AppData\Local\Microsoft\Windows\INetCache\Content.Outlook\6FHI29ZE\Draft%20Uniform%20Civil%20(No%207)%20Amending%20Rules%202021%20(003).docx" TargetMode="External"/><Relationship Id="rId37" Type="http://schemas.openxmlformats.org/officeDocument/2006/relationships/hyperlink" Target="file:///C:\Users\KCSSVW\AppData\Local\Microsoft\Windows\INetCache\Content.Outlook\6FHI29ZE\Costs%20Scale%20Amendment%20Proposal%20(002).docx" TargetMode="External"/><Relationship Id="rId40" Type="http://schemas.openxmlformats.org/officeDocument/2006/relationships/hyperlink" Target="file:///C:\Users\KCSSVW\AppData\Local\Microsoft\Windows\INetCache\Content.Outlook\6FHI29ZE\Costs%20Scale%20Amendment%20Proposal%20(002).docx" TargetMode="External"/><Relationship Id="rId45" Type="http://schemas.openxmlformats.org/officeDocument/2006/relationships/hyperlink" Target="http://www.courts.sa.gov.au/civil-cases/mediation" TargetMode="External"/><Relationship Id="rId53" Type="http://schemas.openxmlformats.org/officeDocument/2006/relationships/image" Target="media/image3.png"/><Relationship Id="rId58" Type="http://schemas.openxmlformats.org/officeDocument/2006/relationships/hyperlink" Target="http://www.governmentgazette.sa.gov.a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file:///C:\Users\KCSSVW\AppData\Local\Microsoft\Windows\INetCache\Content.Outlook\6FHI29ZE\Draft%20Uniform%20Civil%20(No%207)%20Amending%20Rules%202021%20(003).docx" TargetMode="External"/><Relationship Id="rId14" Type="http://schemas.openxmlformats.org/officeDocument/2006/relationships/header" Target="header4.xml"/><Relationship Id="rId22" Type="http://schemas.openxmlformats.org/officeDocument/2006/relationships/hyperlink" Target="file:///C:\Users\KCSSVW\AppData\Local\Microsoft\Windows\INetCache\Content.Outlook\6FHI29ZE\Draft%20Uniform%20Civil%20(No%207)%20Amending%20Rules%202021%20(003).docx" TargetMode="External"/><Relationship Id="rId27" Type="http://schemas.openxmlformats.org/officeDocument/2006/relationships/hyperlink" Target="file:///C:\Users\KCSSVW\AppData\Local\Microsoft\Windows\INetCache\Content.Outlook\6FHI29ZE\Draft%20Uniform%20Civil%20(No%207)%20Amending%20Rules%202021%20(003).docx" TargetMode="External"/><Relationship Id="rId30" Type="http://schemas.openxmlformats.org/officeDocument/2006/relationships/hyperlink" Target="file:///C:\Users\KCSSVW\AppData\Local\Microsoft\Windows\INetCache\Content.Outlook\6FHI29ZE\Draft%20Uniform%20Civil%20(No%207)%20Amending%20Rules%202021%20(003).docx" TargetMode="External"/><Relationship Id="rId35" Type="http://schemas.openxmlformats.org/officeDocument/2006/relationships/hyperlink" Target="file:///C:\Users\KCSSVW\AppData\Local\Microsoft\Windows\INetCache\Content.Outlook\6FHI29ZE\Draft%20Uniform%20Civil%20(No%207)%20Amending%20Rules%202021%20(003).docx" TargetMode="External"/><Relationship Id="rId43" Type="http://schemas.openxmlformats.org/officeDocument/2006/relationships/hyperlink" Target="file:///C:\Users\KCSSVW\AppData\Local\Microsoft\Windows\INetCache\Content.Outlook\6FHI29ZE\Costs%20Scale%20Amendment%20Proposal%20(002).docx" TargetMode="External"/><Relationship Id="rId48" Type="http://schemas.openxmlformats.org/officeDocument/2006/relationships/hyperlink" Target="file:///\\dtup.sa.gov.au\DFSCommon\GovPub\GAZETTE\GAZETTE%20NOTICES\3.%20STATE%20GOVERNMENT%20INSTRUMENTS\22%20December%202022\ecsa.sa.gov.au\lg-briefings" TargetMode="External"/><Relationship Id="rId56" Type="http://schemas.openxmlformats.org/officeDocument/2006/relationships/hyperlink" Target="mailto:governmentgazettesa@sa.gov.au" TargetMode="External"/><Relationship Id="rId8" Type="http://schemas.openxmlformats.org/officeDocument/2006/relationships/image" Target="media/image1.jpeg"/><Relationship Id="rId51" Type="http://schemas.openxmlformats.org/officeDocument/2006/relationships/hyperlink" Target="http://www.aem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Users\KCSSVW\AppData\Local\Microsoft\Windows\INetCache\Content.Outlook\6FHI29ZE\Draft%20Uniform%20Civil%20(No%207)%20Amending%20Rules%202021%20(003).docx" TargetMode="External"/><Relationship Id="rId25" Type="http://schemas.openxmlformats.org/officeDocument/2006/relationships/hyperlink" Target="file:///C:\Users\KCSSVW\AppData\Local\Microsoft\Windows\INetCache\Content.Outlook\6FHI29ZE\Draft%20Uniform%20Civil%20(No%207)%20Amending%20Rules%202021%20(003).docx" TargetMode="External"/><Relationship Id="rId33" Type="http://schemas.openxmlformats.org/officeDocument/2006/relationships/hyperlink" Target="file:///C:\Users\KCSSVW\AppData\Local\Microsoft\Windows\INetCache\Content.Outlook\6FHI29ZE\Draft%20Uniform%20Civil%20(No%207)%20Amending%20Rules%202021%20(003).docx" TargetMode="External"/><Relationship Id="rId38" Type="http://schemas.openxmlformats.org/officeDocument/2006/relationships/hyperlink" Target="file:///C:\Users\KCSSVW\AppData\Local\Microsoft\Windows\INetCache\Content.Outlook\6FHI29ZE\Costs%20Scale%20Amendment%20Proposal%20(002).docx" TargetMode="External"/><Relationship Id="rId46" Type="http://schemas.openxmlformats.org/officeDocument/2006/relationships/hyperlink" Target="file:///\\dtup.sa.gov.au\DFSCommon\GovPub\GAZETTE\GAZETTE%20NOTICES\3.%20STATE%20GOVERNMENT%20INSTRUMENTS\22%20December%202022\ecsa.sa.gov.au" TargetMode="External"/><Relationship Id="rId59" Type="http://schemas.openxmlformats.org/officeDocument/2006/relationships/header" Target="header5.xml"/><Relationship Id="rId20" Type="http://schemas.openxmlformats.org/officeDocument/2006/relationships/hyperlink" Target="file:///C:\Users\KCSSVW\AppData\Local\Microsoft\Windows\INetCache\Content.Outlook\6FHI29ZE\Draft%20Uniform%20Civil%20(No%207)%20Amending%20Rules%202021%20(003).docx" TargetMode="External"/><Relationship Id="rId41" Type="http://schemas.openxmlformats.org/officeDocument/2006/relationships/hyperlink" Target="file:///C:\Users\KCSSVW\AppData\Local\Microsoft\Windows\INetCache\Content.Outlook\6FHI29ZE\Costs%20Scale%20Amendment%20Proposal%20(002).docx" TargetMode="External"/><Relationship Id="rId54" Type="http://schemas.openxmlformats.org/officeDocument/2006/relationships/image" Target="cid:image003.png@01D90645.5C9AA8D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file:///C:\Users\KCSSVW\AppData\Local\Microsoft\Windows\INetCache\Content.Outlook\6FHI29ZE\Draft%20Uniform%20Civil%20(No%207)%20Amending%20Rules%202021%20(003).docx" TargetMode="External"/><Relationship Id="rId28" Type="http://schemas.openxmlformats.org/officeDocument/2006/relationships/hyperlink" Target="file:///C:\Users\KCSSVW\AppData\Local\Microsoft\Windows\INetCache\Content.Outlook\6FHI29ZE\Draft%20Uniform%20Civil%20(No%207)%20Amending%20Rules%202021%20(003).docx" TargetMode="External"/><Relationship Id="rId36" Type="http://schemas.openxmlformats.org/officeDocument/2006/relationships/hyperlink" Target="file:///C:\Users\KCSSVW\AppData\Local\Microsoft\Windows\INetCache\Content.Outlook\6FHI29ZE\Costs%20Scale%20Amendment%20Proposal%20(002).docx" TargetMode="External"/><Relationship Id="rId49" Type="http://schemas.openxmlformats.org/officeDocument/2006/relationships/hyperlink" Target="http://www.aemc.gov.au" TargetMode="External"/><Relationship Id="rId57" Type="http://schemas.openxmlformats.org/officeDocument/2006/relationships/hyperlink" Target="http://www.governmentgazette.sa.gov.au" TargetMode="External"/><Relationship Id="rId10" Type="http://schemas.openxmlformats.org/officeDocument/2006/relationships/header" Target="header2.xml"/><Relationship Id="rId31" Type="http://schemas.openxmlformats.org/officeDocument/2006/relationships/hyperlink" Target="file:///C:\Users\KCSSVW\AppData\Local\Microsoft\Windows\INetCache\Content.Outlook\6FHI29ZE\Draft%20Uniform%20Civil%20(No%207)%20Amending%20Rules%202021%20(003).docx" TargetMode="External"/><Relationship Id="rId44" Type="http://schemas.openxmlformats.org/officeDocument/2006/relationships/hyperlink" Target="file:///C:\Users\KCSSVW\AppData\Local\Microsoft\Windows\INetCache\Content.Outlook\6FHI29ZE\Costs%20Scale%20Amendment%20Proposal%20(002).docx" TargetMode="External"/><Relationship Id="rId52" Type="http://schemas.openxmlformats.org/officeDocument/2006/relationships/image" Target="media/image2.png"/><Relationship Id="rId60"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TEMPLATE_PAGINATION_2022</Template>
  <TotalTime>141</TotalTime>
  <Pages>86</Pages>
  <Words>48368</Words>
  <Characters>275703</Characters>
  <Application>Microsoft Office Word</Application>
  <DocSecurity>0</DocSecurity>
  <Lines>2297</Lines>
  <Paragraphs>646</Paragraphs>
  <ScaleCrop>false</ScaleCrop>
  <HeadingPairs>
    <vt:vector size="2" baseType="variant">
      <vt:variant>
        <vt:lpstr>Title</vt:lpstr>
      </vt:variant>
      <vt:variant>
        <vt:i4>1</vt:i4>
      </vt:variant>
    </vt:vector>
  </HeadingPairs>
  <TitlesOfParts>
    <vt:vector size="1" baseType="lpstr">
      <vt:lpstr>No. 87 - Thursday, 22 December 2022 (pp. 6945–7030)</vt:lpstr>
    </vt:vector>
  </TitlesOfParts>
  <Company>SA Government</Company>
  <LinksUpToDate>false</LinksUpToDate>
  <CharactersWithSpaces>323425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87 - Thursday, 22 December 2022 (pp. 6945–7030)</dc:title>
  <dc:subject/>
  <dc:creator>Anthony Butler</dc:creator>
  <cp:keywords/>
  <cp:lastModifiedBy>Butler, Anthony (Service SA)</cp:lastModifiedBy>
  <cp:revision>17</cp:revision>
  <cp:lastPrinted>2022-12-22T01:35:00Z</cp:lastPrinted>
  <dcterms:created xsi:type="dcterms:W3CDTF">2022-12-21T22:44:00Z</dcterms:created>
  <dcterms:modified xsi:type="dcterms:W3CDTF">2022-12-22T02:24:00Z</dcterms:modified>
</cp:coreProperties>
</file>