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B02C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89B4F57" wp14:editId="193F6A9D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2D9A5A08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157CBAC7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6D161DE9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048667A3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3429296" w14:textId="7C13D021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1A42A5">
        <w:rPr>
          <w:rFonts w:ascii="Times New Roman" w:hAnsi="Times New Roman"/>
          <w:smallCaps/>
          <w:color w:val="000000"/>
          <w:sz w:val="28"/>
          <w:szCs w:val="26"/>
        </w:rPr>
        <w:t>Monday, 4 July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566225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1BFE4B14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592F5CB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1EC10B5" w14:textId="0DCE8769" w:rsidR="00207E82" w:rsidRPr="00C32E4F" w:rsidRDefault="001A42A5" w:rsidP="00CA6151">
      <w:pPr>
        <w:pStyle w:val="Heading10"/>
        <w:spacing w:before="0"/>
      </w:pPr>
      <w:r>
        <w:t>State Government</w:t>
      </w:r>
      <w:r w:rsidR="00207E82" w:rsidRPr="009D1E2E">
        <w:t xml:space="preserve"> Instrument</w:t>
      </w:r>
    </w:p>
    <w:p w14:paraId="3A6E2D90" w14:textId="77777777" w:rsidR="006E64F2" w:rsidRPr="006E64F2" w:rsidRDefault="006E64F2" w:rsidP="006E64F2">
      <w:pPr>
        <w:jc w:val="center"/>
        <w:rPr>
          <w:rFonts w:ascii="Times New Roman" w:hAnsi="Times New Roman"/>
          <w:caps/>
          <w:sz w:val="17"/>
          <w:szCs w:val="17"/>
          <w:lang w:val="en-US"/>
        </w:rPr>
      </w:pPr>
      <w:r w:rsidRPr="006E64F2">
        <w:rPr>
          <w:rFonts w:ascii="Times New Roman" w:hAnsi="Times New Roman"/>
          <w:caps/>
          <w:sz w:val="17"/>
          <w:szCs w:val="17"/>
          <w:lang w:val="en-US"/>
        </w:rPr>
        <w:t>LIVESTOCK ACT 1997</w:t>
      </w:r>
    </w:p>
    <w:p w14:paraId="2FD6AF07" w14:textId="77777777" w:rsidR="006E64F2" w:rsidRPr="006E64F2" w:rsidRDefault="006E64F2" w:rsidP="006E64F2">
      <w:pPr>
        <w:jc w:val="center"/>
        <w:rPr>
          <w:rFonts w:ascii="Times New Roman" w:hAnsi="Times New Roman"/>
          <w:b/>
          <w:smallCaps/>
          <w:sz w:val="17"/>
          <w:szCs w:val="17"/>
        </w:rPr>
      </w:pPr>
      <w:r w:rsidRPr="006E64F2">
        <w:rPr>
          <w:rFonts w:ascii="Times New Roman" w:hAnsi="Times New Roman"/>
          <w:smallCaps/>
          <w:sz w:val="17"/>
          <w:szCs w:val="17"/>
          <w:lang w:val="en-US"/>
        </w:rPr>
        <w:t>Section 33</w:t>
      </w:r>
    </w:p>
    <w:p w14:paraId="5A055E7B" w14:textId="081F3162" w:rsidR="006E64F2" w:rsidRPr="006E64F2" w:rsidRDefault="006E64F2" w:rsidP="006E64F2">
      <w:pPr>
        <w:jc w:val="center"/>
        <w:rPr>
          <w:rFonts w:ascii="Times New Roman" w:hAnsi="Times New Roman"/>
          <w:i/>
          <w:sz w:val="17"/>
          <w:szCs w:val="17"/>
        </w:rPr>
      </w:pPr>
      <w:r w:rsidRPr="006E64F2">
        <w:rPr>
          <w:rFonts w:ascii="Times New Roman" w:hAnsi="Times New Roman"/>
          <w:i/>
          <w:sz w:val="17"/>
          <w:szCs w:val="17"/>
        </w:rPr>
        <w:t xml:space="preserve">Conditions for Entry of Livestock, Livestock Products and Other Property </w:t>
      </w:r>
      <w:r w:rsidR="00CA6151">
        <w:rPr>
          <w:rFonts w:ascii="Times New Roman" w:hAnsi="Times New Roman"/>
          <w:i/>
          <w:sz w:val="17"/>
          <w:szCs w:val="17"/>
        </w:rPr>
        <w:br/>
      </w:r>
      <w:r w:rsidRPr="006E64F2">
        <w:rPr>
          <w:rFonts w:ascii="Times New Roman" w:hAnsi="Times New Roman"/>
          <w:i/>
          <w:sz w:val="17"/>
          <w:szCs w:val="17"/>
        </w:rPr>
        <w:t>into South Australia or a Specified Part of the State</w:t>
      </w:r>
    </w:p>
    <w:p w14:paraId="1B0684B4" w14:textId="77777777" w:rsidR="006E64F2" w:rsidRPr="006E64F2" w:rsidRDefault="006E64F2" w:rsidP="006E64F2">
      <w:pPr>
        <w:pStyle w:val="GG-body"/>
      </w:pPr>
      <w:r w:rsidRPr="006E64F2">
        <w:t xml:space="preserve">PURSUANT to Section 87 of the </w:t>
      </w:r>
      <w:r w:rsidRPr="006E64F2">
        <w:rPr>
          <w:i/>
          <w:iCs/>
        </w:rPr>
        <w:t>Livestock Act 1997</w:t>
      </w:r>
      <w:r w:rsidRPr="006E64F2">
        <w:t xml:space="preserve">, I, Mary Ruth </w:t>
      </w:r>
      <w:proofErr w:type="spellStart"/>
      <w:r w:rsidRPr="006E64F2">
        <w:t>Carr</w:t>
      </w:r>
      <w:proofErr w:type="spellEnd"/>
      <w:r w:rsidRPr="006E64F2">
        <w:t xml:space="preserve">, Chief Inspector of Stock, with delegated authority from the Minister for Primary Industries and Regional Development, revoke the notice made pursuant to Section 33 of the </w:t>
      </w:r>
      <w:r w:rsidRPr="006E64F2">
        <w:rPr>
          <w:i/>
          <w:iCs/>
        </w:rPr>
        <w:t>Livestock Act 1997</w:t>
      </w:r>
      <w:r w:rsidRPr="006E64F2">
        <w:t xml:space="preserve"> on 28 June 2022, published on 28 June 2022.</w:t>
      </w:r>
    </w:p>
    <w:p w14:paraId="641DB612" w14:textId="01AF820E" w:rsidR="006E64F2" w:rsidRPr="006E64F2" w:rsidRDefault="006E64F2" w:rsidP="006E64F2">
      <w:pPr>
        <w:pStyle w:val="GG-body"/>
      </w:pPr>
      <w:r w:rsidRPr="006E64F2">
        <w:t xml:space="preserve">Pursuant to Section 33 of the </w:t>
      </w:r>
      <w:r w:rsidRPr="006E64F2">
        <w:rPr>
          <w:i/>
          <w:iCs/>
        </w:rPr>
        <w:t>Livestock Act 1997</w:t>
      </w:r>
      <w:r w:rsidRPr="006E64F2">
        <w:t>, I prohibit entry into the State, or the part of the State specified in bold in Column 2, of the Schedule hereto, the class of livestock, livestock products and/or other property specified in Column 1 of the Schedule subject to the conditions specified in Column 2 of the Schedule (or, if no conditions specified, then absolutely):</w:t>
      </w:r>
      <w:r w:rsidR="004316CB">
        <w:tab/>
      </w:r>
    </w:p>
    <w:p w14:paraId="62DEB1B8" w14:textId="77777777" w:rsidR="006E64F2" w:rsidRPr="006E64F2" w:rsidRDefault="006E64F2" w:rsidP="006E64F2">
      <w:pPr>
        <w:jc w:val="center"/>
        <w:rPr>
          <w:rFonts w:ascii="Times New Roman" w:hAnsi="Times New Roman"/>
          <w:smallCaps/>
          <w:sz w:val="17"/>
          <w:szCs w:val="17"/>
        </w:rPr>
      </w:pPr>
      <w:r w:rsidRPr="006E64F2">
        <w:rPr>
          <w:rFonts w:ascii="Times New Roman" w:hAnsi="Times New Roman"/>
          <w:smallCaps/>
          <w:sz w:val="17"/>
          <w:szCs w:val="17"/>
        </w:rPr>
        <w:t>Schedule</w:t>
      </w:r>
    </w:p>
    <w:tbl>
      <w:tblPr>
        <w:tblW w:w="5000" w:type="pct"/>
        <w:jc w:val="center"/>
        <w:tblBorders>
          <w:top w:val="single" w:sz="4" w:space="0" w:color="auto"/>
          <w:left w:val="dotted" w:sz="4" w:space="0" w:color="auto"/>
          <w:bottom w:val="sing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834"/>
        <w:gridCol w:w="6520"/>
      </w:tblGrid>
      <w:tr w:rsidR="006E64F2" w:rsidRPr="006E64F2" w14:paraId="2C59EABA" w14:textId="77777777" w:rsidTr="00570216">
        <w:trPr>
          <w:cantSplit/>
          <w:trHeight w:val="20"/>
          <w:tblHeader/>
          <w:jc w:val="center"/>
        </w:trPr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C57952" w14:textId="7AE66243" w:rsidR="006E64F2" w:rsidRPr="006E64F2" w:rsidRDefault="006E64F2" w:rsidP="00CA6151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  <w:t>Column 1</w:t>
            </w:r>
          </w:p>
        </w:tc>
        <w:tc>
          <w:tcPr>
            <w:tcW w:w="34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289B7" w14:textId="7354A032" w:rsidR="006E64F2" w:rsidRPr="006E64F2" w:rsidRDefault="006E64F2" w:rsidP="00CA6151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  <w:t>Column 2</w:t>
            </w:r>
          </w:p>
        </w:tc>
      </w:tr>
      <w:tr w:rsidR="001B0E8F" w:rsidRPr="006E64F2" w14:paraId="38537677" w14:textId="77777777" w:rsidTr="00570216">
        <w:trPr>
          <w:cantSplit/>
          <w:trHeight w:val="20"/>
          <w:tblHeader/>
          <w:jc w:val="center"/>
        </w:trPr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4C576" w14:textId="045955D2" w:rsidR="001B0E8F" w:rsidRPr="006E64F2" w:rsidRDefault="001B0E8F" w:rsidP="00CA6151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  <w:t>Class of livestock, livestock products or other property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822FF" w14:textId="30BC0F4B" w:rsidR="001B0E8F" w:rsidRPr="006E64F2" w:rsidRDefault="001B0E8F" w:rsidP="00CA6151">
            <w:pPr>
              <w:spacing w:before="40" w:after="40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  <w:t>Part of the State</w:t>
            </w:r>
            <w:r w:rsidR="00661476"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  <w:br/>
            </w:r>
            <w:r w:rsidRPr="006E64F2">
              <w:rPr>
                <w:rFonts w:ascii="Times New Roman" w:eastAsia="Times New Roman" w:hAnsi="Times New Roman"/>
                <w:b/>
                <w:i/>
                <w:iCs/>
                <w:sz w:val="17"/>
                <w:szCs w:val="17"/>
              </w:rPr>
              <w:t>Conditions</w:t>
            </w:r>
          </w:p>
        </w:tc>
      </w:tr>
      <w:tr w:rsidR="00570216" w:rsidRPr="006E64F2" w14:paraId="2F00FEE6" w14:textId="77777777" w:rsidTr="00570216">
        <w:trPr>
          <w:cantSplit/>
          <w:trHeight w:val="20"/>
          <w:tblHeader/>
          <w:jc w:val="center"/>
        </w:trPr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E5D0CA" w14:textId="77777777" w:rsidR="00570216" w:rsidRPr="006E64F2" w:rsidRDefault="00570216" w:rsidP="00570216">
            <w:pPr>
              <w:spacing w:after="0" w:line="40" w:lineRule="exact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</w:p>
        </w:tc>
        <w:tc>
          <w:tcPr>
            <w:tcW w:w="34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87A63B" w14:textId="77777777" w:rsidR="00570216" w:rsidRPr="006E64F2" w:rsidRDefault="00570216" w:rsidP="00570216">
            <w:pPr>
              <w:spacing w:after="0" w:line="40" w:lineRule="exact"/>
              <w:jc w:val="center"/>
              <w:rPr>
                <w:rFonts w:ascii="Times New Roman" w:eastAsia="Times New Roman" w:hAnsi="Times New Roman"/>
                <w:b/>
                <w:iCs/>
                <w:sz w:val="17"/>
                <w:szCs w:val="17"/>
              </w:rPr>
            </w:pPr>
          </w:p>
        </w:tc>
      </w:tr>
      <w:tr w:rsidR="006E64F2" w:rsidRPr="006E64F2" w14:paraId="43E098F0" w14:textId="77777777" w:rsidTr="00570216">
        <w:trPr>
          <w:trHeight w:val="2124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108EB2B9" w14:textId="4D714DC0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6" w:hanging="284"/>
              <w:jc w:val="lef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Pigs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14:paraId="4D6B0BD1" w14:textId="0EC0A747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>Entry of pigs into South Australia from herds where Porcine Brucellosis is known or suspected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 to occur is not permitted.</w:t>
            </w:r>
          </w:p>
          <w:p w14:paraId="7B91B9AC" w14:textId="77777777" w:rsidR="004316CB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Breeding pigs entering South Australia from Queensland and New South Wales must be accompanied by a completed Pig Health Statement; and</w:t>
            </w:r>
          </w:p>
          <w:p w14:paraId="237DE635" w14:textId="77777777" w:rsidR="004316CB" w:rsidRDefault="004316CB" w:rsidP="00B2276C">
            <w:pPr>
              <w:spacing w:after="60"/>
              <w:ind w:left="317" w:hanging="284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(a)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A copy of the current Accreditation Certificate</w:t>
            </w:r>
            <w:r w:rsidR="006E64F2" w:rsidRPr="006E64F2" w:rsidDel="001D4BB7">
              <w:rPr>
                <w:rFonts w:ascii="Times New Roman" w:eastAsia="Times New Roman" w:hAnsi="Times New Roman"/>
                <w:sz w:val="17"/>
                <w:szCs w:val="17"/>
              </w:rPr>
              <w:t xml:space="preserve"> </w:t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for herds accredited under a </w:t>
            </w:r>
            <w:r w:rsidR="006E64F2" w:rsidRPr="006E64F2">
              <w:rPr>
                <w:rFonts w:ascii="Times New Roman" w:eastAsia="Times New Roman" w:hAnsi="Times New Roman"/>
                <w:i/>
                <w:sz w:val="17"/>
                <w:szCs w:val="17"/>
              </w:rPr>
              <w:t xml:space="preserve">Brucella </w:t>
            </w:r>
            <w:proofErr w:type="spellStart"/>
            <w:r w:rsidR="006E64F2" w:rsidRPr="006E64F2">
              <w:rPr>
                <w:rFonts w:ascii="Times New Roman" w:eastAsia="Times New Roman" w:hAnsi="Times New Roman"/>
                <w:i/>
                <w:sz w:val="17"/>
                <w:szCs w:val="17"/>
              </w:rPr>
              <w:t>suis</w:t>
            </w:r>
            <w:proofErr w:type="spellEnd"/>
            <w:r w:rsidR="006E64F2" w:rsidRPr="006E64F2">
              <w:rPr>
                <w:rFonts w:ascii="Times New Roman" w:eastAsia="Times New Roman" w:hAnsi="Times New Roman"/>
                <w:i/>
                <w:sz w:val="17"/>
                <w:szCs w:val="17"/>
              </w:rPr>
              <w:t xml:space="preserve"> </w:t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Accredited Herd Scheme; or</w:t>
            </w:r>
          </w:p>
          <w:p w14:paraId="0B00F79F" w14:textId="2EF90D3F" w:rsidR="006E64F2" w:rsidRPr="006E64F2" w:rsidRDefault="004316CB" w:rsidP="00B2276C">
            <w:pPr>
              <w:spacing w:after="60"/>
              <w:ind w:left="317" w:hanging="284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(b)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Non-accredited herds:</w:t>
            </w:r>
          </w:p>
          <w:p w14:paraId="29CCE32B" w14:textId="77777777" w:rsidR="004316CB" w:rsidRDefault="004316CB" w:rsidP="00B2276C">
            <w:pPr>
              <w:spacing w:after="60"/>
              <w:ind w:left="600" w:hanging="283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Breeding pigs moving to a property or boar testing facility in South Australia require a negative brucellosis serological test conducted within the preceding 30 </w:t>
            </w:r>
            <w:proofErr w:type="gramStart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days;</w:t>
            </w:r>
            <w:proofErr w:type="gramEnd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 or</w:t>
            </w:r>
          </w:p>
          <w:p w14:paraId="062E9396" w14:textId="2081ACBF" w:rsidR="006E64F2" w:rsidRPr="006E64F2" w:rsidRDefault="004316CB" w:rsidP="00B2276C">
            <w:pPr>
              <w:spacing w:after="60"/>
              <w:ind w:left="600" w:hanging="283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(ii)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pacing w:val="-4"/>
                <w:sz w:val="17"/>
                <w:szCs w:val="17"/>
              </w:rPr>
              <w:t xml:space="preserve">Breeding pigs may move to a facility in South Australia approved by the Chief Inspector </w:t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of Stock where brucellosis testing is conducted prior to release.</w:t>
            </w:r>
          </w:p>
        </w:tc>
      </w:tr>
      <w:tr w:rsidR="006E64F2" w:rsidRPr="006E64F2" w14:paraId="35267F31" w14:textId="77777777" w:rsidTr="00570216">
        <w:trPr>
          <w:trHeight w:val="1573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1A5818EA" w14:textId="77777777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7" w:hanging="284"/>
              <w:jc w:val="lef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lastRenderedPageBreak/>
              <w:t xml:space="preserve">Bees, bee colonies, hive components, apiary products, apiary appliances, and beekeeping plant, that, at any time since 1 January 2022, has been in the State of New South Wales, or in any other a State or Territory within which Varroa mite has been detected and reported by any relevant State or Territory authority responsible for any Act or Regulation equivalent to the </w:t>
            </w:r>
            <w:r w:rsidRPr="006E64F2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Livestock Act 1997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.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14:paraId="40C087CC" w14:textId="77777777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Entry into South Australia is prohibited unless accompanied by written permission of the Chief Inspector of Stock.</w:t>
            </w:r>
          </w:p>
        </w:tc>
      </w:tr>
      <w:tr w:rsidR="006E64F2" w:rsidRPr="006E64F2" w14:paraId="45EEDCA7" w14:textId="77777777" w:rsidTr="00570216">
        <w:trPr>
          <w:trHeight w:val="705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20EA4BBA" w14:textId="77777777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7" w:hanging="284"/>
              <w:jc w:val="lef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Subject to Item 2 above, bee colonies, apiary products, and appliances used in an apiary 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14:paraId="5767D8A3" w14:textId="5A73FB6D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A completed Apiary Health Certificate (Form 3a,</w:t>
            </w:r>
            <w:r w:rsidR="00DB4F28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3b) signed by an inspector within the preceding one (1) month must accompany bee colonies, apiary products and appliances used in an apiary entering South Australia.</w:t>
            </w:r>
          </w:p>
        </w:tc>
      </w:tr>
      <w:tr w:rsidR="006E64F2" w:rsidRPr="006E64F2" w14:paraId="7063A6F7" w14:textId="77777777" w:rsidTr="00570216">
        <w:trPr>
          <w:trHeight w:val="559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7793BAAC" w14:textId="77777777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7" w:hanging="284"/>
              <w:jc w:val="left"/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 xml:space="preserve">Subject to Item 2 above, Queen bees and 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escorts</w:t>
            </w:r>
            <w:r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 xml:space="preserve">, queen 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cells</w:t>
            </w:r>
            <w:r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 xml:space="preserve"> and package bees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14:paraId="796D47AD" w14:textId="48667067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spacing w:val="-4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pacing w:val="-4"/>
                <w:sz w:val="17"/>
                <w:szCs w:val="17"/>
              </w:rPr>
              <w:t>A completed Apiary Health Certificate (Form 3a,</w:t>
            </w:r>
            <w:r w:rsidR="007833E6">
              <w:rPr>
                <w:rFonts w:ascii="Times New Roman" w:eastAsia="Times New Roman" w:hAnsi="Times New Roman"/>
                <w:spacing w:val="-4"/>
                <w:sz w:val="17"/>
                <w:szCs w:val="17"/>
              </w:rPr>
              <w:t> </w:t>
            </w:r>
            <w:r w:rsidRPr="006E64F2">
              <w:rPr>
                <w:rFonts w:ascii="Times New Roman" w:eastAsia="Times New Roman" w:hAnsi="Times New Roman"/>
                <w:spacing w:val="-4"/>
                <w:sz w:val="17"/>
                <w:szCs w:val="17"/>
              </w:rPr>
              <w:t>3b) signed by an inspector within the preceding four (4) months must accompany queen bees and escorts, queen cells and package bees entering South Australia.</w:t>
            </w:r>
          </w:p>
        </w:tc>
      </w:tr>
      <w:tr w:rsidR="006E64F2" w:rsidRPr="006E64F2" w14:paraId="3CF2D763" w14:textId="77777777" w:rsidTr="00570216">
        <w:trPr>
          <w:trHeight w:val="850"/>
          <w:jc w:val="center"/>
        </w:trPr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</w:tcPr>
          <w:p w14:paraId="3A0939F5" w14:textId="77777777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7" w:hanging="284"/>
              <w:jc w:val="lef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Subject to Item 2 above Package bees, </w:t>
            </w:r>
            <w:proofErr w:type="gramStart"/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bee hives</w:t>
            </w:r>
            <w:proofErr w:type="gramEnd"/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, apiary products, used appliances, queen cells, queen bees and escorts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</w:tcPr>
          <w:p w14:paraId="0F0138F5" w14:textId="49EB478C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A completed Apiary Health Certificate (Form 3a,</w:t>
            </w:r>
            <w:r w:rsidR="00DB4F28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3b) signed by an inspector, and for the control of </w:t>
            </w:r>
            <w:proofErr w:type="spellStart"/>
            <w:r w:rsidRPr="006E64F2">
              <w:rPr>
                <w:rFonts w:ascii="Times New Roman" w:eastAsia="Times New Roman" w:hAnsi="Times New Roman"/>
                <w:i/>
                <w:sz w:val="17"/>
                <w:szCs w:val="17"/>
              </w:rPr>
              <w:t>Braula</w:t>
            </w:r>
            <w:proofErr w:type="spellEnd"/>
            <w:r w:rsidRPr="006E64F2">
              <w:rPr>
                <w:rFonts w:ascii="Times New Roman" w:eastAsia="Times New Roman" w:hAnsi="Times New Roman"/>
                <w:i/>
                <w:sz w:val="17"/>
                <w:szCs w:val="17"/>
              </w:rPr>
              <w:t xml:space="preserve"> coeca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, entry into South Australia from Tasmania is prohibited unless accompanied by written permission of the Chief Inspector of Stock.</w:t>
            </w:r>
          </w:p>
        </w:tc>
      </w:tr>
      <w:tr w:rsidR="006E64F2" w:rsidRPr="006E64F2" w14:paraId="43352B60" w14:textId="77777777" w:rsidTr="00570216">
        <w:trPr>
          <w:trHeight w:val="662"/>
          <w:jc w:val="center"/>
        </w:trPr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DB646" w14:textId="77777777" w:rsidR="006E64F2" w:rsidRPr="006E64F2" w:rsidRDefault="006E64F2" w:rsidP="00B2276C">
            <w:pPr>
              <w:numPr>
                <w:ilvl w:val="0"/>
                <w:numId w:val="8"/>
              </w:numPr>
              <w:tabs>
                <w:tab w:val="num" w:pos="266"/>
              </w:tabs>
              <w:spacing w:after="60"/>
              <w:ind w:left="267" w:hanging="284"/>
              <w:jc w:val="left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Subject to Item 2 above, Bee colonies, </w:t>
            </w:r>
            <w:proofErr w:type="gramStart"/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bee hives</w:t>
            </w:r>
            <w:proofErr w:type="gramEnd"/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, apiary products and appliances used in an apiary on Kangaroo Island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675F2" w14:textId="77777777" w:rsidR="006E64F2" w:rsidRPr="006E64F2" w:rsidRDefault="006E64F2" w:rsidP="00B2276C">
            <w:pPr>
              <w:spacing w:after="60"/>
              <w:rPr>
                <w:rFonts w:ascii="Times New Roman" w:eastAsia="Times New Roman" w:hAnsi="Times New Roman"/>
                <w:b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b/>
                <w:sz w:val="17"/>
                <w:szCs w:val="17"/>
              </w:rPr>
              <w:t>Kangaroo Island</w:t>
            </w:r>
          </w:p>
          <w:p w14:paraId="4DDEA704" w14:textId="77777777" w:rsidR="009C4685" w:rsidRDefault="006E64F2" w:rsidP="00B2276C">
            <w:pPr>
              <w:spacing w:after="60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Entry into Kangaroo Island of honey, pollen, propolis, other bee products, used hives, hive material and appliances used in an apiary is not permitted without a completed Apiary Health Certificate (Form 3a,</w:t>
            </w:r>
            <w:r w:rsidR="00DF56AB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  <w:r w:rsidRPr="006E64F2">
              <w:rPr>
                <w:rFonts w:ascii="Times New Roman" w:eastAsia="Times New Roman" w:hAnsi="Times New Roman"/>
                <w:sz w:val="17"/>
                <w:szCs w:val="17"/>
              </w:rPr>
              <w:t>3b) signed by an inspector, certifying:</w:t>
            </w:r>
          </w:p>
          <w:p w14:paraId="55877A9A" w14:textId="77777777" w:rsidR="009C4685" w:rsidRDefault="009C4685" w:rsidP="00B2276C">
            <w:pPr>
              <w:spacing w:after="60"/>
              <w:ind w:left="317" w:hanging="317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(a)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in the case of beeswax, that it has been refined by a heat treatment process approved by the Chief Inspector of </w:t>
            </w:r>
            <w:proofErr w:type="gramStart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Stock;</w:t>
            </w:r>
            <w:proofErr w:type="gramEnd"/>
          </w:p>
          <w:p w14:paraId="02EF8EDD" w14:textId="77777777" w:rsidR="009C4685" w:rsidRDefault="009C4685" w:rsidP="00B2276C">
            <w:pPr>
              <w:spacing w:after="60"/>
              <w:ind w:left="317" w:hanging="317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b</w:t>
            </w: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in the case of used </w:t>
            </w:r>
            <w:proofErr w:type="gramStart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bee hives</w:t>
            </w:r>
            <w:proofErr w:type="gramEnd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, hive material and appliances used in an apiary, that they have been subjected to a minimum gamma irradiation dose of 15</w:t>
            </w:r>
            <w:r w:rsidR="000853AE">
              <w:rPr>
                <w:rFonts w:ascii="Times New Roman" w:eastAsia="Times New Roman" w:hAnsi="Times New Roman"/>
                <w:sz w:val="17"/>
                <w:szCs w:val="17"/>
              </w:rPr>
              <w:t> </w:t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K Gray; or</w:t>
            </w:r>
          </w:p>
          <w:p w14:paraId="0F10615B" w14:textId="7DCB7FB7" w:rsidR="006E64F2" w:rsidRPr="006E64F2" w:rsidRDefault="009C4685" w:rsidP="00B2276C">
            <w:pPr>
              <w:spacing w:after="60"/>
              <w:ind w:left="317" w:hanging="317"/>
              <w:rPr>
                <w:rFonts w:ascii="Times New Roman" w:eastAsia="Times New Roman" w:hAnsi="Times New Roman"/>
                <w:sz w:val="17"/>
                <w:szCs w:val="17"/>
              </w:rPr>
            </w:pP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(</w:t>
            </w:r>
            <w:r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c</w:t>
            </w:r>
            <w:r w:rsidRPr="004316CB">
              <w:rPr>
                <w:rFonts w:ascii="Times New Roman" w:eastAsia="Times New Roman" w:hAnsi="Times New Roman"/>
                <w:i/>
                <w:iCs/>
                <w:sz w:val="17"/>
                <w:szCs w:val="17"/>
              </w:rPr>
              <w:t>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in any other case:</w:t>
            </w:r>
          </w:p>
          <w:p w14:paraId="02738C0C" w14:textId="5A749E06" w:rsidR="006E64F2" w:rsidRPr="006E64F2" w:rsidRDefault="00272B8F" w:rsidP="00B2276C">
            <w:pPr>
              <w:spacing w:after="60"/>
              <w:ind w:left="600" w:hanging="283"/>
              <w:rPr>
                <w:rFonts w:ascii="Times New Roman" w:eastAsia="Times New Roman" w:hAnsi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17"/>
                <w:szCs w:val="17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17"/>
                <w:szCs w:val="17"/>
              </w:rPr>
              <w:t>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that the product has been tested and is free of American foul brood (</w:t>
            </w:r>
            <w:proofErr w:type="spellStart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>Paenibacillus</w:t>
            </w:r>
            <w:proofErr w:type="spellEnd"/>
            <w:r w:rsidR="006E64F2" w:rsidRPr="006E64F2">
              <w:rPr>
                <w:rFonts w:ascii="Times New Roman" w:eastAsia="Times New Roman" w:hAnsi="Times New Roman"/>
                <w:sz w:val="17"/>
                <w:szCs w:val="17"/>
              </w:rPr>
              <w:t xml:space="preserve"> larvae) and has been subjected to a temperature of 70°C for two hours or 65°C for eight hours, or a similar approved treatment; or</w:t>
            </w:r>
          </w:p>
          <w:p w14:paraId="25D04D60" w14:textId="79B6E001" w:rsidR="006E64F2" w:rsidRPr="006E64F2" w:rsidRDefault="00272B8F" w:rsidP="00B2276C">
            <w:pPr>
              <w:spacing w:after="60"/>
              <w:ind w:left="600" w:hanging="283"/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</w:rPr>
              <w:t>(ii)</w:t>
            </w:r>
            <w:r>
              <w:tab/>
            </w:r>
            <w:r w:rsidR="006E64F2"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>that the product has been subjected to a minimum gamma irradiation dose of 15</w:t>
            </w:r>
            <w:r w:rsidR="0036221C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> </w:t>
            </w:r>
            <w:r w:rsidR="006E64F2" w:rsidRPr="006E64F2">
              <w:rPr>
                <w:rFonts w:ascii="Times New Roman" w:eastAsia="Times New Roman" w:hAnsi="Times New Roman"/>
                <w:spacing w:val="-2"/>
                <w:sz w:val="17"/>
                <w:szCs w:val="17"/>
              </w:rPr>
              <w:t>K Gray.</w:t>
            </w:r>
          </w:p>
        </w:tc>
      </w:tr>
    </w:tbl>
    <w:p w14:paraId="1B4A37F2" w14:textId="7608964A" w:rsidR="006E64F2" w:rsidRPr="006E64F2" w:rsidRDefault="006E64F2" w:rsidP="006E64F2">
      <w:pPr>
        <w:spacing w:after="0" w:line="80" w:lineRule="exact"/>
        <w:rPr>
          <w:rFonts w:ascii="Times New Roman" w:eastAsia="Times New Roman" w:hAnsi="Times New Roman"/>
          <w:sz w:val="17"/>
          <w:szCs w:val="17"/>
        </w:rPr>
      </w:pPr>
    </w:p>
    <w:p w14:paraId="0391DF6F" w14:textId="05ED668E" w:rsidR="006E64F2" w:rsidRPr="006E64F2" w:rsidRDefault="006E64F2" w:rsidP="00B2276C">
      <w:pPr>
        <w:spacing w:after="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For the purposes of </w:t>
      </w:r>
      <w:r>
        <w:rPr>
          <w:rFonts w:ascii="Times New Roman" w:eastAsia="Times New Roman" w:hAnsi="Times New Roman"/>
          <w:sz w:val="17"/>
          <w:szCs w:val="17"/>
        </w:rPr>
        <w:t>S</w:t>
      </w:r>
      <w:r w:rsidRPr="006E64F2">
        <w:rPr>
          <w:rFonts w:ascii="Times New Roman" w:eastAsia="Times New Roman" w:hAnsi="Times New Roman"/>
          <w:sz w:val="17"/>
          <w:szCs w:val="17"/>
        </w:rPr>
        <w:t xml:space="preserve">ection 33(5) of the </w:t>
      </w:r>
      <w:r w:rsidRPr="006E64F2">
        <w:rPr>
          <w:rFonts w:ascii="Times New Roman" w:eastAsia="Times New Roman" w:hAnsi="Times New Roman"/>
          <w:i/>
          <w:iCs/>
          <w:sz w:val="17"/>
          <w:szCs w:val="17"/>
        </w:rPr>
        <w:t xml:space="preserve">Livestock Act 1997, </w:t>
      </w:r>
      <w:r w:rsidRPr="006E64F2">
        <w:rPr>
          <w:rFonts w:ascii="Times New Roman" w:eastAsia="Times New Roman" w:hAnsi="Times New Roman"/>
          <w:sz w:val="17"/>
          <w:szCs w:val="17"/>
        </w:rPr>
        <w:t>Item 2 of this notice is issued for the purposes of controlling or</w:t>
      </w:r>
      <w:r>
        <w:rPr>
          <w:rFonts w:ascii="Times New Roman" w:eastAsia="Times New Roman" w:hAnsi="Times New Roman"/>
          <w:sz w:val="17"/>
          <w:szCs w:val="17"/>
        </w:rPr>
        <w:t xml:space="preserve"> </w:t>
      </w:r>
      <w:r w:rsidRPr="006E64F2">
        <w:rPr>
          <w:rFonts w:ascii="Times New Roman" w:eastAsia="Times New Roman" w:hAnsi="Times New Roman"/>
          <w:sz w:val="17"/>
          <w:szCs w:val="17"/>
        </w:rPr>
        <w:t>eradicating an exotic disease, being Varroa mites.</w:t>
      </w:r>
    </w:p>
    <w:p w14:paraId="2D2F9E15" w14:textId="77777777" w:rsidR="006E64F2" w:rsidRPr="006E64F2" w:rsidRDefault="006E64F2" w:rsidP="00B2276C">
      <w:pPr>
        <w:spacing w:after="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i/>
          <w:iCs/>
          <w:sz w:val="17"/>
          <w:szCs w:val="17"/>
        </w:rPr>
        <w:t>Definitions</w:t>
      </w:r>
    </w:p>
    <w:p w14:paraId="16D04673" w14:textId="77777777" w:rsidR="006E64F2" w:rsidRPr="006E64F2" w:rsidRDefault="006E64F2" w:rsidP="00B2276C">
      <w:pPr>
        <w:spacing w:after="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>In this Notice:</w:t>
      </w:r>
    </w:p>
    <w:p w14:paraId="4F2B73CE" w14:textId="4DE43C60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  <w:u w:val="single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‘Apiary Health Certificate’ means a document called a Health Certificate for the Interstate Movement of Apiary Products, Bee Colonies Used Appliances, Queen Bees, Escorts, Queen Cells and Package Bees (Form 3a,3b) available at: </w:t>
      </w:r>
      <w:hyperlink r:id="rId9" w:history="1">
        <w:r w:rsidRPr="006E64F2">
          <w:rPr>
            <w:rFonts w:ascii="Times New Roman" w:eastAsia="Times New Roman" w:hAnsi="Times New Roman"/>
            <w:color w:val="0000FF"/>
            <w:sz w:val="17"/>
            <w:szCs w:val="17"/>
            <w:u w:val="single"/>
          </w:rPr>
          <w:t>www.pir.sa.gov.au</w:t>
        </w:r>
      </w:hyperlink>
      <w:r w:rsidRPr="006E64F2">
        <w:rPr>
          <w:rFonts w:ascii="Times New Roman" w:eastAsia="Times New Roman" w:hAnsi="Times New Roman"/>
          <w:sz w:val="17"/>
          <w:szCs w:val="17"/>
          <w:u w:val="single"/>
        </w:rPr>
        <w:t xml:space="preserve"> </w:t>
      </w:r>
    </w:p>
    <w:p w14:paraId="5106915B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‘Apiary products’ include honey, </w:t>
      </w:r>
      <w:proofErr w:type="gramStart"/>
      <w:r w:rsidRPr="006E64F2">
        <w:rPr>
          <w:rFonts w:ascii="Times New Roman" w:eastAsia="Times New Roman" w:hAnsi="Times New Roman"/>
          <w:sz w:val="17"/>
          <w:szCs w:val="17"/>
        </w:rPr>
        <w:t>honey comb</w:t>
      </w:r>
      <w:proofErr w:type="gramEnd"/>
      <w:r w:rsidRPr="006E64F2">
        <w:rPr>
          <w:rFonts w:ascii="Times New Roman" w:eastAsia="Times New Roman" w:hAnsi="Times New Roman"/>
          <w:sz w:val="17"/>
          <w:szCs w:val="17"/>
        </w:rPr>
        <w:t>, beeswax, pollen, propolis, royal jelly and venom.</w:t>
      </w:r>
    </w:p>
    <w:p w14:paraId="04034301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>‘Apiary appliances’ means any article, apparatus or implement used in connection with the keeping of bees or the handling or processing of apiary products.</w:t>
      </w:r>
    </w:p>
    <w:p w14:paraId="0C2E22E8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‘Bee colony’ includes packages, </w:t>
      </w:r>
      <w:proofErr w:type="gramStart"/>
      <w:r w:rsidRPr="006E64F2">
        <w:rPr>
          <w:rFonts w:ascii="Times New Roman" w:eastAsia="Times New Roman" w:hAnsi="Times New Roman"/>
          <w:sz w:val="17"/>
          <w:szCs w:val="17"/>
        </w:rPr>
        <w:t>swarms</w:t>
      </w:r>
      <w:proofErr w:type="gramEnd"/>
      <w:r w:rsidRPr="006E64F2">
        <w:rPr>
          <w:rFonts w:ascii="Times New Roman" w:eastAsia="Times New Roman" w:hAnsi="Times New Roman"/>
          <w:sz w:val="17"/>
          <w:szCs w:val="17"/>
        </w:rPr>
        <w:t xml:space="preserve"> and hives</w:t>
      </w:r>
    </w:p>
    <w:p w14:paraId="60FDD1D5" w14:textId="315C9A3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‘Bee’ includes European </w:t>
      </w:r>
      <w:proofErr w:type="gramStart"/>
      <w:r w:rsidRPr="006E64F2">
        <w:rPr>
          <w:rFonts w:ascii="Times New Roman" w:eastAsia="Times New Roman" w:hAnsi="Times New Roman"/>
          <w:sz w:val="17"/>
          <w:szCs w:val="17"/>
        </w:rPr>
        <w:t>honey bee</w:t>
      </w:r>
      <w:proofErr w:type="gramEnd"/>
      <w:r w:rsidRPr="006E64F2">
        <w:rPr>
          <w:rFonts w:ascii="Times New Roman" w:eastAsia="Times New Roman" w:hAnsi="Times New Roman"/>
          <w:sz w:val="17"/>
          <w:szCs w:val="17"/>
        </w:rPr>
        <w:t xml:space="preserve"> (</w:t>
      </w:r>
      <w:proofErr w:type="spellStart"/>
      <w:r w:rsidRPr="006E64F2">
        <w:rPr>
          <w:rFonts w:ascii="Times New Roman" w:eastAsia="Times New Roman" w:hAnsi="Times New Roman"/>
          <w:i/>
          <w:iCs/>
          <w:sz w:val="17"/>
          <w:szCs w:val="17"/>
        </w:rPr>
        <w:t>Apis</w:t>
      </w:r>
      <w:proofErr w:type="spellEnd"/>
      <w:r w:rsidRPr="006E64F2">
        <w:rPr>
          <w:rFonts w:ascii="Times New Roman" w:eastAsia="Times New Roman" w:hAnsi="Times New Roman"/>
          <w:i/>
          <w:iCs/>
          <w:sz w:val="17"/>
          <w:szCs w:val="17"/>
        </w:rPr>
        <w:t xml:space="preserve"> mellifera</w:t>
      </w:r>
      <w:r w:rsidRPr="006E64F2">
        <w:rPr>
          <w:rFonts w:ascii="Times New Roman" w:eastAsia="Times New Roman" w:hAnsi="Times New Roman"/>
          <w:sz w:val="17"/>
          <w:szCs w:val="17"/>
        </w:rPr>
        <w:t>) or Asian honey bee (</w:t>
      </w:r>
      <w:proofErr w:type="spellStart"/>
      <w:r w:rsidRPr="006E64F2">
        <w:rPr>
          <w:rFonts w:ascii="Times New Roman" w:eastAsia="Times New Roman" w:hAnsi="Times New Roman"/>
          <w:i/>
          <w:iCs/>
          <w:sz w:val="17"/>
          <w:szCs w:val="17"/>
        </w:rPr>
        <w:t>Apis</w:t>
      </w:r>
      <w:proofErr w:type="spellEnd"/>
      <w:r w:rsidRPr="006E64F2">
        <w:rPr>
          <w:rFonts w:ascii="Times New Roman" w:eastAsia="Times New Roman" w:hAnsi="Times New Roman"/>
          <w:i/>
          <w:iCs/>
          <w:sz w:val="17"/>
          <w:szCs w:val="17"/>
        </w:rPr>
        <w:t xml:space="preserve"> </w:t>
      </w:r>
      <w:proofErr w:type="spellStart"/>
      <w:r w:rsidRPr="006E64F2">
        <w:rPr>
          <w:rFonts w:ascii="Times New Roman" w:eastAsia="Times New Roman" w:hAnsi="Times New Roman"/>
          <w:i/>
          <w:iCs/>
          <w:sz w:val="17"/>
          <w:szCs w:val="17"/>
        </w:rPr>
        <w:t>cerana</w:t>
      </w:r>
      <w:proofErr w:type="spellEnd"/>
      <w:r w:rsidRPr="006E64F2">
        <w:rPr>
          <w:rFonts w:ascii="Times New Roman" w:eastAsia="Times New Roman" w:hAnsi="Times New Roman"/>
          <w:sz w:val="17"/>
          <w:szCs w:val="17"/>
        </w:rPr>
        <w:t>) of any life stage or caste.</w:t>
      </w:r>
    </w:p>
    <w:p w14:paraId="0467B106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‘Beekeeping plant’ includes plant associated with beekeeping (including </w:t>
      </w:r>
      <w:proofErr w:type="spellStart"/>
      <w:r w:rsidRPr="006E64F2">
        <w:rPr>
          <w:rFonts w:ascii="Times New Roman" w:eastAsia="Times New Roman" w:hAnsi="Times New Roman"/>
          <w:sz w:val="17"/>
          <w:szCs w:val="17"/>
        </w:rPr>
        <w:t>utes</w:t>
      </w:r>
      <w:proofErr w:type="spellEnd"/>
      <w:r w:rsidRPr="006E64F2">
        <w:rPr>
          <w:rFonts w:ascii="Times New Roman" w:eastAsia="Times New Roman" w:hAnsi="Times New Roman"/>
          <w:sz w:val="17"/>
          <w:szCs w:val="17"/>
        </w:rPr>
        <w:t>, trucks, trailers, forklifts/ loaders, and extraction vans, and all other plant associated with beekeeping or the handling or processing of apiary products)</w:t>
      </w:r>
    </w:p>
    <w:p w14:paraId="18FEE216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‘Hive components’ includes all components associated with a hive </w:t>
      </w:r>
    </w:p>
    <w:p w14:paraId="05343499" w14:textId="77777777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>‘Varroa mites’ includes all life stages and associated diseases (including Deformed Wing Virus) of mites of the genus Varroa</w:t>
      </w:r>
    </w:p>
    <w:p w14:paraId="3ED27373" w14:textId="73E04FE1" w:rsidR="006E64F2" w:rsidRPr="006E64F2" w:rsidRDefault="006E64F2" w:rsidP="00B2276C">
      <w:pPr>
        <w:spacing w:after="60"/>
        <w:ind w:left="1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z w:val="17"/>
          <w:szCs w:val="17"/>
        </w:rPr>
        <w:t xml:space="preserve">‘Pig Health Statement’ means a form called Pig Health Statement for Breeding Pigs Entering South Australia from New South Wales and Queensland available at: </w:t>
      </w:r>
      <w:hyperlink r:id="rId10" w:history="1">
        <w:r w:rsidR="007562A8" w:rsidRPr="006E64F2">
          <w:rPr>
            <w:rFonts w:ascii="Times New Roman" w:eastAsia="Times New Roman" w:hAnsi="Times New Roman"/>
            <w:color w:val="0000FF"/>
            <w:sz w:val="17"/>
            <w:szCs w:val="17"/>
            <w:u w:val="single"/>
          </w:rPr>
          <w:t>www.pir.sa.gov.au</w:t>
        </w:r>
      </w:hyperlink>
    </w:p>
    <w:p w14:paraId="2AA3E084" w14:textId="1846DD20" w:rsidR="006E64F2" w:rsidRPr="006E64F2" w:rsidRDefault="006E64F2" w:rsidP="00B2276C">
      <w:pPr>
        <w:spacing w:after="60"/>
        <w:rPr>
          <w:rFonts w:ascii="Times New Roman" w:eastAsia="Times New Roman" w:hAnsi="Times New Roman"/>
          <w:sz w:val="17"/>
          <w:szCs w:val="17"/>
        </w:rPr>
      </w:pPr>
      <w:r w:rsidRPr="006E64F2">
        <w:rPr>
          <w:rFonts w:ascii="Times New Roman" w:eastAsia="Times New Roman" w:hAnsi="Times New Roman"/>
          <w:spacing w:val="-4"/>
          <w:sz w:val="17"/>
          <w:szCs w:val="17"/>
        </w:rPr>
        <w:t>Copies of documents referred to in this notice may also be obtained from the Chief Inspector of Stock at 33 Flemington Street, Glenside SA 6065,</w:t>
      </w:r>
      <w:r w:rsidRPr="006E64F2">
        <w:rPr>
          <w:rFonts w:ascii="Times New Roman" w:eastAsia="Times New Roman" w:hAnsi="Times New Roman"/>
          <w:sz w:val="17"/>
          <w:szCs w:val="17"/>
        </w:rPr>
        <w:t xml:space="preserve"> or GPO Box 1671, Adelaide SA 5001 or by phone (08)</w:t>
      </w:r>
      <w:r w:rsidR="00190D38">
        <w:rPr>
          <w:rFonts w:ascii="Times New Roman" w:eastAsia="Times New Roman" w:hAnsi="Times New Roman"/>
          <w:sz w:val="17"/>
          <w:szCs w:val="17"/>
        </w:rPr>
        <w:t> </w:t>
      </w:r>
      <w:r w:rsidRPr="006E64F2">
        <w:rPr>
          <w:rFonts w:ascii="Times New Roman" w:eastAsia="Times New Roman" w:hAnsi="Times New Roman"/>
          <w:sz w:val="17"/>
          <w:szCs w:val="17"/>
        </w:rPr>
        <w:t>8207</w:t>
      </w:r>
      <w:r w:rsidR="00190D38">
        <w:rPr>
          <w:rFonts w:ascii="Times New Roman" w:eastAsia="Times New Roman" w:hAnsi="Times New Roman"/>
          <w:sz w:val="17"/>
          <w:szCs w:val="17"/>
        </w:rPr>
        <w:t> </w:t>
      </w:r>
      <w:r w:rsidRPr="006E64F2">
        <w:rPr>
          <w:rFonts w:ascii="Times New Roman" w:eastAsia="Times New Roman" w:hAnsi="Times New Roman"/>
          <w:sz w:val="17"/>
          <w:szCs w:val="17"/>
        </w:rPr>
        <w:t>7900.</w:t>
      </w:r>
    </w:p>
    <w:p w14:paraId="6BE8E458" w14:textId="1BE1E1F5" w:rsidR="006E64F2" w:rsidRPr="006E64F2" w:rsidRDefault="006E64F2" w:rsidP="006E64F2">
      <w:pPr>
        <w:pStyle w:val="GG-SDated"/>
      </w:pPr>
      <w:r w:rsidRPr="006E64F2">
        <w:t>Dated: 4</w:t>
      </w:r>
      <w:r>
        <w:t xml:space="preserve"> July </w:t>
      </w:r>
      <w:r w:rsidRPr="006E64F2">
        <w:t>2022</w:t>
      </w:r>
    </w:p>
    <w:p w14:paraId="608CED3E" w14:textId="77777777" w:rsidR="006E64F2" w:rsidRPr="006E64F2" w:rsidRDefault="006E64F2" w:rsidP="006E64F2">
      <w:pPr>
        <w:pStyle w:val="GG-SName"/>
      </w:pPr>
      <w:r w:rsidRPr="006E64F2">
        <w:t xml:space="preserve">Mary Ruth </w:t>
      </w:r>
      <w:proofErr w:type="spellStart"/>
      <w:r w:rsidRPr="006E64F2">
        <w:t>Carr</w:t>
      </w:r>
      <w:proofErr w:type="spellEnd"/>
    </w:p>
    <w:p w14:paraId="1976454F" w14:textId="77777777" w:rsidR="006E64F2" w:rsidRPr="006E64F2" w:rsidRDefault="006E64F2" w:rsidP="006E64F2">
      <w:pPr>
        <w:pStyle w:val="GG-Signature"/>
      </w:pPr>
      <w:r w:rsidRPr="006E64F2">
        <w:t>Chief Inspector of Stock</w:t>
      </w:r>
    </w:p>
    <w:p w14:paraId="694D9CBF" w14:textId="77777777" w:rsidR="006E64F2" w:rsidRPr="006E64F2" w:rsidRDefault="006E64F2" w:rsidP="006E64F2">
      <w:pPr>
        <w:pStyle w:val="GG-Signature"/>
      </w:pPr>
      <w:r w:rsidRPr="006E64F2">
        <w:t>Delegate of the Minister for Primary Industries and Regional Development</w:t>
      </w:r>
    </w:p>
    <w:p w14:paraId="61833C4D" w14:textId="77777777" w:rsidR="006E64F2" w:rsidRPr="006E64F2" w:rsidRDefault="006E64F2" w:rsidP="006E64F2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02AD4BEA" w14:textId="77777777" w:rsidR="006E64F2" w:rsidRPr="006E64F2" w:rsidRDefault="006E64F2" w:rsidP="006E64F2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4D45FFBD" w14:textId="77777777" w:rsidR="006E64F2" w:rsidRPr="006E64F2" w:rsidRDefault="006E64F2" w:rsidP="006E64F2">
      <w:pPr>
        <w:spacing w:after="0"/>
        <w:rPr>
          <w:rFonts w:ascii="Times New Roman" w:eastAsia="Times New Roman" w:hAnsi="Times New Roman"/>
          <w:sz w:val="17"/>
          <w:szCs w:val="17"/>
          <w:lang w:val="en-US"/>
        </w:rPr>
      </w:pPr>
    </w:p>
    <w:p w14:paraId="6F5DC8BA" w14:textId="11944EA6" w:rsidR="00D47B2F" w:rsidRPr="00144772" w:rsidRDefault="00D47B2F" w:rsidP="00D47B2F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 w:rsidRPr="007F62E0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instruments 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appearing in this gazette are to be considered official, and obeyed as such</w:t>
      </w:r>
    </w:p>
    <w:p w14:paraId="7BEA8393" w14:textId="77777777" w:rsidR="00D47B2F" w:rsidRPr="00144772" w:rsidRDefault="00D47B2F" w:rsidP="00D47B2F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6EC68FEB" w14:textId="56257EC3" w:rsidR="00D47B2F" w:rsidRPr="00DE3C9E" w:rsidRDefault="00D47B2F" w:rsidP="00D47B2F">
      <w:pPr>
        <w:spacing w:before="180" w:after="0"/>
        <w:jc w:val="center"/>
        <w:rPr>
          <w:rFonts w:ascii="Times New Roman" w:hAnsi="Times New Roman"/>
          <w:sz w:val="17"/>
          <w:szCs w:val="17"/>
        </w:rPr>
      </w:pPr>
      <w:r w:rsidRPr="00DE3C9E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="001C4E11">
        <w:rPr>
          <w:rFonts w:ascii="Times New Roman" w:hAnsi="Times New Roman"/>
          <w:sz w:val="17"/>
          <w:szCs w:val="17"/>
        </w:rPr>
        <w:t>S</w:t>
      </w:r>
      <w:r w:rsidRPr="00DE3C9E">
        <w:rPr>
          <w:rFonts w:ascii="Times New Roman" w:hAnsi="Times New Roman"/>
          <w:sz w:val="17"/>
          <w:szCs w:val="17"/>
        </w:rPr>
        <w:t xml:space="preserve">. </w:t>
      </w:r>
      <w:r w:rsidR="001C4E11">
        <w:rPr>
          <w:rFonts w:ascii="Times New Roman" w:hAnsi="Times New Roman"/>
          <w:smallCaps/>
          <w:sz w:val="17"/>
          <w:szCs w:val="17"/>
        </w:rPr>
        <w:t>Smith</w:t>
      </w:r>
      <w:r w:rsidRPr="00DE3C9E">
        <w:rPr>
          <w:rFonts w:ascii="Times New Roman" w:hAnsi="Times New Roman"/>
          <w:sz w:val="17"/>
          <w:szCs w:val="17"/>
        </w:rPr>
        <w:t>, Government Printer, South Australia</w:t>
      </w:r>
    </w:p>
    <w:p w14:paraId="528C0B67" w14:textId="77777777" w:rsidR="00D47B2F" w:rsidRPr="00DE3C9E" w:rsidRDefault="00D47B2F" w:rsidP="00D47B2F">
      <w:pPr>
        <w:spacing w:after="0"/>
        <w:jc w:val="center"/>
        <w:rPr>
          <w:rFonts w:ascii="Times New Roman" w:hAnsi="Times New Roman"/>
          <w:sz w:val="17"/>
          <w:szCs w:val="17"/>
        </w:rPr>
      </w:pPr>
      <w:r w:rsidRPr="00DE3C9E">
        <w:rPr>
          <w:rFonts w:ascii="Times New Roman" w:hAnsi="Times New Roman"/>
          <w:sz w:val="17"/>
          <w:szCs w:val="17"/>
        </w:rPr>
        <w:t>$8.15 per issue (plus postage), $411.00 per annual subscription—GST inclusive</w:t>
      </w:r>
    </w:p>
    <w:p w14:paraId="22273FA1" w14:textId="5B82D2C3" w:rsidR="00AE6D9C" w:rsidRDefault="00D47B2F" w:rsidP="00D47B2F">
      <w:pPr>
        <w:spacing w:after="0" w:line="240" w:lineRule="auto"/>
        <w:jc w:val="center"/>
        <w:rPr>
          <w:rFonts w:ascii="Times New Roman" w:hAnsi="Times New Roman"/>
          <w:color w:val="0000FF"/>
          <w:sz w:val="17"/>
          <w:szCs w:val="17"/>
          <w:u w:val="single"/>
        </w:rPr>
      </w:pPr>
      <w:r w:rsidRPr="00DE3C9E">
        <w:rPr>
          <w:rFonts w:ascii="Times New Roman" w:hAnsi="Times New Roman"/>
          <w:sz w:val="17"/>
          <w:szCs w:val="17"/>
        </w:rPr>
        <w:t xml:space="preserve">Online publications: </w:t>
      </w:r>
      <w:hyperlink r:id="rId11" w:history="1">
        <w:r w:rsidRPr="00DE3C9E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sectPr w:rsidR="00AE6D9C" w:rsidSect="008F42E0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1134" w:right="1259" w:bottom="1134" w:left="1293" w:header="1134" w:footer="1134" w:gutter="0"/>
      <w:pgNumType w:start="2115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1047" w14:textId="77777777" w:rsidR="001A42A5" w:rsidRDefault="001A42A5" w:rsidP="00777F88">
      <w:pPr>
        <w:spacing w:after="0" w:line="240" w:lineRule="auto"/>
      </w:pPr>
      <w:r>
        <w:separator/>
      </w:r>
    </w:p>
  </w:endnote>
  <w:endnote w:type="continuationSeparator" w:id="0">
    <w:p w14:paraId="7FC28ABD" w14:textId="77777777" w:rsidR="001A42A5" w:rsidRDefault="001A42A5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092E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64B1F7DC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1A7E9E12" w14:textId="573C54DE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1C4E11" w:rsidRPr="001C4E11">
      <w:rPr>
        <w:rFonts w:ascii="Times New Roman" w:hAnsi="Times New Roman"/>
        <w:smallCaps/>
        <w:sz w:val="17"/>
        <w:szCs w:val="17"/>
      </w:rPr>
      <w:t>S. Smith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0682E8A4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672395B8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D0BE" w14:textId="77777777" w:rsidR="001A42A5" w:rsidRDefault="001A42A5" w:rsidP="00777F88">
      <w:pPr>
        <w:spacing w:after="0" w:line="240" w:lineRule="auto"/>
      </w:pPr>
      <w:r>
        <w:separator/>
      </w:r>
    </w:p>
  </w:footnote>
  <w:footnote w:type="continuationSeparator" w:id="0">
    <w:p w14:paraId="5086F535" w14:textId="77777777" w:rsidR="001A42A5" w:rsidRDefault="001A42A5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3861" w14:textId="4EB2EE7E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1A42A5">
      <w:rPr>
        <w:rStyle w:val="PageNumber"/>
        <w:rFonts w:ascii="Times New Roman" w:hAnsi="Times New Roman"/>
        <w:sz w:val="21"/>
        <w:szCs w:val="21"/>
      </w:rPr>
      <w:t>45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1A42A5">
      <w:rPr>
        <w:rStyle w:val="PageNumber"/>
        <w:rFonts w:ascii="Times New Roman" w:hAnsi="Times New Roman"/>
        <w:sz w:val="21"/>
        <w:szCs w:val="21"/>
      </w:rPr>
      <w:t>4 July</w:t>
    </w:r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 w:rsidR="001A42A5">
      <w:rPr>
        <w:rFonts w:ascii="Times New Roman" w:hAnsi="Times New Roman"/>
        <w:sz w:val="21"/>
        <w:szCs w:val="21"/>
      </w:rPr>
      <w:t>22</w:t>
    </w:r>
  </w:p>
  <w:p w14:paraId="50E590BE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8AD2" w14:textId="6C43A29F" w:rsidR="00AE6D9C" w:rsidRPr="00552C29" w:rsidRDefault="001A42A5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4 July</w:t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AE6D9C" w:rsidRPr="00552C29">
      <w:rPr>
        <w:rFonts w:ascii="Times New Roman" w:hAnsi="Times New Roman"/>
        <w:sz w:val="21"/>
        <w:szCs w:val="21"/>
      </w:rPr>
      <w:t>202</w:t>
    </w:r>
    <w:r w:rsidR="00890E1C">
      <w:rPr>
        <w:rFonts w:ascii="Times New Roman" w:hAnsi="Times New Roman"/>
        <w:sz w:val="21"/>
        <w:szCs w:val="21"/>
      </w:rPr>
      <w:t>2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>45</w:t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AE6D9C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40984CA4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1B67" w14:textId="42DD1046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1A42A5">
      <w:rPr>
        <w:rFonts w:ascii="Times New Roman" w:hAnsi="Times New Roman"/>
        <w:sz w:val="21"/>
        <w:szCs w:val="21"/>
      </w:rPr>
      <w:t>45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8F42E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8F42E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8F42E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8F42E0">
      <w:rPr>
        <w:rStyle w:val="PageNumber"/>
        <w:rFonts w:ascii="Times New Roman" w:hAnsi="Times New Roman"/>
        <w:sz w:val="21"/>
        <w:szCs w:val="21"/>
      </w:rPr>
      <w:t>2117</w:t>
    </w:r>
    <w:r w:rsidR="008F42E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BF7"/>
    <w:multiLevelType w:val="hybridMultilevel"/>
    <w:tmpl w:val="831411A4"/>
    <w:lvl w:ilvl="0" w:tplc="3DE4DF1C">
      <w:start w:val="1"/>
      <w:numFmt w:val="lowerRoman"/>
      <w:lvlText w:val="(%1)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C7C2DC9"/>
    <w:multiLevelType w:val="hybridMultilevel"/>
    <w:tmpl w:val="B5142E84"/>
    <w:lvl w:ilvl="0" w:tplc="CB1696BC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0A46B32">
      <w:start w:val="1"/>
      <w:numFmt w:val="decimal"/>
      <w:lvlText w:val="%3."/>
      <w:lvlJc w:val="left"/>
      <w:pPr>
        <w:ind w:left="1980" w:hanging="36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E005112"/>
    <w:multiLevelType w:val="hybridMultilevel"/>
    <w:tmpl w:val="E142664E"/>
    <w:lvl w:ilvl="0" w:tplc="14566E7C">
      <w:start w:val="1"/>
      <w:numFmt w:val="lowerLetter"/>
      <w:lvlText w:val="(%1)"/>
      <w:lvlJc w:val="left"/>
      <w:pPr>
        <w:ind w:left="360" w:hanging="360"/>
      </w:pPr>
      <w:rPr>
        <w:rFonts w:ascii="Times New Roman" w:eastAsia="Calibri" w:hAnsi="Times New Roman" w:cs="Times New Roman" w:hint="default"/>
        <w:i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DE05106"/>
    <w:multiLevelType w:val="hybridMultilevel"/>
    <w:tmpl w:val="B67054E2"/>
    <w:lvl w:ilvl="0" w:tplc="B1024DD4">
      <w:start w:val="1"/>
      <w:numFmt w:val="lowerRoman"/>
      <w:lvlText w:val="(%1)"/>
      <w:lvlJc w:val="righ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CD6D90"/>
    <w:multiLevelType w:val="hybridMultilevel"/>
    <w:tmpl w:val="DB168260"/>
    <w:lvl w:ilvl="0" w:tplc="80EA0C3C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16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A5"/>
    <w:rsid w:val="000100A7"/>
    <w:rsid w:val="0002085F"/>
    <w:rsid w:val="000319F0"/>
    <w:rsid w:val="00043ACF"/>
    <w:rsid w:val="00047614"/>
    <w:rsid w:val="00063D6D"/>
    <w:rsid w:val="00067207"/>
    <w:rsid w:val="00070E37"/>
    <w:rsid w:val="000853AE"/>
    <w:rsid w:val="000B0640"/>
    <w:rsid w:val="000B2DB0"/>
    <w:rsid w:val="000C45E3"/>
    <w:rsid w:val="000C7EA3"/>
    <w:rsid w:val="000D34A3"/>
    <w:rsid w:val="000E2F18"/>
    <w:rsid w:val="000E655C"/>
    <w:rsid w:val="000F0B45"/>
    <w:rsid w:val="000F2CEA"/>
    <w:rsid w:val="00133F40"/>
    <w:rsid w:val="00147592"/>
    <w:rsid w:val="00153708"/>
    <w:rsid w:val="001572AD"/>
    <w:rsid w:val="001576DB"/>
    <w:rsid w:val="00160CDB"/>
    <w:rsid w:val="0016758A"/>
    <w:rsid w:val="00190D38"/>
    <w:rsid w:val="001A42A5"/>
    <w:rsid w:val="001B0E8F"/>
    <w:rsid w:val="001B7138"/>
    <w:rsid w:val="001C09DA"/>
    <w:rsid w:val="001C4E11"/>
    <w:rsid w:val="001D3C4F"/>
    <w:rsid w:val="001D5A6A"/>
    <w:rsid w:val="00204C2A"/>
    <w:rsid w:val="00207E82"/>
    <w:rsid w:val="00244EA5"/>
    <w:rsid w:val="00270973"/>
    <w:rsid w:val="00272B8F"/>
    <w:rsid w:val="00285E49"/>
    <w:rsid w:val="0029410F"/>
    <w:rsid w:val="002977EE"/>
    <w:rsid w:val="002A4530"/>
    <w:rsid w:val="002A5E23"/>
    <w:rsid w:val="002C2E97"/>
    <w:rsid w:val="002D4754"/>
    <w:rsid w:val="002D7F1B"/>
    <w:rsid w:val="002E3330"/>
    <w:rsid w:val="0034074D"/>
    <w:rsid w:val="00342888"/>
    <w:rsid w:val="00346658"/>
    <w:rsid w:val="0036221C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16CB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66225"/>
    <w:rsid w:val="00570216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61476"/>
    <w:rsid w:val="006B169D"/>
    <w:rsid w:val="006B561D"/>
    <w:rsid w:val="006B5B96"/>
    <w:rsid w:val="006E0C7D"/>
    <w:rsid w:val="006E64F2"/>
    <w:rsid w:val="00703D70"/>
    <w:rsid w:val="007111C3"/>
    <w:rsid w:val="00742E6E"/>
    <w:rsid w:val="007562A8"/>
    <w:rsid w:val="00777F88"/>
    <w:rsid w:val="007833E6"/>
    <w:rsid w:val="00787980"/>
    <w:rsid w:val="00793DFD"/>
    <w:rsid w:val="00797F32"/>
    <w:rsid w:val="007C1493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890E1C"/>
    <w:rsid w:val="008C3BBF"/>
    <w:rsid w:val="008F42E0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C4685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4547A"/>
    <w:rsid w:val="00A54E7C"/>
    <w:rsid w:val="00A747D0"/>
    <w:rsid w:val="00A773E8"/>
    <w:rsid w:val="00A77546"/>
    <w:rsid w:val="00A97608"/>
    <w:rsid w:val="00AE6D9C"/>
    <w:rsid w:val="00B07083"/>
    <w:rsid w:val="00B12539"/>
    <w:rsid w:val="00B152A8"/>
    <w:rsid w:val="00B2276C"/>
    <w:rsid w:val="00B22E26"/>
    <w:rsid w:val="00B53F6A"/>
    <w:rsid w:val="00B8243A"/>
    <w:rsid w:val="00BA0829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1CEE"/>
    <w:rsid w:val="00C032B2"/>
    <w:rsid w:val="00C37770"/>
    <w:rsid w:val="00C80EE0"/>
    <w:rsid w:val="00C971BF"/>
    <w:rsid w:val="00CA6151"/>
    <w:rsid w:val="00CE5D51"/>
    <w:rsid w:val="00D0446B"/>
    <w:rsid w:val="00D14F34"/>
    <w:rsid w:val="00D15B81"/>
    <w:rsid w:val="00D23AB5"/>
    <w:rsid w:val="00D24080"/>
    <w:rsid w:val="00D35954"/>
    <w:rsid w:val="00D35BBC"/>
    <w:rsid w:val="00D47B2F"/>
    <w:rsid w:val="00D83C2C"/>
    <w:rsid w:val="00D8562A"/>
    <w:rsid w:val="00DA30CF"/>
    <w:rsid w:val="00DA6921"/>
    <w:rsid w:val="00DB4F28"/>
    <w:rsid w:val="00DB5A8F"/>
    <w:rsid w:val="00DE1C28"/>
    <w:rsid w:val="00DE347D"/>
    <w:rsid w:val="00DE3C9E"/>
    <w:rsid w:val="00DF56AB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2123106"/>
  <w15:chartTrackingRefBased/>
  <w15:docId w15:val="{C829734E-84AF-4524-AF3F-5D7AC8E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ernmentgazette.s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ir.s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r.sa.gov.a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TEMPLATE_SUPP_2022</Template>
  <TotalTime>36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45 - Monday, 4 July 2022 (p. 2115)</vt:lpstr>
    </vt:vector>
  </TitlesOfParts>
  <Company>SA Government</Company>
  <LinksUpToDate>false</LinksUpToDate>
  <CharactersWithSpaces>6566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45 - Monday, 4 July 2022 (pp. 2115-2116)</dc:title>
  <dc:subject/>
  <dc:creator>Alicia Wheaton</dc:creator>
  <cp:keywords/>
  <cp:lastModifiedBy>Wheaton, Alicia (Service SA)</cp:lastModifiedBy>
  <cp:revision>29</cp:revision>
  <cp:lastPrinted>2017-03-20T23:21:00Z</cp:lastPrinted>
  <dcterms:created xsi:type="dcterms:W3CDTF">2022-07-04T04:50:00Z</dcterms:created>
  <dcterms:modified xsi:type="dcterms:W3CDTF">2022-07-04T06:32:00Z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