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7BBEA" w14:textId="77777777" w:rsidR="00777F88" w:rsidRPr="00612978" w:rsidRDefault="00111C2E" w:rsidP="00A54E7C">
      <w:pPr>
        <w:spacing w:after="120" w:line="280" w:lineRule="exact"/>
        <w:jc w:val="center"/>
        <w:rPr>
          <w:rFonts w:ascii="Times New Roman" w:hAnsi="Times New Roman"/>
          <w:sz w:val="17"/>
          <w:szCs w:val="17"/>
        </w:rPr>
      </w:pPr>
      <w:r>
        <w:rPr>
          <w:noProof/>
          <w:lang w:eastAsia="en-AU"/>
        </w:rPr>
        <w:drawing>
          <wp:anchor distT="0" distB="0" distL="114300" distR="114300" simplePos="0" relativeHeight="251657728" behindDoc="0" locked="0" layoutInCell="1" allowOverlap="1" wp14:anchorId="508C3F47" wp14:editId="2F6462F5">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A54E7C" w:rsidRPr="0052708D">
        <w:rPr>
          <w:rFonts w:ascii="Times New Roman" w:eastAsia="Times New Roman" w:hAnsi="Times New Roman"/>
          <w:b/>
          <w:sz w:val="28"/>
          <w:szCs w:val="28"/>
          <w:lang w:eastAsia="en-AU"/>
        </w:rPr>
        <w:t>SUPPLEMENTARY GAZETTE</w:t>
      </w:r>
    </w:p>
    <w:p w14:paraId="78C0E010" w14:textId="77777777"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14:paraId="1A60CC3D" w14:textId="77777777"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14:paraId="0E87EE8B" w14:textId="77777777"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14:paraId="0FD70EAF" w14:textId="77777777"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14:paraId="485B0E4A" w14:textId="7B28997C"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1F016C">
        <w:rPr>
          <w:rFonts w:ascii="Times New Roman" w:hAnsi="Times New Roman"/>
          <w:smallCaps/>
          <w:color w:val="000000"/>
          <w:sz w:val="28"/>
          <w:szCs w:val="26"/>
        </w:rPr>
        <w:t>Thursday</w:t>
      </w:r>
      <w:r w:rsidRPr="00612978">
        <w:rPr>
          <w:rFonts w:ascii="Times New Roman" w:hAnsi="Times New Roman"/>
          <w:smallCaps/>
          <w:color w:val="000000"/>
          <w:sz w:val="28"/>
          <w:szCs w:val="26"/>
        </w:rPr>
        <w:t xml:space="preserve">, </w:t>
      </w:r>
      <w:r w:rsidR="001F016C">
        <w:rPr>
          <w:rFonts w:ascii="Times New Roman" w:hAnsi="Times New Roman"/>
          <w:smallCaps/>
          <w:color w:val="000000"/>
          <w:sz w:val="28"/>
          <w:szCs w:val="26"/>
        </w:rPr>
        <w:t xml:space="preserve">1 June </w:t>
      </w:r>
      <w:r w:rsidRPr="00612978">
        <w:rPr>
          <w:rFonts w:ascii="Times New Roman" w:hAnsi="Times New Roman"/>
          <w:smallCaps/>
          <w:color w:val="000000"/>
          <w:sz w:val="28"/>
          <w:szCs w:val="26"/>
        </w:rPr>
        <w:t>20</w:t>
      </w:r>
      <w:r w:rsidR="00E02241">
        <w:rPr>
          <w:rFonts w:ascii="Times New Roman" w:hAnsi="Times New Roman"/>
          <w:smallCaps/>
          <w:color w:val="000000"/>
          <w:sz w:val="28"/>
          <w:szCs w:val="26"/>
        </w:rPr>
        <w:t>2</w:t>
      </w:r>
      <w:r w:rsidR="00E66D99">
        <w:rPr>
          <w:rFonts w:ascii="Times New Roman" w:hAnsi="Times New Roman"/>
          <w:smallCaps/>
          <w:color w:val="000000"/>
          <w:sz w:val="28"/>
          <w:szCs w:val="26"/>
        </w:rPr>
        <w:t>3</w:t>
      </w:r>
    </w:p>
    <w:p w14:paraId="684007FE" w14:textId="77777777" w:rsidR="008008DD" w:rsidRPr="00612978" w:rsidRDefault="008008DD" w:rsidP="008008DD">
      <w:pPr>
        <w:spacing w:after="0" w:line="240" w:lineRule="exact"/>
        <w:jc w:val="center"/>
        <w:rPr>
          <w:rFonts w:ascii="Times New Roman" w:hAnsi="Times New Roman"/>
          <w:color w:val="000000"/>
          <w:sz w:val="20"/>
        </w:rPr>
      </w:pPr>
    </w:p>
    <w:p w14:paraId="7B7F96AD" w14:textId="77777777"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14:paraId="68C47144" w14:textId="77777777" w:rsidR="001B7138" w:rsidRPr="008008DD" w:rsidRDefault="001B7138" w:rsidP="001B7138">
      <w:pPr>
        <w:spacing w:after="0" w:line="360" w:lineRule="exact"/>
        <w:jc w:val="center"/>
        <w:rPr>
          <w:rFonts w:ascii="Times New Roman" w:hAnsi="Times New Roman"/>
          <w:b/>
          <w:smallCaps/>
          <w:sz w:val="20"/>
          <w:szCs w:val="20"/>
        </w:rPr>
      </w:pPr>
      <w:r w:rsidRPr="008008DD">
        <w:rPr>
          <w:rFonts w:ascii="Times New Roman" w:hAnsi="Times New Roman"/>
          <w:b/>
          <w:smallCaps/>
          <w:sz w:val="20"/>
          <w:szCs w:val="20"/>
        </w:rPr>
        <w:t>Contents</w:t>
      </w:r>
    </w:p>
    <w:p w14:paraId="533A38CF" w14:textId="77777777" w:rsidR="001B7138" w:rsidRPr="00FB48A8" w:rsidRDefault="001B7138" w:rsidP="00FB48A8">
      <w:pPr>
        <w:spacing w:after="0" w:line="320" w:lineRule="exact"/>
        <w:ind w:left="2268" w:right="2414" w:firstLine="142"/>
        <w:rPr>
          <w:rFonts w:ascii="Times New Roman" w:hAnsi="Times New Roman"/>
          <w:smallCaps/>
          <w:sz w:val="17"/>
          <w:szCs w:val="17"/>
        </w:rPr>
      </w:pPr>
    </w:p>
    <w:p w14:paraId="7BA247BE" w14:textId="77777777" w:rsidR="00FB48A8" w:rsidRPr="00FB48A8" w:rsidRDefault="00FB48A8" w:rsidP="00FB48A8">
      <w:pPr>
        <w:spacing w:after="0" w:line="320" w:lineRule="exact"/>
        <w:ind w:firstLine="142"/>
        <w:rPr>
          <w:rFonts w:ascii="Times New Roman" w:hAnsi="Times New Roman"/>
          <w:b/>
          <w:smallCaps/>
          <w:sz w:val="17"/>
          <w:szCs w:val="17"/>
        </w:rPr>
        <w:sectPr w:rsidR="00FB48A8" w:rsidRPr="00FB48A8" w:rsidSect="004E4BBC">
          <w:headerReference w:type="even" r:id="rId9"/>
          <w:headerReference w:type="default" r:id="rId10"/>
          <w:footerReference w:type="default" r:id="rId11"/>
          <w:headerReference w:type="first" r:id="rId12"/>
          <w:footerReference w:type="first" r:id="rId13"/>
          <w:pgSz w:w="11906" w:h="16838"/>
          <w:pgMar w:top="1134" w:right="1256" w:bottom="1134" w:left="1290" w:header="1134" w:footer="1134" w:gutter="0"/>
          <w:cols w:space="708"/>
          <w:titlePg/>
          <w:docGrid w:linePitch="360"/>
        </w:sectPr>
      </w:pPr>
    </w:p>
    <w:p w14:paraId="764319EA" w14:textId="04C164DA" w:rsidR="001F016C" w:rsidRDefault="00531F7A">
      <w:pPr>
        <w:pStyle w:val="TOC1"/>
        <w:tabs>
          <w:tab w:val="right" w:leader="dot" w:pos="4548"/>
        </w:tabs>
        <w:rPr>
          <w:rFonts w:asciiTheme="minorHAnsi" w:eastAsiaTheme="minorEastAsia" w:hAnsiTheme="minorHAnsi" w:cstheme="minorBidi"/>
          <w:b w:val="0"/>
          <w:smallCaps w:val="0"/>
          <w:noProof/>
          <w:sz w:val="22"/>
          <w:lang w:eastAsia="en-AU"/>
        </w:rPr>
      </w:pPr>
      <w:r>
        <w:rPr>
          <w:b w:val="0"/>
          <w:smallCaps w:val="0"/>
        </w:rPr>
        <w:fldChar w:fldCharType="begin"/>
      </w:r>
      <w:r>
        <w:rPr>
          <w:b w:val="0"/>
          <w:smallCaps w:val="0"/>
        </w:rPr>
        <w:instrText xml:space="preserve"> TOC \o "1-3" \h \z \u </w:instrText>
      </w:r>
      <w:r>
        <w:rPr>
          <w:b w:val="0"/>
          <w:smallCaps w:val="0"/>
        </w:rPr>
        <w:fldChar w:fldCharType="separate"/>
      </w:r>
      <w:hyperlink w:anchor="_Toc136532795" w:history="1">
        <w:r w:rsidR="001F016C" w:rsidRPr="00D437D7">
          <w:rPr>
            <w:rStyle w:val="Hyperlink"/>
            <w:noProof/>
          </w:rPr>
          <w:t>State Government Instruments</w:t>
        </w:r>
      </w:hyperlink>
    </w:p>
    <w:p w14:paraId="0746186D" w14:textId="7FB8254C" w:rsidR="001F016C" w:rsidRDefault="001F016C">
      <w:pPr>
        <w:pStyle w:val="TOC2"/>
        <w:tabs>
          <w:tab w:val="right" w:leader="dot" w:pos="4548"/>
        </w:tabs>
        <w:rPr>
          <w:rFonts w:asciiTheme="minorHAnsi" w:eastAsiaTheme="minorEastAsia" w:hAnsiTheme="minorHAnsi" w:cstheme="minorBidi"/>
          <w:noProof/>
          <w:sz w:val="22"/>
          <w:lang w:eastAsia="en-AU"/>
        </w:rPr>
      </w:pPr>
      <w:hyperlink w:anchor="_Toc136532796" w:history="1">
        <w:r w:rsidRPr="00D437D7">
          <w:rPr>
            <w:rStyle w:val="Hyperlink"/>
            <w:noProof/>
          </w:rPr>
          <w:t>Planning, Development and Infrastructure Act 2016</w:t>
        </w:r>
        <w:r>
          <w:rPr>
            <w:noProof/>
            <w:webHidden/>
          </w:rPr>
          <w:tab/>
        </w:r>
        <w:r>
          <w:rPr>
            <w:noProof/>
            <w:webHidden/>
          </w:rPr>
          <w:fldChar w:fldCharType="begin"/>
        </w:r>
        <w:r>
          <w:rPr>
            <w:noProof/>
            <w:webHidden/>
          </w:rPr>
          <w:instrText xml:space="preserve"> PAGEREF _Toc136532796 \h </w:instrText>
        </w:r>
        <w:r>
          <w:rPr>
            <w:noProof/>
            <w:webHidden/>
          </w:rPr>
        </w:r>
        <w:r>
          <w:rPr>
            <w:noProof/>
            <w:webHidden/>
          </w:rPr>
          <w:fldChar w:fldCharType="separate"/>
        </w:r>
        <w:r w:rsidR="00D84E6A">
          <w:rPr>
            <w:noProof/>
            <w:webHidden/>
          </w:rPr>
          <w:t>1442</w:t>
        </w:r>
        <w:r>
          <w:rPr>
            <w:noProof/>
            <w:webHidden/>
          </w:rPr>
          <w:fldChar w:fldCharType="end"/>
        </w:r>
      </w:hyperlink>
    </w:p>
    <w:p w14:paraId="5E8A4909" w14:textId="2723CF29" w:rsidR="00F337C8" w:rsidRPr="00F337C8" w:rsidRDefault="00531F7A"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b/>
          <w:smallCaps/>
          <w:lang w:eastAsia="en-US"/>
        </w:rPr>
      </w:pPr>
      <w:r>
        <w:rPr>
          <w:b/>
          <w:smallCaps/>
          <w:lang w:eastAsia="en-US"/>
        </w:rPr>
        <w:fldChar w:fldCharType="end"/>
      </w:r>
    </w:p>
    <w:p w14:paraId="7A20D999" w14:textId="77777777" w:rsidR="00F337C8" w:rsidRPr="00F337C8" w:rsidRDefault="00F337C8"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lang w:eastAsia="en-US"/>
        </w:rPr>
      </w:pPr>
    </w:p>
    <w:p w14:paraId="5948C209" w14:textId="77777777" w:rsidR="00842BD5" w:rsidRDefault="00842BD5" w:rsidP="00FB48A8">
      <w:pPr>
        <w:spacing w:after="0"/>
        <w:rPr>
          <w:rFonts w:ascii="Times New Roman" w:hAnsi="Times New Roman"/>
          <w:smallCaps/>
          <w:sz w:val="17"/>
          <w:szCs w:val="17"/>
        </w:rPr>
      </w:pPr>
    </w:p>
    <w:p w14:paraId="5748AC0F" w14:textId="77777777" w:rsidR="00FB48A8" w:rsidRPr="00612978" w:rsidRDefault="00FB48A8" w:rsidP="00FB48A8">
      <w:pPr>
        <w:spacing w:after="0"/>
        <w:rPr>
          <w:rFonts w:ascii="Times New Roman" w:hAnsi="Times New Roman"/>
          <w:smallCaps/>
          <w:sz w:val="17"/>
          <w:szCs w:val="17"/>
        </w:rPr>
        <w:sectPr w:rsidR="00FB48A8" w:rsidRPr="00612978" w:rsidSect="00842BD5">
          <w:headerReference w:type="even" r:id="rId14"/>
          <w:headerReference w:type="default" r:id="rId15"/>
          <w:footerReference w:type="default" r:id="rId16"/>
          <w:footerReference w:type="first" r:id="rId17"/>
          <w:type w:val="continuous"/>
          <w:pgSz w:w="11906" w:h="16838"/>
          <w:pgMar w:top="1134" w:right="3674" w:bottom="1134" w:left="3674" w:header="708" w:footer="708" w:gutter="0"/>
          <w:cols w:space="240"/>
          <w:docGrid w:linePitch="360"/>
        </w:sectPr>
      </w:pPr>
    </w:p>
    <w:p w14:paraId="15041F65" w14:textId="77777777" w:rsidR="00F337C8" w:rsidRPr="009D1E2E" w:rsidRDefault="00F337C8" w:rsidP="00693DF1">
      <w:pPr>
        <w:pStyle w:val="Heading1"/>
      </w:pPr>
      <w:bookmarkStart w:id="0" w:name="_Toc136532795"/>
      <w:r w:rsidRPr="009D1E2E">
        <w:lastRenderedPageBreak/>
        <w:t>State Government Instruments</w:t>
      </w:r>
      <w:bookmarkEnd w:id="0"/>
    </w:p>
    <w:p w14:paraId="56EAC9D4" w14:textId="77777777" w:rsidR="001F016C" w:rsidRPr="001F016C" w:rsidRDefault="001F016C" w:rsidP="001F016C">
      <w:pPr>
        <w:pStyle w:val="Heading2"/>
      </w:pPr>
      <w:bookmarkStart w:id="1" w:name="_Toc136532796"/>
      <w:r w:rsidRPr="001F016C">
        <w:t xml:space="preserve">Planning, </w:t>
      </w:r>
      <w:proofErr w:type="gramStart"/>
      <w:r w:rsidRPr="001F016C">
        <w:t>Development</w:t>
      </w:r>
      <w:proofErr w:type="gramEnd"/>
      <w:r w:rsidRPr="001F016C">
        <w:t xml:space="preserve"> and Infrastructure Act 2016</w:t>
      </w:r>
      <w:bookmarkEnd w:id="1"/>
    </w:p>
    <w:p w14:paraId="084DB158" w14:textId="77777777" w:rsidR="001F016C" w:rsidRPr="001F016C" w:rsidRDefault="001F016C" w:rsidP="001F016C">
      <w:pPr>
        <w:jc w:val="center"/>
        <w:rPr>
          <w:rFonts w:ascii="Times New Roman" w:hAnsi="Times New Roman"/>
          <w:smallCaps/>
          <w:sz w:val="17"/>
          <w:szCs w:val="17"/>
        </w:rPr>
      </w:pPr>
      <w:r w:rsidRPr="001F016C">
        <w:rPr>
          <w:rFonts w:ascii="Times New Roman" w:hAnsi="Times New Roman"/>
          <w:smallCaps/>
          <w:sz w:val="17"/>
          <w:szCs w:val="17"/>
        </w:rPr>
        <w:t>Section 76</w:t>
      </w:r>
    </w:p>
    <w:p w14:paraId="279942F4" w14:textId="77777777" w:rsidR="001F016C" w:rsidRPr="001F016C" w:rsidRDefault="001F016C" w:rsidP="001F016C">
      <w:pPr>
        <w:jc w:val="center"/>
        <w:rPr>
          <w:rFonts w:ascii="Times New Roman" w:hAnsi="Times New Roman"/>
          <w:i/>
          <w:sz w:val="17"/>
          <w:szCs w:val="17"/>
        </w:rPr>
      </w:pPr>
      <w:r w:rsidRPr="001F016C">
        <w:rPr>
          <w:rFonts w:ascii="Times New Roman" w:hAnsi="Times New Roman"/>
          <w:i/>
          <w:sz w:val="17"/>
          <w:szCs w:val="17"/>
        </w:rPr>
        <w:t>Amendment to the Planning and Design Code</w:t>
      </w:r>
    </w:p>
    <w:p w14:paraId="3DAA5725" w14:textId="77777777" w:rsidR="001F016C" w:rsidRPr="001F016C" w:rsidRDefault="001F016C" w:rsidP="001F016C">
      <w:pPr>
        <w:rPr>
          <w:rFonts w:ascii="Times New Roman" w:eastAsia="Times New Roman" w:hAnsi="Times New Roman"/>
          <w:i/>
          <w:sz w:val="17"/>
          <w:szCs w:val="20"/>
        </w:rPr>
      </w:pPr>
      <w:r w:rsidRPr="001F016C">
        <w:rPr>
          <w:rFonts w:ascii="Times New Roman" w:eastAsia="Times New Roman" w:hAnsi="Times New Roman"/>
          <w:i/>
          <w:sz w:val="17"/>
          <w:szCs w:val="20"/>
        </w:rPr>
        <w:t>Preamble</w:t>
      </w:r>
    </w:p>
    <w:p w14:paraId="4ADDEB60" w14:textId="77777777" w:rsidR="001F016C" w:rsidRPr="001F016C" w:rsidRDefault="001F016C" w:rsidP="001F016C">
      <w:pPr>
        <w:rPr>
          <w:rFonts w:ascii="Times New Roman" w:eastAsia="Times New Roman" w:hAnsi="Times New Roman"/>
          <w:sz w:val="17"/>
          <w:szCs w:val="17"/>
        </w:rPr>
      </w:pPr>
      <w:r w:rsidRPr="001F016C">
        <w:rPr>
          <w:rFonts w:ascii="Times New Roman" w:eastAsia="Times New Roman" w:hAnsi="Times New Roman"/>
          <w:sz w:val="17"/>
          <w:szCs w:val="17"/>
          <w:lang w:val="en-GB"/>
        </w:rPr>
        <w:t xml:space="preserve">It is necessary to amend the Planning and Design Code (the Code) in operation </w:t>
      </w:r>
      <w:proofErr w:type="gramStart"/>
      <w:r w:rsidRPr="001F016C">
        <w:rPr>
          <w:rFonts w:ascii="Times New Roman" w:eastAsia="Times New Roman" w:hAnsi="Times New Roman"/>
          <w:sz w:val="17"/>
          <w:szCs w:val="17"/>
          <w:lang w:val="en-GB"/>
        </w:rPr>
        <w:t>at</w:t>
      </w:r>
      <w:proofErr w:type="gramEnd"/>
      <w:r w:rsidRPr="001F016C">
        <w:rPr>
          <w:rFonts w:ascii="Times New Roman" w:eastAsia="Times New Roman" w:hAnsi="Times New Roman"/>
          <w:sz w:val="17"/>
          <w:szCs w:val="17"/>
          <w:lang w:val="en-GB"/>
        </w:rPr>
        <w:t xml:space="preserve"> 27 April 2023 (Version 2023.6) in order to make changes of form relating to the Code’s spatial layers and their relationship with land parcels. NOTE: There are no changes to the application of zone, subzone or overlay boundaries and their relationship with affected parcels or the intent of policy application </w:t>
      </w:r>
      <w:proofErr w:type="gramStart"/>
      <w:r w:rsidRPr="001F016C">
        <w:rPr>
          <w:rFonts w:ascii="Times New Roman" w:eastAsia="Times New Roman" w:hAnsi="Times New Roman"/>
          <w:sz w:val="17"/>
          <w:szCs w:val="17"/>
          <w:lang w:val="en-GB"/>
        </w:rPr>
        <w:t>as a result of</w:t>
      </w:r>
      <w:proofErr w:type="gramEnd"/>
      <w:r w:rsidRPr="001F016C">
        <w:rPr>
          <w:rFonts w:ascii="Times New Roman" w:eastAsia="Times New Roman" w:hAnsi="Times New Roman"/>
          <w:sz w:val="17"/>
          <w:szCs w:val="17"/>
          <w:lang w:val="en-GB"/>
        </w:rPr>
        <w:t xml:space="preserve"> this amendment</w:t>
      </w:r>
      <w:r w:rsidRPr="001F016C">
        <w:rPr>
          <w:rFonts w:ascii="Times New Roman" w:eastAsia="Times New Roman" w:hAnsi="Times New Roman"/>
          <w:sz w:val="17"/>
          <w:szCs w:val="17"/>
        </w:rPr>
        <w:t>.</w:t>
      </w:r>
    </w:p>
    <w:p w14:paraId="3E9B9FE9" w14:textId="77777777" w:rsidR="001F016C" w:rsidRPr="001F016C" w:rsidRDefault="001F016C" w:rsidP="001F016C">
      <w:pPr>
        <w:numPr>
          <w:ilvl w:val="0"/>
          <w:numId w:val="10"/>
        </w:numPr>
        <w:ind w:left="357" w:hanging="357"/>
        <w:rPr>
          <w:rFonts w:ascii="Times New Roman" w:eastAsia="Times New Roman" w:hAnsi="Times New Roman"/>
          <w:sz w:val="17"/>
          <w:szCs w:val="20"/>
          <w:lang w:val="en-GB"/>
        </w:rPr>
      </w:pPr>
      <w:r w:rsidRPr="001F016C">
        <w:rPr>
          <w:rFonts w:ascii="Times New Roman" w:eastAsia="Times New Roman" w:hAnsi="Times New Roman"/>
          <w:sz w:val="17"/>
          <w:szCs w:val="20"/>
          <w:lang w:val="en-GB"/>
        </w:rPr>
        <w:t xml:space="preserve">PURSUANT to section 76 of the </w:t>
      </w:r>
      <w:r w:rsidRPr="001F016C">
        <w:rPr>
          <w:rFonts w:ascii="Times New Roman" w:eastAsia="Times New Roman" w:hAnsi="Times New Roman"/>
          <w:i/>
          <w:sz w:val="17"/>
          <w:szCs w:val="20"/>
          <w:lang w:val="en-GB"/>
        </w:rPr>
        <w:t xml:space="preserve">Planning, </w:t>
      </w:r>
      <w:proofErr w:type="gramStart"/>
      <w:r w:rsidRPr="001F016C">
        <w:rPr>
          <w:rFonts w:ascii="Times New Roman" w:eastAsia="Times New Roman" w:hAnsi="Times New Roman"/>
          <w:i/>
          <w:sz w:val="17"/>
          <w:szCs w:val="20"/>
          <w:lang w:val="en-GB"/>
        </w:rPr>
        <w:t>Development</w:t>
      </w:r>
      <w:proofErr w:type="gramEnd"/>
      <w:r w:rsidRPr="001F016C">
        <w:rPr>
          <w:rFonts w:ascii="Times New Roman" w:eastAsia="Times New Roman" w:hAnsi="Times New Roman"/>
          <w:i/>
          <w:sz w:val="17"/>
          <w:szCs w:val="20"/>
          <w:lang w:val="en-GB"/>
        </w:rPr>
        <w:t xml:space="preserve"> and Infrastructure Act 2016 </w:t>
      </w:r>
      <w:r w:rsidRPr="001F016C">
        <w:rPr>
          <w:rFonts w:ascii="Times New Roman" w:eastAsia="Times New Roman" w:hAnsi="Times New Roman"/>
          <w:sz w:val="17"/>
          <w:szCs w:val="20"/>
          <w:lang w:val="en-GB"/>
        </w:rPr>
        <w:t>(the Act), I hereby amend the Code in order to make changes of form (without altering the effect of underlying policy), correct errors and make operational amendments as follows:</w:t>
      </w:r>
    </w:p>
    <w:p w14:paraId="735285E8" w14:textId="77777777" w:rsidR="001F016C" w:rsidRPr="001F016C" w:rsidRDefault="001F016C" w:rsidP="001F016C">
      <w:pPr>
        <w:numPr>
          <w:ilvl w:val="0"/>
          <w:numId w:val="11"/>
        </w:numPr>
        <w:ind w:left="714" w:hanging="357"/>
        <w:jc w:val="left"/>
        <w:rPr>
          <w:rFonts w:ascii="Times New Roman" w:eastAsia="Times New Roman" w:hAnsi="Times New Roman"/>
          <w:sz w:val="17"/>
          <w:szCs w:val="17"/>
        </w:rPr>
      </w:pPr>
      <w:r w:rsidRPr="001F016C">
        <w:rPr>
          <w:rFonts w:ascii="Times New Roman" w:eastAsia="Times New Roman" w:hAnsi="Times New Roman"/>
          <w:bCs/>
          <w:sz w:val="17"/>
          <w:szCs w:val="17"/>
          <w:lang w:val="en-GB"/>
        </w:rPr>
        <w:t>Undertake minor</w:t>
      </w:r>
      <w:r w:rsidRPr="001F016C">
        <w:rPr>
          <w:rFonts w:ascii="Times New Roman" w:eastAsia="Times New Roman" w:hAnsi="Times New Roman"/>
          <w:sz w:val="17"/>
          <w:szCs w:val="17"/>
        </w:rPr>
        <w:t xml:space="preserve"> alterations to the geometry of the spatial layers and data in the Code to maintain the current relationship between the parcel boundaries and Code data </w:t>
      </w:r>
      <w:proofErr w:type="gramStart"/>
      <w:r w:rsidRPr="001F016C">
        <w:rPr>
          <w:rFonts w:ascii="Times New Roman" w:eastAsia="Times New Roman" w:hAnsi="Times New Roman"/>
          <w:sz w:val="17"/>
          <w:szCs w:val="17"/>
        </w:rPr>
        <w:t>as a result of</w:t>
      </w:r>
      <w:proofErr w:type="gramEnd"/>
      <w:r w:rsidRPr="001F016C">
        <w:rPr>
          <w:rFonts w:ascii="Times New Roman" w:eastAsia="Times New Roman" w:hAnsi="Times New Roman"/>
          <w:sz w:val="17"/>
          <w:szCs w:val="17"/>
        </w:rPr>
        <w:t xml:space="preserve"> the following:</w:t>
      </w:r>
    </w:p>
    <w:p w14:paraId="3FE8146F" w14:textId="77777777" w:rsidR="001F016C" w:rsidRPr="001F016C" w:rsidRDefault="001F016C" w:rsidP="001F016C">
      <w:pPr>
        <w:numPr>
          <w:ilvl w:val="1"/>
          <w:numId w:val="12"/>
        </w:numPr>
        <w:ind w:left="1434" w:hanging="357"/>
        <w:jc w:val="left"/>
        <w:rPr>
          <w:rFonts w:ascii="Times New Roman" w:eastAsia="Times New Roman" w:hAnsi="Times New Roman"/>
          <w:sz w:val="17"/>
          <w:szCs w:val="17"/>
        </w:rPr>
      </w:pPr>
      <w:r w:rsidRPr="001F016C">
        <w:rPr>
          <w:rFonts w:ascii="Times New Roman" w:eastAsia="Times New Roman" w:hAnsi="Times New Roman"/>
          <w:sz w:val="17"/>
          <w:szCs w:val="17"/>
        </w:rPr>
        <w:t>New plans of division deposited in the Land Titles Office between 19 April 2023 and 23 May 2023 affecting the following spatial and data layers in the Code:</w:t>
      </w:r>
    </w:p>
    <w:p w14:paraId="4564C99B" w14:textId="77777777" w:rsidR="001F016C" w:rsidRPr="001F016C" w:rsidRDefault="001F016C" w:rsidP="001F016C">
      <w:pPr>
        <w:numPr>
          <w:ilvl w:val="2"/>
          <w:numId w:val="13"/>
        </w:numPr>
        <w:ind w:left="2410" w:hanging="425"/>
        <w:rPr>
          <w:rFonts w:ascii="Times New Roman" w:eastAsia="Times New Roman" w:hAnsi="Times New Roman"/>
          <w:sz w:val="17"/>
          <w:szCs w:val="17"/>
        </w:rPr>
      </w:pPr>
      <w:bookmarkStart w:id="2" w:name="_Hlk111023477"/>
      <w:r w:rsidRPr="001F016C">
        <w:rPr>
          <w:rFonts w:ascii="Times New Roman" w:eastAsia="Times New Roman" w:hAnsi="Times New Roman"/>
          <w:sz w:val="17"/>
          <w:szCs w:val="17"/>
        </w:rPr>
        <w:t>Zones and subzones</w:t>
      </w:r>
    </w:p>
    <w:p w14:paraId="46970CA2" w14:textId="77777777" w:rsidR="001F016C" w:rsidRPr="001F016C" w:rsidRDefault="001F016C" w:rsidP="001F016C">
      <w:pPr>
        <w:numPr>
          <w:ilvl w:val="2"/>
          <w:numId w:val="13"/>
        </w:numPr>
        <w:ind w:left="2410" w:hanging="425"/>
        <w:rPr>
          <w:rFonts w:ascii="Times New Roman" w:eastAsia="Times New Roman" w:hAnsi="Times New Roman"/>
          <w:sz w:val="17"/>
          <w:szCs w:val="17"/>
        </w:rPr>
      </w:pPr>
      <w:r w:rsidRPr="001F016C">
        <w:rPr>
          <w:rFonts w:ascii="Times New Roman" w:eastAsia="Times New Roman" w:hAnsi="Times New Roman"/>
          <w:sz w:val="17"/>
          <w:szCs w:val="17"/>
        </w:rPr>
        <w:t>Technical and Numeric Variations</w:t>
      </w:r>
    </w:p>
    <w:p w14:paraId="2BCC8E13" w14:textId="77777777" w:rsidR="001F016C" w:rsidRPr="001F016C" w:rsidRDefault="001F016C" w:rsidP="001F016C">
      <w:pPr>
        <w:numPr>
          <w:ilvl w:val="3"/>
          <w:numId w:val="14"/>
        </w:numPr>
        <w:spacing w:after="0"/>
        <w:rPr>
          <w:rFonts w:ascii="Times New Roman" w:eastAsia="Times New Roman" w:hAnsi="Times New Roman"/>
          <w:sz w:val="17"/>
          <w:szCs w:val="17"/>
        </w:rPr>
      </w:pPr>
      <w:bookmarkStart w:id="3" w:name="_Hlk104814813"/>
      <w:r w:rsidRPr="001F016C">
        <w:rPr>
          <w:rFonts w:ascii="Times New Roman" w:eastAsia="Times New Roman" w:hAnsi="Times New Roman"/>
          <w:sz w:val="17"/>
          <w:szCs w:val="17"/>
        </w:rPr>
        <w:t>Building Heights (Levels)</w:t>
      </w:r>
    </w:p>
    <w:p w14:paraId="617345F8" w14:textId="77777777" w:rsidR="001F016C" w:rsidRPr="001F016C" w:rsidRDefault="001F016C" w:rsidP="001F016C">
      <w:pPr>
        <w:numPr>
          <w:ilvl w:val="3"/>
          <w:numId w:val="14"/>
        </w:numPr>
        <w:spacing w:after="0"/>
        <w:rPr>
          <w:rFonts w:ascii="Times New Roman" w:eastAsia="Times New Roman" w:hAnsi="Times New Roman"/>
          <w:sz w:val="17"/>
          <w:szCs w:val="17"/>
        </w:rPr>
      </w:pPr>
      <w:r w:rsidRPr="001F016C">
        <w:rPr>
          <w:rFonts w:ascii="Times New Roman" w:eastAsia="Times New Roman" w:hAnsi="Times New Roman"/>
          <w:sz w:val="17"/>
          <w:szCs w:val="17"/>
        </w:rPr>
        <w:t>Building Heights (Metres)</w:t>
      </w:r>
    </w:p>
    <w:p w14:paraId="1E50177C" w14:textId="77777777" w:rsidR="001F016C" w:rsidRPr="001F016C" w:rsidRDefault="001F016C" w:rsidP="001F016C">
      <w:pPr>
        <w:numPr>
          <w:ilvl w:val="3"/>
          <w:numId w:val="14"/>
        </w:numPr>
        <w:spacing w:after="0"/>
        <w:rPr>
          <w:rFonts w:ascii="Times New Roman" w:eastAsia="Times New Roman" w:hAnsi="Times New Roman"/>
          <w:sz w:val="17"/>
          <w:szCs w:val="17"/>
        </w:rPr>
      </w:pPr>
      <w:r w:rsidRPr="001F016C">
        <w:rPr>
          <w:rFonts w:ascii="Times New Roman" w:eastAsia="Times New Roman" w:hAnsi="Times New Roman"/>
          <w:sz w:val="17"/>
          <w:szCs w:val="17"/>
        </w:rPr>
        <w:t>Concept Plan</w:t>
      </w:r>
    </w:p>
    <w:p w14:paraId="01A1A21A" w14:textId="77777777" w:rsidR="001F016C" w:rsidRPr="001F016C" w:rsidRDefault="001F016C" w:rsidP="001F016C">
      <w:pPr>
        <w:numPr>
          <w:ilvl w:val="3"/>
          <w:numId w:val="14"/>
        </w:numPr>
        <w:spacing w:after="0"/>
        <w:rPr>
          <w:rFonts w:ascii="Times New Roman" w:eastAsia="Times New Roman" w:hAnsi="Times New Roman"/>
          <w:sz w:val="17"/>
          <w:szCs w:val="17"/>
        </w:rPr>
      </w:pPr>
      <w:r w:rsidRPr="001F016C">
        <w:rPr>
          <w:rFonts w:ascii="Times New Roman" w:eastAsia="Times New Roman" w:hAnsi="Times New Roman"/>
          <w:sz w:val="17"/>
          <w:szCs w:val="17"/>
        </w:rPr>
        <w:t>Finished Ground and Floor Levels</w:t>
      </w:r>
    </w:p>
    <w:p w14:paraId="30D47FCF" w14:textId="77777777" w:rsidR="001F016C" w:rsidRPr="001F016C" w:rsidRDefault="001F016C" w:rsidP="001F016C">
      <w:pPr>
        <w:numPr>
          <w:ilvl w:val="3"/>
          <w:numId w:val="14"/>
        </w:numPr>
        <w:spacing w:after="0"/>
        <w:rPr>
          <w:rFonts w:ascii="Times New Roman" w:eastAsia="Times New Roman" w:hAnsi="Times New Roman"/>
          <w:sz w:val="17"/>
          <w:szCs w:val="17"/>
        </w:rPr>
      </w:pPr>
      <w:r w:rsidRPr="001F016C">
        <w:rPr>
          <w:rFonts w:ascii="Times New Roman" w:eastAsia="Times New Roman" w:hAnsi="Times New Roman"/>
          <w:sz w:val="17"/>
          <w:szCs w:val="17"/>
        </w:rPr>
        <w:t>Gradient Minimum Frontage</w:t>
      </w:r>
    </w:p>
    <w:p w14:paraId="63380329" w14:textId="77777777" w:rsidR="001F016C" w:rsidRPr="001F016C" w:rsidRDefault="001F016C" w:rsidP="001F016C">
      <w:pPr>
        <w:numPr>
          <w:ilvl w:val="3"/>
          <w:numId w:val="14"/>
        </w:numPr>
        <w:spacing w:after="0"/>
        <w:rPr>
          <w:rFonts w:ascii="Times New Roman" w:eastAsia="Times New Roman" w:hAnsi="Times New Roman"/>
          <w:sz w:val="17"/>
          <w:szCs w:val="17"/>
        </w:rPr>
      </w:pPr>
      <w:r w:rsidRPr="001F016C">
        <w:rPr>
          <w:rFonts w:ascii="Times New Roman" w:eastAsia="Times New Roman" w:hAnsi="Times New Roman"/>
          <w:sz w:val="17"/>
          <w:szCs w:val="17"/>
        </w:rPr>
        <w:t>Gradient Minimum Site Area</w:t>
      </w:r>
    </w:p>
    <w:p w14:paraId="76DE34DD" w14:textId="77777777" w:rsidR="001F016C" w:rsidRPr="001F016C" w:rsidRDefault="001F016C" w:rsidP="001F016C">
      <w:pPr>
        <w:numPr>
          <w:ilvl w:val="3"/>
          <w:numId w:val="14"/>
        </w:numPr>
        <w:spacing w:after="0"/>
        <w:rPr>
          <w:rFonts w:ascii="Times New Roman" w:eastAsia="Times New Roman" w:hAnsi="Times New Roman"/>
          <w:sz w:val="17"/>
          <w:szCs w:val="17"/>
        </w:rPr>
      </w:pPr>
      <w:r w:rsidRPr="001F016C">
        <w:rPr>
          <w:rFonts w:ascii="Times New Roman" w:eastAsia="Times New Roman" w:hAnsi="Times New Roman"/>
          <w:sz w:val="17"/>
          <w:szCs w:val="17"/>
        </w:rPr>
        <w:t>Interface Height</w:t>
      </w:r>
    </w:p>
    <w:p w14:paraId="459EF945" w14:textId="77777777" w:rsidR="001F016C" w:rsidRPr="001F016C" w:rsidRDefault="001F016C" w:rsidP="001F016C">
      <w:pPr>
        <w:numPr>
          <w:ilvl w:val="3"/>
          <w:numId w:val="14"/>
        </w:numPr>
        <w:spacing w:after="0"/>
        <w:rPr>
          <w:rFonts w:ascii="Times New Roman" w:eastAsia="Times New Roman" w:hAnsi="Times New Roman"/>
          <w:sz w:val="17"/>
          <w:szCs w:val="17"/>
        </w:rPr>
      </w:pPr>
      <w:r w:rsidRPr="001F016C">
        <w:rPr>
          <w:rFonts w:ascii="Times New Roman" w:eastAsia="Times New Roman" w:hAnsi="Times New Roman"/>
          <w:sz w:val="17"/>
          <w:szCs w:val="17"/>
        </w:rPr>
        <w:t>Minimum Dwelling Allotment Size</w:t>
      </w:r>
    </w:p>
    <w:p w14:paraId="7ECDB6FC" w14:textId="77777777" w:rsidR="001F016C" w:rsidRPr="001F016C" w:rsidRDefault="001F016C" w:rsidP="001F016C">
      <w:pPr>
        <w:numPr>
          <w:ilvl w:val="3"/>
          <w:numId w:val="14"/>
        </w:numPr>
        <w:spacing w:after="0"/>
        <w:rPr>
          <w:rFonts w:ascii="Times New Roman" w:eastAsia="Times New Roman" w:hAnsi="Times New Roman"/>
          <w:sz w:val="17"/>
          <w:szCs w:val="17"/>
        </w:rPr>
      </w:pPr>
      <w:r w:rsidRPr="001F016C">
        <w:rPr>
          <w:rFonts w:ascii="Times New Roman" w:eastAsia="Times New Roman" w:hAnsi="Times New Roman"/>
          <w:sz w:val="17"/>
          <w:szCs w:val="17"/>
        </w:rPr>
        <w:t>Minimum Frontage</w:t>
      </w:r>
    </w:p>
    <w:p w14:paraId="34F1E978" w14:textId="77777777" w:rsidR="001F016C" w:rsidRPr="001F016C" w:rsidRDefault="001F016C" w:rsidP="001F016C">
      <w:pPr>
        <w:numPr>
          <w:ilvl w:val="3"/>
          <w:numId w:val="14"/>
        </w:numPr>
        <w:spacing w:after="0"/>
        <w:rPr>
          <w:rFonts w:ascii="Times New Roman" w:eastAsia="Times New Roman" w:hAnsi="Times New Roman"/>
          <w:sz w:val="17"/>
          <w:szCs w:val="17"/>
        </w:rPr>
      </w:pPr>
      <w:r w:rsidRPr="001F016C">
        <w:rPr>
          <w:rFonts w:ascii="Times New Roman" w:eastAsia="Times New Roman" w:hAnsi="Times New Roman"/>
          <w:sz w:val="17"/>
          <w:szCs w:val="17"/>
        </w:rPr>
        <w:t xml:space="preserve">Minimum Site Area </w:t>
      </w:r>
    </w:p>
    <w:p w14:paraId="3F966740" w14:textId="77777777" w:rsidR="001F016C" w:rsidRPr="001F016C" w:rsidRDefault="001F016C" w:rsidP="001F016C">
      <w:pPr>
        <w:numPr>
          <w:ilvl w:val="3"/>
          <w:numId w:val="14"/>
        </w:numPr>
        <w:spacing w:after="0"/>
        <w:rPr>
          <w:rFonts w:ascii="Times New Roman" w:eastAsia="Times New Roman" w:hAnsi="Times New Roman"/>
          <w:sz w:val="17"/>
          <w:szCs w:val="17"/>
        </w:rPr>
      </w:pPr>
      <w:r w:rsidRPr="001F016C">
        <w:rPr>
          <w:rFonts w:ascii="Times New Roman" w:eastAsia="Times New Roman" w:hAnsi="Times New Roman"/>
          <w:sz w:val="17"/>
          <w:szCs w:val="17"/>
        </w:rPr>
        <w:t>Minimum Primary Street Setback</w:t>
      </w:r>
    </w:p>
    <w:p w14:paraId="0803E71B" w14:textId="77777777" w:rsidR="001F016C" w:rsidRPr="001F016C" w:rsidRDefault="001F016C" w:rsidP="001F016C">
      <w:pPr>
        <w:numPr>
          <w:ilvl w:val="3"/>
          <w:numId w:val="14"/>
        </w:numPr>
        <w:spacing w:after="0"/>
        <w:rPr>
          <w:rFonts w:ascii="Times New Roman" w:eastAsia="Times New Roman" w:hAnsi="Times New Roman"/>
          <w:sz w:val="17"/>
          <w:szCs w:val="17"/>
        </w:rPr>
      </w:pPr>
      <w:r w:rsidRPr="001F016C">
        <w:rPr>
          <w:rFonts w:ascii="Times New Roman" w:eastAsia="Times New Roman" w:hAnsi="Times New Roman"/>
          <w:sz w:val="17"/>
          <w:szCs w:val="17"/>
        </w:rPr>
        <w:t>Minimum Side Boundary Setback</w:t>
      </w:r>
    </w:p>
    <w:p w14:paraId="18C5BD05" w14:textId="77777777" w:rsidR="001F016C" w:rsidRPr="001F016C" w:rsidRDefault="001F016C" w:rsidP="001F016C">
      <w:pPr>
        <w:numPr>
          <w:ilvl w:val="3"/>
          <w:numId w:val="14"/>
        </w:numPr>
        <w:spacing w:after="0"/>
        <w:rPr>
          <w:rFonts w:ascii="Times New Roman" w:eastAsia="Times New Roman" w:hAnsi="Times New Roman"/>
          <w:sz w:val="17"/>
          <w:szCs w:val="17"/>
        </w:rPr>
      </w:pPr>
      <w:r w:rsidRPr="001F016C">
        <w:rPr>
          <w:rFonts w:ascii="Times New Roman" w:eastAsia="Times New Roman" w:hAnsi="Times New Roman"/>
          <w:sz w:val="17"/>
          <w:szCs w:val="17"/>
        </w:rPr>
        <w:t>Future Local Road Widening Setback</w:t>
      </w:r>
    </w:p>
    <w:p w14:paraId="74F123DB" w14:textId="77777777" w:rsidR="001F016C" w:rsidRPr="001F016C" w:rsidRDefault="001F016C" w:rsidP="001F016C">
      <w:pPr>
        <w:numPr>
          <w:ilvl w:val="3"/>
          <w:numId w:val="14"/>
        </w:numPr>
        <w:rPr>
          <w:rFonts w:ascii="Times New Roman" w:eastAsia="Times New Roman" w:hAnsi="Times New Roman"/>
          <w:sz w:val="17"/>
          <w:szCs w:val="17"/>
        </w:rPr>
      </w:pPr>
      <w:r w:rsidRPr="001F016C">
        <w:rPr>
          <w:rFonts w:ascii="Times New Roman" w:eastAsia="Times New Roman" w:hAnsi="Times New Roman"/>
          <w:sz w:val="17"/>
          <w:szCs w:val="17"/>
        </w:rPr>
        <w:t>Site Coverage</w:t>
      </w:r>
    </w:p>
    <w:bookmarkEnd w:id="3"/>
    <w:p w14:paraId="61F98DDB" w14:textId="77777777" w:rsidR="001F016C" w:rsidRPr="001F016C" w:rsidRDefault="001F016C" w:rsidP="001F016C">
      <w:pPr>
        <w:numPr>
          <w:ilvl w:val="2"/>
          <w:numId w:val="13"/>
        </w:numPr>
        <w:ind w:left="2410" w:hanging="425"/>
        <w:rPr>
          <w:rFonts w:ascii="Times New Roman" w:eastAsia="Times New Roman" w:hAnsi="Times New Roman"/>
          <w:sz w:val="17"/>
          <w:szCs w:val="17"/>
        </w:rPr>
      </w:pPr>
      <w:r w:rsidRPr="001F016C">
        <w:rPr>
          <w:rFonts w:ascii="Times New Roman" w:eastAsia="Times New Roman" w:hAnsi="Times New Roman"/>
          <w:sz w:val="17"/>
          <w:szCs w:val="17"/>
        </w:rPr>
        <w:t>Overlays</w:t>
      </w:r>
      <w:bookmarkStart w:id="4" w:name="_Hlk104814853"/>
    </w:p>
    <w:bookmarkEnd w:id="2"/>
    <w:p w14:paraId="3DC3E9CB" w14:textId="77777777" w:rsidR="001F016C" w:rsidRPr="001F016C" w:rsidRDefault="001F016C" w:rsidP="001F016C">
      <w:pPr>
        <w:numPr>
          <w:ilvl w:val="3"/>
          <w:numId w:val="14"/>
        </w:numPr>
        <w:spacing w:after="0"/>
        <w:rPr>
          <w:rFonts w:ascii="Times New Roman" w:eastAsia="Times New Roman" w:hAnsi="Times New Roman"/>
          <w:sz w:val="17"/>
          <w:szCs w:val="17"/>
        </w:rPr>
      </w:pPr>
      <w:r w:rsidRPr="001F016C">
        <w:rPr>
          <w:rFonts w:ascii="Times New Roman" w:eastAsia="Times New Roman" w:hAnsi="Times New Roman"/>
          <w:sz w:val="17"/>
          <w:szCs w:val="17"/>
        </w:rPr>
        <w:t>Affordable Housing</w:t>
      </w:r>
    </w:p>
    <w:p w14:paraId="1FECE56B" w14:textId="77777777" w:rsidR="001F016C" w:rsidRPr="001F016C" w:rsidRDefault="001F016C" w:rsidP="001F016C">
      <w:pPr>
        <w:numPr>
          <w:ilvl w:val="3"/>
          <w:numId w:val="14"/>
        </w:numPr>
        <w:spacing w:after="0"/>
        <w:rPr>
          <w:rFonts w:ascii="Times New Roman" w:eastAsia="Times New Roman" w:hAnsi="Times New Roman"/>
          <w:sz w:val="17"/>
          <w:szCs w:val="17"/>
        </w:rPr>
      </w:pPr>
      <w:r w:rsidRPr="001F016C">
        <w:rPr>
          <w:rFonts w:ascii="Times New Roman" w:eastAsia="Times New Roman" w:hAnsi="Times New Roman"/>
          <w:sz w:val="17"/>
          <w:szCs w:val="17"/>
        </w:rPr>
        <w:t>Character Area</w:t>
      </w:r>
    </w:p>
    <w:p w14:paraId="5E29F716" w14:textId="77777777" w:rsidR="001F016C" w:rsidRPr="001F016C" w:rsidRDefault="001F016C" w:rsidP="001F016C">
      <w:pPr>
        <w:numPr>
          <w:ilvl w:val="3"/>
          <w:numId w:val="14"/>
        </w:numPr>
        <w:spacing w:after="0"/>
        <w:rPr>
          <w:rFonts w:ascii="Times New Roman" w:eastAsia="Times New Roman" w:hAnsi="Times New Roman"/>
          <w:sz w:val="17"/>
          <w:szCs w:val="17"/>
        </w:rPr>
      </w:pPr>
      <w:r w:rsidRPr="001F016C">
        <w:rPr>
          <w:rFonts w:ascii="Times New Roman" w:eastAsia="Times New Roman" w:hAnsi="Times New Roman"/>
          <w:sz w:val="17"/>
          <w:szCs w:val="17"/>
        </w:rPr>
        <w:t>Coastal Areas</w:t>
      </w:r>
    </w:p>
    <w:p w14:paraId="0AF8F032" w14:textId="77777777" w:rsidR="001F016C" w:rsidRPr="001F016C" w:rsidRDefault="001F016C" w:rsidP="001F016C">
      <w:pPr>
        <w:numPr>
          <w:ilvl w:val="3"/>
          <w:numId w:val="14"/>
        </w:numPr>
        <w:spacing w:after="0"/>
        <w:rPr>
          <w:rFonts w:ascii="Times New Roman" w:eastAsia="Times New Roman" w:hAnsi="Times New Roman"/>
          <w:sz w:val="17"/>
          <w:szCs w:val="17"/>
        </w:rPr>
      </w:pPr>
      <w:r w:rsidRPr="001F016C">
        <w:rPr>
          <w:rFonts w:ascii="Times New Roman" w:eastAsia="Times New Roman" w:hAnsi="Times New Roman"/>
          <w:sz w:val="17"/>
          <w:szCs w:val="17"/>
        </w:rPr>
        <w:t>Defence Aviation Area</w:t>
      </w:r>
    </w:p>
    <w:p w14:paraId="0B23628B" w14:textId="77777777" w:rsidR="001F016C" w:rsidRPr="001F016C" w:rsidRDefault="001F016C" w:rsidP="001F016C">
      <w:pPr>
        <w:numPr>
          <w:ilvl w:val="3"/>
          <w:numId w:val="14"/>
        </w:numPr>
        <w:spacing w:after="0"/>
        <w:rPr>
          <w:rFonts w:ascii="Times New Roman" w:eastAsia="Times New Roman" w:hAnsi="Times New Roman"/>
          <w:sz w:val="17"/>
          <w:szCs w:val="17"/>
        </w:rPr>
      </w:pPr>
      <w:r w:rsidRPr="001F016C">
        <w:rPr>
          <w:rFonts w:ascii="Times New Roman" w:eastAsia="Times New Roman" w:hAnsi="Times New Roman"/>
          <w:sz w:val="17"/>
          <w:szCs w:val="17"/>
        </w:rPr>
        <w:t>Dwelling Excision</w:t>
      </w:r>
    </w:p>
    <w:p w14:paraId="678820B2" w14:textId="77777777" w:rsidR="001F016C" w:rsidRPr="001F016C" w:rsidRDefault="001F016C" w:rsidP="001F016C">
      <w:pPr>
        <w:numPr>
          <w:ilvl w:val="3"/>
          <w:numId w:val="14"/>
        </w:numPr>
        <w:spacing w:after="0"/>
        <w:rPr>
          <w:rFonts w:ascii="Times New Roman" w:eastAsia="Times New Roman" w:hAnsi="Times New Roman"/>
          <w:sz w:val="17"/>
          <w:szCs w:val="17"/>
        </w:rPr>
      </w:pPr>
      <w:r w:rsidRPr="001F016C">
        <w:rPr>
          <w:rFonts w:ascii="Times New Roman" w:eastAsia="Times New Roman" w:hAnsi="Times New Roman"/>
          <w:sz w:val="17"/>
          <w:szCs w:val="17"/>
        </w:rPr>
        <w:t>Environment and Food Production Area</w:t>
      </w:r>
    </w:p>
    <w:p w14:paraId="6C5B4153" w14:textId="77777777" w:rsidR="001F016C" w:rsidRPr="001F016C" w:rsidRDefault="001F016C" w:rsidP="001F016C">
      <w:pPr>
        <w:numPr>
          <w:ilvl w:val="3"/>
          <w:numId w:val="14"/>
        </w:numPr>
        <w:spacing w:after="0"/>
        <w:rPr>
          <w:rFonts w:ascii="Times New Roman" w:eastAsia="Times New Roman" w:hAnsi="Times New Roman"/>
          <w:sz w:val="17"/>
          <w:szCs w:val="17"/>
        </w:rPr>
      </w:pPr>
      <w:r w:rsidRPr="001F016C">
        <w:rPr>
          <w:rFonts w:ascii="Times New Roman" w:eastAsia="Times New Roman" w:hAnsi="Times New Roman"/>
          <w:sz w:val="17"/>
          <w:szCs w:val="17"/>
        </w:rPr>
        <w:t>Future Local Road Widening</w:t>
      </w:r>
    </w:p>
    <w:p w14:paraId="03E6063E" w14:textId="77777777" w:rsidR="001F016C" w:rsidRPr="001F016C" w:rsidRDefault="001F016C" w:rsidP="001F016C">
      <w:pPr>
        <w:numPr>
          <w:ilvl w:val="3"/>
          <w:numId w:val="14"/>
        </w:numPr>
        <w:spacing w:after="0"/>
        <w:rPr>
          <w:rFonts w:ascii="Times New Roman" w:eastAsia="Times New Roman" w:hAnsi="Times New Roman"/>
          <w:sz w:val="17"/>
          <w:szCs w:val="17"/>
        </w:rPr>
      </w:pPr>
      <w:r w:rsidRPr="001F016C">
        <w:rPr>
          <w:rFonts w:ascii="Times New Roman" w:eastAsia="Times New Roman" w:hAnsi="Times New Roman"/>
          <w:sz w:val="17"/>
          <w:szCs w:val="17"/>
        </w:rPr>
        <w:t>Future Road Widening</w:t>
      </w:r>
    </w:p>
    <w:p w14:paraId="2A8A1A05" w14:textId="77777777" w:rsidR="001F016C" w:rsidRPr="001F016C" w:rsidRDefault="001F016C" w:rsidP="001F016C">
      <w:pPr>
        <w:numPr>
          <w:ilvl w:val="3"/>
          <w:numId w:val="14"/>
        </w:numPr>
        <w:spacing w:after="0"/>
        <w:rPr>
          <w:rFonts w:ascii="Times New Roman" w:eastAsia="Times New Roman" w:hAnsi="Times New Roman"/>
          <w:sz w:val="17"/>
          <w:szCs w:val="17"/>
        </w:rPr>
      </w:pPr>
      <w:r w:rsidRPr="001F016C">
        <w:rPr>
          <w:rFonts w:ascii="Times New Roman" w:eastAsia="Times New Roman" w:hAnsi="Times New Roman"/>
          <w:sz w:val="17"/>
          <w:szCs w:val="17"/>
        </w:rPr>
        <w:t>Gateway</w:t>
      </w:r>
    </w:p>
    <w:p w14:paraId="0F14ECB7" w14:textId="77777777" w:rsidR="001F016C" w:rsidRPr="001F016C" w:rsidRDefault="001F016C" w:rsidP="001F016C">
      <w:pPr>
        <w:numPr>
          <w:ilvl w:val="3"/>
          <w:numId w:val="14"/>
        </w:numPr>
        <w:spacing w:after="0"/>
        <w:rPr>
          <w:rFonts w:ascii="Times New Roman" w:eastAsia="Times New Roman" w:hAnsi="Times New Roman"/>
          <w:sz w:val="17"/>
          <w:szCs w:val="17"/>
        </w:rPr>
      </w:pPr>
      <w:r w:rsidRPr="001F016C">
        <w:rPr>
          <w:rFonts w:ascii="Times New Roman" w:eastAsia="Times New Roman" w:hAnsi="Times New Roman"/>
          <w:sz w:val="17"/>
          <w:szCs w:val="17"/>
        </w:rPr>
        <w:t>Hazards (Bushfire - High Risk)</w:t>
      </w:r>
    </w:p>
    <w:p w14:paraId="30C9D31E" w14:textId="77777777" w:rsidR="001F016C" w:rsidRPr="001F016C" w:rsidRDefault="001F016C" w:rsidP="001F016C">
      <w:pPr>
        <w:numPr>
          <w:ilvl w:val="3"/>
          <w:numId w:val="14"/>
        </w:numPr>
        <w:spacing w:after="0"/>
        <w:rPr>
          <w:rFonts w:ascii="Times New Roman" w:eastAsia="Times New Roman" w:hAnsi="Times New Roman"/>
          <w:sz w:val="17"/>
          <w:szCs w:val="17"/>
        </w:rPr>
      </w:pPr>
      <w:r w:rsidRPr="001F016C">
        <w:rPr>
          <w:rFonts w:ascii="Times New Roman" w:eastAsia="Times New Roman" w:hAnsi="Times New Roman"/>
          <w:sz w:val="17"/>
          <w:szCs w:val="17"/>
        </w:rPr>
        <w:t>Hazards (Bushfire - Medium Risk)</w:t>
      </w:r>
    </w:p>
    <w:p w14:paraId="49B4E6F0" w14:textId="77777777" w:rsidR="001F016C" w:rsidRPr="001F016C" w:rsidRDefault="001F016C" w:rsidP="001F016C">
      <w:pPr>
        <w:numPr>
          <w:ilvl w:val="3"/>
          <w:numId w:val="14"/>
        </w:numPr>
        <w:spacing w:after="0"/>
        <w:rPr>
          <w:rFonts w:ascii="Times New Roman" w:eastAsia="Times New Roman" w:hAnsi="Times New Roman"/>
          <w:sz w:val="17"/>
          <w:szCs w:val="17"/>
        </w:rPr>
      </w:pPr>
      <w:r w:rsidRPr="001F016C">
        <w:rPr>
          <w:rFonts w:ascii="Times New Roman" w:eastAsia="Times New Roman" w:hAnsi="Times New Roman"/>
          <w:sz w:val="17"/>
          <w:szCs w:val="17"/>
        </w:rPr>
        <w:t>Hazards (Bushfire - General Risk)</w:t>
      </w:r>
    </w:p>
    <w:p w14:paraId="3C0C5224" w14:textId="77777777" w:rsidR="001F016C" w:rsidRPr="001F016C" w:rsidRDefault="001F016C" w:rsidP="001F016C">
      <w:pPr>
        <w:numPr>
          <w:ilvl w:val="3"/>
          <w:numId w:val="14"/>
        </w:numPr>
        <w:spacing w:after="0"/>
        <w:rPr>
          <w:rFonts w:ascii="Times New Roman" w:eastAsia="Times New Roman" w:hAnsi="Times New Roman"/>
          <w:sz w:val="17"/>
          <w:szCs w:val="17"/>
        </w:rPr>
      </w:pPr>
      <w:r w:rsidRPr="001F016C">
        <w:rPr>
          <w:rFonts w:ascii="Times New Roman" w:eastAsia="Times New Roman" w:hAnsi="Times New Roman"/>
          <w:sz w:val="17"/>
          <w:szCs w:val="17"/>
        </w:rPr>
        <w:t>Hazards (Bushfire - Urban Interface)</w:t>
      </w:r>
    </w:p>
    <w:p w14:paraId="3FB7F776" w14:textId="77777777" w:rsidR="001F016C" w:rsidRPr="001F016C" w:rsidRDefault="001F016C" w:rsidP="001F016C">
      <w:pPr>
        <w:numPr>
          <w:ilvl w:val="3"/>
          <w:numId w:val="14"/>
        </w:numPr>
        <w:spacing w:after="0"/>
        <w:rPr>
          <w:rFonts w:ascii="Times New Roman" w:eastAsia="Times New Roman" w:hAnsi="Times New Roman"/>
          <w:sz w:val="17"/>
          <w:szCs w:val="17"/>
        </w:rPr>
      </w:pPr>
      <w:r w:rsidRPr="001F016C">
        <w:rPr>
          <w:rFonts w:ascii="Times New Roman" w:eastAsia="Times New Roman" w:hAnsi="Times New Roman"/>
          <w:sz w:val="17"/>
          <w:szCs w:val="17"/>
        </w:rPr>
        <w:t>Hazards (Bushfire - Regional)</w:t>
      </w:r>
    </w:p>
    <w:p w14:paraId="0F9D2F2E" w14:textId="77777777" w:rsidR="001F016C" w:rsidRPr="001F016C" w:rsidRDefault="001F016C" w:rsidP="001F016C">
      <w:pPr>
        <w:numPr>
          <w:ilvl w:val="3"/>
          <w:numId w:val="14"/>
        </w:numPr>
        <w:spacing w:after="0"/>
        <w:rPr>
          <w:rFonts w:ascii="Times New Roman" w:eastAsia="Times New Roman" w:hAnsi="Times New Roman"/>
          <w:sz w:val="17"/>
          <w:szCs w:val="17"/>
        </w:rPr>
      </w:pPr>
      <w:r w:rsidRPr="001F016C">
        <w:rPr>
          <w:rFonts w:ascii="Times New Roman" w:eastAsia="Times New Roman" w:hAnsi="Times New Roman"/>
          <w:sz w:val="17"/>
          <w:szCs w:val="17"/>
        </w:rPr>
        <w:t>Hazards (Bushfire - Outback)</w:t>
      </w:r>
    </w:p>
    <w:p w14:paraId="1C27ABDD" w14:textId="77777777" w:rsidR="001F016C" w:rsidRPr="001F016C" w:rsidRDefault="001F016C" w:rsidP="001F016C">
      <w:pPr>
        <w:numPr>
          <w:ilvl w:val="3"/>
          <w:numId w:val="14"/>
        </w:numPr>
        <w:spacing w:after="0"/>
        <w:rPr>
          <w:rFonts w:ascii="Times New Roman" w:eastAsia="Times New Roman" w:hAnsi="Times New Roman"/>
          <w:sz w:val="17"/>
          <w:szCs w:val="17"/>
        </w:rPr>
      </w:pPr>
      <w:r w:rsidRPr="001F016C">
        <w:rPr>
          <w:rFonts w:ascii="Times New Roman" w:eastAsia="Times New Roman" w:hAnsi="Times New Roman"/>
          <w:sz w:val="17"/>
          <w:szCs w:val="17"/>
        </w:rPr>
        <w:t>Heritage Adjacency</w:t>
      </w:r>
    </w:p>
    <w:p w14:paraId="38F900F2" w14:textId="77777777" w:rsidR="001F016C" w:rsidRPr="001F016C" w:rsidRDefault="001F016C" w:rsidP="001F016C">
      <w:pPr>
        <w:numPr>
          <w:ilvl w:val="3"/>
          <w:numId w:val="14"/>
        </w:numPr>
        <w:spacing w:after="0"/>
        <w:rPr>
          <w:rFonts w:ascii="Times New Roman" w:eastAsia="Times New Roman" w:hAnsi="Times New Roman"/>
          <w:sz w:val="17"/>
          <w:szCs w:val="17"/>
        </w:rPr>
      </w:pPr>
      <w:r w:rsidRPr="001F016C">
        <w:rPr>
          <w:rFonts w:ascii="Times New Roman" w:eastAsia="Times New Roman" w:hAnsi="Times New Roman"/>
          <w:sz w:val="17"/>
          <w:szCs w:val="17"/>
        </w:rPr>
        <w:t>Historic Area</w:t>
      </w:r>
    </w:p>
    <w:p w14:paraId="43A61E94" w14:textId="77777777" w:rsidR="001F016C" w:rsidRPr="001F016C" w:rsidRDefault="001F016C" w:rsidP="001F016C">
      <w:pPr>
        <w:numPr>
          <w:ilvl w:val="3"/>
          <w:numId w:val="14"/>
        </w:numPr>
        <w:spacing w:after="0"/>
        <w:rPr>
          <w:rFonts w:ascii="Times New Roman" w:eastAsia="Times New Roman" w:hAnsi="Times New Roman"/>
          <w:sz w:val="17"/>
          <w:szCs w:val="17"/>
        </w:rPr>
      </w:pPr>
      <w:r w:rsidRPr="001F016C">
        <w:rPr>
          <w:rFonts w:ascii="Times New Roman" w:eastAsia="Times New Roman" w:hAnsi="Times New Roman"/>
          <w:sz w:val="17"/>
          <w:szCs w:val="17"/>
        </w:rPr>
        <w:t>Historic Shipwrecks</w:t>
      </w:r>
    </w:p>
    <w:p w14:paraId="56EFE55D" w14:textId="77777777" w:rsidR="001F016C" w:rsidRPr="001F016C" w:rsidRDefault="001F016C" w:rsidP="001F016C">
      <w:pPr>
        <w:numPr>
          <w:ilvl w:val="3"/>
          <w:numId w:val="14"/>
        </w:numPr>
        <w:spacing w:after="0"/>
        <w:rPr>
          <w:rFonts w:ascii="Times New Roman" w:eastAsia="Times New Roman" w:hAnsi="Times New Roman"/>
          <w:sz w:val="17"/>
          <w:szCs w:val="17"/>
        </w:rPr>
      </w:pPr>
      <w:r w:rsidRPr="001F016C">
        <w:rPr>
          <w:rFonts w:ascii="Times New Roman" w:eastAsia="Times New Roman" w:hAnsi="Times New Roman"/>
          <w:sz w:val="17"/>
          <w:szCs w:val="17"/>
        </w:rPr>
        <w:t>Limited Dwelling</w:t>
      </w:r>
    </w:p>
    <w:p w14:paraId="4C3EF335" w14:textId="77777777" w:rsidR="001F016C" w:rsidRPr="001F016C" w:rsidRDefault="001F016C" w:rsidP="001F016C">
      <w:pPr>
        <w:numPr>
          <w:ilvl w:val="3"/>
          <w:numId w:val="14"/>
        </w:numPr>
        <w:spacing w:after="0"/>
        <w:rPr>
          <w:rFonts w:ascii="Times New Roman" w:eastAsia="Times New Roman" w:hAnsi="Times New Roman"/>
          <w:sz w:val="17"/>
          <w:szCs w:val="17"/>
        </w:rPr>
      </w:pPr>
      <w:r w:rsidRPr="001F016C">
        <w:rPr>
          <w:rFonts w:ascii="Times New Roman" w:eastAsia="Times New Roman" w:hAnsi="Times New Roman"/>
          <w:sz w:val="17"/>
          <w:szCs w:val="17"/>
        </w:rPr>
        <w:t>Limited Land Division</w:t>
      </w:r>
    </w:p>
    <w:p w14:paraId="26050A9A" w14:textId="77777777" w:rsidR="001F016C" w:rsidRPr="001F016C" w:rsidRDefault="001F016C" w:rsidP="001F016C">
      <w:pPr>
        <w:numPr>
          <w:ilvl w:val="3"/>
          <w:numId w:val="14"/>
        </w:numPr>
        <w:spacing w:after="0"/>
        <w:rPr>
          <w:rFonts w:ascii="Times New Roman" w:eastAsia="Times New Roman" w:hAnsi="Times New Roman"/>
          <w:sz w:val="17"/>
          <w:szCs w:val="17"/>
        </w:rPr>
      </w:pPr>
      <w:r w:rsidRPr="001F016C">
        <w:rPr>
          <w:rFonts w:ascii="Times New Roman" w:eastAsia="Times New Roman" w:hAnsi="Times New Roman"/>
          <w:sz w:val="17"/>
          <w:szCs w:val="17"/>
        </w:rPr>
        <w:t>Local Heritage Place</w:t>
      </w:r>
    </w:p>
    <w:p w14:paraId="2A748153" w14:textId="77777777" w:rsidR="001F016C" w:rsidRPr="001F016C" w:rsidRDefault="001F016C" w:rsidP="001F016C">
      <w:pPr>
        <w:numPr>
          <w:ilvl w:val="3"/>
          <w:numId w:val="14"/>
        </w:numPr>
        <w:spacing w:after="0"/>
        <w:rPr>
          <w:rFonts w:ascii="Times New Roman" w:eastAsia="Times New Roman" w:hAnsi="Times New Roman"/>
          <w:sz w:val="17"/>
          <w:szCs w:val="17"/>
        </w:rPr>
      </w:pPr>
      <w:r w:rsidRPr="001F016C">
        <w:rPr>
          <w:rFonts w:ascii="Times New Roman" w:eastAsia="Times New Roman" w:hAnsi="Times New Roman"/>
          <w:sz w:val="17"/>
          <w:szCs w:val="17"/>
        </w:rPr>
        <w:t>Noise and Air Emissions</w:t>
      </w:r>
    </w:p>
    <w:p w14:paraId="52921CA7" w14:textId="77777777" w:rsidR="001F016C" w:rsidRPr="001F016C" w:rsidRDefault="001F016C" w:rsidP="001F016C">
      <w:pPr>
        <w:numPr>
          <w:ilvl w:val="3"/>
          <w:numId w:val="14"/>
        </w:numPr>
        <w:spacing w:after="0"/>
        <w:rPr>
          <w:rFonts w:ascii="Times New Roman" w:eastAsia="Times New Roman" w:hAnsi="Times New Roman"/>
          <w:sz w:val="17"/>
          <w:szCs w:val="17"/>
        </w:rPr>
      </w:pPr>
      <w:r w:rsidRPr="001F016C">
        <w:rPr>
          <w:rFonts w:ascii="Times New Roman" w:eastAsia="Times New Roman" w:hAnsi="Times New Roman"/>
          <w:sz w:val="17"/>
          <w:szCs w:val="17"/>
        </w:rPr>
        <w:t>Significant Landscape Protection</w:t>
      </w:r>
    </w:p>
    <w:p w14:paraId="4A6201CB" w14:textId="77777777" w:rsidR="001F016C" w:rsidRPr="001F016C" w:rsidRDefault="001F016C" w:rsidP="001F016C">
      <w:pPr>
        <w:numPr>
          <w:ilvl w:val="3"/>
          <w:numId w:val="14"/>
        </w:numPr>
        <w:spacing w:after="0"/>
        <w:rPr>
          <w:rFonts w:ascii="Times New Roman" w:eastAsia="Times New Roman" w:hAnsi="Times New Roman"/>
          <w:sz w:val="17"/>
          <w:szCs w:val="17"/>
        </w:rPr>
      </w:pPr>
      <w:r w:rsidRPr="001F016C">
        <w:rPr>
          <w:rFonts w:ascii="Times New Roman" w:eastAsia="Times New Roman" w:hAnsi="Times New Roman"/>
          <w:sz w:val="17"/>
          <w:szCs w:val="17"/>
        </w:rPr>
        <w:t>State Heritage Place</w:t>
      </w:r>
    </w:p>
    <w:p w14:paraId="2CEB9B65" w14:textId="77777777" w:rsidR="001F016C" w:rsidRPr="001F016C" w:rsidRDefault="001F016C" w:rsidP="001F016C">
      <w:pPr>
        <w:numPr>
          <w:ilvl w:val="3"/>
          <w:numId w:val="14"/>
        </w:numPr>
        <w:spacing w:after="0"/>
        <w:rPr>
          <w:rFonts w:ascii="Times New Roman" w:eastAsia="Times New Roman" w:hAnsi="Times New Roman"/>
          <w:sz w:val="17"/>
          <w:szCs w:val="17"/>
        </w:rPr>
      </w:pPr>
      <w:r w:rsidRPr="001F016C">
        <w:rPr>
          <w:rFonts w:ascii="Times New Roman" w:eastAsia="Times New Roman" w:hAnsi="Times New Roman"/>
          <w:sz w:val="17"/>
          <w:szCs w:val="17"/>
        </w:rPr>
        <w:t>Stormwater Management</w:t>
      </w:r>
    </w:p>
    <w:p w14:paraId="65B53294" w14:textId="77777777" w:rsidR="001F016C" w:rsidRPr="001F016C" w:rsidRDefault="001F016C" w:rsidP="001F016C">
      <w:pPr>
        <w:numPr>
          <w:ilvl w:val="3"/>
          <w:numId w:val="14"/>
        </w:numPr>
        <w:rPr>
          <w:rFonts w:ascii="Times New Roman" w:eastAsia="Times New Roman" w:hAnsi="Times New Roman"/>
          <w:sz w:val="17"/>
          <w:szCs w:val="17"/>
        </w:rPr>
      </w:pPr>
      <w:r w:rsidRPr="001F016C">
        <w:rPr>
          <w:rFonts w:ascii="Times New Roman" w:eastAsia="Times New Roman" w:hAnsi="Times New Roman"/>
          <w:sz w:val="17"/>
          <w:szCs w:val="17"/>
        </w:rPr>
        <w:t>Urban Tree Canopy</w:t>
      </w:r>
    </w:p>
    <w:bookmarkEnd w:id="4"/>
    <w:p w14:paraId="73623D24" w14:textId="77777777" w:rsidR="001F016C" w:rsidRPr="001F016C" w:rsidRDefault="001F016C" w:rsidP="001F016C">
      <w:pPr>
        <w:numPr>
          <w:ilvl w:val="1"/>
          <w:numId w:val="12"/>
        </w:numPr>
        <w:ind w:left="1434" w:hanging="357"/>
        <w:contextualSpacing/>
        <w:jc w:val="left"/>
        <w:rPr>
          <w:rFonts w:ascii="Times New Roman" w:eastAsia="Times New Roman" w:hAnsi="Times New Roman"/>
          <w:sz w:val="17"/>
          <w:szCs w:val="17"/>
        </w:rPr>
      </w:pPr>
      <w:r w:rsidRPr="001F016C">
        <w:rPr>
          <w:rFonts w:ascii="Times New Roman" w:eastAsia="Times New Roman" w:hAnsi="Times New Roman"/>
          <w:sz w:val="17"/>
          <w:szCs w:val="17"/>
        </w:rPr>
        <w:t>Improved spatial data for existing land parcels in the following locations (as described in Column A) that affect data layers in the Code (as shown in Column B):</w:t>
      </w:r>
    </w:p>
    <w:p w14:paraId="1AD08511" w14:textId="77777777" w:rsidR="001F016C" w:rsidRPr="001F016C" w:rsidRDefault="001F016C" w:rsidP="001F016C">
      <w:pPr>
        <w:spacing w:after="0" w:line="240" w:lineRule="auto"/>
        <w:jc w:val="left"/>
        <w:rPr>
          <w:rFonts w:ascii="Times New Roman" w:eastAsia="Times New Roman" w:hAnsi="Times New Roman"/>
          <w:sz w:val="17"/>
          <w:szCs w:val="17"/>
        </w:rPr>
      </w:pPr>
      <w:r w:rsidRPr="001F016C">
        <w:rPr>
          <w:rFonts w:ascii="Times New Roman" w:hAnsi="Times New Roman"/>
          <w:sz w:val="17"/>
          <w:szCs w:val="17"/>
        </w:rPr>
        <w:br w:type="page"/>
      </w:r>
    </w:p>
    <w:tbl>
      <w:tblPr>
        <w:tblStyle w:val="TableGrid"/>
        <w:tblW w:w="0" w:type="auto"/>
        <w:tblInd w:w="1413" w:type="dxa"/>
        <w:tblLayout w:type="fixed"/>
        <w:tblLook w:val="04A0" w:firstRow="1" w:lastRow="0" w:firstColumn="1" w:lastColumn="0" w:noHBand="0" w:noVBand="1"/>
      </w:tblPr>
      <w:tblGrid>
        <w:gridCol w:w="4536"/>
        <w:gridCol w:w="3067"/>
      </w:tblGrid>
      <w:tr w:rsidR="001F016C" w:rsidRPr="001F016C" w14:paraId="5B15BA11" w14:textId="77777777" w:rsidTr="001F016C">
        <w:trPr>
          <w:tblHeader/>
        </w:trPr>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8DA1BC" w14:textId="77777777" w:rsidR="001F016C" w:rsidRPr="001F016C" w:rsidRDefault="001F016C" w:rsidP="001F016C">
            <w:pPr>
              <w:contextualSpacing/>
              <w:rPr>
                <w:b/>
                <w:sz w:val="17"/>
                <w:szCs w:val="17"/>
              </w:rPr>
            </w:pPr>
            <w:r w:rsidRPr="001F016C">
              <w:rPr>
                <w:b/>
                <w:sz w:val="17"/>
                <w:szCs w:val="17"/>
              </w:rPr>
              <w:lastRenderedPageBreak/>
              <w:t>Location (Column A)</w:t>
            </w:r>
          </w:p>
        </w:tc>
        <w:tc>
          <w:tcPr>
            <w:tcW w:w="3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828ADA" w14:textId="77777777" w:rsidR="001F016C" w:rsidRPr="001F016C" w:rsidRDefault="001F016C" w:rsidP="001F016C">
            <w:pPr>
              <w:contextualSpacing/>
              <w:rPr>
                <w:b/>
                <w:sz w:val="17"/>
                <w:szCs w:val="17"/>
              </w:rPr>
            </w:pPr>
            <w:r w:rsidRPr="001F016C">
              <w:rPr>
                <w:b/>
                <w:sz w:val="17"/>
                <w:szCs w:val="17"/>
              </w:rPr>
              <w:t>Layers (Column B)</w:t>
            </w:r>
          </w:p>
        </w:tc>
      </w:tr>
      <w:tr w:rsidR="001F016C" w:rsidRPr="001F016C" w14:paraId="4F3DC235" w14:textId="77777777" w:rsidTr="001F016C">
        <w:tc>
          <w:tcPr>
            <w:tcW w:w="4536" w:type="dxa"/>
            <w:tcBorders>
              <w:top w:val="single" w:sz="4" w:space="0" w:color="auto"/>
              <w:left w:val="single" w:sz="4" w:space="0" w:color="auto"/>
              <w:bottom w:val="single" w:sz="4" w:space="0" w:color="auto"/>
              <w:right w:val="single" w:sz="4" w:space="0" w:color="auto"/>
            </w:tcBorders>
          </w:tcPr>
          <w:p w14:paraId="6B8FF52A" w14:textId="77777777" w:rsidR="001F016C" w:rsidRPr="001F016C" w:rsidRDefault="001F016C" w:rsidP="001F016C">
            <w:pPr>
              <w:rPr>
                <w:b/>
                <w:sz w:val="17"/>
                <w:szCs w:val="17"/>
                <w:lang w:eastAsia="en-AU"/>
              </w:rPr>
            </w:pPr>
            <w:r w:rsidRPr="001F016C">
              <w:rPr>
                <w:b/>
                <w:sz w:val="17"/>
                <w:szCs w:val="17"/>
                <w:lang w:eastAsia="en-AU"/>
              </w:rPr>
              <w:t>S4096 UCP – Woodforde</w:t>
            </w:r>
          </w:p>
          <w:p w14:paraId="0CBD480B" w14:textId="77777777" w:rsidR="001F016C" w:rsidRPr="001F016C" w:rsidRDefault="001F016C" w:rsidP="001F016C">
            <w:pPr>
              <w:spacing w:line="240" w:lineRule="auto"/>
              <w:rPr>
                <w:b/>
                <w:sz w:val="17"/>
                <w:szCs w:val="17"/>
                <w:lang w:eastAsia="en-AU"/>
              </w:rPr>
            </w:pPr>
            <w:r w:rsidRPr="001F016C">
              <w:rPr>
                <w:noProof/>
                <w:sz w:val="17"/>
              </w:rPr>
              <w:drawing>
                <wp:inline distT="0" distB="0" distL="0" distR="0" wp14:anchorId="75847067" wp14:editId="74D90D8F">
                  <wp:extent cx="2695575" cy="3307080"/>
                  <wp:effectExtent l="0" t="0" r="952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95575" cy="3307080"/>
                          </a:xfrm>
                          <a:prstGeom prst="rect">
                            <a:avLst/>
                          </a:prstGeom>
                          <a:noFill/>
                          <a:ln>
                            <a:noFill/>
                          </a:ln>
                        </pic:spPr>
                      </pic:pic>
                    </a:graphicData>
                  </a:graphic>
                </wp:inline>
              </w:drawing>
            </w:r>
          </w:p>
          <w:p w14:paraId="5481842B" w14:textId="77777777" w:rsidR="001F016C" w:rsidRPr="001F016C" w:rsidRDefault="001F016C" w:rsidP="001F016C">
            <w:pPr>
              <w:rPr>
                <w:b/>
                <w:sz w:val="17"/>
                <w:szCs w:val="17"/>
                <w:highlight w:val="yellow"/>
                <w:lang w:eastAsia="en-AU"/>
              </w:rPr>
            </w:pPr>
          </w:p>
          <w:p w14:paraId="07B84BFA" w14:textId="77777777" w:rsidR="001F016C" w:rsidRPr="001F016C" w:rsidRDefault="001F016C" w:rsidP="001F016C">
            <w:pPr>
              <w:rPr>
                <w:b/>
                <w:sz w:val="17"/>
                <w:szCs w:val="17"/>
                <w:highlight w:val="yellow"/>
              </w:rPr>
            </w:pPr>
          </w:p>
        </w:tc>
        <w:tc>
          <w:tcPr>
            <w:tcW w:w="3067" w:type="dxa"/>
            <w:tcBorders>
              <w:top w:val="single" w:sz="4" w:space="0" w:color="auto"/>
              <w:left w:val="single" w:sz="4" w:space="0" w:color="auto"/>
              <w:bottom w:val="single" w:sz="4" w:space="0" w:color="auto"/>
              <w:right w:val="single" w:sz="4" w:space="0" w:color="auto"/>
            </w:tcBorders>
            <w:hideMark/>
          </w:tcPr>
          <w:p w14:paraId="44476DF1" w14:textId="77777777" w:rsidR="001F016C" w:rsidRPr="001F016C" w:rsidRDefault="001F016C" w:rsidP="001F016C">
            <w:pPr>
              <w:contextualSpacing/>
              <w:rPr>
                <w:sz w:val="17"/>
                <w:szCs w:val="17"/>
              </w:rPr>
            </w:pPr>
            <w:r w:rsidRPr="001F016C">
              <w:rPr>
                <w:sz w:val="17"/>
                <w:szCs w:val="17"/>
              </w:rPr>
              <w:t>Zones</w:t>
            </w:r>
          </w:p>
          <w:p w14:paraId="03519244" w14:textId="77777777" w:rsidR="001F016C" w:rsidRPr="001F016C" w:rsidRDefault="001F016C" w:rsidP="001F016C">
            <w:pPr>
              <w:contextualSpacing/>
              <w:rPr>
                <w:sz w:val="17"/>
                <w:szCs w:val="17"/>
              </w:rPr>
            </w:pPr>
            <w:r w:rsidRPr="001F016C">
              <w:rPr>
                <w:sz w:val="17"/>
                <w:szCs w:val="17"/>
              </w:rPr>
              <w:t>Technical and Numeric Variations</w:t>
            </w:r>
          </w:p>
          <w:p w14:paraId="6B64FAC4" w14:textId="77777777" w:rsidR="001F016C" w:rsidRPr="001F016C" w:rsidRDefault="001F016C" w:rsidP="001F016C">
            <w:pPr>
              <w:numPr>
                <w:ilvl w:val="0"/>
                <w:numId w:val="15"/>
              </w:numPr>
              <w:spacing w:after="0"/>
              <w:jc w:val="left"/>
              <w:rPr>
                <w:sz w:val="17"/>
                <w:szCs w:val="17"/>
              </w:rPr>
            </w:pPr>
            <w:r w:rsidRPr="001F016C">
              <w:rPr>
                <w:sz w:val="17"/>
                <w:szCs w:val="17"/>
              </w:rPr>
              <w:t>Building Heights (Levels)</w:t>
            </w:r>
          </w:p>
          <w:p w14:paraId="1BF516A9" w14:textId="77777777" w:rsidR="001F016C" w:rsidRPr="001F016C" w:rsidRDefault="001F016C" w:rsidP="001F016C">
            <w:pPr>
              <w:numPr>
                <w:ilvl w:val="0"/>
                <w:numId w:val="15"/>
              </w:numPr>
              <w:spacing w:after="0"/>
              <w:jc w:val="left"/>
              <w:rPr>
                <w:sz w:val="17"/>
                <w:szCs w:val="17"/>
              </w:rPr>
            </w:pPr>
            <w:r w:rsidRPr="001F016C">
              <w:rPr>
                <w:sz w:val="17"/>
                <w:szCs w:val="17"/>
              </w:rPr>
              <w:t>Building Heights (Metres)</w:t>
            </w:r>
          </w:p>
          <w:p w14:paraId="247319B4" w14:textId="77777777" w:rsidR="001F016C" w:rsidRPr="001F016C" w:rsidRDefault="001F016C" w:rsidP="001F016C">
            <w:pPr>
              <w:numPr>
                <w:ilvl w:val="0"/>
                <w:numId w:val="15"/>
              </w:numPr>
              <w:spacing w:after="0"/>
              <w:jc w:val="left"/>
              <w:rPr>
                <w:sz w:val="17"/>
                <w:szCs w:val="17"/>
              </w:rPr>
            </w:pPr>
            <w:r w:rsidRPr="001F016C">
              <w:rPr>
                <w:sz w:val="17"/>
                <w:szCs w:val="17"/>
              </w:rPr>
              <w:t>Minimum Frontage</w:t>
            </w:r>
          </w:p>
          <w:p w14:paraId="6EADCCBA" w14:textId="77777777" w:rsidR="001F016C" w:rsidRPr="001F016C" w:rsidRDefault="001F016C" w:rsidP="001F016C">
            <w:pPr>
              <w:numPr>
                <w:ilvl w:val="0"/>
                <w:numId w:val="15"/>
              </w:numPr>
              <w:spacing w:after="0"/>
              <w:jc w:val="left"/>
              <w:rPr>
                <w:sz w:val="17"/>
                <w:szCs w:val="17"/>
              </w:rPr>
            </w:pPr>
            <w:r w:rsidRPr="001F016C">
              <w:rPr>
                <w:sz w:val="17"/>
                <w:szCs w:val="17"/>
              </w:rPr>
              <w:t>Minimum Site Area</w:t>
            </w:r>
          </w:p>
          <w:p w14:paraId="1C940092" w14:textId="77777777" w:rsidR="001F016C" w:rsidRPr="001F016C" w:rsidRDefault="001F016C" w:rsidP="001F016C">
            <w:pPr>
              <w:rPr>
                <w:sz w:val="17"/>
                <w:szCs w:val="17"/>
              </w:rPr>
            </w:pPr>
            <w:r w:rsidRPr="001F016C">
              <w:rPr>
                <w:sz w:val="17"/>
                <w:szCs w:val="17"/>
              </w:rPr>
              <w:t>Overlays</w:t>
            </w:r>
          </w:p>
          <w:p w14:paraId="74E6A466" w14:textId="77777777" w:rsidR="001F016C" w:rsidRPr="001F016C" w:rsidRDefault="001F016C" w:rsidP="001F016C">
            <w:pPr>
              <w:numPr>
                <w:ilvl w:val="0"/>
                <w:numId w:val="15"/>
              </w:numPr>
              <w:spacing w:after="0"/>
              <w:jc w:val="left"/>
              <w:rPr>
                <w:sz w:val="17"/>
                <w:szCs w:val="17"/>
              </w:rPr>
            </w:pPr>
            <w:r w:rsidRPr="001F016C">
              <w:rPr>
                <w:sz w:val="17"/>
                <w:szCs w:val="17"/>
              </w:rPr>
              <w:t>Urban Transport Routes</w:t>
            </w:r>
          </w:p>
        </w:tc>
      </w:tr>
      <w:tr w:rsidR="001F016C" w:rsidRPr="001F016C" w14:paraId="1BB3E7C4" w14:textId="77777777" w:rsidTr="001F016C">
        <w:tc>
          <w:tcPr>
            <w:tcW w:w="4536" w:type="dxa"/>
            <w:tcBorders>
              <w:top w:val="single" w:sz="4" w:space="0" w:color="auto"/>
              <w:left w:val="single" w:sz="4" w:space="0" w:color="auto"/>
              <w:bottom w:val="single" w:sz="4" w:space="0" w:color="auto"/>
              <w:right w:val="single" w:sz="4" w:space="0" w:color="auto"/>
            </w:tcBorders>
            <w:hideMark/>
          </w:tcPr>
          <w:p w14:paraId="0F504D7D" w14:textId="77777777" w:rsidR="001F016C" w:rsidRPr="001F016C" w:rsidRDefault="001F016C" w:rsidP="001F016C">
            <w:pPr>
              <w:rPr>
                <w:b/>
                <w:sz w:val="17"/>
                <w:szCs w:val="17"/>
                <w:lang w:eastAsia="en-AU"/>
              </w:rPr>
            </w:pPr>
            <w:r w:rsidRPr="001F016C">
              <w:rPr>
                <w:b/>
                <w:sz w:val="17"/>
                <w:szCs w:val="17"/>
                <w:lang w:eastAsia="en-AU"/>
              </w:rPr>
              <w:t>Hampden</w:t>
            </w:r>
          </w:p>
          <w:p w14:paraId="16B96CE9" w14:textId="77777777" w:rsidR="001F016C" w:rsidRPr="001F016C" w:rsidRDefault="001F016C" w:rsidP="001F016C">
            <w:pPr>
              <w:spacing w:line="240" w:lineRule="auto"/>
              <w:rPr>
                <w:b/>
                <w:sz w:val="17"/>
                <w:szCs w:val="17"/>
                <w:lang w:eastAsia="en-AU"/>
              </w:rPr>
            </w:pPr>
            <w:r w:rsidRPr="001F016C">
              <w:rPr>
                <w:rFonts w:ascii="Arial" w:hAnsi="Arial" w:cs="Arial"/>
                <w:b/>
                <w:noProof/>
                <w:sz w:val="17"/>
              </w:rPr>
              <w:drawing>
                <wp:inline distT="0" distB="0" distL="0" distR="0" wp14:anchorId="45EA27C0" wp14:editId="4303D3E1">
                  <wp:extent cx="2564765" cy="2428240"/>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64765" cy="2428240"/>
                          </a:xfrm>
                          <a:prstGeom prst="rect">
                            <a:avLst/>
                          </a:prstGeom>
                          <a:noFill/>
                          <a:ln>
                            <a:noFill/>
                          </a:ln>
                        </pic:spPr>
                      </pic:pic>
                    </a:graphicData>
                  </a:graphic>
                </wp:inline>
              </w:drawing>
            </w:r>
          </w:p>
        </w:tc>
        <w:tc>
          <w:tcPr>
            <w:tcW w:w="3067" w:type="dxa"/>
            <w:tcBorders>
              <w:top w:val="single" w:sz="4" w:space="0" w:color="auto"/>
              <w:left w:val="single" w:sz="4" w:space="0" w:color="auto"/>
              <w:bottom w:val="single" w:sz="4" w:space="0" w:color="auto"/>
              <w:right w:val="single" w:sz="4" w:space="0" w:color="auto"/>
            </w:tcBorders>
          </w:tcPr>
          <w:p w14:paraId="6293D878" w14:textId="77777777" w:rsidR="001F016C" w:rsidRPr="001F016C" w:rsidRDefault="001F016C" w:rsidP="001F016C">
            <w:pPr>
              <w:contextualSpacing/>
              <w:rPr>
                <w:sz w:val="17"/>
                <w:szCs w:val="17"/>
              </w:rPr>
            </w:pPr>
            <w:r w:rsidRPr="001F016C">
              <w:rPr>
                <w:sz w:val="17"/>
                <w:szCs w:val="17"/>
              </w:rPr>
              <w:t>Technical and Numeric Variations</w:t>
            </w:r>
          </w:p>
          <w:p w14:paraId="5CE46BC7" w14:textId="77777777" w:rsidR="001F016C" w:rsidRPr="001F016C" w:rsidRDefault="001F016C" w:rsidP="001F016C">
            <w:pPr>
              <w:numPr>
                <w:ilvl w:val="0"/>
                <w:numId w:val="15"/>
              </w:numPr>
              <w:spacing w:after="0"/>
              <w:jc w:val="left"/>
              <w:rPr>
                <w:rFonts w:ascii="Arial" w:hAnsi="Arial" w:cs="Arial"/>
              </w:rPr>
            </w:pPr>
            <w:r w:rsidRPr="001F016C">
              <w:rPr>
                <w:sz w:val="17"/>
                <w:szCs w:val="17"/>
              </w:rPr>
              <w:t>Minimum Site Area</w:t>
            </w:r>
          </w:p>
          <w:p w14:paraId="4207989F" w14:textId="77777777" w:rsidR="001F016C" w:rsidRPr="001F016C" w:rsidRDefault="001F016C" w:rsidP="001F016C">
            <w:pPr>
              <w:rPr>
                <w:sz w:val="17"/>
                <w:szCs w:val="17"/>
              </w:rPr>
            </w:pPr>
            <w:r w:rsidRPr="001F016C">
              <w:rPr>
                <w:sz w:val="17"/>
                <w:szCs w:val="17"/>
              </w:rPr>
              <w:t>Overlays</w:t>
            </w:r>
          </w:p>
          <w:p w14:paraId="3876D1BF" w14:textId="77777777" w:rsidR="001F016C" w:rsidRPr="001F016C" w:rsidRDefault="001F016C" w:rsidP="001F016C">
            <w:pPr>
              <w:numPr>
                <w:ilvl w:val="0"/>
                <w:numId w:val="15"/>
              </w:numPr>
              <w:spacing w:after="0"/>
              <w:jc w:val="left"/>
              <w:rPr>
                <w:sz w:val="17"/>
                <w:szCs w:val="17"/>
              </w:rPr>
            </w:pPr>
            <w:r w:rsidRPr="001F016C">
              <w:rPr>
                <w:sz w:val="17"/>
                <w:szCs w:val="17"/>
              </w:rPr>
              <w:t>Key Outback and Rural Routes</w:t>
            </w:r>
          </w:p>
          <w:p w14:paraId="415958E4" w14:textId="77777777" w:rsidR="001F016C" w:rsidRPr="001F016C" w:rsidRDefault="001F016C" w:rsidP="001F016C">
            <w:pPr>
              <w:rPr>
                <w:sz w:val="17"/>
                <w:szCs w:val="17"/>
              </w:rPr>
            </w:pPr>
          </w:p>
        </w:tc>
      </w:tr>
    </w:tbl>
    <w:p w14:paraId="5FCF01E0" w14:textId="77777777" w:rsidR="001F016C" w:rsidRPr="001F016C" w:rsidRDefault="001F016C" w:rsidP="001F016C">
      <w:pPr>
        <w:rPr>
          <w:rFonts w:ascii="Times New Roman" w:hAnsi="Times New Roman"/>
          <w:sz w:val="17"/>
        </w:rPr>
      </w:pPr>
      <w:r w:rsidRPr="001F016C">
        <w:rPr>
          <w:rFonts w:ascii="Times New Roman" w:hAnsi="Times New Roman"/>
          <w:sz w:val="17"/>
        </w:rPr>
        <w:br w:type="page"/>
      </w:r>
    </w:p>
    <w:tbl>
      <w:tblPr>
        <w:tblStyle w:val="TableGrid"/>
        <w:tblW w:w="0" w:type="auto"/>
        <w:tblInd w:w="1413" w:type="dxa"/>
        <w:tblLayout w:type="fixed"/>
        <w:tblLook w:val="04A0" w:firstRow="1" w:lastRow="0" w:firstColumn="1" w:lastColumn="0" w:noHBand="0" w:noVBand="1"/>
      </w:tblPr>
      <w:tblGrid>
        <w:gridCol w:w="4536"/>
        <w:gridCol w:w="3067"/>
      </w:tblGrid>
      <w:tr w:rsidR="001F016C" w:rsidRPr="001F016C" w14:paraId="6283AB5A" w14:textId="77777777" w:rsidTr="001F016C">
        <w:trPr>
          <w:tblHeader/>
        </w:trPr>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87C6A5" w14:textId="77777777" w:rsidR="001F016C" w:rsidRPr="001F016C" w:rsidRDefault="001F016C" w:rsidP="001F016C">
            <w:pPr>
              <w:contextualSpacing/>
              <w:rPr>
                <w:b/>
                <w:sz w:val="17"/>
                <w:szCs w:val="17"/>
              </w:rPr>
            </w:pPr>
            <w:r w:rsidRPr="001F016C">
              <w:rPr>
                <w:b/>
                <w:sz w:val="17"/>
                <w:szCs w:val="17"/>
              </w:rPr>
              <w:lastRenderedPageBreak/>
              <w:t>Location (Column A)</w:t>
            </w:r>
          </w:p>
        </w:tc>
        <w:tc>
          <w:tcPr>
            <w:tcW w:w="3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DC5A5F" w14:textId="77777777" w:rsidR="001F016C" w:rsidRPr="001F016C" w:rsidRDefault="001F016C" w:rsidP="001F016C">
            <w:pPr>
              <w:contextualSpacing/>
              <w:rPr>
                <w:b/>
                <w:sz w:val="17"/>
                <w:szCs w:val="17"/>
              </w:rPr>
            </w:pPr>
            <w:r w:rsidRPr="001F016C">
              <w:rPr>
                <w:b/>
                <w:sz w:val="17"/>
                <w:szCs w:val="17"/>
              </w:rPr>
              <w:t>Layers (Column B)</w:t>
            </w:r>
          </w:p>
        </w:tc>
      </w:tr>
      <w:tr w:rsidR="001F016C" w:rsidRPr="001F016C" w14:paraId="65A2B9E6" w14:textId="77777777" w:rsidTr="001F016C">
        <w:tc>
          <w:tcPr>
            <w:tcW w:w="4536" w:type="dxa"/>
            <w:tcBorders>
              <w:top w:val="single" w:sz="4" w:space="0" w:color="auto"/>
              <w:left w:val="single" w:sz="4" w:space="0" w:color="auto"/>
              <w:bottom w:val="single" w:sz="4" w:space="0" w:color="auto"/>
              <w:right w:val="single" w:sz="4" w:space="0" w:color="auto"/>
            </w:tcBorders>
          </w:tcPr>
          <w:p w14:paraId="7051886A" w14:textId="77777777" w:rsidR="001F016C" w:rsidRPr="001F016C" w:rsidRDefault="001F016C" w:rsidP="001F016C">
            <w:pPr>
              <w:rPr>
                <w:b/>
                <w:sz w:val="17"/>
                <w:szCs w:val="17"/>
                <w:lang w:eastAsia="en-AU"/>
              </w:rPr>
            </w:pPr>
            <w:r w:rsidRPr="001F016C">
              <w:rPr>
                <w:b/>
                <w:sz w:val="17"/>
                <w:szCs w:val="17"/>
                <w:lang w:eastAsia="en-AU"/>
              </w:rPr>
              <w:t xml:space="preserve">HD Ridley D53979 – </w:t>
            </w:r>
            <w:proofErr w:type="spellStart"/>
            <w:r w:rsidRPr="001F016C">
              <w:rPr>
                <w:b/>
                <w:sz w:val="17"/>
                <w:szCs w:val="17"/>
                <w:lang w:eastAsia="en-AU"/>
              </w:rPr>
              <w:t>Caurnamont</w:t>
            </w:r>
            <w:proofErr w:type="spellEnd"/>
          </w:p>
          <w:p w14:paraId="02EB39DB" w14:textId="77777777" w:rsidR="001F016C" w:rsidRPr="001F016C" w:rsidRDefault="001F016C" w:rsidP="001F016C">
            <w:pPr>
              <w:spacing w:line="240" w:lineRule="auto"/>
              <w:rPr>
                <w:rFonts w:ascii="Arial" w:hAnsi="Arial" w:cs="Arial"/>
                <w:b/>
                <w:sz w:val="17"/>
              </w:rPr>
            </w:pPr>
            <w:r w:rsidRPr="001F016C">
              <w:rPr>
                <w:rFonts w:ascii="Arial" w:hAnsi="Arial" w:cs="Arial"/>
                <w:b/>
                <w:noProof/>
                <w:sz w:val="17"/>
              </w:rPr>
              <w:drawing>
                <wp:inline distT="0" distB="0" distL="0" distR="0" wp14:anchorId="04E4447F" wp14:editId="442462E0">
                  <wp:extent cx="2826385" cy="2915285"/>
                  <wp:effectExtent l="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26385" cy="2915285"/>
                          </a:xfrm>
                          <a:prstGeom prst="rect">
                            <a:avLst/>
                          </a:prstGeom>
                          <a:noFill/>
                          <a:ln>
                            <a:noFill/>
                          </a:ln>
                        </pic:spPr>
                      </pic:pic>
                    </a:graphicData>
                  </a:graphic>
                </wp:inline>
              </w:drawing>
            </w:r>
          </w:p>
          <w:p w14:paraId="1517370A" w14:textId="77777777" w:rsidR="001F016C" w:rsidRPr="001F016C" w:rsidRDefault="001F016C" w:rsidP="001F016C">
            <w:pPr>
              <w:rPr>
                <w:rFonts w:ascii="Arial" w:hAnsi="Arial" w:cs="Arial"/>
                <w:b/>
                <w:sz w:val="17"/>
              </w:rPr>
            </w:pPr>
          </w:p>
        </w:tc>
        <w:tc>
          <w:tcPr>
            <w:tcW w:w="3067" w:type="dxa"/>
            <w:tcBorders>
              <w:top w:val="single" w:sz="4" w:space="0" w:color="auto"/>
              <w:left w:val="single" w:sz="4" w:space="0" w:color="auto"/>
              <w:bottom w:val="single" w:sz="4" w:space="0" w:color="auto"/>
              <w:right w:val="single" w:sz="4" w:space="0" w:color="auto"/>
            </w:tcBorders>
          </w:tcPr>
          <w:p w14:paraId="36A7421E" w14:textId="77777777" w:rsidR="001F016C" w:rsidRPr="001F016C" w:rsidRDefault="001F016C" w:rsidP="001F016C">
            <w:pPr>
              <w:contextualSpacing/>
              <w:rPr>
                <w:sz w:val="17"/>
                <w:szCs w:val="17"/>
              </w:rPr>
            </w:pPr>
            <w:r w:rsidRPr="001F016C">
              <w:rPr>
                <w:sz w:val="17"/>
                <w:szCs w:val="17"/>
              </w:rPr>
              <w:t>Zones</w:t>
            </w:r>
          </w:p>
          <w:p w14:paraId="49A04E51" w14:textId="77777777" w:rsidR="001F016C" w:rsidRPr="001F016C" w:rsidRDefault="001F016C" w:rsidP="001F016C">
            <w:pPr>
              <w:contextualSpacing/>
              <w:rPr>
                <w:sz w:val="17"/>
                <w:szCs w:val="17"/>
              </w:rPr>
            </w:pPr>
            <w:r w:rsidRPr="001F016C">
              <w:rPr>
                <w:sz w:val="17"/>
                <w:szCs w:val="17"/>
              </w:rPr>
              <w:t>Technical and Numeric Variations</w:t>
            </w:r>
          </w:p>
          <w:p w14:paraId="25E955F7" w14:textId="77777777" w:rsidR="001F016C" w:rsidRPr="001F016C" w:rsidRDefault="001F016C" w:rsidP="001F016C">
            <w:pPr>
              <w:numPr>
                <w:ilvl w:val="0"/>
                <w:numId w:val="15"/>
              </w:numPr>
              <w:spacing w:after="0"/>
              <w:jc w:val="left"/>
              <w:rPr>
                <w:sz w:val="17"/>
                <w:szCs w:val="17"/>
              </w:rPr>
            </w:pPr>
            <w:r w:rsidRPr="001F016C">
              <w:rPr>
                <w:sz w:val="17"/>
                <w:szCs w:val="17"/>
              </w:rPr>
              <w:t>Building Heights (Metres)</w:t>
            </w:r>
          </w:p>
          <w:p w14:paraId="0393A4B9" w14:textId="77777777" w:rsidR="001F016C" w:rsidRPr="001F016C" w:rsidRDefault="001F016C" w:rsidP="001F016C">
            <w:pPr>
              <w:rPr>
                <w:sz w:val="17"/>
                <w:szCs w:val="17"/>
              </w:rPr>
            </w:pPr>
          </w:p>
          <w:p w14:paraId="52230554" w14:textId="77777777" w:rsidR="001F016C" w:rsidRPr="001F016C" w:rsidRDefault="001F016C" w:rsidP="001F016C">
            <w:pPr>
              <w:contextualSpacing/>
              <w:rPr>
                <w:sz w:val="17"/>
                <w:szCs w:val="17"/>
              </w:rPr>
            </w:pPr>
          </w:p>
          <w:p w14:paraId="2490433B" w14:textId="77777777" w:rsidR="001F016C" w:rsidRPr="001F016C" w:rsidRDefault="001F016C" w:rsidP="001F016C">
            <w:pPr>
              <w:contextualSpacing/>
              <w:rPr>
                <w:sz w:val="17"/>
                <w:szCs w:val="17"/>
              </w:rPr>
            </w:pPr>
          </w:p>
          <w:p w14:paraId="4D6FEE7F" w14:textId="77777777" w:rsidR="001F016C" w:rsidRPr="001F016C" w:rsidRDefault="001F016C" w:rsidP="001F016C">
            <w:pPr>
              <w:contextualSpacing/>
              <w:rPr>
                <w:sz w:val="17"/>
                <w:szCs w:val="17"/>
              </w:rPr>
            </w:pPr>
          </w:p>
          <w:p w14:paraId="5A1D6397" w14:textId="77777777" w:rsidR="001F016C" w:rsidRPr="001F016C" w:rsidRDefault="001F016C" w:rsidP="001F016C">
            <w:pPr>
              <w:contextualSpacing/>
              <w:rPr>
                <w:sz w:val="17"/>
                <w:szCs w:val="17"/>
              </w:rPr>
            </w:pPr>
          </w:p>
          <w:p w14:paraId="34826F73" w14:textId="77777777" w:rsidR="001F016C" w:rsidRPr="001F016C" w:rsidRDefault="001F016C" w:rsidP="001F016C">
            <w:pPr>
              <w:contextualSpacing/>
              <w:rPr>
                <w:sz w:val="17"/>
                <w:szCs w:val="17"/>
              </w:rPr>
            </w:pPr>
          </w:p>
          <w:p w14:paraId="0AFA4F38" w14:textId="77777777" w:rsidR="001F016C" w:rsidRPr="001F016C" w:rsidRDefault="001F016C" w:rsidP="001F016C">
            <w:pPr>
              <w:contextualSpacing/>
              <w:rPr>
                <w:sz w:val="17"/>
                <w:szCs w:val="17"/>
              </w:rPr>
            </w:pPr>
          </w:p>
          <w:p w14:paraId="3FBDD2E9" w14:textId="77777777" w:rsidR="001F016C" w:rsidRPr="001F016C" w:rsidRDefault="001F016C" w:rsidP="001F016C">
            <w:pPr>
              <w:contextualSpacing/>
              <w:rPr>
                <w:sz w:val="17"/>
                <w:szCs w:val="17"/>
              </w:rPr>
            </w:pPr>
          </w:p>
          <w:p w14:paraId="70511DFE" w14:textId="77777777" w:rsidR="001F016C" w:rsidRPr="001F016C" w:rsidRDefault="001F016C" w:rsidP="001F016C">
            <w:pPr>
              <w:contextualSpacing/>
              <w:rPr>
                <w:sz w:val="17"/>
                <w:szCs w:val="17"/>
              </w:rPr>
            </w:pPr>
          </w:p>
          <w:p w14:paraId="72F881F2" w14:textId="77777777" w:rsidR="001F016C" w:rsidRPr="001F016C" w:rsidRDefault="001F016C" w:rsidP="001F016C">
            <w:pPr>
              <w:contextualSpacing/>
              <w:rPr>
                <w:sz w:val="17"/>
                <w:szCs w:val="17"/>
              </w:rPr>
            </w:pPr>
          </w:p>
          <w:p w14:paraId="429E17AD" w14:textId="77777777" w:rsidR="001F016C" w:rsidRPr="001F016C" w:rsidRDefault="001F016C" w:rsidP="001F016C">
            <w:pPr>
              <w:contextualSpacing/>
              <w:rPr>
                <w:sz w:val="17"/>
                <w:szCs w:val="17"/>
              </w:rPr>
            </w:pPr>
          </w:p>
          <w:p w14:paraId="45FF1DF1" w14:textId="77777777" w:rsidR="001F016C" w:rsidRPr="001F016C" w:rsidRDefault="001F016C" w:rsidP="001F016C">
            <w:pPr>
              <w:contextualSpacing/>
              <w:rPr>
                <w:sz w:val="17"/>
                <w:szCs w:val="17"/>
              </w:rPr>
            </w:pPr>
          </w:p>
          <w:p w14:paraId="672C7513" w14:textId="77777777" w:rsidR="001F016C" w:rsidRPr="001F016C" w:rsidRDefault="001F016C" w:rsidP="001F016C">
            <w:pPr>
              <w:contextualSpacing/>
              <w:rPr>
                <w:sz w:val="17"/>
                <w:szCs w:val="17"/>
              </w:rPr>
            </w:pPr>
          </w:p>
          <w:p w14:paraId="2F944188" w14:textId="77777777" w:rsidR="001F016C" w:rsidRPr="001F016C" w:rsidRDefault="001F016C" w:rsidP="001F016C">
            <w:pPr>
              <w:contextualSpacing/>
              <w:rPr>
                <w:sz w:val="17"/>
                <w:szCs w:val="17"/>
              </w:rPr>
            </w:pPr>
          </w:p>
        </w:tc>
      </w:tr>
    </w:tbl>
    <w:p w14:paraId="2EC28EF0" w14:textId="77777777" w:rsidR="001F016C" w:rsidRPr="001F016C" w:rsidRDefault="001F016C" w:rsidP="001F016C">
      <w:pPr>
        <w:spacing w:after="0" w:line="240" w:lineRule="auto"/>
        <w:ind w:left="1440" w:right="-1"/>
        <w:contextualSpacing/>
        <w:jc w:val="left"/>
        <w:rPr>
          <w:rFonts w:ascii="Times New Roman" w:eastAsia="Times New Roman" w:hAnsi="Times New Roman"/>
          <w:sz w:val="17"/>
          <w:szCs w:val="17"/>
        </w:rPr>
      </w:pPr>
    </w:p>
    <w:p w14:paraId="78F2539E" w14:textId="77777777" w:rsidR="001F016C" w:rsidRPr="001F016C" w:rsidRDefault="001F016C" w:rsidP="001F016C">
      <w:pPr>
        <w:numPr>
          <w:ilvl w:val="0"/>
          <w:numId w:val="11"/>
        </w:numPr>
        <w:spacing w:before="80"/>
        <w:ind w:left="714" w:hanging="357"/>
        <w:jc w:val="left"/>
        <w:rPr>
          <w:rFonts w:ascii="Times New Roman" w:eastAsia="Times New Roman" w:hAnsi="Times New Roman"/>
          <w:bCs/>
          <w:sz w:val="17"/>
          <w:szCs w:val="17"/>
          <w:lang w:val="en-GB"/>
        </w:rPr>
      </w:pPr>
      <w:r w:rsidRPr="001F016C">
        <w:rPr>
          <w:rFonts w:ascii="Times New Roman" w:eastAsia="Times New Roman" w:hAnsi="Times New Roman"/>
          <w:bCs/>
          <w:sz w:val="17"/>
          <w:szCs w:val="17"/>
          <w:lang w:val="en-GB"/>
        </w:rPr>
        <w:t>In Part 13 of the Code – Table of Amendments, update the publication date, Code version number, amendment type and summary of amendments within the ‘Table of Planning and Design Code Amendments’ to reflect the amendments to the Code as described in this Notice.</w:t>
      </w:r>
    </w:p>
    <w:p w14:paraId="037ECAB7" w14:textId="77777777" w:rsidR="001F016C" w:rsidRPr="001F016C" w:rsidRDefault="001F016C" w:rsidP="001F016C">
      <w:pPr>
        <w:numPr>
          <w:ilvl w:val="0"/>
          <w:numId w:val="10"/>
        </w:numPr>
        <w:ind w:left="357" w:hanging="357"/>
        <w:rPr>
          <w:rFonts w:ascii="Times New Roman" w:eastAsia="Times New Roman" w:hAnsi="Times New Roman"/>
          <w:bCs/>
          <w:sz w:val="17"/>
          <w:szCs w:val="17"/>
          <w:lang w:val="en-GB"/>
        </w:rPr>
      </w:pPr>
      <w:r w:rsidRPr="001F016C">
        <w:rPr>
          <w:rFonts w:ascii="Times New Roman" w:eastAsia="Times New Roman" w:hAnsi="Times New Roman"/>
          <w:sz w:val="17"/>
          <w:szCs w:val="20"/>
          <w:lang w:val="en-GB"/>
        </w:rPr>
        <w:t>PURSUANT to section 76(5)(a) of the Act, I further specify that the amendments to the Code as described in this Notice will take effect upon the date those amendments are published on the SA planning portal.</w:t>
      </w:r>
    </w:p>
    <w:p w14:paraId="32337AC4" w14:textId="77777777" w:rsidR="001F016C" w:rsidRPr="001F016C" w:rsidRDefault="001F016C" w:rsidP="001F016C">
      <w:pPr>
        <w:pStyle w:val="GG-SDated"/>
      </w:pPr>
      <w:r w:rsidRPr="001F016C">
        <w:t>Dated: 30 May 2023</w:t>
      </w:r>
    </w:p>
    <w:p w14:paraId="7BF97216" w14:textId="77777777" w:rsidR="001F016C" w:rsidRPr="001F016C" w:rsidRDefault="001F016C" w:rsidP="001F016C">
      <w:pPr>
        <w:spacing w:after="0"/>
        <w:jc w:val="right"/>
        <w:rPr>
          <w:rFonts w:ascii="Times New Roman" w:eastAsia="Times New Roman" w:hAnsi="Times New Roman"/>
          <w:smallCaps/>
          <w:sz w:val="17"/>
          <w:szCs w:val="20"/>
        </w:rPr>
      </w:pPr>
      <w:r w:rsidRPr="001F016C">
        <w:rPr>
          <w:rFonts w:ascii="Times New Roman" w:eastAsia="Times New Roman" w:hAnsi="Times New Roman"/>
          <w:smallCaps/>
          <w:sz w:val="17"/>
          <w:szCs w:val="20"/>
        </w:rPr>
        <w:t xml:space="preserve">Greg Van </w:t>
      </w:r>
      <w:proofErr w:type="spellStart"/>
      <w:r w:rsidRPr="001F016C">
        <w:rPr>
          <w:rFonts w:ascii="Times New Roman" w:eastAsia="Times New Roman" w:hAnsi="Times New Roman"/>
          <w:smallCaps/>
          <w:sz w:val="17"/>
          <w:szCs w:val="20"/>
        </w:rPr>
        <w:t>Gaans</w:t>
      </w:r>
      <w:proofErr w:type="spellEnd"/>
    </w:p>
    <w:p w14:paraId="2B9AC1BC" w14:textId="77777777" w:rsidR="001F016C" w:rsidRPr="001F016C" w:rsidRDefault="001F016C" w:rsidP="001F016C">
      <w:pPr>
        <w:spacing w:after="0"/>
        <w:jc w:val="right"/>
        <w:rPr>
          <w:rFonts w:ascii="Times New Roman" w:eastAsia="Times New Roman" w:hAnsi="Times New Roman"/>
          <w:sz w:val="17"/>
          <w:szCs w:val="17"/>
        </w:rPr>
      </w:pPr>
      <w:r w:rsidRPr="001F016C">
        <w:rPr>
          <w:rFonts w:ascii="Times New Roman" w:eastAsia="Times New Roman" w:hAnsi="Times New Roman"/>
          <w:sz w:val="17"/>
          <w:szCs w:val="17"/>
        </w:rPr>
        <w:t>Director, Land and Built Environment</w:t>
      </w:r>
    </w:p>
    <w:p w14:paraId="6B0719FE" w14:textId="77777777" w:rsidR="001F016C" w:rsidRPr="001F016C" w:rsidRDefault="001F016C" w:rsidP="001F016C">
      <w:pPr>
        <w:spacing w:after="0"/>
        <w:jc w:val="right"/>
        <w:rPr>
          <w:rFonts w:ascii="Times New Roman" w:eastAsia="Times New Roman" w:hAnsi="Times New Roman"/>
          <w:sz w:val="17"/>
          <w:szCs w:val="17"/>
        </w:rPr>
      </w:pPr>
      <w:r w:rsidRPr="001F016C">
        <w:rPr>
          <w:rFonts w:ascii="Times New Roman" w:eastAsia="Times New Roman" w:hAnsi="Times New Roman"/>
          <w:sz w:val="17"/>
          <w:szCs w:val="17"/>
        </w:rPr>
        <w:t>Department for Trade and Investment</w:t>
      </w:r>
    </w:p>
    <w:p w14:paraId="5A351F3C" w14:textId="42932C2E" w:rsidR="00EA64A7" w:rsidRDefault="001F016C" w:rsidP="001F016C">
      <w:pPr>
        <w:spacing w:after="0"/>
        <w:ind w:left="360"/>
        <w:jc w:val="right"/>
        <w:rPr>
          <w:rFonts w:ascii="Times New Roman" w:eastAsia="Times New Roman" w:hAnsi="Times New Roman"/>
          <w:sz w:val="17"/>
          <w:szCs w:val="17"/>
        </w:rPr>
      </w:pPr>
      <w:r w:rsidRPr="001F016C">
        <w:rPr>
          <w:rFonts w:ascii="Times New Roman" w:eastAsia="Times New Roman" w:hAnsi="Times New Roman"/>
          <w:sz w:val="17"/>
          <w:szCs w:val="17"/>
        </w:rPr>
        <w:t>Delegate of the Minister for Planning</w:t>
      </w:r>
    </w:p>
    <w:p w14:paraId="1F3E13E6" w14:textId="77777777" w:rsidR="001F016C" w:rsidRDefault="001F016C" w:rsidP="001F016C">
      <w:pPr>
        <w:pBdr>
          <w:bottom w:val="single" w:sz="4" w:space="1" w:color="auto"/>
        </w:pBdr>
        <w:spacing w:after="0" w:line="52" w:lineRule="exact"/>
        <w:jc w:val="center"/>
      </w:pPr>
    </w:p>
    <w:p w14:paraId="06EBB0D6" w14:textId="77777777" w:rsidR="001F016C" w:rsidRDefault="001F016C" w:rsidP="001F016C">
      <w:pPr>
        <w:pBdr>
          <w:top w:val="single" w:sz="4" w:space="1" w:color="auto"/>
        </w:pBdr>
        <w:spacing w:before="34" w:after="0" w:line="14" w:lineRule="exact"/>
        <w:jc w:val="center"/>
      </w:pPr>
    </w:p>
    <w:p w14:paraId="6131E464" w14:textId="77777777" w:rsidR="001F016C" w:rsidRDefault="001F016C" w:rsidP="001F016C">
      <w:pPr>
        <w:pStyle w:val="GG-body"/>
      </w:pPr>
    </w:p>
    <w:p w14:paraId="073D9C43" w14:textId="77777777" w:rsidR="00F146D8" w:rsidRDefault="00F146D8" w:rsidP="00F337C8">
      <w:pPr>
        <w:pStyle w:val="GG-body"/>
      </w:pPr>
    </w:p>
    <w:p w14:paraId="61A05D3A" w14:textId="77777777" w:rsidR="00F146D8" w:rsidRDefault="00F146D8" w:rsidP="00F337C8">
      <w:pPr>
        <w:pStyle w:val="GG-body"/>
      </w:pPr>
    </w:p>
    <w:p w14:paraId="60255E53" w14:textId="77777777" w:rsidR="00F146D8" w:rsidRDefault="00F146D8" w:rsidP="00F337C8">
      <w:pPr>
        <w:pStyle w:val="GG-body"/>
      </w:pPr>
    </w:p>
    <w:p w14:paraId="14A07158" w14:textId="77777777" w:rsidR="00F146D8" w:rsidRDefault="00F146D8" w:rsidP="00F337C8">
      <w:pPr>
        <w:pStyle w:val="GG-body"/>
      </w:pPr>
    </w:p>
    <w:p w14:paraId="6A28F29D" w14:textId="77777777" w:rsidR="00F146D8" w:rsidRDefault="00F146D8" w:rsidP="00F337C8">
      <w:pPr>
        <w:pStyle w:val="GG-body"/>
      </w:pPr>
    </w:p>
    <w:p w14:paraId="3FF07356" w14:textId="77777777" w:rsidR="00F146D8" w:rsidRDefault="00F146D8" w:rsidP="00F337C8">
      <w:pPr>
        <w:pStyle w:val="GG-body"/>
      </w:pPr>
    </w:p>
    <w:p w14:paraId="06857F37" w14:textId="77777777" w:rsidR="00F146D8" w:rsidRDefault="00F146D8" w:rsidP="00F337C8">
      <w:pPr>
        <w:pStyle w:val="GG-body"/>
      </w:pPr>
    </w:p>
    <w:p w14:paraId="4A6E13B5" w14:textId="77777777" w:rsidR="00F146D8" w:rsidRDefault="00F146D8" w:rsidP="00F337C8">
      <w:pPr>
        <w:pStyle w:val="GG-body"/>
      </w:pPr>
    </w:p>
    <w:p w14:paraId="7BF6DF77" w14:textId="77777777" w:rsidR="00F146D8" w:rsidRDefault="00F146D8" w:rsidP="00F337C8">
      <w:pPr>
        <w:pStyle w:val="GG-body"/>
      </w:pPr>
    </w:p>
    <w:p w14:paraId="48E7DAD5" w14:textId="77777777" w:rsidR="00F146D8" w:rsidRDefault="00F146D8" w:rsidP="00F337C8">
      <w:pPr>
        <w:pStyle w:val="GG-body"/>
      </w:pPr>
    </w:p>
    <w:p w14:paraId="01C2E7F0" w14:textId="77777777" w:rsidR="00F146D8" w:rsidRDefault="00F146D8" w:rsidP="00F337C8">
      <w:pPr>
        <w:pStyle w:val="GG-body"/>
      </w:pPr>
    </w:p>
    <w:p w14:paraId="2D488B66" w14:textId="77777777" w:rsidR="00F146D8" w:rsidRDefault="00F146D8" w:rsidP="00F337C8">
      <w:pPr>
        <w:pStyle w:val="GG-body"/>
      </w:pPr>
    </w:p>
    <w:p w14:paraId="53189E26" w14:textId="77777777" w:rsidR="00F146D8" w:rsidRDefault="00F146D8" w:rsidP="00F337C8">
      <w:pPr>
        <w:pStyle w:val="GG-body"/>
      </w:pPr>
    </w:p>
    <w:p w14:paraId="7277FD54" w14:textId="77777777" w:rsidR="00F146D8" w:rsidRDefault="00F146D8" w:rsidP="00F337C8">
      <w:pPr>
        <w:pStyle w:val="GG-body"/>
      </w:pPr>
    </w:p>
    <w:p w14:paraId="003E8471" w14:textId="77777777" w:rsidR="00F146D8" w:rsidRDefault="00F146D8" w:rsidP="00F337C8">
      <w:pPr>
        <w:pStyle w:val="GG-body"/>
      </w:pPr>
    </w:p>
    <w:p w14:paraId="796B9F84" w14:textId="77777777" w:rsidR="00F146D8" w:rsidRDefault="00F146D8" w:rsidP="00F337C8">
      <w:pPr>
        <w:pStyle w:val="GG-body"/>
      </w:pPr>
    </w:p>
    <w:p w14:paraId="30D37B33" w14:textId="77777777" w:rsidR="00F146D8" w:rsidRDefault="00F146D8" w:rsidP="00F337C8">
      <w:pPr>
        <w:pStyle w:val="GG-body"/>
      </w:pPr>
    </w:p>
    <w:p w14:paraId="3C2A1923" w14:textId="77777777" w:rsidR="00F146D8" w:rsidRDefault="00F146D8" w:rsidP="00F337C8">
      <w:pPr>
        <w:pStyle w:val="GG-body"/>
      </w:pPr>
    </w:p>
    <w:p w14:paraId="361323BD" w14:textId="77777777" w:rsidR="00F337C8" w:rsidRDefault="00F337C8" w:rsidP="00F337C8">
      <w:pPr>
        <w:pStyle w:val="GG-body"/>
      </w:pPr>
    </w:p>
    <w:p w14:paraId="174EE334" w14:textId="77777777" w:rsidR="00F337C8" w:rsidRPr="00144772" w:rsidRDefault="00F337C8" w:rsidP="00F337C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14:paraId="486EF7B0" w14:textId="77777777" w:rsidR="00F337C8" w:rsidRPr="00144772" w:rsidRDefault="00F337C8" w:rsidP="00F337C8">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642104CF" w14:textId="77777777" w:rsidR="004D22EB" w:rsidRPr="004D22EB" w:rsidRDefault="004D22EB" w:rsidP="004D22EB">
      <w:pPr>
        <w:spacing w:before="180" w:after="0"/>
        <w:jc w:val="center"/>
        <w:rPr>
          <w:rFonts w:ascii="Times New Roman" w:hAnsi="Times New Roman"/>
          <w:sz w:val="17"/>
          <w:szCs w:val="17"/>
        </w:rPr>
      </w:pPr>
      <w:r w:rsidRPr="004D22EB">
        <w:rPr>
          <w:rFonts w:ascii="Times New Roman" w:hAnsi="Times New Roman"/>
          <w:sz w:val="17"/>
          <w:szCs w:val="17"/>
        </w:rPr>
        <w:t xml:space="preserve">Printed and published weekly by authority of </w:t>
      </w:r>
      <w:r w:rsidR="00E66D99">
        <w:rPr>
          <w:rFonts w:ascii="Times New Roman" w:hAnsi="Times New Roman"/>
          <w:sz w:val="17"/>
          <w:szCs w:val="17"/>
        </w:rPr>
        <w:t xml:space="preserve">M. </w:t>
      </w:r>
      <w:r w:rsidR="00E66D99" w:rsidRPr="00AC04FD">
        <w:rPr>
          <w:rFonts w:ascii="Times New Roman" w:hAnsi="Times New Roman"/>
          <w:smallCaps/>
          <w:sz w:val="17"/>
          <w:szCs w:val="17"/>
        </w:rPr>
        <w:t>Dowling</w:t>
      </w:r>
      <w:r w:rsidRPr="004D22EB">
        <w:rPr>
          <w:rFonts w:ascii="Times New Roman" w:hAnsi="Times New Roman"/>
          <w:sz w:val="17"/>
          <w:szCs w:val="17"/>
        </w:rPr>
        <w:t>, Government Printer, South Australia</w:t>
      </w:r>
    </w:p>
    <w:p w14:paraId="61C26C4A" w14:textId="77777777" w:rsidR="004D22EB" w:rsidRPr="004D22EB" w:rsidRDefault="004D22EB" w:rsidP="004D22EB">
      <w:pPr>
        <w:spacing w:after="0"/>
        <w:jc w:val="center"/>
        <w:rPr>
          <w:rFonts w:ascii="Times New Roman" w:hAnsi="Times New Roman"/>
          <w:sz w:val="17"/>
          <w:szCs w:val="17"/>
        </w:rPr>
      </w:pPr>
      <w:r w:rsidRPr="004D22EB">
        <w:rPr>
          <w:rFonts w:ascii="Times New Roman" w:hAnsi="Times New Roman"/>
          <w:sz w:val="17"/>
          <w:szCs w:val="17"/>
        </w:rPr>
        <w:t>$8.15 per issue (plus postage), $411.00 per annual subscription—GST inclusive</w:t>
      </w:r>
    </w:p>
    <w:p w14:paraId="7AC12CB8" w14:textId="77777777" w:rsidR="004D22EB" w:rsidRPr="004D22EB" w:rsidRDefault="004D22EB" w:rsidP="004D22EB">
      <w:pPr>
        <w:jc w:val="center"/>
        <w:rPr>
          <w:rFonts w:ascii="Times New Roman" w:eastAsia="Times New Roman" w:hAnsi="Times New Roman"/>
          <w:sz w:val="17"/>
          <w:szCs w:val="17"/>
        </w:rPr>
      </w:pPr>
      <w:r w:rsidRPr="004D22EB">
        <w:rPr>
          <w:rFonts w:ascii="Times New Roman" w:hAnsi="Times New Roman"/>
          <w:sz w:val="17"/>
          <w:szCs w:val="17"/>
        </w:rPr>
        <w:t xml:space="preserve">Online publications: </w:t>
      </w:r>
      <w:hyperlink r:id="rId21" w:history="1">
        <w:r w:rsidRPr="004D22EB">
          <w:rPr>
            <w:rFonts w:ascii="Times New Roman" w:hAnsi="Times New Roman"/>
            <w:color w:val="0000FF"/>
            <w:sz w:val="17"/>
            <w:szCs w:val="17"/>
            <w:u w:val="single"/>
          </w:rPr>
          <w:t>www.governmentgazette.sa.gov.au</w:t>
        </w:r>
      </w:hyperlink>
    </w:p>
    <w:p w14:paraId="5FDD86E1" w14:textId="77777777" w:rsidR="00F337C8" w:rsidRPr="00612978" w:rsidRDefault="00F337C8" w:rsidP="00D0446B">
      <w:pPr>
        <w:spacing w:after="0"/>
        <w:jc w:val="center"/>
        <w:rPr>
          <w:rFonts w:ascii="Times New Roman" w:hAnsi="Times New Roman"/>
          <w:smallCaps/>
          <w:sz w:val="17"/>
          <w:szCs w:val="17"/>
        </w:rPr>
      </w:pPr>
    </w:p>
    <w:sectPr w:rsidR="00F337C8" w:rsidRPr="00612978" w:rsidSect="001F016C">
      <w:headerReference w:type="even" r:id="rId22"/>
      <w:headerReference w:type="default" r:id="rId23"/>
      <w:footerReference w:type="default" r:id="rId24"/>
      <w:pgSz w:w="11906" w:h="16838"/>
      <w:pgMar w:top="1674" w:right="1256" w:bottom="1134" w:left="1290" w:header="1134" w:footer="934" w:gutter="0"/>
      <w:pgNumType w:start="1442"/>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E7D16" w14:textId="77777777" w:rsidR="001F016C" w:rsidRDefault="001F016C" w:rsidP="00777F88">
      <w:pPr>
        <w:spacing w:after="0" w:line="240" w:lineRule="auto"/>
      </w:pPr>
      <w:r>
        <w:separator/>
      </w:r>
    </w:p>
  </w:endnote>
  <w:endnote w:type="continuationSeparator" w:id="0">
    <w:p w14:paraId="10E40950" w14:textId="77777777" w:rsidR="001F016C" w:rsidRDefault="001F016C"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B9946" w14:textId="77777777" w:rsidR="001B7138" w:rsidRPr="00D0446B" w:rsidRDefault="001B7138"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A30D2" w14:textId="77777777" w:rsidR="001B7138" w:rsidRPr="00144772" w:rsidRDefault="001B7138"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sidR="00F337C8">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14:paraId="514FD768" w14:textId="77777777" w:rsidR="001B7138" w:rsidRPr="00144772" w:rsidRDefault="001B7138"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7F0798EE" w14:textId="77777777" w:rsidR="004D22EB" w:rsidRPr="004D22EB" w:rsidRDefault="004D22EB" w:rsidP="004D22EB">
    <w:pPr>
      <w:spacing w:before="180" w:after="0"/>
      <w:jc w:val="center"/>
      <w:rPr>
        <w:rFonts w:ascii="Times New Roman" w:hAnsi="Times New Roman"/>
        <w:sz w:val="17"/>
        <w:szCs w:val="17"/>
      </w:rPr>
    </w:pPr>
    <w:r w:rsidRPr="004D22EB">
      <w:rPr>
        <w:rFonts w:ascii="Times New Roman" w:hAnsi="Times New Roman"/>
        <w:sz w:val="17"/>
        <w:szCs w:val="17"/>
      </w:rPr>
      <w:t xml:space="preserve">Printed and published weekly by authority of </w:t>
    </w:r>
    <w:r w:rsidR="00E66D99">
      <w:rPr>
        <w:rFonts w:ascii="Times New Roman" w:hAnsi="Times New Roman"/>
        <w:sz w:val="17"/>
        <w:szCs w:val="17"/>
      </w:rPr>
      <w:t xml:space="preserve">M. </w:t>
    </w:r>
    <w:r w:rsidR="00E66D99" w:rsidRPr="00AC04FD">
      <w:rPr>
        <w:rFonts w:ascii="Times New Roman" w:hAnsi="Times New Roman"/>
        <w:smallCaps/>
        <w:sz w:val="17"/>
        <w:szCs w:val="17"/>
      </w:rPr>
      <w:t>Dowling</w:t>
    </w:r>
    <w:r w:rsidRPr="004D22EB">
      <w:rPr>
        <w:rFonts w:ascii="Times New Roman" w:hAnsi="Times New Roman"/>
        <w:sz w:val="17"/>
        <w:szCs w:val="17"/>
      </w:rPr>
      <w:t>, Government Printer, South Australia</w:t>
    </w:r>
  </w:p>
  <w:p w14:paraId="6182CEBB" w14:textId="77777777" w:rsidR="004D22EB" w:rsidRPr="004D22EB" w:rsidRDefault="004D22EB" w:rsidP="004D22EB">
    <w:pPr>
      <w:spacing w:after="0"/>
      <w:jc w:val="center"/>
      <w:rPr>
        <w:rFonts w:ascii="Times New Roman" w:hAnsi="Times New Roman"/>
        <w:sz w:val="17"/>
        <w:szCs w:val="17"/>
      </w:rPr>
    </w:pPr>
    <w:r w:rsidRPr="004D22EB">
      <w:rPr>
        <w:rFonts w:ascii="Times New Roman" w:hAnsi="Times New Roman"/>
        <w:sz w:val="17"/>
        <w:szCs w:val="17"/>
      </w:rPr>
      <w:t>$8.15 per issue (plus postage), $411.00 per annual subscription—GST inclusive</w:t>
    </w:r>
  </w:p>
  <w:p w14:paraId="7241C7E7" w14:textId="77777777" w:rsidR="004D22EB" w:rsidRPr="004D22EB" w:rsidRDefault="004D22EB" w:rsidP="004D22EB">
    <w:pPr>
      <w:jc w:val="center"/>
      <w:rPr>
        <w:rFonts w:ascii="Times New Roman" w:eastAsia="Times New Roman" w:hAnsi="Times New Roman"/>
        <w:sz w:val="17"/>
        <w:szCs w:val="17"/>
      </w:rPr>
    </w:pPr>
    <w:r w:rsidRPr="004D22EB">
      <w:rPr>
        <w:rFonts w:ascii="Times New Roman" w:hAnsi="Times New Roman"/>
        <w:sz w:val="17"/>
        <w:szCs w:val="17"/>
      </w:rPr>
      <w:t xml:space="preserve">Online publications: </w:t>
    </w:r>
    <w:hyperlink r:id="rId1" w:history="1">
      <w:r w:rsidRPr="004D22EB">
        <w:rPr>
          <w:rFonts w:ascii="Times New Roman" w:hAnsi="Times New Roman"/>
          <w:color w:val="0000FF"/>
          <w:sz w:val="17"/>
          <w:szCs w:val="17"/>
          <w:u w:val="single"/>
        </w:rPr>
        <w:t>www.governmentgazette.sa.gov.au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46105" w14:textId="77777777" w:rsidR="009F15D7" w:rsidRPr="00D0446B" w:rsidRDefault="009F15D7" w:rsidP="00D0446B">
    <w:pPr>
      <w:pStyle w:val="Footer"/>
    </w:pPr>
    <w:r w:rsidRPr="00D0446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BEE89" w14:textId="77777777" w:rsidR="009F15D7" w:rsidRPr="00144772" w:rsidRDefault="009F15D7"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14:paraId="593AC9BF" w14:textId="77777777" w:rsidR="009F15D7" w:rsidRPr="00144772" w:rsidRDefault="009F15D7"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3F5A8545" w14:textId="77777777" w:rsidR="009F15D7" w:rsidRPr="00777F88" w:rsidRDefault="009F15D7"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14:paraId="0EB77C97" w14:textId="77777777" w:rsidR="009F15D7" w:rsidRPr="00777F88"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14:paraId="30335C23" w14:textId="77777777" w:rsidR="009F15D7" w:rsidRPr="00D0446B"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FAD27" w14:textId="77777777" w:rsidR="009F15D7" w:rsidRPr="0034074D" w:rsidRDefault="009F15D7" w:rsidP="0034074D">
    <w:pPr>
      <w:pStyle w:val="Footer"/>
      <w:rPr>
        <w:rFonts w:ascii="Times New Roman" w:hAnsi="Times New Roman"/>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51484" w14:textId="77777777" w:rsidR="001F016C" w:rsidRDefault="001F016C" w:rsidP="00777F88">
      <w:pPr>
        <w:spacing w:after="0" w:line="240" w:lineRule="auto"/>
      </w:pPr>
      <w:r>
        <w:separator/>
      </w:r>
    </w:p>
  </w:footnote>
  <w:footnote w:type="continuationSeparator" w:id="0">
    <w:p w14:paraId="5265650D" w14:textId="77777777" w:rsidR="001F016C" w:rsidRDefault="001F016C"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57683" w14:textId="77777777" w:rsidR="001B7138" w:rsidRPr="0034074D" w:rsidRDefault="00F13DC8" w:rsidP="0034074D">
    <w:pPr>
      <w:pStyle w:val="Header"/>
      <w:tabs>
        <w:tab w:val="clear" w:pos="9026"/>
        <w:tab w:val="right" w:pos="9360"/>
      </w:tabs>
      <w:spacing w:line="170" w:lineRule="exact"/>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1" relativeHeight="251661312" behindDoc="0" locked="0" layoutInCell="0" allowOverlap="1" wp14:anchorId="23981C71" wp14:editId="1D87ECA6">
              <wp:simplePos x="0" y="190500"/>
              <wp:positionH relativeFrom="page">
                <wp:posOffset>0</wp:posOffset>
              </wp:positionH>
              <wp:positionV relativeFrom="page">
                <wp:posOffset>190500</wp:posOffset>
              </wp:positionV>
              <wp:extent cx="7560310" cy="252095"/>
              <wp:effectExtent l="0" t="0" r="0" b="14605"/>
              <wp:wrapNone/>
              <wp:docPr id="4" name="MSIPCM47244164a677296d6d6007d7"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8AD4AC"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3981C71" id="_x0000_t202" coordsize="21600,21600" o:spt="202" path="m,l,21600r21600,l21600,xe">
              <v:stroke joinstyle="miter"/>
              <v:path gradientshapeok="t" o:connecttype="rect"/>
            </v:shapetype>
            <v:shape id="MSIPCM47244164a677296d6d6007d7"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4A8AD4AC"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r w:rsidR="001B7138" w:rsidRPr="0034074D">
      <w:rPr>
        <w:rFonts w:ascii="Times New Roman" w:hAnsi="Times New Roman"/>
        <w:sz w:val="20"/>
        <w:szCs w:val="20"/>
      </w:rPr>
      <w:t>2</w:t>
    </w:r>
    <w:r w:rsidR="001B7138" w:rsidRPr="0034074D">
      <w:rPr>
        <w:rFonts w:ascii="Times New Roman" w:hAnsi="Times New Roman"/>
        <w:sz w:val="20"/>
        <w:szCs w:val="20"/>
      </w:rPr>
      <w:tab/>
      <w:t>THE SOUTH AUSTRALIAN GOVERNMENT GAZETTE</w:t>
    </w:r>
    <w:r w:rsidR="001B7138" w:rsidRPr="0034074D">
      <w:rPr>
        <w:rFonts w:ascii="Times New Roman" w:hAnsi="Times New Roman"/>
        <w:sz w:val="20"/>
        <w:szCs w:val="20"/>
      </w:rPr>
      <w:tab/>
    </w:r>
    <w:r w:rsidR="001B7138">
      <w:rPr>
        <w:rFonts w:ascii="Times New Roman" w:hAnsi="Times New Roman"/>
        <w:sz w:val="20"/>
        <w:szCs w:val="20"/>
      </w:rPr>
      <w:t>22 March</w:t>
    </w:r>
    <w:r w:rsidR="001B7138" w:rsidRPr="0034074D">
      <w:rPr>
        <w:rFonts w:ascii="Times New Roman" w:hAnsi="Times New Roman"/>
        <w:sz w:val="20"/>
        <w:szCs w:val="20"/>
      </w:rPr>
      <w:t xml:space="preserve"> 2017</w:t>
    </w:r>
  </w:p>
  <w:p w14:paraId="01F07A7A" w14:textId="77777777" w:rsidR="001B7138" w:rsidRPr="0034074D" w:rsidRDefault="001B7138"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0197499B" w14:textId="77777777" w:rsidR="001B7138" w:rsidRPr="0034074D" w:rsidRDefault="001B7138"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D2B2B" w14:textId="77777777" w:rsidR="001B7138"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59264" behindDoc="0" locked="0" layoutInCell="0" allowOverlap="1" wp14:anchorId="028E6EBB" wp14:editId="2D3AA7EB">
              <wp:simplePos x="0" y="190500"/>
              <wp:positionH relativeFrom="page">
                <wp:posOffset>0</wp:posOffset>
              </wp:positionH>
              <wp:positionV relativeFrom="page">
                <wp:posOffset>190500</wp:posOffset>
              </wp:positionV>
              <wp:extent cx="7560310" cy="252095"/>
              <wp:effectExtent l="0" t="0" r="0" b="14605"/>
              <wp:wrapNone/>
              <wp:docPr id="2" name="MSIPCM9d2d4ea98b7c2381503395d4"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7180D1"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28E6EBB" id="_x0000_t202" coordsize="21600,21600" o:spt="202" path="m,l,21600r21600,l21600,xe">
              <v:stroke joinstyle="miter"/>
              <v:path gradientshapeok="t" o:connecttype="rect"/>
            </v:shapetype>
            <v:shape id="MSIPCM9d2d4ea98b7c2381503395d4"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647180D1"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92B24" w14:textId="31437A76" w:rsidR="006E1DBF" w:rsidRDefault="006E1DBF" w:rsidP="006E1DBF">
    <w:pPr>
      <w:pStyle w:val="Header"/>
      <w:tabs>
        <w:tab w:val="clear" w:pos="4513"/>
        <w:tab w:val="clear" w:pos="9026"/>
        <w:tab w:val="right" w:pos="9356"/>
      </w:tabs>
    </w:pPr>
    <w:r w:rsidRPr="00612978">
      <w:rPr>
        <w:rFonts w:ascii="Times New Roman" w:hAnsi="Times New Roman"/>
        <w:sz w:val="21"/>
        <w:szCs w:val="21"/>
      </w:rPr>
      <w:t xml:space="preserve">No. </w:t>
    </w:r>
    <w:r w:rsidR="001F016C">
      <w:rPr>
        <w:rFonts w:ascii="Times New Roman" w:hAnsi="Times New Roman"/>
        <w:sz w:val="21"/>
        <w:szCs w:val="21"/>
      </w:rPr>
      <w:t>37</w:t>
    </w:r>
    <w:r w:rsidRPr="00612978">
      <w:rPr>
        <w:rFonts w:ascii="Times New Roman" w:hAnsi="Times New Roman"/>
        <w:sz w:val="21"/>
        <w:szCs w:val="21"/>
      </w:rPr>
      <w:tab/>
    </w:r>
    <w:r>
      <w:rPr>
        <w:rFonts w:ascii="Times New Roman" w:hAnsi="Times New Roman"/>
        <w:sz w:val="21"/>
        <w:szCs w:val="21"/>
      </w:rPr>
      <w:t xml:space="preserve">p. </w:t>
    </w:r>
    <w:r w:rsidR="001F016C">
      <w:rPr>
        <w:rFonts w:ascii="Times New Roman" w:hAnsi="Times New Roman"/>
        <w:sz w:val="21"/>
        <w:szCs w:val="21"/>
      </w:rPr>
      <w:t>1441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98CE0" w14:textId="77777777" w:rsidR="009F15D7" w:rsidRPr="0034074D" w:rsidRDefault="009F15D7"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14:paraId="1FCE498A" w14:textId="77777777" w:rsidR="009F15D7" w:rsidRPr="0034074D" w:rsidRDefault="009F15D7"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47E7F6A5" w14:textId="77777777" w:rsidR="009F15D7" w:rsidRPr="0034074D" w:rsidRDefault="009F15D7" w:rsidP="0034074D">
    <w:pPr>
      <w:pStyle w:val="Header"/>
      <w:spacing w:line="170" w:lineRule="exact"/>
      <w:rPr>
        <w:rFonts w:ascii="Times New Roman" w:hAnsi="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A4DF6" w14:textId="77777777" w:rsidR="009F15D7"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62336" behindDoc="0" locked="0" layoutInCell="0" allowOverlap="1" wp14:anchorId="3E48ADC0" wp14:editId="053E8541">
              <wp:simplePos x="0" y="190500"/>
              <wp:positionH relativeFrom="page">
                <wp:posOffset>0</wp:posOffset>
              </wp:positionH>
              <wp:positionV relativeFrom="page">
                <wp:posOffset>190500</wp:posOffset>
              </wp:positionV>
              <wp:extent cx="7560310" cy="252095"/>
              <wp:effectExtent l="0" t="0" r="0" b="14605"/>
              <wp:wrapNone/>
              <wp:docPr id="5" name="MSIPCM17614ca997eb80ea94e349c0"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E4A7FD"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E48ADC0" id="_x0000_t202" coordsize="21600,21600" o:spt="202" path="m,l,21600r21600,l21600,xe">
              <v:stroke joinstyle="miter"/>
              <v:path gradientshapeok="t" o:connecttype="rect"/>
            </v:shapetype>
            <v:shape id="MSIPCM17614ca997eb80ea94e349c0" o:spid="_x0000_s1028" type="#_x0000_t202" alt="{&quot;HashCode&quot;:1178062039,&quot;Height&quot;:841.0,&quot;Width&quot;:595.0,&quot;Placement&quot;:&quot;Header&quot;,&quot;Index&quot;:&quot;Primary&quot;,&quot;Section&quot;:2,&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31E4A7FD"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DC6BD" w14:textId="21F69A63" w:rsidR="00632170" w:rsidRPr="00552C29" w:rsidRDefault="00632170"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w:t>
    </w:r>
    <w:r w:rsidR="001F016C">
      <w:rPr>
        <w:rStyle w:val="PageNumber"/>
        <w:rFonts w:ascii="Times New Roman" w:hAnsi="Times New Roman"/>
        <w:sz w:val="21"/>
        <w:szCs w:val="21"/>
      </w:rPr>
      <w:t>37</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2</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001F016C">
      <w:rPr>
        <w:rStyle w:val="PageNumber"/>
        <w:rFonts w:ascii="Times New Roman" w:hAnsi="Times New Roman"/>
        <w:sz w:val="21"/>
        <w:szCs w:val="21"/>
      </w:rPr>
      <w:t xml:space="preserve">1 June </w:t>
    </w:r>
    <w:r w:rsidRPr="00552C29">
      <w:rPr>
        <w:rFonts w:ascii="Times New Roman" w:hAnsi="Times New Roman"/>
        <w:sz w:val="21"/>
        <w:szCs w:val="21"/>
      </w:rPr>
      <w:t>202</w:t>
    </w:r>
    <w:r w:rsidR="00E66D99">
      <w:rPr>
        <w:rFonts w:ascii="Times New Roman" w:hAnsi="Times New Roman"/>
        <w:sz w:val="21"/>
        <w:szCs w:val="21"/>
      </w:rPr>
      <w:t>3</w:t>
    </w:r>
  </w:p>
  <w:p w14:paraId="13CDF9E9"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1ECEF" w14:textId="7BBB40A1" w:rsidR="00632170" w:rsidRPr="00552C29" w:rsidRDefault="001F016C"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Style w:val="PageNumber"/>
        <w:rFonts w:ascii="Times New Roman" w:hAnsi="Times New Roman"/>
        <w:sz w:val="21"/>
        <w:szCs w:val="21"/>
      </w:rPr>
      <w:t xml:space="preserve">1 June </w:t>
    </w:r>
    <w:r w:rsidR="00632170" w:rsidRPr="00552C29">
      <w:rPr>
        <w:rFonts w:ascii="Times New Roman" w:hAnsi="Times New Roman"/>
        <w:sz w:val="21"/>
        <w:szCs w:val="21"/>
      </w:rPr>
      <w:t>202</w:t>
    </w:r>
    <w:r w:rsidR="00E66D99">
      <w:rPr>
        <w:rFonts w:ascii="Times New Roman" w:hAnsi="Times New Roman"/>
        <w:sz w:val="21"/>
        <w:szCs w:val="21"/>
      </w:rPr>
      <w:t>3</w:t>
    </w:r>
    <w:r w:rsidR="00632170" w:rsidRPr="00552C29">
      <w:rPr>
        <w:rFonts w:ascii="Times New Roman" w:eastAsia="Times New Roman" w:hAnsi="Times New Roman"/>
        <w:sz w:val="21"/>
        <w:szCs w:val="21"/>
      </w:rPr>
      <w:tab/>
    </w:r>
    <w:r w:rsidR="00632170" w:rsidRPr="00552C29">
      <w:rPr>
        <w:rFonts w:ascii="Times New Roman" w:eastAsia="Times New Roman" w:hAnsi="Times New Roman"/>
        <w:smallCaps/>
        <w:sz w:val="21"/>
        <w:szCs w:val="21"/>
      </w:rPr>
      <w:t>The South Australian Government Gazette</w:t>
    </w:r>
    <w:r w:rsidR="00632170" w:rsidRPr="00552C29">
      <w:rPr>
        <w:rFonts w:ascii="Times New Roman" w:eastAsia="Times New Roman" w:hAnsi="Times New Roman"/>
        <w:sz w:val="21"/>
        <w:szCs w:val="21"/>
      </w:rPr>
      <w:tab/>
    </w:r>
    <w:r w:rsidR="00632170" w:rsidRPr="00552C29">
      <w:rPr>
        <w:rStyle w:val="PageNumber"/>
        <w:rFonts w:ascii="Times New Roman" w:hAnsi="Times New Roman"/>
        <w:sz w:val="21"/>
        <w:szCs w:val="21"/>
      </w:rPr>
      <w:t xml:space="preserve">No. </w:t>
    </w:r>
    <w:r>
      <w:rPr>
        <w:rStyle w:val="PageNumber"/>
        <w:rFonts w:ascii="Times New Roman" w:hAnsi="Times New Roman"/>
        <w:sz w:val="21"/>
        <w:szCs w:val="21"/>
      </w:rPr>
      <w:t>37</w:t>
    </w:r>
    <w:r w:rsidR="00632170" w:rsidRPr="00552C29">
      <w:rPr>
        <w:rStyle w:val="PageNumber"/>
        <w:rFonts w:ascii="Times New Roman" w:hAnsi="Times New Roman"/>
        <w:sz w:val="21"/>
        <w:szCs w:val="21"/>
      </w:rPr>
      <w:t xml:space="preserve"> p. </w:t>
    </w:r>
    <w:r w:rsidR="00632170" w:rsidRPr="00552C29">
      <w:rPr>
        <w:rStyle w:val="PageNumber"/>
        <w:rFonts w:ascii="Times New Roman" w:hAnsi="Times New Roman"/>
        <w:sz w:val="21"/>
        <w:szCs w:val="21"/>
      </w:rPr>
      <w:fldChar w:fldCharType="begin"/>
    </w:r>
    <w:r w:rsidR="00632170" w:rsidRPr="00552C29">
      <w:rPr>
        <w:rStyle w:val="PageNumber"/>
        <w:rFonts w:ascii="Times New Roman" w:hAnsi="Times New Roman"/>
        <w:sz w:val="21"/>
        <w:szCs w:val="21"/>
      </w:rPr>
      <w:instrText xml:space="preserve"> PAGE </w:instrText>
    </w:r>
    <w:r w:rsidR="00632170"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3</w:t>
    </w:r>
    <w:r w:rsidR="00632170" w:rsidRPr="00552C29">
      <w:rPr>
        <w:rStyle w:val="PageNumber"/>
        <w:rFonts w:ascii="Times New Roman" w:hAnsi="Times New Roman"/>
        <w:sz w:val="21"/>
        <w:szCs w:val="21"/>
      </w:rPr>
      <w:fldChar w:fldCharType="end"/>
    </w:r>
  </w:p>
  <w:p w14:paraId="7ABB77E5"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574A"/>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1" w15:restartNumberingAfterBreak="0">
    <w:nsid w:val="07E802CF"/>
    <w:multiLevelType w:val="multilevel"/>
    <w:tmpl w:val="E1784FB4"/>
    <w:lvl w:ilvl="0">
      <w:start w:val="75"/>
      <w:numFmt w:val="bullet"/>
      <w:lvlText w:val="-"/>
      <w:lvlJc w:val="left"/>
      <w:pPr>
        <w:tabs>
          <w:tab w:val="num" w:pos="720"/>
        </w:tabs>
        <w:ind w:left="720" w:hanging="360"/>
      </w:pPr>
      <w:rPr>
        <w:rFonts w:ascii="Calibri" w:eastAsia="Calibri" w:hAnsi="Calibri" w:cs="Calibri"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6F2F53"/>
    <w:multiLevelType w:val="hybridMultilevel"/>
    <w:tmpl w:val="E10C2B0C"/>
    <w:lvl w:ilvl="0" w:tplc="D61EE5D8">
      <w:start w:val="1"/>
      <w:numFmt w:val="lowerLetter"/>
      <w:lvlText w:val="%1."/>
      <w:lvlJc w:val="left"/>
      <w:pPr>
        <w:ind w:left="720" w:hanging="360"/>
      </w:pPr>
      <w:rPr>
        <w:b w:val="0"/>
        <w:sz w:val="18"/>
      </w:rPr>
    </w:lvl>
    <w:lvl w:ilvl="1" w:tplc="DC8ECDDE">
      <w:start w:val="9"/>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1DA32BCE"/>
    <w:multiLevelType w:val="hybridMultilevel"/>
    <w:tmpl w:val="9E464C5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2CAD17DF"/>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5" w15:restartNumberingAfterBreak="0">
    <w:nsid w:val="38B417A0"/>
    <w:multiLevelType w:val="hybridMultilevel"/>
    <w:tmpl w:val="3B0471B4"/>
    <w:lvl w:ilvl="0" w:tplc="64B26D26">
      <w:start w:val="1"/>
      <w:numFmt w:val="lowerLetter"/>
      <w:lvlText w:val="%1."/>
      <w:lvlJc w:val="left"/>
      <w:pPr>
        <w:ind w:left="720" w:hanging="360"/>
      </w:pPr>
      <w:rPr>
        <w:b w:val="0"/>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3C2D3CEF"/>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7" w15:restartNumberingAfterBreak="0">
    <w:nsid w:val="58F60E14"/>
    <w:multiLevelType w:val="hybridMultilevel"/>
    <w:tmpl w:val="1C507A3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5">
      <w:start w:val="1"/>
      <w:numFmt w:val="upperLetter"/>
      <w:lvlText w:val="%3."/>
      <w:lvlJc w:val="left"/>
      <w:pPr>
        <w:ind w:left="2160" w:hanging="180"/>
      </w:pPr>
    </w:lvl>
    <w:lvl w:ilvl="3" w:tplc="0C090001">
      <w:start w:val="1"/>
      <w:numFmt w:val="bullet"/>
      <w:lvlText w:val=""/>
      <w:lvlJc w:val="left"/>
      <w:pPr>
        <w:ind w:left="2880" w:hanging="360"/>
      </w:pPr>
      <w:rPr>
        <w:rFonts w:ascii="Symbol" w:hAnsi="Symbol" w:hint="default"/>
      </w:r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5EBE69CF"/>
    <w:multiLevelType w:val="hybridMultilevel"/>
    <w:tmpl w:val="321479B8"/>
    <w:lvl w:ilvl="0" w:tplc="A9C8E59C">
      <w:start w:val="1"/>
      <w:numFmt w:val="decimal"/>
      <w:lvlText w:val="%1."/>
      <w:lvlJc w:val="left"/>
      <w:pPr>
        <w:ind w:left="1566" w:hanging="420"/>
      </w:pPr>
    </w:lvl>
    <w:lvl w:ilvl="1" w:tplc="0C090019">
      <w:start w:val="1"/>
      <w:numFmt w:val="lowerLetter"/>
      <w:lvlText w:val="%2."/>
      <w:lvlJc w:val="left"/>
      <w:pPr>
        <w:ind w:left="2226" w:hanging="360"/>
      </w:pPr>
    </w:lvl>
    <w:lvl w:ilvl="2" w:tplc="0C09001B">
      <w:start w:val="1"/>
      <w:numFmt w:val="lowerRoman"/>
      <w:lvlText w:val="%3."/>
      <w:lvlJc w:val="right"/>
      <w:pPr>
        <w:ind w:left="2946" w:hanging="180"/>
      </w:pPr>
    </w:lvl>
    <w:lvl w:ilvl="3" w:tplc="0C09000F">
      <w:start w:val="1"/>
      <w:numFmt w:val="decimal"/>
      <w:lvlText w:val="%4."/>
      <w:lvlJc w:val="left"/>
      <w:pPr>
        <w:ind w:left="3666" w:hanging="360"/>
      </w:pPr>
    </w:lvl>
    <w:lvl w:ilvl="4" w:tplc="0C090019">
      <w:start w:val="1"/>
      <w:numFmt w:val="lowerLetter"/>
      <w:lvlText w:val="%5."/>
      <w:lvlJc w:val="left"/>
      <w:pPr>
        <w:ind w:left="4386" w:hanging="360"/>
      </w:pPr>
    </w:lvl>
    <w:lvl w:ilvl="5" w:tplc="0C09001B">
      <w:start w:val="1"/>
      <w:numFmt w:val="lowerRoman"/>
      <w:lvlText w:val="%6."/>
      <w:lvlJc w:val="right"/>
      <w:pPr>
        <w:ind w:left="5106" w:hanging="180"/>
      </w:pPr>
    </w:lvl>
    <w:lvl w:ilvl="6" w:tplc="0C09000F">
      <w:start w:val="1"/>
      <w:numFmt w:val="decimal"/>
      <w:lvlText w:val="%7."/>
      <w:lvlJc w:val="left"/>
      <w:pPr>
        <w:ind w:left="5826" w:hanging="360"/>
      </w:pPr>
    </w:lvl>
    <w:lvl w:ilvl="7" w:tplc="0C090019">
      <w:start w:val="1"/>
      <w:numFmt w:val="lowerLetter"/>
      <w:lvlText w:val="%8."/>
      <w:lvlJc w:val="left"/>
      <w:pPr>
        <w:ind w:left="6546" w:hanging="360"/>
      </w:pPr>
    </w:lvl>
    <w:lvl w:ilvl="8" w:tplc="0C09001B">
      <w:start w:val="1"/>
      <w:numFmt w:val="lowerRoman"/>
      <w:lvlText w:val="%9."/>
      <w:lvlJc w:val="right"/>
      <w:pPr>
        <w:ind w:left="7266" w:hanging="180"/>
      </w:pPr>
    </w:lvl>
  </w:abstractNum>
  <w:abstractNum w:abstractNumId="9"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9D860ED"/>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12" w15:restartNumberingAfterBreak="0">
    <w:nsid w:val="6CC34A04"/>
    <w:multiLevelType w:val="hybridMultilevel"/>
    <w:tmpl w:val="734CA0DE"/>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15">
      <w:start w:val="1"/>
      <w:numFmt w:val="upperLetter"/>
      <w:lvlText w:val="%3."/>
      <w:lvlJc w:val="lef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3"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16cid:durableId="934169255">
    <w:abstractNumId w:val="10"/>
  </w:num>
  <w:num w:numId="2" w16cid:durableId="592053928">
    <w:abstractNumId w:val="13"/>
  </w:num>
  <w:num w:numId="3" w16cid:durableId="867183007">
    <w:abstractNumId w:val="9"/>
  </w:num>
  <w:num w:numId="4" w16cid:durableId="17516556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1186391">
    <w:abstractNumId w:val="8"/>
  </w:num>
  <w:num w:numId="6" w16cid:durableId="825245078">
    <w:abstractNumId w:val="11"/>
  </w:num>
  <w:num w:numId="7" w16cid:durableId="2083260921">
    <w:abstractNumId w:val="0"/>
  </w:num>
  <w:num w:numId="8" w16cid:durableId="1815831071">
    <w:abstractNumId w:val="4"/>
  </w:num>
  <w:num w:numId="9" w16cid:durableId="1285423984">
    <w:abstractNumId w:val="6"/>
  </w:num>
  <w:num w:numId="10" w16cid:durableId="1110492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5249838">
    <w:abstractNumId w:val="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25745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5168844">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3018979">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7957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16C"/>
    <w:rsid w:val="000100A7"/>
    <w:rsid w:val="0002085F"/>
    <w:rsid w:val="000302D1"/>
    <w:rsid w:val="00050A2F"/>
    <w:rsid w:val="000620AF"/>
    <w:rsid w:val="00063D6D"/>
    <w:rsid w:val="00070E37"/>
    <w:rsid w:val="00081074"/>
    <w:rsid w:val="000B0640"/>
    <w:rsid w:val="000B3572"/>
    <w:rsid w:val="000D34A3"/>
    <w:rsid w:val="000E2F18"/>
    <w:rsid w:val="000E45A0"/>
    <w:rsid w:val="000E655C"/>
    <w:rsid w:val="000F0B45"/>
    <w:rsid w:val="000F2CEA"/>
    <w:rsid w:val="00111C2E"/>
    <w:rsid w:val="00124474"/>
    <w:rsid w:val="00147592"/>
    <w:rsid w:val="00153708"/>
    <w:rsid w:val="00153834"/>
    <w:rsid w:val="001572AD"/>
    <w:rsid w:val="001576DB"/>
    <w:rsid w:val="00160CDB"/>
    <w:rsid w:val="00180625"/>
    <w:rsid w:val="0019539C"/>
    <w:rsid w:val="00196D44"/>
    <w:rsid w:val="001B7138"/>
    <w:rsid w:val="001C09DA"/>
    <w:rsid w:val="001F016C"/>
    <w:rsid w:val="00204C2A"/>
    <w:rsid w:val="00214B74"/>
    <w:rsid w:val="0027531F"/>
    <w:rsid w:val="0029410F"/>
    <w:rsid w:val="002977EE"/>
    <w:rsid w:val="002A4530"/>
    <w:rsid w:val="002C2B7C"/>
    <w:rsid w:val="002C2E97"/>
    <w:rsid w:val="002D4754"/>
    <w:rsid w:val="00301E5B"/>
    <w:rsid w:val="0034074D"/>
    <w:rsid w:val="00362C85"/>
    <w:rsid w:val="00372CA3"/>
    <w:rsid w:val="00394729"/>
    <w:rsid w:val="003967FE"/>
    <w:rsid w:val="003D2332"/>
    <w:rsid w:val="003E3565"/>
    <w:rsid w:val="00415C6A"/>
    <w:rsid w:val="00421804"/>
    <w:rsid w:val="0042678B"/>
    <w:rsid w:val="0043387B"/>
    <w:rsid w:val="00435ECE"/>
    <w:rsid w:val="004535E8"/>
    <w:rsid w:val="004872C1"/>
    <w:rsid w:val="004A16B7"/>
    <w:rsid w:val="004B1B9B"/>
    <w:rsid w:val="004D22EB"/>
    <w:rsid w:val="004E4BBC"/>
    <w:rsid w:val="004E545F"/>
    <w:rsid w:val="005115D3"/>
    <w:rsid w:val="00531F7A"/>
    <w:rsid w:val="00541253"/>
    <w:rsid w:val="0054338C"/>
    <w:rsid w:val="00555C1B"/>
    <w:rsid w:val="00567B3E"/>
    <w:rsid w:val="00571C05"/>
    <w:rsid w:val="00575614"/>
    <w:rsid w:val="00582BEE"/>
    <w:rsid w:val="005A3A1B"/>
    <w:rsid w:val="005B4E55"/>
    <w:rsid w:val="005B69B3"/>
    <w:rsid w:val="005C6C9D"/>
    <w:rsid w:val="005D24AC"/>
    <w:rsid w:val="005E3033"/>
    <w:rsid w:val="005E7D95"/>
    <w:rsid w:val="005F4618"/>
    <w:rsid w:val="005F5395"/>
    <w:rsid w:val="00612978"/>
    <w:rsid w:val="00632170"/>
    <w:rsid w:val="00655419"/>
    <w:rsid w:val="006605C5"/>
    <w:rsid w:val="00665367"/>
    <w:rsid w:val="00671C84"/>
    <w:rsid w:val="0068145F"/>
    <w:rsid w:val="00693DF1"/>
    <w:rsid w:val="006B561D"/>
    <w:rsid w:val="006B5B96"/>
    <w:rsid w:val="006C2F10"/>
    <w:rsid w:val="006E0C7D"/>
    <w:rsid w:val="006E1DBF"/>
    <w:rsid w:val="006E60D6"/>
    <w:rsid w:val="00703D70"/>
    <w:rsid w:val="00720680"/>
    <w:rsid w:val="007529D9"/>
    <w:rsid w:val="00777F88"/>
    <w:rsid w:val="007C302D"/>
    <w:rsid w:val="007E60AA"/>
    <w:rsid w:val="0080019C"/>
    <w:rsid w:val="008008DD"/>
    <w:rsid w:val="00802490"/>
    <w:rsid w:val="00842BD5"/>
    <w:rsid w:val="00854962"/>
    <w:rsid w:val="00856E06"/>
    <w:rsid w:val="00867EF2"/>
    <w:rsid w:val="0087319A"/>
    <w:rsid w:val="00873673"/>
    <w:rsid w:val="0090148E"/>
    <w:rsid w:val="0090520A"/>
    <w:rsid w:val="00914649"/>
    <w:rsid w:val="00915A50"/>
    <w:rsid w:val="0093079E"/>
    <w:rsid w:val="009369DD"/>
    <w:rsid w:val="00947809"/>
    <w:rsid w:val="00977C9F"/>
    <w:rsid w:val="009A605E"/>
    <w:rsid w:val="009A6661"/>
    <w:rsid w:val="009B6FFD"/>
    <w:rsid w:val="009D586E"/>
    <w:rsid w:val="009E2997"/>
    <w:rsid w:val="009F15D7"/>
    <w:rsid w:val="009F7976"/>
    <w:rsid w:val="00A00A77"/>
    <w:rsid w:val="00A0211B"/>
    <w:rsid w:val="00A2611B"/>
    <w:rsid w:val="00A2758A"/>
    <w:rsid w:val="00A44FFB"/>
    <w:rsid w:val="00A54E7C"/>
    <w:rsid w:val="00A747D0"/>
    <w:rsid w:val="00A773E8"/>
    <w:rsid w:val="00A97608"/>
    <w:rsid w:val="00AC04FD"/>
    <w:rsid w:val="00AC18FD"/>
    <w:rsid w:val="00AF68F7"/>
    <w:rsid w:val="00B07083"/>
    <w:rsid w:val="00B152A8"/>
    <w:rsid w:val="00B22E26"/>
    <w:rsid w:val="00B53F6A"/>
    <w:rsid w:val="00B67220"/>
    <w:rsid w:val="00B8243A"/>
    <w:rsid w:val="00BC4D92"/>
    <w:rsid w:val="00BE137F"/>
    <w:rsid w:val="00BE59CC"/>
    <w:rsid w:val="00BF1895"/>
    <w:rsid w:val="00BF6670"/>
    <w:rsid w:val="00C00001"/>
    <w:rsid w:val="00C032B2"/>
    <w:rsid w:val="00C67086"/>
    <w:rsid w:val="00C971BF"/>
    <w:rsid w:val="00CD460E"/>
    <w:rsid w:val="00D0446B"/>
    <w:rsid w:val="00D14F34"/>
    <w:rsid w:val="00D15B81"/>
    <w:rsid w:val="00D23AB5"/>
    <w:rsid w:val="00D35BBC"/>
    <w:rsid w:val="00D83C2C"/>
    <w:rsid w:val="00D84E6A"/>
    <w:rsid w:val="00DA30CF"/>
    <w:rsid w:val="00DA6921"/>
    <w:rsid w:val="00DB5A8F"/>
    <w:rsid w:val="00DE347D"/>
    <w:rsid w:val="00DF632D"/>
    <w:rsid w:val="00E01D7A"/>
    <w:rsid w:val="00E02241"/>
    <w:rsid w:val="00E21999"/>
    <w:rsid w:val="00E222C6"/>
    <w:rsid w:val="00E36C01"/>
    <w:rsid w:val="00E4712A"/>
    <w:rsid w:val="00E57D4E"/>
    <w:rsid w:val="00E663DF"/>
    <w:rsid w:val="00E66D99"/>
    <w:rsid w:val="00E92649"/>
    <w:rsid w:val="00E92BCA"/>
    <w:rsid w:val="00EA0D33"/>
    <w:rsid w:val="00EA64A7"/>
    <w:rsid w:val="00EC2419"/>
    <w:rsid w:val="00ED024C"/>
    <w:rsid w:val="00EE2A33"/>
    <w:rsid w:val="00EE7338"/>
    <w:rsid w:val="00F011AF"/>
    <w:rsid w:val="00F12687"/>
    <w:rsid w:val="00F13DC8"/>
    <w:rsid w:val="00F146D8"/>
    <w:rsid w:val="00F16F9B"/>
    <w:rsid w:val="00F337C8"/>
    <w:rsid w:val="00F657AB"/>
    <w:rsid w:val="00F8336F"/>
    <w:rsid w:val="00F84DBC"/>
    <w:rsid w:val="00FA01B5"/>
    <w:rsid w:val="00FB374C"/>
    <w:rsid w:val="00FB48A8"/>
    <w:rsid w:val="00FB5F67"/>
    <w:rsid w:val="00FC7CB1"/>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C2AF4"/>
  <w15:chartTrackingRefBased/>
  <w15:docId w15:val="{D69166CA-52DE-4C6A-87ED-F52A51FDC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Heading10"/>
    <w:next w:val="Normal"/>
    <w:link w:val="Heading1Char"/>
    <w:qFormat/>
    <w:rsid w:val="00693DF1"/>
    <w:pPr>
      <w:spacing w:before="0"/>
      <w:outlineLvl w:val="0"/>
    </w:pPr>
  </w:style>
  <w:style w:type="paragraph" w:styleId="Heading2">
    <w:name w:val="heading 2"/>
    <w:basedOn w:val="GG-Title1"/>
    <w:next w:val="Normal"/>
    <w:link w:val="Heading2Char"/>
    <w:unhideWhenUsed/>
    <w:qFormat/>
    <w:rsid w:val="0027531F"/>
    <w:pPr>
      <w:outlineLvl w:val="1"/>
    </w:pPr>
    <w:rPr>
      <w:lang w:val="en-US"/>
    </w:rPr>
  </w:style>
  <w:style w:type="paragraph" w:styleId="Heading3">
    <w:name w:val="heading 3"/>
    <w:basedOn w:val="Normal"/>
    <w:next w:val="Normal"/>
    <w:link w:val="Heading3Char"/>
    <w:uiPriority w:val="9"/>
    <w:semiHidden/>
    <w:unhideWhenUsed/>
    <w:qFormat/>
    <w:rsid w:val="00915A50"/>
    <w:pPr>
      <w:spacing w:before="120" w:after="200" w:line="240" w:lineRule="auto"/>
      <w:outlineLvl w:val="2"/>
    </w:pPr>
    <w:rPr>
      <w:rFonts w:ascii="Times New Roman" w:eastAsia="Times New Roman" w:hAnsi="Times New Roman"/>
      <w:b/>
      <w:bCs/>
      <w:sz w:val="36"/>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rsid w:val="00693DF1"/>
    <w:rPr>
      <w:rFonts w:ascii="Times New Roman" w:hAnsi="Times New Roman"/>
      <w:b/>
      <w:smallCaps/>
      <w:color w:val="000000"/>
      <w:sz w:val="36"/>
      <w:szCs w:val="22"/>
      <w:lang w:eastAsia="en-US"/>
    </w:rPr>
  </w:style>
  <w:style w:type="character" w:customStyle="1" w:styleId="Heading2Char">
    <w:name w:val="Heading 2 Char"/>
    <w:link w:val="Heading2"/>
    <w:rsid w:val="0027531F"/>
    <w:rPr>
      <w:rFonts w:ascii="Times New Roman" w:hAnsi="Times New Roman"/>
      <w:caps/>
      <w:sz w:val="17"/>
      <w:szCs w:val="17"/>
      <w:lang w:val="en-US" w:eastAsia="en-US"/>
    </w:rPr>
  </w:style>
  <w:style w:type="character" w:customStyle="1" w:styleId="Heading3Char">
    <w:name w:val="Heading 3 Char"/>
    <w:link w:val="Heading3"/>
    <w:uiPriority w:val="9"/>
    <w:semiHidden/>
    <w:rsid w:val="00915A50"/>
    <w:rPr>
      <w:rFonts w:ascii="Times New Roman" w:eastAsia="Times New Roman" w:hAnsi="Times New Roman"/>
      <w:b/>
      <w:bCs/>
      <w:sz w:val="36"/>
      <w:szCs w:val="22"/>
      <w:lang w:eastAsia="en-US"/>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semiHidden/>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Galley"/>
    <w:link w:val="GG-Bullets2Char"/>
    <w:qFormat/>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qFormat/>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paragraph" w:styleId="TOC1">
    <w:name w:val="toc 1"/>
    <w:next w:val="GG-body"/>
    <w:autoRedefine/>
    <w:uiPriority w:val="39"/>
    <w:unhideWhenUsed/>
    <w:rsid w:val="00531F7A"/>
    <w:pPr>
      <w:spacing w:line="170" w:lineRule="exact"/>
      <w:outlineLvl w:val="0"/>
    </w:pPr>
    <w:rPr>
      <w:rFonts w:ascii="Times New Roman" w:hAnsi="Times New Roman"/>
      <w:b/>
      <w:smallCaps/>
      <w:sz w:val="17"/>
      <w:szCs w:val="22"/>
      <w:lang w:eastAsia="en-US"/>
    </w:rPr>
  </w:style>
  <w:style w:type="paragraph" w:styleId="TOC2">
    <w:name w:val="toc 2"/>
    <w:next w:val="GG-body"/>
    <w:autoRedefine/>
    <w:uiPriority w:val="39"/>
    <w:unhideWhenUsed/>
    <w:rsid w:val="00531F7A"/>
    <w:pPr>
      <w:spacing w:line="170" w:lineRule="exact"/>
      <w:ind w:left="113" w:hanging="113"/>
      <w:outlineLvl w:val="1"/>
    </w:pPr>
    <w:rPr>
      <w:rFonts w:ascii="Times New Roman" w:hAnsi="Times New Roman"/>
      <w:sz w:val="17"/>
      <w:szCs w:val="22"/>
      <w:lang w:eastAsia="en-US"/>
    </w:rPr>
  </w:style>
  <w:style w:type="paragraph" w:styleId="TOC3">
    <w:name w:val="toc 3"/>
    <w:next w:val="GG-body"/>
    <w:autoRedefine/>
    <w:uiPriority w:val="39"/>
    <w:semiHidden/>
    <w:unhideWhenUsed/>
    <w:rsid w:val="00531F7A"/>
    <w:pPr>
      <w:spacing w:line="170" w:lineRule="exact"/>
      <w:ind w:left="226" w:hanging="113"/>
      <w:outlineLvl w:val="2"/>
    </w:pPr>
    <w:rPr>
      <w:rFonts w:ascii="Times New Roman" w:hAnsi="Times New Roman"/>
      <w:sz w:val="17"/>
      <w:szCs w:val="22"/>
      <w:lang w:eastAsia="en-US"/>
    </w:rPr>
  </w:style>
  <w:style w:type="table" w:styleId="TableGrid">
    <w:name w:val="Table Grid"/>
    <w:basedOn w:val="TableNormal"/>
    <w:uiPriority w:val="39"/>
    <w:rsid w:val="001F016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21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governmentgazette.sa.gov.a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7.xml"/><Relationship Id="rId10" Type="http://schemas.openxmlformats.org/officeDocument/2006/relationships/header" Target="head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Supplementary\TEMPLATE_SUPP+CONTENTS_202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DE938-C234-4D63-B55D-E828319D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TEMPLATE_SUPP+CONTENTS_2023</Template>
  <TotalTime>7</TotalTime>
  <Pages>4</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 ?? - ??day, ?? ?????? 2023 (pp. ????–????)</vt:lpstr>
    </vt:vector>
  </TitlesOfParts>
  <Company>SA Government</Company>
  <LinksUpToDate>false</LinksUpToDate>
  <CharactersWithSpaces>4177</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37 - Thursday, 1 June 2023 (pp. 1441–1444)</dc:title>
  <dc:subject/>
  <dc:creator>Anthony Butler</dc:creator>
  <cp:keywords/>
  <cp:lastModifiedBy>Butler, Anthony (Service SA)</cp:lastModifiedBy>
  <cp:revision>2</cp:revision>
  <cp:lastPrinted>2023-06-01T07:59:00Z</cp:lastPrinted>
  <dcterms:created xsi:type="dcterms:W3CDTF">2023-06-01T07:51:00Z</dcterms:created>
  <dcterms:modified xsi:type="dcterms:W3CDTF">2023-06-01T07:59:00Z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2022-01-06T04:33:20Z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1159c32a-e434-4209-a0a4-b7e54007cf6b</vt:lpwstr>
  </property>
  <property fmtid="{D5CDD505-2E9C-101B-9397-08002B2CF9AE}" pid="8" name="MSIP_Label_77274858-3b1d-4431-8679-d878f40e28fd_ContentBits">
    <vt:lpwstr>1</vt:lpwstr>
  </property>
</Properties>
</file>