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829B"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4D9CE864" wp14:editId="178C121B">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3C546D8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0DFB434B"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B5146E5"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7819B74C"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D99E569" w14:textId="439D1F00"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753333">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753333">
        <w:rPr>
          <w:rFonts w:ascii="Times New Roman" w:hAnsi="Times New Roman"/>
          <w:smallCaps/>
          <w:color w:val="000000"/>
          <w:sz w:val="28"/>
          <w:szCs w:val="26"/>
        </w:rPr>
        <w:t xml:space="preserve">23 June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640297ED" w14:textId="77777777" w:rsidR="008008DD" w:rsidRPr="00612978" w:rsidRDefault="008008DD" w:rsidP="008008DD">
      <w:pPr>
        <w:spacing w:after="0" w:line="240" w:lineRule="exact"/>
        <w:jc w:val="center"/>
        <w:rPr>
          <w:rFonts w:ascii="Times New Roman" w:hAnsi="Times New Roman"/>
          <w:color w:val="000000"/>
          <w:sz w:val="20"/>
        </w:rPr>
      </w:pPr>
    </w:p>
    <w:p w14:paraId="528B546F"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633116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02F3F30"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1F97D2B5"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29152DBA" w14:textId="3C7A7363" w:rsidR="00F320C4"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38342222" w:history="1">
        <w:r w:rsidR="00F320C4" w:rsidRPr="00877267">
          <w:rPr>
            <w:rStyle w:val="Hyperlink"/>
            <w:noProof/>
          </w:rPr>
          <w:t>State Government Instruments</w:t>
        </w:r>
      </w:hyperlink>
    </w:p>
    <w:p w14:paraId="2C880200" w14:textId="6F9787B6" w:rsidR="00F320C4" w:rsidRDefault="00F320C4">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38342223" w:history="1">
        <w:r w:rsidRPr="00877267">
          <w:rPr>
            <w:rStyle w:val="Hyperlink"/>
            <w:noProof/>
          </w:rPr>
          <w:t>Phylloxera and Grape Industry Act 1995</w:t>
        </w:r>
        <w:r>
          <w:rPr>
            <w:noProof/>
            <w:webHidden/>
          </w:rPr>
          <w:tab/>
        </w:r>
        <w:r>
          <w:rPr>
            <w:noProof/>
            <w:webHidden/>
          </w:rPr>
          <w:fldChar w:fldCharType="begin"/>
        </w:r>
        <w:r>
          <w:rPr>
            <w:noProof/>
            <w:webHidden/>
          </w:rPr>
          <w:instrText xml:space="preserve"> PAGEREF _Toc138342223 \h </w:instrText>
        </w:r>
        <w:r>
          <w:rPr>
            <w:noProof/>
            <w:webHidden/>
          </w:rPr>
        </w:r>
        <w:r>
          <w:rPr>
            <w:noProof/>
            <w:webHidden/>
          </w:rPr>
          <w:fldChar w:fldCharType="separate"/>
        </w:r>
        <w:r>
          <w:rPr>
            <w:noProof/>
            <w:webHidden/>
          </w:rPr>
          <w:t>2018</w:t>
        </w:r>
        <w:r>
          <w:rPr>
            <w:noProof/>
            <w:webHidden/>
          </w:rPr>
          <w:fldChar w:fldCharType="end"/>
        </w:r>
      </w:hyperlink>
    </w:p>
    <w:p w14:paraId="1966CFE0" w14:textId="78C19423"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1841832B"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2451C457" w14:textId="77777777" w:rsidR="00842BD5" w:rsidRDefault="00842BD5" w:rsidP="00FB48A8">
      <w:pPr>
        <w:spacing w:after="0"/>
        <w:rPr>
          <w:rFonts w:ascii="Times New Roman" w:hAnsi="Times New Roman"/>
          <w:smallCaps/>
          <w:sz w:val="17"/>
          <w:szCs w:val="17"/>
        </w:rPr>
      </w:pPr>
    </w:p>
    <w:p w14:paraId="6FE60E87"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3F5E9DC0" w14:textId="77777777" w:rsidR="00F337C8" w:rsidRPr="009D1E2E" w:rsidRDefault="00F337C8" w:rsidP="00693DF1">
      <w:pPr>
        <w:pStyle w:val="Heading1"/>
      </w:pPr>
      <w:bookmarkStart w:id="0" w:name="_Toc138342222"/>
      <w:r w:rsidRPr="009D1E2E">
        <w:lastRenderedPageBreak/>
        <w:t>State Government Instruments</w:t>
      </w:r>
      <w:bookmarkEnd w:id="0"/>
    </w:p>
    <w:p w14:paraId="22294CCA" w14:textId="77777777" w:rsidR="00753333" w:rsidRPr="00753333" w:rsidRDefault="00753333" w:rsidP="00F320C4">
      <w:pPr>
        <w:pStyle w:val="Heading2"/>
      </w:pPr>
      <w:bookmarkStart w:id="1" w:name="_Toc138342223"/>
      <w:r w:rsidRPr="00753333">
        <w:t>Phylloxera and Grape Industry Act 1995</w:t>
      </w:r>
      <w:bookmarkEnd w:id="1"/>
    </w:p>
    <w:p w14:paraId="2573A126" w14:textId="77777777" w:rsidR="00753333" w:rsidRPr="00753333" w:rsidRDefault="00753333" w:rsidP="00753333">
      <w:pPr>
        <w:jc w:val="center"/>
        <w:rPr>
          <w:rFonts w:ascii="Times New Roman" w:hAnsi="Times New Roman"/>
          <w:smallCaps/>
          <w:sz w:val="17"/>
          <w:szCs w:val="17"/>
          <w:lang w:val="en-US"/>
        </w:rPr>
      </w:pPr>
      <w:r w:rsidRPr="00753333">
        <w:rPr>
          <w:rFonts w:ascii="Times New Roman" w:hAnsi="Times New Roman"/>
          <w:smallCaps/>
          <w:sz w:val="17"/>
          <w:szCs w:val="17"/>
          <w:lang w:val="en-US"/>
        </w:rPr>
        <w:t>Notice by The Phylloxera and Grape Industry Board</w:t>
      </w:r>
    </w:p>
    <w:p w14:paraId="5FF9F862" w14:textId="77777777" w:rsidR="00753333" w:rsidRPr="00753333" w:rsidRDefault="00753333" w:rsidP="00753333">
      <w:pPr>
        <w:jc w:val="center"/>
        <w:rPr>
          <w:rFonts w:ascii="Times New Roman" w:hAnsi="Times New Roman"/>
          <w:i/>
          <w:sz w:val="17"/>
          <w:szCs w:val="17"/>
        </w:rPr>
      </w:pPr>
      <w:r w:rsidRPr="00753333">
        <w:rPr>
          <w:rFonts w:ascii="Times New Roman" w:hAnsi="Times New Roman"/>
          <w:i/>
          <w:sz w:val="17"/>
          <w:szCs w:val="17"/>
          <w:lang w:val="en-US"/>
        </w:rPr>
        <w:t>Contributions Towards Primary Functions Under the Act for Contribution Year 2022/2023</w:t>
      </w:r>
    </w:p>
    <w:p w14:paraId="13BAAFAE" w14:textId="77777777" w:rsidR="00753333" w:rsidRPr="00753333" w:rsidRDefault="00753333" w:rsidP="00753333">
      <w:pPr>
        <w:rPr>
          <w:rFonts w:ascii="Times New Roman" w:hAnsi="Times New Roman"/>
          <w:sz w:val="17"/>
        </w:rPr>
      </w:pPr>
      <w:r w:rsidRPr="00753333">
        <w:rPr>
          <w:rFonts w:ascii="Times New Roman" w:hAnsi="Times New Roman"/>
          <w:sz w:val="17"/>
          <w:lang w:val="en-US"/>
        </w:rPr>
        <w:t xml:space="preserve">PURSUANT to section 23 of the </w:t>
      </w:r>
      <w:r w:rsidRPr="00753333">
        <w:rPr>
          <w:rFonts w:ascii="Times New Roman" w:hAnsi="Times New Roman"/>
          <w:i/>
          <w:iCs/>
          <w:sz w:val="17"/>
          <w:lang w:val="en-US"/>
        </w:rPr>
        <w:t>Phylloxera and Grape Industry Act 1995</w:t>
      </w:r>
      <w:r w:rsidRPr="00753333">
        <w:rPr>
          <w:rFonts w:ascii="Times New Roman" w:hAnsi="Times New Roman"/>
          <w:sz w:val="17"/>
          <w:lang w:val="en-US"/>
        </w:rPr>
        <w:t xml:space="preserve"> (“</w:t>
      </w:r>
      <w:r w:rsidRPr="00753333">
        <w:rPr>
          <w:rFonts w:ascii="Times New Roman" w:hAnsi="Times New Roman"/>
          <w:b/>
          <w:bCs/>
          <w:sz w:val="17"/>
          <w:lang w:val="en-US"/>
        </w:rPr>
        <w:t>Act</w:t>
      </w:r>
      <w:r w:rsidRPr="00753333">
        <w:rPr>
          <w:rFonts w:ascii="Times New Roman" w:hAnsi="Times New Roman"/>
          <w:sz w:val="17"/>
          <w:lang w:val="en-US"/>
        </w:rPr>
        <w:t>”), the Phylloxera and Grape Industry Board of South Australia (“</w:t>
      </w:r>
      <w:r w:rsidRPr="00753333">
        <w:rPr>
          <w:rFonts w:ascii="Times New Roman" w:hAnsi="Times New Roman"/>
          <w:b/>
          <w:bCs/>
          <w:sz w:val="17"/>
          <w:lang w:val="en-US"/>
        </w:rPr>
        <w:t>Board</w:t>
      </w:r>
      <w:r w:rsidRPr="00753333">
        <w:rPr>
          <w:rFonts w:ascii="Times New Roman" w:hAnsi="Times New Roman"/>
          <w:sz w:val="17"/>
          <w:lang w:val="en-US"/>
        </w:rPr>
        <w:t xml:space="preserve">”), trading as </w:t>
      </w:r>
      <w:proofErr w:type="spellStart"/>
      <w:r w:rsidRPr="00753333">
        <w:rPr>
          <w:rFonts w:ascii="Times New Roman" w:hAnsi="Times New Roman"/>
          <w:sz w:val="17"/>
          <w:lang w:val="en-US"/>
        </w:rPr>
        <w:t>Vinehealth</w:t>
      </w:r>
      <w:proofErr w:type="spellEnd"/>
      <w:r w:rsidRPr="00753333">
        <w:rPr>
          <w:rFonts w:ascii="Times New Roman" w:hAnsi="Times New Roman"/>
          <w:sz w:val="17"/>
          <w:lang w:val="en-US"/>
        </w:rPr>
        <w:t xml:space="preserve"> Australia, gives notice that Registered Persons must contribute to the costs of the Board's primary functions for the contribution year ending 30 April 2023.</w:t>
      </w:r>
    </w:p>
    <w:p w14:paraId="7BF26526" w14:textId="77777777" w:rsidR="00753333" w:rsidRPr="00753333" w:rsidRDefault="00753333" w:rsidP="00753333">
      <w:pPr>
        <w:rPr>
          <w:rFonts w:ascii="Times New Roman" w:hAnsi="Times New Roman"/>
          <w:sz w:val="17"/>
          <w:lang w:val="en-US"/>
        </w:rPr>
      </w:pPr>
      <w:r w:rsidRPr="00753333">
        <w:rPr>
          <w:rFonts w:ascii="Times New Roman" w:hAnsi="Times New Roman"/>
          <w:sz w:val="17"/>
          <w:lang w:val="en-US"/>
        </w:rPr>
        <w:t>In accordance with the rules approved by the Minister and published in this notice, the contributions payable by a Registered Person for the 2022-2023 contribution year, are:</w:t>
      </w:r>
    </w:p>
    <w:p w14:paraId="1D1F52D3" w14:textId="77777777" w:rsidR="00753333" w:rsidRPr="00753333" w:rsidRDefault="00753333" w:rsidP="00753333">
      <w:pPr>
        <w:numPr>
          <w:ilvl w:val="0"/>
          <w:numId w:val="11"/>
        </w:numPr>
        <w:ind w:left="284" w:hanging="284"/>
        <w:rPr>
          <w:rFonts w:ascii="Times New Roman" w:hAnsi="Times New Roman"/>
          <w:sz w:val="17"/>
        </w:rPr>
      </w:pPr>
      <w:r w:rsidRPr="00753333">
        <w:rPr>
          <w:rFonts w:ascii="Times New Roman" w:hAnsi="Times New Roman"/>
          <w:sz w:val="17"/>
          <w:lang w:val="en-US"/>
        </w:rPr>
        <w:t xml:space="preserve">A contribution of $100, </w:t>
      </w:r>
      <w:r w:rsidRPr="00753333">
        <w:rPr>
          <w:rFonts w:ascii="Times New Roman" w:hAnsi="Times New Roman"/>
          <w:i/>
          <w:iCs/>
          <w:sz w:val="17"/>
          <w:lang w:val="en-US"/>
        </w:rPr>
        <w:t>and a</w:t>
      </w:r>
    </w:p>
    <w:p w14:paraId="55B93168" w14:textId="77777777" w:rsidR="00753333" w:rsidRPr="00753333" w:rsidRDefault="00753333" w:rsidP="00753333">
      <w:pPr>
        <w:numPr>
          <w:ilvl w:val="0"/>
          <w:numId w:val="11"/>
        </w:numPr>
        <w:ind w:left="284" w:hanging="284"/>
        <w:rPr>
          <w:rFonts w:ascii="Times New Roman" w:hAnsi="Times New Roman"/>
          <w:sz w:val="17"/>
        </w:rPr>
      </w:pPr>
      <w:r w:rsidRPr="00753333">
        <w:rPr>
          <w:rFonts w:ascii="Times New Roman" w:hAnsi="Times New Roman"/>
          <w:sz w:val="17"/>
          <w:lang w:val="en-US"/>
        </w:rPr>
        <w:t>A contribution of $9.69 per hectare of planted vines owned by the Registered Person</w:t>
      </w:r>
    </w:p>
    <w:p w14:paraId="3CA94AEF" w14:textId="77777777" w:rsidR="00753333" w:rsidRPr="00753333" w:rsidRDefault="00753333" w:rsidP="00753333">
      <w:pPr>
        <w:rPr>
          <w:rFonts w:ascii="Times New Roman" w:hAnsi="Times New Roman"/>
          <w:sz w:val="17"/>
          <w:lang w:val="en-US"/>
        </w:rPr>
      </w:pPr>
      <w:r w:rsidRPr="00753333">
        <w:rPr>
          <w:rFonts w:ascii="Times New Roman" w:hAnsi="Times New Roman"/>
          <w:sz w:val="17"/>
          <w:lang w:val="en-US"/>
        </w:rPr>
        <w:t>In this notice:</w:t>
      </w:r>
    </w:p>
    <w:p w14:paraId="45AC78BB" w14:textId="77777777" w:rsidR="00753333" w:rsidRPr="00753333" w:rsidRDefault="00753333" w:rsidP="00753333">
      <w:pPr>
        <w:spacing w:after="40"/>
        <w:rPr>
          <w:rFonts w:ascii="Times New Roman" w:hAnsi="Times New Roman"/>
          <w:sz w:val="17"/>
        </w:rPr>
      </w:pPr>
      <w:r w:rsidRPr="00753333">
        <w:rPr>
          <w:rFonts w:ascii="Times New Roman" w:hAnsi="Times New Roman"/>
          <w:b/>
          <w:bCs/>
          <w:sz w:val="17"/>
          <w:lang w:val="en-US"/>
        </w:rPr>
        <w:t>Registered Person</w:t>
      </w:r>
      <w:r w:rsidRPr="00753333">
        <w:rPr>
          <w:rFonts w:ascii="Times New Roman" w:hAnsi="Times New Roman"/>
          <w:sz w:val="17"/>
          <w:lang w:val="en-US"/>
        </w:rPr>
        <w:t xml:space="preserve"> has the meaning in the Act.</w:t>
      </w:r>
    </w:p>
    <w:p w14:paraId="04A089D6" w14:textId="77777777" w:rsidR="00753333" w:rsidRPr="00753333" w:rsidRDefault="00753333" w:rsidP="00753333">
      <w:pPr>
        <w:rPr>
          <w:rFonts w:ascii="Times New Roman" w:hAnsi="Times New Roman"/>
          <w:sz w:val="17"/>
          <w:lang w:val="en-US"/>
        </w:rPr>
      </w:pPr>
      <w:r w:rsidRPr="00753333">
        <w:rPr>
          <w:rFonts w:ascii="Times New Roman" w:hAnsi="Times New Roman"/>
          <w:b/>
          <w:bCs/>
          <w:sz w:val="17"/>
          <w:lang w:val="en-US"/>
        </w:rPr>
        <w:t>Contribution year</w:t>
      </w:r>
      <w:r w:rsidRPr="00753333">
        <w:rPr>
          <w:rFonts w:ascii="Times New Roman" w:hAnsi="Times New Roman"/>
          <w:sz w:val="17"/>
          <w:lang w:val="en-US"/>
        </w:rPr>
        <w:t xml:space="preserve"> means the period 1 May in one calendar year to 30 April in the following calendar year.</w:t>
      </w:r>
    </w:p>
    <w:p w14:paraId="1DD47970" w14:textId="77777777" w:rsidR="00753333" w:rsidRPr="00753333" w:rsidRDefault="00753333" w:rsidP="00753333">
      <w:pPr>
        <w:rPr>
          <w:rFonts w:ascii="Times New Roman" w:hAnsi="Times New Roman"/>
          <w:b/>
          <w:bCs/>
          <w:i/>
          <w:iCs/>
          <w:sz w:val="17"/>
          <w:lang w:val="en-US"/>
        </w:rPr>
      </w:pPr>
      <w:r w:rsidRPr="00753333">
        <w:rPr>
          <w:rFonts w:ascii="Times New Roman" w:hAnsi="Times New Roman"/>
          <w:b/>
          <w:bCs/>
          <w:i/>
          <w:iCs/>
          <w:sz w:val="17"/>
          <w:lang w:val="en-US"/>
        </w:rPr>
        <w:t>Rules approved by the Minister for Contributions Payable under the Act</w:t>
      </w:r>
    </w:p>
    <w:p w14:paraId="7B4374FB" w14:textId="77777777" w:rsidR="00753333" w:rsidRPr="00753333" w:rsidRDefault="00753333" w:rsidP="00753333">
      <w:pPr>
        <w:numPr>
          <w:ilvl w:val="0"/>
          <w:numId w:val="10"/>
        </w:numPr>
        <w:ind w:left="284" w:hanging="284"/>
        <w:rPr>
          <w:rFonts w:ascii="Times New Roman" w:hAnsi="Times New Roman"/>
          <w:sz w:val="17"/>
        </w:rPr>
      </w:pPr>
      <w:r w:rsidRPr="00753333">
        <w:rPr>
          <w:rFonts w:ascii="Times New Roman" w:hAnsi="Times New Roman"/>
          <w:sz w:val="17"/>
          <w:lang w:val="en-US"/>
        </w:rPr>
        <w:t>A fixed contribution per Registered Person will apply.</w:t>
      </w:r>
    </w:p>
    <w:p w14:paraId="65EBC355" w14:textId="77777777" w:rsidR="00753333" w:rsidRPr="00753333" w:rsidRDefault="00753333" w:rsidP="00753333">
      <w:pPr>
        <w:numPr>
          <w:ilvl w:val="1"/>
          <w:numId w:val="10"/>
        </w:numPr>
        <w:ind w:left="709" w:hanging="283"/>
        <w:rPr>
          <w:rFonts w:ascii="Times New Roman" w:hAnsi="Times New Roman"/>
          <w:sz w:val="17"/>
        </w:rPr>
      </w:pPr>
      <w:r w:rsidRPr="00753333">
        <w:rPr>
          <w:rFonts w:ascii="Times New Roman" w:hAnsi="Times New Roman"/>
          <w:sz w:val="17"/>
          <w:lang w:val="en-US"/>
        </w:rPr>
        <w:t>The fixed contribution for the 2022/23 contribution year will be no greater than $100, for the 2023/24 contribution year no greater than $150, and for the 2024/25 contribution year no greater than $200.</w:t>
      </w:r>
    </w:p>
    <w:p w14:paraId="20B1815A" w14:textId="77777777" w:rsidR="00753333" w:rsidRPr="00753333" w:rsidRDefault="00753333" w:rsidP="00753333">
      <w:pPr>
        <w:numPr>
          <w:ilvl w:val="1"/>
          <w:numId w:val="10"/>
        </w:numPr>
        <w:ind w:left="709" w:hanging="283"/>
        <w:rPr>
          <w:rFonts w:ascii="Times New Roman" w:hAnsi="Times New Roman"/>
          <w:sz w:val="17"/>
        </w:rPr>
      </w:pPr>
      <w:r w:rsidRPr="00753333">
        <w:rPr>
          <w:rFonts w:ascii="Times New Roman" w:hAnsi="Times New Roman"/>
          <w:sz w:val="17"/>
          <w:lang w:val="en-US"/>
        </w:rPr>
        <w:t xml:space="preserve">From the 2025/26 contribution year onwards, the fixed fee </w:t>
      </w:r>
      <w:proofErr w:type="spellStart"/>
      <w:r w:rsidRPr="00753333">
        <w:rPr>
          <w:rFonts w:ascii="Times New Roman" w:hAnsi="Times New Roman"/>
          <w:sz w:val="17"/>
          <w:lang w:val="en-US"/>
        </w:rPr>
        <w:t>gazetted</w:t>
      </w:r>
      <w:proofErr w:type="spellEnd"/>
      <w:r w:rsidRPr="00753333">
        <w:rPr>
          <w:rFonts w:ascii="Times New Roman" w:hAnsi="Times New Roman"/>
          <w:sz w:val="17"/>
          <w:lang w:val="en-US"/>
        </w:rPr>
        <w:t xml:space="preserve"> for the prior contribution year will be adjusted each year by no greater than the annual indexation factor determined by the South Australian government and notified to the Board by the Minister in that contribution year, the adjustment to consider industry conditions alongside funding required to deliver statutory functions.</w:t>
      </w:r>
    </w:p>
    <w:p w14:paraId="54BC1BA2" w14:textId="77777777" w:rsidR="00753333" w:rsidRPr="00753333" w:rsidRDefault="00753333" w:rsidP="00753333">
      <w:pPr>
        <w:numPr>
          <w:ilvl w:val="0"/>
          <w:numId w:val="10"/>
        </w:numPr>
        <w:ind w:left="284" w:hanging="284"/>
        <w:rPr>
          <w:rFonts w:ascii="Times New Roman" w:hAnsi="Times New Roman"/>
          <w:sz w:val="17"/>
          <w:lang w:val="en-US"/>
        </w:rPr>
      </w:pPr>
      <w:r w:rsidRPr="00753333">
        <w:rPr>
          <w:rFonts w:ascii="Times New Roman" w:hAnsi="Times New Roman"/>
          <w:sz w:val="17"/>
          <w:lang w:val="en-US"/>
        </w:rPr>
        <w:t>A variable contribution, based on a rate per hectare of vines planted for each Registered Person, will apply.</w:t>
      </w:r>
    </w:p>
    <w:p w14:paraId="4F7CE9B2" w14:textId="77777777" w:rsidR="00753333" w:rsidRPr="00753333" w:rsidRDefault="00753333" w:rsidP="00753333">
      <w:pPr>
        <w:numPr>
          <w:ilvl w:val="1"/>
          <w:numId w:val="10"/>
        </w:numPr>
        <w:ind w:left="709" w:hanging="283"/>
        <w:rPr>
          <w:rFonts w:ascii="Times New Roman" w:hAnsi="Times New Roman"/>
          <w:sz w:val="17"/>
        </w:rPr>
      </w:pPr>
      <w:r w:rsidRPr="00753333">
        <w:rPr>
          <w:rFonts w:ascii="Times New Roman" w:hAnsi="Times New Roman"/>
          <w:sz w:val="17"/>
          <w:lang w:val="en-US"/>
        </w:rPr>
        <w:t xml:space="preserve">The hectares of vines upon which the variable fee is calculated will be based on the area of vines recorded in the </w:t>
      </w:r>
      <w:proofErr w:type="spellStart"/>
      <w:r w:rsidRPr="00753333">
        <w:rPr>
          <w:rFonts w:ascii="Times New Roman" w:hAnsi="Times New Roman"/>
          <w:sz w:val="17"/>
          <w:lang w:val="en-US"/>
        </w:rPr>
        <w:t>Vinehealth</w:t>
      </w:r>
      <w:proofErr w:type="spellEnd"/>
      <w:r w:rsidRPr="00753333">
        <w:rPr>
          <w:rFonts w:ascii="Times New Roman" w:hAnsi="Times New Roman"/>
          <w:sz w:val="17"/>
          <w:lang w:val="en-US"/>
        </w:rPr>
        <w:t xml:space="preserve"> Australia Register as being owned by a Registered Person as </w:t>
      </w:r>
      <w:proofErr w:type="gramStart"/>
      <w:r w:rsidRPr="00753333">
        <w:rPr>
          <w:rFonts w:ascii="Times New Roman" w:hAnsi="Times New Roman"/>
          <w:sz w:val="17"/>
          <w:lang w:val="en-US"/>
        </w:rPr>
        <w:t>at</w:t>
      </w:r>
      <w:proofErr w:type="gramEnd"/>
      <w:r w:rsidRPr="00753333">
        <w:rPr>
          <w:rFonts w:ascii="Times New Roman" w:hAnsi="Times New Roman"/>
          <w:sz w:val="17"/>
          <w:lang w:val="en-US"/>
        </w:rPr>
        <w:t xml:space="preserve"> 30 April each year.</w:t>
      </w:r>
    </w:p>
    <w:p w14:paraId="061E3553" w14:textId="77777777" w:rsidR="00753333" w:rsidRPr="00753333" w:rsidRDefault="00753333" w:rsidP="00753333">
      <w:pPr>
        <w:numPr>
          <w:ilvl w:val="1"/>
          <w:numId w:val="10"/>
        </w:numPr>
        <w:ind w:left="709" w:hanging="283"/>
        <w:rPr>
          <w:rFonts w:ascii="Times New Roman" w:hAnsi="Times New Roman"/>
          <w:sz w:val="17"/>
        </w:rPr>
      </w:pPr>
      <w:r w:rsidRPr="00753333">
        <w:rPr>
          <w:rFonts w:ascii="Times New Roman" w:hAnsi="Times New Roman"/>
          <w:sz w:val="17"/>
          <w:lang w:val="en-US"/>
        </w:rPr>
        <w:t>The variable fee for the 2022/23 contribution year will be no greater than $9.69 per hectare.</w:t>
      </w:r>
    </w:p>
    <w:p w14:paraId="4FF05498" w14:textId="77777777" w:rsidR="00753333" w:rsidRPr="00753333" w:rsidRDefault="00753333" w:rsidP="00753333">
      <w:pPr>
        <w:numPr>
          <w:ilvl w:val="1"/>
          <w:numId w:val="10"/>
        </w:numPr>
        <w:ind w:left="709" w:hanging="283"/>
        <w:rPr>
          <w:rFonts w:ascii="Times New Roman" w:hAnsi="Times New Roman"/>
          <w:sz w:val="17"/>
        </w:rPr>
      </w:pPr>
      <w:r w:rsidRPr="00753333">
        <w:rPr>
          <w:rFonts w:ascii="Times New Roman" w:hAnsi="Times New Roman"/>
          <w:sz w:val="17"/>
          <w:lang w:val="en-US"/>
        </w:rPr>
        <w:t xml:space="preserve">The variable fee </w:t>
      </w:r>
      <w:proofErr w:type="spellStart"/>
      <w:r w:rsidRPr="00753333">
        <w:rPr>
          <w:rFonts w:ascii="Times New Roman" w:hAnsi="Times New Roman"/>
          <w:sz w:val="17"/>
          <w:lang w:val="en-US"/>
        </w:rPr>
        <w:t>gazetted</w:t>
      </w:r>
      <w:proofErr w:type="spellEnd"/>
      <w:r w:rsidRPr="00753333">
        <w:rPr>
          <w:rFonts w:ascii="Times New Roman" w:hAnsi="Times New Roman"/>
          <w:sz w:val="17"/>
          <w:lang w:val="en-US"/>
        </w:rPr>
        <w:t xml:space="preserve"> for the prior contribution year will be adjusted each year by no greater than the annual indexation factor determined by the South Australian government in that contribution year and notified to the Board by the Minister, from and including the 2023/24 contribution year.</w:t>
      </w:r>
    </w:p>
    <w:p w14:paraId="51EA21D6" w14:textId="77777777" w:rsidR="00753333" w:rsidRPr="00753333" w:rsidRDefault="00753333" w:rsidP="00753333">
      <w:pPr>
        <w:numPr>
          <w:ilvl w:val="0"/>
          <w:numId w:val="10"/>
        </w:numPr>
        <w:ind w:left="284" w:hanging="284"/>
        <w:rPr>
          <w:rFonts w:ascii="Times New Roman" w:hAnsi="Times New Roman"/>
          <w:sz w:val="17"/>
          <w:lang w:val="en-US"/>
        </w:rPr>
      </w:pPr>
      <w:r w:rsidRPr="00753333">
        <w:rPr>
          <w:rFonts w:ascii="Times New Roman" w:hAnsi="Times New Roman"/>
          <w:sz w:val="17"/>
          <w:lang w:val="en-US"/>
        </w:rPr>
        <w:t xml:space="preserve">The Board will by notice in the gazette in accordance with section 23 of the Act specify the rates for the fixed fee and variable fee for a contribution year as soon as practically possible after the annual indexation factor is determined by the South Australia government. </w:t>
      </w:r>
    </w:p>
    <w:p w14:paraId="1E20E7AF" w14:textId="77777777" w:rsidR="00753333" w:rsidRPr="00753333" w:rsidRDefault="00753333" w:rsidP="00753333">
      <w:pPr>
        <w:numPr>
          <w:ilvl w:val="0"/>
          <w:numId w:val="10"/>
        </w:numPr>
        <w:ind w:left="284" w:hanging="284"/>
        <w:rPr>
          <w:rFonts w:ascii="Times New Roman" w:hAnsi="Times New Roman"/>
          <w:sz w:val="17"/>
          <w:lang w:val="en-US"/>
        </w:rPr>
      </w:pPr>
      <w:r w:rsidRPr="00753333">
        <w:rPr>
          <w:rFonts w:ascii="Times New Roman" w:hAnsi="Times New Roman"/>
          <w:sz w:val="17"/>
          <w:lang w:val="en-US"/>
        </w:rPr>
        <w:t>The contribution will be collected or recovered by the Commissioner of Land Tax on behalf of the Board as if the contribution were land tax and will be subject to the same penalties for delay or default in payment (section 23 (3) of the Act).</w:t>
      </w:r>
    </w:p>
    <w:p w14:paraId="6F64EF5A" w14:textId="77777777" w:rsidR="00753333" w:rsidRPr="00753333" w:rsidRDefault="00753333" w:rsidP="00753333">
      <w:pPr>
        <w:spacing w:after="0"/>
        <w:rPr>
          <w:rFonts w:ascii="Times New Roman" w:eastAsia="Times New Roman" w:hAnsi="Times New Roman"/>
          <w:sz w:val="17"/>
          <w:szCs w:val="17"/>
          <w:lang w:val="en-US"/>
        </w:rPr>
      </w:pPr>
      <w:r w:rsidRPr="00753333">
        <w:rPr>
          <w:rFonts w:ascii="Times New Roman" w:eastAsia="Times New Roman" w:hAnsi="Times New Roman"/>
          <w:sz w:val="17"/>
          <w:szCs w:val="17"/>
          <w:lang w:val="en-US"/>
        </w:rPr>
        <w:t>Dated: 20 June 2023</w:t>
      </w:r>
    </w:p>
    <w:p w14:paraId="0E3F342D" w14:textId="77777777" w:rsidR="00753333" w:rsidRPr="00753333" w:rsidRDefault="00753333" w:rsidP="00753333">
      <w:pPr>
        <w:spacing w:after="0"/>
        <w:jc w:val="right"/>
        <w:rPr>
          <w:rFonts w:ascii="Times New Roman" w:eastAsia="Times New Roman" w:hAnsi="Times New Roman"/>
          <w:smallCaps/>
          <w:sz w:val="17"/>
          <w:szCs w:val="20"/>
        </w:rPr>
      </w:pPr>
      <w:r w:rsidRPr="00753333">
        <w:rPr>
          <w:rFonts w:ascii="Times New Roman" w:eastAsia="Times New Roman" w:hAnsi="Times New Roman"/>
          <w:smallCaps/>
          <w:sz w:val="17"/>
          <w:szCs w:val="20"/>
        </w:rPr>
        <w:t>Suzanne McLoughlin</w:t>
      </w:r>
    </w:p>
    <w:p w14:paraId="29C16C27" w14:textId="77777777" w:rsidR="00753333" w:rsidRPr="00753333" w:rsidRDefault="00753333" w:rsidP="00753333">
      <w:pPr>
        <w:spacing w:after="0"/>
        <w:jc w:val="right"/>
        <w:rPr>
          <w:rFonts w:ascii="Times New Roman" w:eastAsia="Times New Roman" w:hAnsi="Times New Roman"/>
          <w:sz w:val="17"/>
          <w:szCs w:val="17"/>
        </w:rPr>
      </w:pPr>
      <w:r w:rsidRPr="00753333">
        <w:rPr>
          <w:rFonts w:ascii="Times New Roman" w:eastAsia="Times New Roman" w:hAnsi="Times New Roman"/>
          <w:sz w:val="17"/>
          <w:szCs w:val="17"/>
        </w:rPr>
        <w:t>A/Chief Executive Officer</w:t>
      </w:r>
    </w:p>
    <w:p w14:paraId="7C5EEAC8" w14:textId="77777777" w:rsidR="00753333" w:rsidRPr="00753333" w:rsidRDefault="00753333" w:rsidP="00753333">
      <w:pPr>
        <w:spacing w:after="0"/>
        <w:jc w:val="right"/>
        <w:rPr>
          <w:rFonts w:ascii="Times New Roman" w:eastAsia="Times New Roman" w:hAnsi="Times New Roman"/>
          <w:sz w:val="17"/>
          <w:szCs w:val="17"/>
        </w:rPr>
      </w:pPr>
      <w:r w:rsidRPr="00753333">
        <w:rPr>
          <w:rFonts w:ascii="Times New Roman" w:eastAsia="Times New Roman" w:hAnsi="Times New Roman"/>
          <w:sz w:val="17"/>
          <w:szCs w:val="17"/>
        </w:rPr>
        <w:t xml:space="preserve">Phylloxera and Grape Industry Board of South Australia, trading as </w:t>
      </w:r>
      <w:proofErr w:type="spellStart"/>
      <w:r w:rsidRPr="00753333">
        <w:rPr>
          <w:rFonts w:ascii="Times New Roman" w:eastAsia="Times New Roman" w:hAnsi="Times New Roman"/>
          <w:sz w:val="17"/>
          <w:szCs w:val="17"/>
        </w:rPr>
        <w:t>Vinehealth</w:t>
      </w:r>
      <w:proofErr w:type="spellEnd"/>
      <w:r w:rsidRPr="00753333">
        <w:rPr>
          <w:rFonts w:ascii="Times New Roman" w:eastAsia="Times New Roman" w:hAnsi="Times New Roman"/>
          <w:sz w:val="17"/>
          <w:szCs w:val="17"/>
        </w:rPr>
        <w:t xml:space="preserve"> Australia</w:t>
      </w:r>
    </w:p>
    <w:p w14:paraId="6061F9F5" w14:textId="77777777" w:rsidR="00753333" w:rsidRPr="00753333" w:rsidRDefault="00753333" w:rsidP="00753333">
      <w:pPr>
        <w:pBdr>
          <w:bottom w:val="single" w:sz="4" w:space="1" w:color="auto"/>
        </w:pBdr>
        <w:spacing w:after="0" w:line="52" w:lineRule="exact"/>
        <w:jc w:val="center"/>
        <w:rPr>
          <w:rFonts w:ascii="Times New Roman" w:eastAsia="Times New Roman" w:hAnsi="Times New Roman"/>
          <w:sz w:val="17"/>
          <w:szCs w:val="17"/>
        </w:rPr>
      </w:pPr>
    </w:p>
    <w:p w14:paraId="29BF1D39" w14:textId="77777777" w:rsidR="00753333" w:rsidRPr="00753333" w:rsidRDefault="00753333" w:rsidP="00753333">
      <w:pPr>
        <w:pBdr>
          <w:top w:val="single" w:sz="4" w:space="1" w:color="auto"/>
        </w:pBdr>
        <w:spacing w:before="34" w:after="0" w:line="14" w:lineRule="exact"/>
        <w:jc w:val="center"/>
        <w:rPr>
          <w:rFonts w:ascii="Times New Roman" w:eastAsia="Times New Roman" w:hAnsi="Times New Roman"/>
          <w:sz w:val="17"/>
          <w:szCs w:val="17"/>
        </w:rPr>
      </w:pPr>
    </w:p>
    <w:p w14:paraId="23D0D8CB" w14:textId="77777777" w:rsidR="00753333" w:rsidRPr="00753333" w:rsidRDefault="00753333" w:rsidP="007533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p>
    <w:p w14:paraId="09483DB5" w14:textId="77777777" w:rsidR="00F146D8" w:rsidRDefault="00F146D8" w:rsidP="00F337C8">
      <w:pPr>
        <w:pStyle w:val="GG-body"/>
      </w:pPr>
    </w:p>
    <w:p w14:paraId="4824A5FA" w14:textId="77777777" w:rsidR="00753333" w:rsidRDefault="00753333" w:rsidP="00F337C8">
      <w:pPr>
        <w:pStyle w:val="GG-body"/>
      </w:pPr>
    </w:p>
    <w:p w14:paraId="33740D9D" w14:textId="77777777" w:rsidR="00F146D8" w:rsidRDefault="00F146D8" w:rsidP="00F337C8">
      <w:pPr>
        <w:pStyle w:val="GG-body"/>
      </w:pPr>
    </w:p>
    <w:p w14:paraId="063B171B" w14:textId="77777777" w:rsidR="00F146D8" w:rsidRDefault="00F146D8" w:rsidP="00F337C8">
      <w:pPr>
        <w:pStyle w:val="GG-body"/>
      </w:pPr>
    </w:p>
    <w:p w14:paraId="23F21CD5" w14:textId="77777777" w:rsidR="00F146D8" w:rsidRDefault="00F146D8" w:rsidP="00F337C8">
      <w:pPr>
        <w:pStyle w:val="GG-body"/>
      </w:pPr>
    </w:p>
    <w:p w14:paraId="1A48EFCC" w14:textId="77777777" w:rsidR="00F146D8" w:rsidRDefault="00F146D8" w:rsidP="00F337C8">
      <w:pPr>
        <w:pStyle w:val="GG-body"/>
      </w:pPr>
    </w:p>
    <w:p w14:paraId="7B242578" w14:textId="77777777" w:rsidR="00F146D8" w:rsidRDefault="00F146D8" w:rsidP="00F337C8">
      <w:pPr>
        <w:pStyle w:val="GG-body"/>
      </w:pPr>
    </w:p>
    <w:p w14:paraId="34BE6DEC" w14:textId="77777777" w:rsidR="00F146D8" w:rsidRDefault="00F146D8" w:rsidP="00F337C8">
      <w:pPr>
        <w:pStyle w:val="GG-body"/>
      </w:pPr>
    </w:p>
    <w:p w14:paraId="088BBDFF" w14:textId="77777777" w:rsidR="00F146D8" w:rsidRDefault="00F146D8" w:rsidP="00F337C8">
      <w:pPr>
        <w:pStyle w:val="GG-body"/>
      </w:pPr>
    </w:p>
    <w:p w14:paraId="74048925" w14:textId="77777777" w:rsidR="00F146D8" w:rsidRDefault="00F146D8" w:rsidP="00F337C8">
      <w:pPr>
        <w:pStyle w:val="GG-body"/>
      </w:pPr>
    </w:p>
    <w:p w14:paraId="6D0E4268" w14:textId="77777777" w:rsidR="00F146D8" w:rsidRDefault="00F146D8" w:rsidP="00F337C8">
      <w:pPr>
        <w:pStyle w:val="GG-body"/>
      </w:pPr>
    </w:p>
    <w:p w14:paraId="57167442" w14:textId="77777777" w:rsidR="00F146D8" w:rsidRDefault="00F146D8" w:rsidP="00F337C8">
      <w:pPr>
        <w:pStyle w:val="GG-body"/>
      </w:pPr>
    </w:p>
    <w:p w14:paraId="1376F826" w14:textId="77777777" w:rsidR="00F146D8" w:rsidRDefault="00F146D8" w:rsidP="00F337C8">
      <w:pPr>
        <w:pStyle w:val="GG-body"/>
      </w:pPr>
    </w:p>
    <w:p w14:paraId="561A7A0F" w14:textId="77777777" w:rsidR="00F146D8" w:rsidRDefault="00F146D8" w:rsidP="00F337C8">
      <w:pPr>
        <w:pStyle w:val="GG-body"/>
      </w:pPr>
    </w:p>
    <w:p w14:paraId="50C96A63" w14:textId="77777777" w:rsidR="00F146D8" w:rsidRDefault="00F146D8" w:rsidP="00F337C8">
      <w:pPr>
        <w:pStyle w:val="GG-body"/>
      </w:pPr>
    </w:p>
    <w:p w14:paraId="5A03491B" w14:textId="77777777" w:rsidR="00F337C8" w:rsidRDefault="00F337C8" w:rsidP="00F337C8">
      <w:pPr>
        <w:pStyle w:val="GG-body"/>
      </w:pPr>
    </w:p>
    <w:p w14:paraId="4B187549"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458619E"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DA593AF"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641F7DA2"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723A09F"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1CD5B567"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753333">
      <w:headerReference w:type="even" r:id="rId19"/>
      <w:headerReference w:type="default" r:id="rId20"/>
      <w:footerReference w:type="default" r:id="rId21"/>
      <w:pgSz w:w="11906" w:h="16838"/>
      <w:pgMar w:top="1674" w:right="1256" w:bottom="1134" w:left="1290" w:header="1134" w:footer="934" w:gutter="0"/>
      <w:pgNumType w:start="201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62E0" w14:textId="77777777" w:rsidR="00753333" w:rsidRDefault="00753333" w:rsidP="00777F88">
      <w:pPr>
        <w:spacing w:after="0" w:line="240" w:lineRule="auto"/>
      </w:pPr>
      <w:r>
        <w:separator/>
      </w:r>
    </w:p>
  </w:endnote>
  <w:endnote w:type="continuationSeparator" w:id="0">
    <w:p w14:paraId="49650B42" w14:textId="77777777" w:rsidR="00753333" w:rsidRDefault="0075333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053F"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A450"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3B58B6C"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6B2798B"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07ED6BAB"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3A482C01"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5D62"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E611"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525F0D6A"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3928349"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46C350F3"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4E05546A"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4623"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5E1D" w14:textId="77777777" w:rsidR="00753333" w:rsidRDefault="00753333" w:rsidP="00777F88">
      <w:pPr>
        <w:spacing w:after="0" w:line="240" w:lineRule="auto"/>
      </w:pPr>
      <w:r>
        <w:separator/>
      </w:r>
    </w:p>
  </w:footnote>
  <w:footnote w:type="continuationSeparator" w:id="0">
    <w:p w14:paraId="11EDF9CC" w14:textId="77777777" w:rsidR="00753333" w:rsidRDefault="00753333"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B939"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2E88CBEC" wp14:editId="5103D95A">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B419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88CBEC"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63B419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EE8A90F"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EAA66C4"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754F"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BB62984" wp14:editId="36635BEF">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954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B62984"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2F954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CCF9" w14:textId="7CA12AFD"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753333">
      <w:rPr>
        <w:rFonts w:ascii="Times New Roman" w:hAnsi="Times New Roman"/>
        <w:sz w:val="21"/>
        <w:szCs w:val="21"/>
      </w:rPr>
      <w:t>45</w:t>
    </w:r>
    <w:r w:rsidRPr="00612978">
      <w:rPr>
        <w:rFonts w:ascii="Times New Roman" w:hAnsi="Times New Roman"/>
        <w:sz w:val="21"/>
        <w:szCs w:val="21"/>
      </w:rPr>
      <w:tab/>
    </w:r>
    <w:r>
      <w:rPr>
        <w:rFonts w:ascii="Times New Roman" w:hAnsi="Times New Roman"/>
        <w:sz w:val="21"/>
        <w:szCs w:val="21"/>
      </w:rPr>
      <w:t xml:space="preserve">p. </w:t>
    </w:r>
    <w:r w:rsidR="00753333">
      <w:rPr>
        <w:rFonts w:ascii="Times New Roman" w:hAnsi="Times New Roman"/>
        <w:sz w:val="21"/>
        <w:szCs w:val="21"/>
      </w:rPr>
      <w:t>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5A0"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1EFD2ED2"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71FA0401"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8BDF"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CCAB565" wp14:editId="279DA7CE">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C810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CAB565"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82C810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65FE" w14:textId="368AB81A"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753333">
      <w:rPr>
        <w:rStyle w:val="PageNumber"/>
        <w:rFonts w:ascii="Times New Roman" w:hAnsi="Times New Roman"/>
        <w:sz w:val="21"/>
        <w:szCs w:val="21"/>
      </w:rPr>
      <w:t>45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753333">
      <w:rPr>
        <w:rStyle w:val="PageNumber"/>
        <w:rFonts w:ascii="Times New Roman" w:hAnsi="Times New Roman"/>
        <w:sz w:val="21"/>
        <w:szCs w:val="21"/>
      </w:rPr>
      <w:t>23 June</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4FEA90FF"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E867" w14:textId="1EDA5CED" w:rsidR="00632170" w:rsidRPr="00552C29" w:rsidRDefault="00753333"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23 June</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45</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26999FF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9DF623A"/>
    <w:multiLevelType w:val="hybridMultilevel"/>
    <w:tmpl w:val="1046AE1E"/>
    <w:lvl w:ilvl="0" w:tplc="5948AA24">
      <w:start w:val="1"/>
      <w:numFmt w:val="decimal"/>
      <w:lvlText w:val="%1."/>
      <w:lvlJc w:val="left"/>
      <w:pPr>
        <w:tabs>
          <w:tab w:val="num" w:pos="720"/>
        </w:tabs>
        <w:ind w:left="720" w:hanging="360"/>
      </w:pPr>
    </w:lvl>
    <w:lvl w:ilvl="1" w:tplc="ADFE6A9E">
      <w:start w:val="1"/>
      <w:numFmt w:val="lowerLetter"/>
      <w:lvlText w:val="%2."/>
      <w:lvlJc w:val="left"/>
      <w:pPr>
        <w:tabs>
          <w:tab w:val="num" w:pos="1440"/>
        </w:tabs>
        <w:ind w:left="1440" w:hanging="360"/>
      </w:pPr>
    </w:lvl>
    <w:lvl w:ilvl="2" w:tplc="89EA3ABC" w:tentative="1">
      <w:start w:val="1"/>
      <w:numFmt w:val="decimal"/>
      <w:lvlText w:val="%3."/>
      <w:lvlJc w:val="left"/>
      <w:pPr>
        <w:tabs>
          <w:tab w:val="num" w:pos="2160"/>
        </w:tabs>
        <w:ind w:left="2160" w:hanging="360"/>
      </w:pPr>
    </w:lvl>
    <w:lvl w:ilvl="3" w:tplc="AA145A58" w:tentative="1">
      <w:start w:val="1"/>
      <w:numFmt w:val="decimal"/>
      <w:lvlText w:val="%4."/>
      <w:lvlJc w:val="left"/>
      <w:pPr>
        <w:tabs>
          <w:tab w:val="num" w:pos="2880"/>
        </w:tabs>
        <w:ind w:left="2880" w:hanging="360"/>
      </w:pPr>
    </w:lvl>
    <w:lvl w:ilvl="4" w:tplc="572A63FE" w:tentative="1">
      <w:start w:val="1"/>
      <w:numFmt w:val="decimal"/>
      <w:lvlText w:val="%5."/>
      <w:lvlJc w:val="left"/>
      <w:pPr>
        <w:tabs>
          <w:tab w:val="num" w:pos="3600"/>
        </w:tabs>
        <w:ind w:left="3600" w:hanging="360"/>
      </w:pPr>
    </w:lvl>
    <w:lvl w:ilvl="5" w:tplc="A5F4F010" w:tentative="1">
      <w:start w:val="1"/>
      <w:numFmt w:val="decimal"/>
      <w:lvlText w:val="%6."/>
      <w:lvlJc w:val="left"/>
      <w:pPr>
        <w:tabs>
          <w:tab w:val="num" w:pos="4320"/>
        </w:tabs>
        <w:ind w:left="4320" w:hanging="360"/>
      </w:pPr>
    </w:lvl>
    <w:lvl w:ilvl="6" w:tplc="390CD0F8" w:tentative="1">
      <w:start w:val="1"/>
      <w:numFmt w:val="decimal"/>
      <w:lvlText w:val="%7."/>
      <w:lvlJc w:val="left"/>
      <w:pPr>
        <w:tabs>
          <w:tab w:val="num" w:pos="5040"/>
        </w:tabs>
        <w:ind w:left="5040" w:hanging="360"/>
      </w:pPr>
    </w:lvl>
    <w:lvl w:ilvl="7" w:tplc="6BC2711C" w:tentative="1">
      <w:start w:val="1"/>
      <w:numFmt w:val="decimal"/>
      <w:lvlText w:val="%8."/>
      <w:lvlJc w:val="left"/>
      <w:pPr>
        <w:tabs>
          <w:tab w:val="num" w:pos="5760"/>
        </w:tabs>
        <w:ind w:left="5760" w:hanging="360"/>
      </w:pPr>
    </w:lvl>
    <w:lvl w:ilvl="8" w:tplc="AE2C784C" w:tentative="1">
      <w:start w:val="1"/>
      <w:numFmt w:val="decimal"/>
      <w:lvlText w:val="%9."/>
      <w:lvlJc w:val="left"/>
      <w:pPr>
        <w:tabs>
          <w:tab w:val="num" w:pos="6480"/>
        </w:tabs>
        <w:ind w:left="6480" w:hanging="360"/>
      </w:pPr>
    </w:lvl>
  </w:abstractNum>
  <w:abstractNum w:abstractNumId="2" w15:restartNumberingAfterBreak="0">
    <w:nsid w:val="22CC1A01"/>
    <w:multiLevelType w:val="hybridMultilevel"/>
    <w:tmpl w:val="9E8CF960"/>
    <w:lvl w:ilvl="0" w:tplc="9BEC2A50">
      <w:start w:val="1"/>
      <w:numFmt w:val="decimal"/>
      <w:lvlText w:val="%1."/>
      <w:lvlJc w:val="left"/>
      <w:pPr>
        <w:tabs>
          <w:tab w:val="num" w:pos="720"/>
        </w:tabs>
        <w:ind w:left="720" w:hanging="360"/>
      </w:pPr>
    </w:lvl>
    <w:lvl w:ilvl="1" w:tplc="939094FA" w:tentative="1">
      <w:start w:val="1"/>
      <w:numFmt w:val="decimal"/>
      <w:lvlText w:val="%2."/>
      <w:lvlJc w:val="left"/>
      <w:pPr>
        <w:tabs>
          <w:tab w:val="num" w:pos="1440"/>
        </w:tabs>
        <w:ind w:left="1440" w:hanging="360"/>
      </w:pPr>
    </w:lvl>
    <w:lvl w:ilvl="2" w:tplc="A2D06E00" w:tentative="1">
      <w:start w:val="1"/>
      <w:numFmt w:val="decimal"/>
      <w:lvlText w:val="%3."/>
      <w:lvlJc w:val="left"/>
      <w:pPr>
        <w:tabs>
          <w:tab w:val="num" w:pos="2160"/>
        </w:tabs>
        <w:ind w:left="2160" w:hanging="360"/>
      </w:pPr>
    </w:lvl>
    <w:lvl w:ilvl="3" w:tplc="8446F76C" w:tentative="1">
      <w:start w:val="1"/>
      <w:numFmt w:val="decimal"/>
      <w:lvlText w:val="%4."/>
      <w:lvlJc w:val="left"/>
      <w:pPr>
        <w:tabs>
          <w:tab w:val="num" w:pos="2880"/>
        </w:tabs>
        <w:ind w:left="2880" w:hanging="360"/>
      </w:pPr>
    </w:lvl>
    <w:lvl w:ilvl="4" w:tplc="AED487C0" w:tentative="1">
      <w:start w:val="1"/>
      <w:numFmt w:val="decimal"/>
      <w:lvlText w:val="%5."/>
      <w:lvlJc w:val="left"/>
      <w:pPr>
        <w:tabs>
          <w:tab w:val="num" w:pos="3600"/>
        </w:tabs>
        <w:ind w:left="3600" w:hanging="360"/>
      </w:pPr>
    </w:lvl>
    <w:lvl w:ilvl="5" w:tplc="35AEB076" w:tentative="1">
      <w:start w:val="1"/>
      <w:numFmt w:val="decimal"/>
      <w:lvlText w:val="%6."/>
      <w:lvlJc w:val="left"/>
      <w:pPr>
        <w:tabs>
          <w:tab w:val="num" w:pos="4320"/>
        </w:tabs>
        <w:ind w:left="4320" w:hanging="360"/>
      </w:pPr>
    </w:lvl>
    <w:lvl w:ilvl="6" w:tplc="35EAB9BA" w:tentative="1">
      <w:start w:val="1"/>
      <w:numFmt w:val="decimal"/>
      <w:lvlText w:val="%7."/>
      <w:lvlJc w:val="left"/>
      <w:pPr>
        <w:tabs>
          <w:tab w:val="num" w:pos="5040"/>
        </w:tabs>
        <w:ind w:left="5040" w:hanging="360"/>
      </w:pPr>
    </w:lvl>
    <w:lvl w:ilvl="7" w:tplc="BD6A2062" w:tentative="1">
      <w:start w:val="1"/>
      <w:numFmt w:val="decimal"/>
      <w:lvlText w:val="%8."/>
      <w:lvlJc w:val="left"/>
      <w:pPr>
        <w:tabs>
          <w:tab w:val="num" w:pos="5760"/>
        </w:tabs>
        <w:ind w:left="5760" w:hanging="360"/>
      </w:pPr>
    </w:lvl>
    <w:lvl w:ilvl="8" w:tplc="A55A1EAC" w:tentative="1">
      <w:start w:val="1"/>
      <w:numFmt w:val="decimal"/>
      <w:lvlText w:val="%9."/>
      <w:lvlJc w:val="left"/>
      <w:pPr>
        <w:tabs>
          <w:tab w:val="num" w:pos="6480"/>
        </w:tabs>
        <w:ind w:left="6480" w:hanging="360"/>
      </w:pPr>
    </w:lvl>
  </w:abstractNum>
  <w:abstractNum w:abstractNumId="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9"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7"/>
  </w:num>
  <w:num w:numId="2" w16cid:durableId="592053928">
    <w:abstractNumId w:val="9"/>
  </w:num>
  <w:num w:numId="3" w16cid:durableId="867183007">
    <w:abstractNumId w:val="6"/>
  </w:num>
  <w:num w:numId="4" w16cid:durableId="1751655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5"/>
  </w:num>
  <w:num w:numId="6" w16cid:durableId="825245078">
    <w:abstractNumId w:val="8"/>
  </w:num>
  <w:num w:numId="7" w16cid:durableId="2083260921">
    <w:abstractNumId w:val="0"/>
  </w:num>
  <w:num w:numId="8" w16cid:durableId="1815831071">
    <w:abstractNumId w:val="3"/>
  </w:num>
  <w:num w:numId="9" w16cid:durableId="1285423984">
    <w:abstractNumId w:val="4"/>
  </w:num>
  <w:num w:numId="10" w16cid:durableId="1852835562">
    <w:abstractNumId w:val="1"/>
  </w:num>
  <w:num w:numId="11" w16cid:durableId="2011328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33"/>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53333"/>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A55DE"/>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20C4"/>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6FE37"/>
  <w15:chartTrackingRefBased/>
  <w15:docId w15:val="{DDA81637-7A25-4DE9-A4C8-7D56179A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4</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 45 - Friday, 23 June 2023 (pp. 2017–2019)</vt:lpstr>
    </vt:vector>
  </TitlesOfParts>
  <Company>SA Government</Company>
  <LinksUpToDate>false</LinksUpToDate>
  <CharactersWithSpaces>3811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45 - Friday, 23 June 2023 (pp. 2017–2018)</dc:title>
  <dc:subject/>
  <dc:creator>Anthony Butler</dc:creator>
  <cp:keywords/>
  <cp:lastModifiedBy>Butler, Anthony (Service SA)</cp:lastModifiedBy>
  <cp:revision>3</cp:revision>
  <cp:lastPrinted>2017-03-20T23:21:00Z</cp:lastPrinted>
  <dcterms:created xsi:type="dcterms:W3CDTF">2023-06-22T06:29:00Z</dcterms:created>
  <dcterms:modified xsi:type="dcterms:W3CDTF">2023-06-22T06:33:00Z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