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97600" w14:textId="77777777" w:rsidR="00777F88" w:rsidRPr="00612978" w:rsidRDefault="00111C2E"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004CCD85" wp14:editId="1D7514F3">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7290A1F5"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31A22A8B"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3546D7C2"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79D00F54"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3DE91243" w14:textId="409C5D56"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D36A59">
        <w:rPr>
          <w:rFonts w:ascii="Times New Roman" w:hAnsi="Times New Roman"/>
          <w:smallCaps/>
          <w:color w:val="000000"/>
          <w:sz w:val="28"/>
          <w:szCs w:val="26"/>
        </w:rPr>
        <w:t>Fri</w:t>
      </w:r>
      <w:r w:rsidR="00C176CC">
        <w:rPr>
          <w:rFonts w:ascii="Times New Roman" w:hAnsi="Times New Roman"/>
          <w:smallCaps/>
          <w:color w:val="000000"/>
          <w:sz w:val="28"/>
          <w:szCs w:val="26"/>
        </w:rPr>
        <w:t>day</w:t>
      </w:r>
      <w:r w:rsidRPr="00612978">
        <w:rPr>
          <w:rFonts w:ascii="Times New Roman" w:hAnsi="Times New Roman"/>
          <w:smallCaps/>
          <w:color w:val="000000"/>
          <w:sz w:val="28"/>
          <w:szCs w:val="26"/>
        </w:rPr>
        <w:t xml:space="preserve">, </w:t>
      </w:r>
      <w:r w:rsidR="00D36A59">
        <w:rPr>
          <w:rFonts w:ascii="Times New Roman" w:hAnsi="Times New Roman"/>
          <w:smallCaps/>
          <w:color w:val="000000"/>
          <w:sz w:val="28"/>
          <w:szCs w:val="26"/>
        </w:rPr>
        <w:t>28 June</w:t>
      </w:r>
      <w:r w:rsidRPr="00612978">
        <w:rPr>
          <w:rFonts w:ascii="Times New Roman" w:hAnsi="Times New Roman"/>
          <w:smallCaps/>
          <w:color w:val="000000"/>
          <w:sz w:val="28"/>
          <w:szCs w:val="26"/>
        </w:rPr>
        <w:t xml:space="preserve"> 20</w:t>
      </w:r>
      <w:r w:rsidR="00D36A59">
        <w:rPr>
          <w:rFonts w:ascii="Times New Roman" w:hAnsi="Times New Roman"/>
          <w:smallCaps/>
          <w:color w:val="000000"/>
          <w:sz w:val="28"/>
          <w:szCs w:val="26"/>
        </w:rPr>
        <w:t>24</w:t>
      </w:r>
    </w:p>
    <w:p w14:paraId="316E5AD9" w14:textId="77777777" w:rsidR="008008DD" w:rsidRPr="00612978" w:rsidRDefault="008008DD" w:rsidP="008008DD">
      <w:pPr>
        <w:spacing w:after="0" w:line="240" w:lineRule="exact"/>
        <w:jc w:val="center"/>
        <w:rPr>
          <w:rFonts w:ascii="Times New Roman" w:hAnsi="Times New Roman"/>
          <w:color w:val="000000"/>
          <w:sz w:val="20"/>
        </w:rPr>
      </w:pPr>
    </w:p>
    <w:p w14:paraId="71A00DBF"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243C4D34" w14:textId="77777777"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14:paraId="386A7E43" w14:textId="77777777" w:rsidR="001B7138" w:rsidRPr="00FB48A8" w:rsidRDefault="001B7138" w:rsidP="004A133E">
      <w:pPr>
        <w:spacing w:after="0" w:line="200" w:lineRule="exact"/>
        <w:ind w:left="2268" w:right="2415" w:firstLine="142"/>
        <w:rPr>
          <w:rFonts w:ascii="Times New Roman" w:hAnsi="Times New Roman"/>
          <w:smallCaps/>
          <w:sz w:val="17"/>
          <w:szCs w:val="17"/>
        </w:rPr>
      </w:pPr>
    </w:p>
    <w:p w14:paraId="687A96EC" w14:textId="77777777"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4E4BBC">
          <w:headerReference w:type="even" r:id="rId9"/>
          <w:headerReference w:type="default" r:id="rId10"/>
          <w:footerReference w:type="default" r:id="rId11"/>
          <w:headerReference w:type="first" r:id="rId12"/>
          <w:footerReference w:type="first" r:id="rId13"/>
          <w:pgSz w:w="11906" w:h="16838"/>
          <w:pgMar w:top="1134" w:right="1256" w:bottom="1134" w:left="1290" w:header="1134" w:footer="1134" w:gutter="0"/>
          <w:cols w:space="708"/>
          <w:titlePg/>
          <w:docGrid w:linePitch="360"/>
        </w:sectPr>
      </w:pPr>
    </w:p>
    <w:p w14:paraId="1C3D4199" w14:textId="0C3438C7" w:rsidR="007076D8" w:rsidRPr="00EE33E9" w:rsidRDefault="00531F7A">
      <w:pPr>
        <w:pStyle w:val="TOC1"/>
        <w:tabs>
          <w:tab w:val="right" w:leader="dot" w:pos="4548"/>
        </w:tabs>
        <w:rPr>
          <w:rFonts w:eastAsiaTheme="minorEastAsia"/>
          <w:b w:val="0"/>
          <w:smallCaps w:val="0"/>
          <w:noProof/>
          <w:kern w:val="2"/>
          <w:szCs w:val="17"/>
          <w:lang w:eastAsia="en-AU"/>
          <w14:ligatures w14:val="standardContextual"/>
        </w:rPr>
      </w:pPr>
      <w:r w:rsidRPr="00EE33E9">
        <w:rPr>
          <w:b w:val="0"/>
          <w:smallCaps w:val="0"/>
          <w:szCs w:val="17"/>
        </w:rPr>
        <w:fldChar w:fldCharType="begin"/>
      </w:r>
      <w:r w:rsidRPr="00EE33E9">
        <w:rPr>
          <w:b w:val="0"/>
          <w:smallCaps w:val="0"/>
          <w:szCs w:val="17"/>
        </w:rPr>
        <w:instrText xml:space="preserve"> TOC \o "1-3" \h \z \u </w:instrText>
      </w:r>
      <w:r w:rsidRPr="00EE33E9">
        <w:rPr>
          <w:b w:val="0"/>
          <w:smallCaps w:val="0"/>
          <w:szCs w:val="17"/>
        </w:rPr>
        <w:fldChar w:fldCharType="separate"/>
      </w:r>
      <w:hyperlink w:anchor="_Toc170398379" w:history="1">
        <w:r w:rsidR="007076D8" w:rsidRPr="00EE33E9">
          <w:rPr>
            <w:rStyle w:val="Hyperlink"/>
            <w:noProof/>
            <w:szCs w:val="17"/>
          </w:rPr>
          <w:t>State Government Instruments</w:t>
        </w:r>
      </w:hyperlink>
    </w:p>
    <w:p w14:paraId="750A5E33" w14:textId="58B26B76" w:rsidR="007076D8" w:rsidRPr="00EE33E9" w:rsidRDefault="007076D8">
      <w:pPr>
        <w:pStyle w:val="TOC2"/>
        <w:tabs>
          <w:tab w:val="right" w:leader="dot" w:pos="4548"/>
        </w:tabs>
        <w:rPr>
          <w:rFonts w:eastAsiaTheme="minorEastAsia"/>
          <w:noProof/>
          <w:kern w:val="2"/>
          <w:szCs w:val="17"/>
          <w:lang w:eastAsia="en-AU"/>
          <w14:ligatures w14:val="standardContextual"/>
        </w:rPr>
      </w:pPr>
      <w:hyperlink w:anchor="_Toc170398380" w:history="1">
        <w:r w:rsidRPr="00EE33E9">
          <w:rPr>
            <w:rStyle w:val="Hyperlink"/>
            <w:noProof/>
            <w:szCs w:val="17"/>
          </w:rPr>
          <w:t>Ayers House Act 2024</w:t>
        </w:r>
        <w:r w:rsidRPr="00EE33E9">
          <w:rPr>
            <w:noProof/>
            <w:webHidden/>
            <w:szCs w:val="17"/>
          </w:rPr>
          <w:tab/>
        </w:r>
        <w:r w:rsidRPr="00EE33E9">
          <w:rPr>
            <w:noProof/>
            <w:webHidden/>
            <w:szCs w:val="17"/>
          </w:rPr>
          <w:fldChar w:fldCharType="begin"/>
        </w:r>
        <w:r w:rsidRPr="00EE33E9">
          <w:rPr>
            <w:noProof/>
            <w:webHidden/>
            <w:szCs w:val="17"/>
          </w:rPr>
          <w:instrText xml:space="preserve"> PAGEREF _Toc170398380 \h </w:instrText>
        </w:r>
        <w:r w:rsidRPr="00EE33E9">
          <w:rPr>
            <w:noProof/>
            <w:webHidden/>
            <w:szCs w:val="17"/>
          </w:rPr>
        </w:r>
        <w:r w:rsidRPr="00EE33E9">
          <w:rPr>
            <w:noProof/>
            <w:webHidden/>
            <w:szCs w:val="17"/>
          </w:rPr>
          <w:fldChar w:fldCharType="separate"/>
        </w:r>
        <w:r w:rsidR="00D17EAE" w:rsidRPr="00EE33E9">
          <w:rPr>
            <w:noProof/>
            <w:webHidden/>
            <w:szCs w:val="17"/>
          </w:rPr>
          <w:t>2014</w:t>
        </w:r>
        <w:r w:rsidRPr="00EE33E9">
          <w:rPr>
            <w:noProof/>
            <w:webHidden/>
            <w:szCs w:val="17"/>
          </w:rPr>
          <w:fldChar w:fldCharType="end"/>
        </w:r>
      </w:hyperlink>
    </w:p>
    <w:p w14:paraId="29CCBFA4" w14:textId="578632A9" w:rsidR="007076D8" w:rsidRPr="00EE33E9" w:rsidRDefault="007076D8">
      <w:pPr>
        <w:pStyle w:val="TOC2"/>
        <w:tabs>
          <w:tab w:val="right" w:leader="dot" w:pos="4548"/>
        </w:tabs>
        <w:rPr>
          <w:rFonts w:eastAsiaTheme="minorEastAsia"/>
          <w:noProof/>
          <w:kern w:val="2"/>
          <w:szCs w:val="17"/>
          <w:lang w:eastAsia="en-AU"/>
          <w14:ligatures w14:val="standardContextual"/>
        </w:rPr>
      </w:pPr>
      <w:hyperlink w:anchor="_Toc170398381" w:history="1">
        <w:r w:rsidRPr="00EE33E9">
          <w:rPr>
            <w:rStyle w:val="Hyperlink"/>
            <w:noProof/>
            <w:szCs w:val="17"/>
          </w:rPr>
          <w:t>Landscape South Australia Act 2019</w:t>
        </w:r>
        <w:r w:rsidRPr="00EE33E9">
          <w:rPr>
            <w:noProof/>
            <w:webHidden/>
            <w:szCs w:val="17"/>
          </w:rPr>
          <w:tab/>
        </w:r>
        <w:r w:rsidRPr="00EE33E9">
          <w:rPr>
            <w:noProof/>
            <w:webHidden/>
            <w:szCs w:val="17"/>
          </w:rPr>
          <w:fldChar w:fldCharType="begin"/>
        </w:r>
        <w:r w:rsidRPr="00EE33E9">
          <w:rPr>
            <w:noProof/>
            <w:webHidden/>
            <w:szCs w:val="17"/>
          </w:rPr>
          <w:instrText xml:space="preserve"> PAGEREF _Toc170398381 \h </w:instrText>
        </w:r>
        <w:r w:rsidRPr="00EE33E9">
          <w:rPr>
            <w:noProof/>
            <w:webHidden/>
            <w:szCs w:val="17"/>
          </w:rPr>
        </w:r>
        <w:r w:rsidRPr="00EE33E9">
          <w:rPr>
            <w:noProof/>
            <w:webHidden/>
            <w:szCs w:val="17"/>
          </w:rPr>
          <w:fldChar w:fldCharType="separate"/>
        </w:r>
        <w:r w:rsidR="00D17EAE" w:rsidRPr="00EE33E9">
          <w:rPr>
            <w:noProof/>
            <w:webHidden/>
            <w:szCs w:val="17"/>
          </w:rPr>
          <w:t>2015</w:t>
        </w:r>
        <w:r w:rsidRPr="00EE33E9">
          <w:rPr>
            <w:noProof/>
            <w:webHidden/>
            <w:szCs w:val="17"/>
          </w:rPr>
          <w:fldChar w:fldCharType="end"/>
        </w:r>
      </w:hyperlink>
    </w:p>
    <w:p w14:paraId="2EE0CCD2" w14:textId="3E28509B" w:rsidR="007076D8" w:rsidRPr="00EE33E9" w:rsidRDefault="007076D8">
      <w:pPr>
        <w:pStyle w:val="TOC2"/>
        <w:tabs>
          <w:tab w:val="right" w:leader="dot" w:pos="4548"/>
        </w:tabs>
        <w:rPr>
          <w:rFonts w:eastAsiaTheme="minorEastAsia"/>
          <w:noProof/>
          <w:kern w:val="2"/>
          <w:szCs w:val="17"/>
          <w:lang w:eastAsia="en-AU"/>
          <w14:ligatures w14:val="standardContextual"/>
        </w:rPr>
      </w:pPr>
      <w:hyperlink w:anchor="_Toc170398382" w:history="1">
        <w:r w:rsidRPr="00EE33E9">
          <w:rPr>
            <w:rStyle w:val="Hyperlink"/>
            <w:noProof/>
            <w:szCs w:val="17"/>
          </w:rPr>
          <w:t>Water Industry Act 2012</w:t>
        </w:r>
        <w:r w:rsidRPr="00EE33E9">
          <w:rPr>
            <w:noProof/>
            <w:webHidden/>
            <w:szCs w:val="17"/>
          </w:rPr>
          <w:tab/>
        </w:r>
        <w:r w:rsidRPr="00EE33E9">
          <w:rPr>
            <w:noProof/>
            <w:webHidden/>
            <w:szCs w:val="17"/>
          </w:rPr>
          <w:fldChar w:fldCharType="begin"/>
        </w:r>
        <w:r w:rsidRPr="00EE33E9">
          <w:rPr>
            <w:noProof/>
            <w:webHidden/>
            <w:szCs w:val="17"/>
          </w:rPr>
          <w:instrText xml:space="preserve"> PAGEREF _Toc170398382 \h </w:instrText>
        </w:r>
        <w:r w:rsidRPr="00EE33E9">
          <w:rPr>
            <w:noProof/>
            <w:webHidden/>
            <w:szCs w:val="17"/>
          </w:rPr>
        </w:r>
        <w:r w:rsidRPr="00EE33E9">
          <w:rPr>
            <w:noProof/>
            <w:webHidden/>
            <w:szCs w:val="17"/>
          </w:rPr>
          <w:fldChar w:fldCharType="separate"/>
        </w:r>
        <w:r w:rsidR="00D17EAE" w:rsidRPr="00EE33E9">
          <w:rPr>
            <w:noProof/>
            <w:webHidden/>
            <w:szCs w:val="17"/>
          </w:rPr>
          <w:t>2015</w:t>
        </w:r>
        <w:r w:rsidRPr="00EE33E9">
          <w:rPr>
            <w:noProof/>
            <w:webHidden/>
            <w:szCs w:val="17"/>
          </w:rPr>
          <w:fldChar w:fldCharType="end"/>
        </w:r>
      </w:hyperlink>
    </w:p>
    <w:p w14:paraId="4C398A6C" w14:textId="011E70C1" w:rsidR="00F337C8" w:rsidRPr="00EE33E9" w:rsidRDefault="00531F7A"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b/>
          <w:smallCaps/>
          <w:szCs w:val="17"/>
          <w:lang w:eastAsia="en-US"/>
        </w:rPr>
      </w:pPr>
      <w:r w:rsidRPr="00EE33E9">
        <w:rPr>
          <w:b/>
          <w:smallCaps/>
          <w:szCs w:val="17"/>
          <w:lang w:eastAsia="en-US"/>
        </w:rPr>
        <w:fldChar w:fldCharType="end"/>
      </w:r>
    </w:p>
    <w:p w14:paraId="56801EA2" w14:textId="77777777" w:rsidR="00F337C8" w:rsidRPr="00EE33E9"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szCs w:val="17"/>
          <w:lang w:eastAsia="en-US"/>
        </w:rPr>
      </w:pPr>
    </w:p>
    <w:p w14:paraId="0C241F0C" w14:textId="77777777" w:rsidR="00842BD5" w:rsidRDefault="00842BD5" w:rsidP="00FB48A8">
      <w:pPr>
        <w:spacing w:after="0"/>
        <w:rPr>
          <w:rFonts w:ascii="Times New Roman" w:hAnsi="Times New Roman"/>
          <w:smallCaps/>
          <w:sz w:val="17"/>
          <w:szCs w:val="17"/>
        </w:rPr>
      </w:pPr>
    </w:p>
    <w:p w14:paraId="60C7BBF1" w14:textId="77777777"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4"/>
          <w:headerReference w:type="default" r:id="rId15"/>
          <w:footerReference w:type="default" r:id="rId16"/>
          <w:footerReference w:type="first" r:id="rId17"/>
          <w:type w:val="continuous"/>
          <w:pgSz w:w="11906" w:h="16838"/>
          <w:pgMar w:top="1134" w:right="3674" w:bottom="1134" w:left="3674" w:header="708" w:footer="708" w:gutter="0"/>
          <w:cols w:space="240"/>
          <w:docGrid w:linePitch="360"/>
        </w:sectPr>
      </w:pPr>
    </w:p>
    <w:p w14:paraId="681471BA" w14:textId="77777777" w:rsidR="00F337C8" w:rsidRPr="009D1E2E" w:rsidRDefault="00F337C8" w:rsidP="00693DF1">
      <w:pPr>
        <w:pStyle w:val="Heading1"/>
      </w:pPr>
      <w:bookmarkStart w:id="0" w:name="_Toc170398379"/>
      <w:r w:rsidRPr="009D1E2E">
        <w:lastRenderedPageBreak/>
        <w:t>State Government Instruments</w:t>
      </w:r>
      <w:bookmarkEnd w:id="0"/>
    </w:p>
    <w:p w14:paraId="163818DB" w14:textId="77777777" w:rsidR="006900D9" w:rsidRPr="006900D9" w:rsidRDefault="006900D9" w:rsidP="00FB3490">
      <w:pPr>
        <w:pStyle w:val="Heading2"/>
      </w:pPr>
      <w:bookmarkStart w:id="1" w:name="_Toc170398380"/>
      <w:r w:rsidRPr="006900D9">
        <w:t>Ayers House Act 2024</w:t>
      </w:r>
      <w:bookmarkEnd w:id="1"/>
    </w:p>
    <w:p w14:paraId="011E5923" w14:textId="77777777" w:rsidR="006900D9" w:rsidRPr="006900D9" w:rsidRDefault="006900D9" w:rsidP="006900D9">
      <w:pPr>
        <w:jc w:val="center"/>
        <w:rPr>
          <w:rFonts w:ascii="Times New Roman" w:hAnsi="Times New Roman"/>
          <w:i/>
          <w:sz w:val="17"/>
          <w:szCs w:val="17"/>
        </w:rPr>
      </w:pPr>
      <w:r w:rsidRPr="006900D9">
        <w:rPr>
          <w:rFonts w:ascii="Times New Roman" w:hAnsi="Times New Roman"/>
          <w:i/>
          <w:sz w:val="17"/>
          <w:szCs w:val="17"/>
        </w:rPr>
        <w:t xml:space="preserve">Rights of Public Access and Requirements Applying to </w:t>
      </w:r>
      <w:r w:rsidRPr="006900D9">
        <w:rPr>
          <w:rFonts w:ascii="Times New Roman" w:hAnsi="Times New Roman"/>
          <w:i/>
          <w:sz w:val="17"/>
          <w:szCs w:val="17"/>
        </w:rPr>
        <w:br/>
        <w:t>Care, Control and Management of Ayers House</w:t>
      </w:r>
    </w:p>
    <w:p w14:paraId="044E4373" w14:textId="77777777" w:rsidR="006900D9" w:rsidRPr="006900D9" w:rsidRDefault="006900D9" w:rsidP="006900D9">
      <w:pPr>
        <w:rPr>
          <w:rFonts w:ascii="Times New Roman" w:hAnsi="Times New Roman"/>
          <w:sz w:val="17"/>
        </w:rPr>
      </w:pPr>
      <w:r w:rsidRPr="006900D9">
        <w:rPr>
          <w:rFonts w:ascii="Times New Roman" w:hAnsi="Times New Roman"/>
          <w:sz w:val="17"/>
        </w:rPr>
        <w:t xml:space="preserve">Pursuant to Section 6(3)(a) and (b) of the </w:t>
      </w:r>
      <w:r w:rsidRPr="006900D9">
        <w:rPr>
          <w:rFonts w:ascii="Times New Roman" w:hAnsi="Times New Roman"/>
          <w:i/>
          <w:iCs/>
          <w:sz w:val="17"/>
        </w:rPr>
        <w:t>Ayers House Act 2024</w:t>
      </w:r>
      <w:r w:rsidRPr="006900D9">
        <w:rPr>
          <w:rFonts w:ascii="Times New Roman" w:hAnsi="Times New Roman"/>
          <w:sz w:val="17"/>
        </w:rPr>
        <w:t xml:space="preserve">, I, Susan Close, Minister for Climate, Environment and Water hereby specify rights of public access to Ayers House and requirements applying to the care, </w:t>
      </w:r>
      <w:proofErr w:type="gramStart"/>
      <w:r w:rsidRPr="006900D9">
        <w:rPr>
          <w:rFonts w:ascii="Times New Roman" w:hAnsi="Times New Roman"/>
          <w:sz w:val="17"/>
        </w:rPr>
        <w:t>control</w:t>
      </w:r>
      <w:proofErr w:type="gramEnd"/>
      <w:r w:rsidRPr="006900D9">
        <w:rPr>
          <w:rFonts w:ascii="Times New Roman" w:hAnsi="Times New Roman"/>
          <w:sz w:val="17"/>
        </w:rPr>
        <w:t xml:space="preserve"> and management of Ayers House.</w:t>
      </w:r>
    </w:p>
    <w:p w14:paraId="497E3AF1" w14:textId="77777777" w:rsidR="006900D9" w:rsidRPr="006900D9" w:rsidRDefault="006900D9" w:rsidP="006900D9">
      <w:pPr>
        <w:ind w:left="284" w:hanging="284"/>
        <w:rPr>
          <w:rFonts w:ascii="Times New Roman" w:hAnsi="Times New Roman"/>
          <w:b/>
          <w:bCs/>
          <w:sz w:val="17"/>
        </w:rPr>
      </w:pPr>
      <w:r w:rsidRPr="006900D9">
        <w:rPr>
          <w:rFonts w:ascii="Times New Roman" w:hAnsi="Times New Roman"/>
          <w:b/>
          <w:bCs/>
          <w:sz w:val="17"/>
        </w:rPr>
        <w:t>1.</w:t>
      </w:r>
      <w:r w:rsidRPr="006900D9">
        <w:rPr>
          <w:rFonts w:ascii="Times New Roman" w:hAnsi="Times New Roman"/>
          <w:b/>
          <w:bCs/>
          <w:sz w:val="17"/>
        </w:rPr>
        <w:tab/>
        <w:t>Public Access</w:t>
      </w:r>
    </w:p>
    <w:p w14:paraId="0AA7FC50" w14:textId="77777777" w:rsidR="006900D9" w:rsidRPr="006900D9" w:rsidRDefault="006900D9" w:rsidP="006900D9">
      <w:pPr>
        <w:ind w:left="567" w:hanging="283"/>
        <w:rPr>
          <w:rFonts w:ascii="Times New Roman" w:hAnsi="Times New Roman"/>
          <w:sz w:val="17"/>
        </w:rPr>
      </w:pPr>
      <w:r w:rsidRPr="006900D9">
        <w:rPr>
          <w:rFonts w:ascii="Times New Roman" w:hAnsi="Times New Roman"/>
          <w:sz w:val="17"/>
        </w:rPr>
        <w:t>(a)</w:t>
      </w:r>
      <w:r w:rsidRPr="006900D9">
        <w:rPr>
          <w:rFonts w:ascii="Times New Roman" w:hAnsi="Times New Roman"/>
          <w:sz w:val="17"/>
        </w:rPr>
        <w:tab/>
      </w:r>
      <w:r w:rsidRPr="006900D9">
        <w:rPr>
          <w:rFonts w:ascii="Times New Roman" w:hAnsi="Times New Roman"/>
          <w:spacing w:val="-4"/>
          <w:sz w:val="17"/>
        </w:rPr>
        <w:t xml:space="preserve">The National Trust of South Australia (‘National Trust’) acknowledges and agrees that during business hours (public holidays excepted) </w:t>
      </w:r>
      <w:r w:rsidRPr="006900D9">
        <w:rPr>
          <w:rFonts w:ascii="Times New Roman" w:hAnsi="Times New Roman"/>
          <w:sz w:val="17"/>
        </w:rPr>
        <w:t xml:space="preserve">the </w:t>
      </w:r>
      <w:proofErr w:type="gramStart"/>
      <w:r w:rsidRPr="006900D9">
        <w:rPr>
          <w:rFonts w:ascii="Times New Roman" w:hAnsi="Times New Roman"/>
          <w:sz w:val="17"/>
        </w:rPr>
        <w:t>general public</w:t>
      </w:r>
      <w:proofErr w:type="gramEnd"/>
      <w:r w:rsidRPr="006900D9">
        <w:rPr>
          <w:rFonts w:ascii="Times New Roman" w:hAnsi="Times New Roman"/>
          <w:sz w:val="17"/>
        </w:rPr>
        <w:t xml:space="preserve"> must have the regular and substantial opportunity to view the gardens, façade, and space around the buildings of Ayers House, on the areas of land comprised and described in Certificate of Title Volume 5927, Folio 883 (‘Ayers House’).</w:t>
      </w:r>
    </w:p>
    <w:p w14:paraId="69874B99" w14:textId="77777777" w:rsidR="006900D9" w:rsidRPr="006900D9" w:rsidRDefault="006900D9" w:rsidP="006900D9">
      <w:pPr>
        <w:ind w:left="567" w:hanging="283"/>
        <w:rPr>
          <w:rFonts w:ascii="Times New Roman" w:hAnsi="Times New Roman"/>
          <w:sz w:val="17"/>
        </w:rPr>
      </w:pPr>
      <w:r w:rsidRPr="006900D9">
        <w:rPr>
          <w:rFonts w:ascii="Times New Roman" w:hAnsi="Times New Roman"/>
          <w:sz w:val="17"/>
        </w:rPr>
        <w:t>(b)</w:t>
      </w:r>
      <w:r w:rsidRPr="006900D9">
        <w:rPr>
          <w:rFonts w:ascii="Times New Roman" w:hAnsi="Times New Roman"/>
          <w:sz w:val="17"/>
        </w:rPr>
        <w:tab/>
        <w:t xml:space="preserve">The National Trust must endeavour to provide the </w:t>
      </w:r>
      <w:proofErr w:type="gramStart"/>
      <w:r w:rsidRPr="006900D9">
        <w:rPr>
          <w:rFonts w:ascii="Times New Roman" w:hAnsi="Times New Roman"/>
          <w:sz w:val="17"/>
        </w:rPr>
        <w:t>general public</w:t>
      </w:r>
      <w:proofErr w:type="gramEnd"/>
      <w:r w:rsidRPr="006900D9">
        <w:rPr>
          <w:rFonts w:ascii="Times New Roman" w:hAnsi="Times New Roman"/>
          <w:sz w:val="17"/>
        </w:rPr>
        <w:t xml:space="preserve"> with substantial opportunities to take tours of the interior of the buildings of Ayers House during weekends, public holidays excepted.</w:t>
      </w:r>
    </w:p>
    <w:p w14:paraId="066C11D0" w14:textId="77777777" w:rsidR="006900D9" w:rsidRPr="006900D9" w:rsidRDefault="006900D9" w:rsidP="006900D9">
      <w:pPr>
        <w:ind w:left="567" w:hanging="283"/>
        <w:rPr>
          <w:rFonts w:ascii="Times New Roman" w:hAnsi="Times New Roman"/>
          <w:sz w:val="17"/>
        </w:rPr>
      </w:pPr>
      <w:r w:rsidRPr="006900D9">
        <w:rPr>
          <w:rFonts w:ascii="Times New Roman" w:hAnsi="Times New Roman"/>
          <w:sz w:val="17"/>
        </w:rPr>
        <w:t>(c)</w:t>
      </w:r>
      <w:r w:rsidRPr="006900D9">
        <w:rPr>
          <w:rFonts w:ascii="Times New Roman" w:hAnsi="Times New Roman"/>
          <w:sz w:val="17"/>
        </w:rPr>
        <w:tab/>
        <w:t xml:space="preserve">The obligation to provide the </w:t>
      </w:r>
      <w:proofErr w:type="gramStart"/>
      <w:r w:rsidRPr="006900D9">
        <w:rPr>
          <w:rFonts w:ascii="Times New Roman" w:hAnsi="Times New Roman"/>
          <w:sz w:val="17"/>
        </w:rPr>
        <w:t>general public</w:t>
      </w:r>
      <w:proofErr w:type="gramEnd"/>
      <w:r w:rsidRPr="006900D9">
        <w:rPr>
          <w:rFonts w:ascii="Times New Roman" w:hAnsi="Times New Roman"/>
          <w:sz w:val="17"/>
        </w:rPr>
        <w:t xml:space="preserve"> with substantial opportunities to take tours which is set out in Clause 1(b) above:</w:t>
      </w:r>
    </w:p>
    <w:p w14:paraId="7AF41B3F" w14:textId="77777777" w:rsidR="006900D9" w:rsidRPr="006900D9" w:rsidRDefault="006900D9" w:rsidP="006900D9">
      <w:pPr>
        <w:ind w:left="993" w:hanging="426"/>
        <w:rPr>
          <w:rFonts w:ascii="Times New Roman" w:hAnsi="Times New Roman"/>
          <w:sz w:val="17"/>
        </w:rPr>
      </w:pPr>
      <w:r w:rsidRPr="006900D9">
        <w:rPr>
          <w:rFonts w:ascii="Times New Roman" w:hAnsi="Times New Roman"/>
          <w:sz w:val="17"/>
        </w:rPr>
        <w:t>(</w:t>
      </w:r>
      <w:proofErr w:type="spellStart"/>
      <w:r w:rsidRPr="006900D9">
        <w:rPr>
          <w:rFonts w:ascii="Times New Roman" w:hAnsi="Times New Roman"/>
          <w:sz w:val="17"/>
        </w:rPr>
        <w:t>i</w:t>
      </w:r>
      <w:proofErr w:type="spellEnd"/>
      <w:r w:rsidRPr="006900D9">
        <w:rPr>
          <w:rFonts w:ascii="Times New Roman" w:hAnsi="Times New Roman"/>
          <w:sz w:val="17"/>
        </w:rPr>
        <w:t>)</w:t>
      </w:r>
      <w:r w:rsidRPr="006900D9">
        <w:rPr>
          <w:rFonts w:ascii="Times New Roman" w:hAnsi="Times New Roman"/>
          <w:sz w:val="17"/>
        </w:rPr>
        <w:tab/>
        <w:t>does not prevent nor limit the National Trust from charging a fee for such tours if it so desires, and</w:t>
      </w:r>
    </w:p>
    <w:p w14:paraId="01C6330E" w14:textId="77777777" w:rsidR="006900D9" w:rsidRPr="006900D9" w:rsidRDefault="006900D9" w:rsidP="006900D9">
      <w:pPr>
        <w:ind w:left="993" w:hanging="426"/>
        <w:rPr>
          <w:rFonts w:ascii="Times New Roman" w:hAnsi="Times New Roman"/>
          <w:sz w:val="17"/>
        </w:rPr>
      </w:pPr>
      <w:r w:rsidRPr="006900D9">
        <w:rPr>
          <w:rFonts w:ascii="Times New Roman" w:hAnsi="Times New Roman"/>
          <w:sz w:val="17"/>
        </w:rPr>
        <w:t>(ii)</w:t>
      </w:r>
      <w:r w:rsidRPr="006900D9">
        <w:rPr>
          <w:rFonts w:ascii="Times New Roman" w:hAnsi="Times New Roman"/>
          <w:sz w:val="17"/>
        </w:rPr>
        <w:tab/>
        <w:t>does not require the National Trust to provide access to any part of the interior of the buildings of Ayers House which are the subject of a lease or license to a third party.</w:t>
      </w:r>
    </w:p>
    <w:p w14:paraId="2BA15A9B" w14:textId="77777777" w:rsidR="006900D9" w:rsidRPr="006900D9" w:rsidRDefault="006900D9" w:rsidP="006900D9">
      <w:pPr>
        <w:ind w:left="284" w:hanging="284"/>
        <w:rPr>
          <w:rFonts w:ascii="Times New Roman" w:hAnsi="Times New Roman"/>
          <w:b/>
          <w:bCs/>
          <w:sz w:val="17"/>
        </w:rPr>
      </w:pPr>
      <w:r w:rsidRPr="006900D9">
        <w:rPr>
          <w:rFonts w:ascii="Times New Roman" w:hAnsi="Times New Roman"/>
          <w:b/>
          <w:bCs/>
          <w:sz w:val="17"/>
        </w:rPr>
        <w:t>2.</w:t>
      </w:r>
      <w:r w:rsidRPr="006900D9">
        <w:rPr>
          <w:rFonts w:ascii="Times New Roman" w:hAnsi="Times New Roman"/>
          <w:b/>
          <w:bCs/>
          <w:sz w:val="17"/>
        </w:rPr>
        <w:tab/>
        <w:t>Insurance</w:t>
      </w:r>
    </w:p>
    <w:p w14:paraId="681DC0D4" w14:textId="77777777" w:rsidR="006900D9" w:rsidRPr="006900D9" w:rsidRDefault="006900D9" w:rsidP="006900D9">
      <w:pPr>
        <w:ind w:left="567" w:hanging="283"/>
        <w:rPr>
          <w:rFonts w:ascii="Times New Roman" w:hAnsi="Times New Roman"/>
          <w:sz w:val="17"/>
        </w:rPr>
      </w:pPr>
      <w:r w:rsidRPr="006900D9">
        <w:rPr>
          <w:rFonts w:ascii="Times New Roman" w:hAnsi="Times New Roman"/>
          <w:sz w:val="17"/>
        </w:rPr>
        <w:t>(a)</w:t>
      </w:r>
      <w:r w:rsidRPr="006900D9">
        <w:rPr>
          <w:rFonts w:ascii="Times New Roman" w:hAnsi="Times New Roman"/>
          <w:sz w:val="17"/>
        </w:rPr>
        <w:tab/>
        <w:t xml:space="preserve">At all times the National Trust must, at their own expense insure and keep insured Ayers House with the following policies (‘Policies’), with the responsible minister for the </w:t>
      </w:r>
      <w:r w:rsidRPr="006900D9">
        <w:rPr>
          <w:rFonts w:ascii="Times New Roman" w:hAnsi="Times New Roman"/>
          <w:i/>
          <w:iCs/>
          <w:sz w:val="17"/>
        </w:rPr>
        <w:t>Ayers House Act 2024</w:t>
      </w:r>
      <w:r w:rsidRPr="006900D9">
        <w:rPr>
          <w:rFonts w:ascii="Times New Roman" w:hAnsi="Times New Roman"/>
          <w:sz w:val="17"/>
        </w:rPr>
        <w:t xml:space="preserve"> (‘Minister’) listed as an interested party:</w:t>
      </w:r>
    </w:p>
    <w:p w14:paraId="587B71A9" w14:textId="77777777" w:rsidR="006900D9" w:rsidRPr="006900D9" w:rsidRDefault="006900D9" w:rsidP="006900D9">
      <w:pPr>
        <w:ind w:left="993" w:hanging="426"/>
        <w:rPr>
          <w:rFonts w:ascii="Times New Roman" w:hAnsi="Times New Roman"/>
          <w:sz w:val="17"/>
        </w:rPr>
      </w:pPr>
      <w:r w:rsidRPr="006900D9">
        <w:rPr>
          <w:rFonts w:ascii="Times New Roman" w:hAnsi="Times New Roman"/>
          <w:sz w:val="17"/>
        </w:rPr>
        <w:t>(</w:t>
      </w:r>
      <w:proofErr w:type="spellStart"/>
      <w:r w:rsidRPr="006900D9">
        <w:rPr>
          <w:rFonts w:ascii="Times New Roman" w:hAnsi="Times New Roman"/>
          <w:sz w:val="17"/>
        </w:rPr>
        <w:t>i</w:t>
      </w:r>
      <w:proofErr w:type="spellEnd"/>
      <w:r w:rsidRPr="006900D9">
        <w:rPr>
          <w:rFonts w:ascii="Times New Roman" w:hAnsi="Times New Roman"/>
          <w:sz w:val="17"/>
        </w:rPr>
        <w:t>)</w:t>
      </w:r>
      <w:r w:rsidRPr="006900D9">
        <w:rPr>
          <w:rFonts w:ascii="Times New Roman" w:hAnsi="Times New Roman"/>
          <w:sz w:val="17"/>
        </w:rPr>
        <w:tab/>
      </w:r>
      <w:r w:rsidRPr="006900D9">
        <w:rPr>
          <w:rFonts w:ascii="Times New Roman" w:hAnsi="Times New Roman"/>
          <w:i/>
          <w:iCs/>
          <w:sz w:val="17"/>
        </w:rPr>
        <w:t>Public Risk</w:t>
      </w:r>
    </w:p>
    <w:p w14:paraId="12C448C6" w14:textId="77777777" w:rsidR="006900D9" w:rsidRPr="006900D9" w:rsidRDefault="006900D9" w:rsidP="006900D9">
      <w:pPr>
        <w:ind w:left="993"/>
        <w:rPr>
          <w:rFonts w:ascii="Times New Roman" w:hAnsi="Times New Roman"/>
          <w:sz w:val="17"/>
        </w:rPr>
      </w:pPr>
      <w:r w:rsidRPr="006900D9">
        <w:rPr>
          <w:rFonts w:ascii="Times New Roman" w:hAnsi="Times New Roman"/>
          <w:sz w:val="17"/>
        </w:rPr>
        <w:t>Insurance cover in respect of liability for any loss, injury, accident, or damage to any person or property caused by or arising out of any act or omission of the National Trust and the officers, employees, visitors, agents, customers, invitees, and licensees of the National Trust, in or about or to or from in relation to Ayers House or the condition and state of repair thereof in an amount not less than twenty million dollars ($20,000,000) and the National Trust shall promptly pay all of the premiums with respect of such insurance when they are due and payable.</w:t>
      </w:r>
    </w:p>
    <w:p w14:paraId="0F288862" w14:textId="77777777" w:rsidR="006900D9" w:rsidRPr="006900D9" w:rsidRDefault="006900D9" w:rsidP="006900D9">
      <w:pPr>
        <w:ind w:left="993" w:hanging="426"/>
        <w:rPr>
          <w:rFonts w:ascii="Times New Roman" w:hAnsi="Times New Roman"/>
          <w:sz w:val="17"/>
        </w:rPr>
      </w:pPr>
      <w:r w:rsidRPr="006900D9">
        <w:rPr>
          <w:rFonts w:ascii="Times New Roman" w:hAnsi="Times New Roman"/>
          <w:sz w:val="17"/>
        </w:rPr>
        <w:t>(ii)</w:t>
      </w:r>
      <w:r w:rsidRPr="006900D9">
        <w:rPr>
          <w:rFonts w:ascii="Times New Roman" w:hAnsi="Times New Roman"/>
          <w:sz w:val="17"/>
        </w:rPr>
        <w:tab/>
      </w:r>
      <w:r w:rsidRPr="006900D9">
        <w:rPr>
          <w:rFonts w:ascii="Times New Roman" w:hAnsi="Times New Roman"/>
          <w:i/>
          <w:iCs/>
          <w:sz w:val="17"/>
        </w:rPr>
        <w:t>Business</w:t>
      </w:r>
    </w:p>
    <w:p w14:paraId="2104D0C6" w14:textId="77777777" w:rsidR="006900D9" w:rsidRPr="006900D9" w:rsidRDefault="006900D9" w:rsidP="006900D9">
      <w:pPr>
        <w:ind w:left="993"/>
        <w:rPr>
          <w:rFonts w:ascii="Times New Roman" w:hAnsi="Times New Roman"/>
          <w:sz w:val="17"/>
        </w:rPr>
      </w:pPr>
      <w:r w:rsidRPr="006900D9">
        <w:rPr>
          <w:rFonts w:ascii="Times New Roman" w:hAnsi="Times New Roman"/>
          <w:sz w:val="17"/>
        </w:rPr>
        <w:t>Insurance cover in respect of loss or damage by fire, burglary, storm, tempest, lightning, explosion, aircraft, strikes, riot, malicious damage, flood, impact damage, earthquake for business loss for each party that holds a lease or licence, or other rights of occupation over a portion or all of Ayers House, in an amount not less than twenty million dollars ($20,000,000) and the National Trust shall promptly pay all of the premiums with respect of such insurance when they are due and payable.</w:t>
      </w:r>
    </w:p>
    <w:p w14:paraId="50CA061C" w14:textId="77777777" w:rsidR="006900D9" w:rsidRPr="006900D9" w:rsidRDefault="006900D9" w:rsidP="006900D9">
      <w:pPr>
        <w:ind w:left="993" w:hanging="426"/>
        <w:rPr>
          <w:rFonts w:ascii="Times New Roman" w:hAnsi="Times New Roman"/>
          <w:sz w:val="17"/>
        </w:rPr>
      </w:pPr>
      <w:r w:rsidRPr="006900D9">
        <w:rPr>
          <w:rFonts w:ascii="Times New Roman" w:hAnsi="Times New Roman"/>
          <w:sz w:val="17"/>
        </w:rPr>
        <w:t>(iii)</w:t>
      </w:r>
      <w:r w:rsidRPr="006900D9">
        <w:rPr>
          <w:rFonts w:ascii="Times New Roman" w:hAnsi="Times New Roman"/>
          <w:sz w:val="17"/>
        </w:rPr>
        <w:tab/>
      </w:r>
      <w:r w:rsidRPr="006900D9">
        <w:rPr>
          <w:rFonts w:ascii="Times New Roman" w:hAnsi="Times New Roman"/>
          <w:i/>
          <w:iCs/>
          <w:sz w:val="17"/>
        </w:rPr>
        <w:t>Building and Services</w:t>
      </w:r>
    </w:p>
    <w:p w14:paraId="71593344" w14:textId="77777777" w:rsidR="006900D9" w:rsidRPr="006900D9" w:rsidRDefault="006900D9" w:rsidP="006900D9">
      <w:pPr>
        <w:ind w:left="993"/>
        <w:rPr>
          <w:rFonts w:ascii="Times New Roman" w:hAnsi="Times New Roman"/>
          <w:spacing w:val="-2"/>
          <w:sz w:val="17"/>
        </w:rPr>
      </w:pPr>
      <w:r w:rsidRPr="006900D9">
        <w:rPr>
          <w:rFonts w:ascii="Times New Roman" w:hAnsi="Times New Roman"/>
          <w:sz w:val="17"/>
        </w:rPr>
        <w:t xml:space="preserve">Insurance cover in respect of loss or damage by fire, burglary, storm, tempest, lightning, explosion, aircraft, strikes, riot, malicious damage, flood, impact damage, earthquake for like-for-like full replacement value of Ayers House, including </w:t>
      </w:r>
      <w:r w:rsidRPr="006900D9">
        <w:rPr>
          <w:rFonts w:ascii="Times New Roman" w:hAnsi="Times New Roman"/>
          <w:spacing w:val="-2"/>
          <w:sz w:val="17"/>
        </w:rPr>
        <w:t>reinstatement and repair of the Ayers House building, fixtures, fittings plant and equipment of Ayers House consistent with the</w:t>
      </w:r>
      <w:r w:rsidRPr="006900D9">
        <w:rPr>
          <w:rFonts w:ascii="Times New Roman" w:hAnsi="Times New Roman"/>
          <w:sz w:val="17"/>
        </w:rPr>
        <w:t xml:space="preserve"> </w:t>
      </w:r>
      <w:r w:rsidRPr="006900D9">
        <w:rPr>
          <w:rFonts w:ascii="Times New Roman" w:hAnsi="Times New Roman"/>
          <w:spacing w:val="-2"/>
          <w:sz w:val="17"/>
        </w:rPr>
        <w:t xml:space="preserve">‘2018 Ayers House Conservation Management Plan’ guidelines by DASH Architects and the </w:t>
      </w:r>
      <w:r w:rsidRPr="006900D9">
        <w:rPr>
          <w:rFonts w:ascii="Times New Roman" w:hAnsi="Times New Roman"/>
          <w:i/>
          <w:iCs/>
          <w:spacing w:val="-2"/>
          <w:sz w:val="17"/>
        </w:rPr>
        <w:t>Heritage Places Act 1993</w:t>
      </w:r>
      <w:r w:rsidRPr="006900D9">
        <w:rPr>
          <w:rFonts w:ascii="Times New Roman" w:hAnsi="Times New Roman"/>
          <w:spacing w:val="-2"/>
          <w:sz w:val="17"/>
        </w:rPr>
        <w:t xml:space="preserve"> (SA).</w:t>
      </w:r>
    </w:p>
    <w:p w14:paraId="0610A268" w14:textId="77777777" w:rsidR="006900D9" w:rsidRPr="006900D9" w:rsidRDefault="006900D9" w:rsidP="006900D9">
      <w:pPr>
        <w:ind w:left="567" w:hanging="283"/>
        <w:rPr>
          <w:rFonts w:ascii="Times New Roman" w:hAnsi="Times New Roman"/>
          <w:sz w:val="17"/>
        </w:rPr>
      </w:pPr>
      <w:r w:rsidRPr="006900D9">
        <w:rPr>
          <w:rFonts w:ascii="Times New Roman" w:hAnsi="Times New Roman"/>
          <w:sz w:val="17"/>
        </w:rPr>
        <w:t>(b)</w:t>
      </w:r>
      <w:r w:rsidRPr="006900D9">
        <w:rPr>
          <w:rFonts w:ascii="Times New Roman" w:hAnsi="Times New Roman"/>
          <w:sz w:val="17"/>
        </w:rPr>
        <w:tab/>
        <w:t>The National Trust agree and accept to indemnify the Minister against all actions claims and demands arising from matters within the scope of the insurance Policies for Ayers House.</w:t>
      </w:r>
    </w:p>
    <w:p w14:paraId="47331612" w14:textId="77777777" w:rsidR="006900D9" w:rsidRPr="006900D9" w:rsidRDefault="006900D9" w:rsidP="006900D9">
      <w:pPr>
        <w:ind w:left="567" w:hanging="283"/>
        <w:rPr>
          <w:rFonts w:ascii="Times New Roman" w:hAnsi="Times New Roman"/>
          <w:sz w:val="17"/>
        </w:rPr>
      </w:pPr>
      <w:r w:rsidRPr="006900D9">
        <w:rPr>
          <w:rFonts w:ascii="Times New Roman" w:hAnsi="Times New Roman"/>
          <w:sz w:val="17"/>
        </w:rPr>
        <w:t>(c)</w:t>
      </w:r>
      <w:r w:rsidRPr="006900D9">
        <w:rPr>
          <w:rFonts w:ascii="Times New Roman" w:hAnsi="Times New Roman"/>
          <w:sz w:val="17"/>
        </w:rPr>
        <w:tab/>
      </w:r>
      <w:r w:rsidRPr="006900D9">
        <w:rPr>
          <w:rFonts w:ascii="Times New Roman" w:hAnsi="Times New Roman"/>
          <w:spacing w:val="-2"/>
          <w:sz w:val="17"/>
        </w:rPr>
        <w:t xml:space="preserve">On 1 July each year, the National Trust must furnish the Minister, or their authorised delegate with documentation which demonstrates </w:t>
      </w:r>
      <w:r w:rsidRPr="006900D9">
        <w:rPr>
          <w:rFonts w:ascii="Times New Roman" w:hAnsi="Times New Roman"/>
          <w:sz w:val="17"/>
        </w:rPr>
        <w:t>that valid Policies for Ayers House are held by the National Trust.</w:t>
      </w:r>
    </w:p>
    <w:p w14:paraId="0DE2836A" w14:textId="77777777" w:rsidR="006900D9" w:rsidRPr="006900D9" w:rsidRDefault="006900D9" w:rsidP="006900D9">
      <w:pPr>
        <w:ind w:left="284" w:hanging="284"/>
        <w:rPr>
          <w:rFonts w:ascii="Times New Roman" w:hAnsi="Times New Roman"/>
          <w:b/>
          <w:bCs/>
          <w:sz w:val="17"/>
        </w:rPr>
      </w:pPr>
      <w:r w:rsidRPr="006900D9">
        <w:rPr>
          <w:rFonts w:ascii="Times New Roman" w:hAnsi="Times New Roman"/>
          <w:b/>
          <w:bCs/>
          <w:sz w:val="17"/>
        </w:rPr>
        <w:t>3.</w:t>
      </w:r>
      <w:r w:rsidRPr="006900D9">
        <w:rPr>
          <w:rFonts w:ascii="Times New Roman" w:hAnsi="Times New Roman"/>
          <w:b/>
          <w:bCs/>
          <w:sz w:val="17"/>
        </w:rPr>
        <w:tab/>
        <w:t>Outgoings</w:t>
      </w:r>
    </w:p>
    <w:p w14:paraId="45D828F0" w14:textId="77777777" w:rsidR="006900D9" w:rsidRPr="006900D9" w:rsidRDefault="006900D9" w:rsidP="006900D9">
      <w:pPr>
        <w:ind w:left="567" w:hanging="283"/>
        <w:rPr>
          <w:rFonts w:ascii="Times New Roman" w:hAnsi="Times New Roman"/>
          <w:sz w:val="17"/>
        </w:rPr>
      </w:pPr>
      <w:r w:rsidRPr="006900D9">
        <w:rPr>
          <w:rFonts w:ascii="Times New Roman" w:hAnsi="Times New Roman"/>
          <w:sz w:val="17"/>
        </w:rPr>
        <w:t>(a)</w:t>
      </w:r>
      <w:r w:rsidRPr="006900D9">
        <w:rPr>
          <w:rFonts w:ascii="Times New Roman" w:hAnsi="Times New Roman"/>
          <w:sz w:val="17"/>
        </w:rPr>
        <w:tab/>
        <w:t>The National Trust agree and accept that it is responsible for payment of any and all outgoings for Ayers House, including, but not limited to: electricity, internet, telephone, security, gas, property management services, liquor licence, garbage, recycling, cleaning, sewerage, plumbing, maintenance, gardening, lighting, fire management, pest control, food safety and any other charges or impositions either by a public utility, public authority or by any other party for the supply of service to Ayers House.</w:t>
      </w:r>
    </w:p>
    <w:p w14:paraId="10A75835" w14:textId="77777777" w:rsidR="006900D9" w:rsidRPr="006900D9" w:rsidRDefault="006900D9" w:rsidP="006900D9">
      <w:pPr>
        <w:ind w:left="567" w:hanging="283"/>
        <w:rPr>
          <w:rFonts w:ascii="Times New Roman" w:hAnsi="Times New Roman"/>
          <w:sz w:val="17"/>
        </w:rPr>
      </w:pPr>
      <w:r w:rsidRPr="006900D9">
        <w:rPr>
          <w:rFonts w:ascii="Times New Roman" w:hAnsi="Times New Roman"/>
          <w:sz w:val="17"/>
        </w:rPr>
        <w:t>(b)</w:t>
      </w:r>
      <w:r w:rsidRPr="006900D9">
        <w:rPr>
          <w:rFonts w:ascii="Times New Roman" w:hAnsi="Times New Roman"/>
          <w:sz w:val="17"/>
        </w:rPr>
        <w:tab/>
      </w:r>
      <w:r w:rsidRPr="006900D9">
        <w:rPr>
          <w:rFonts w:ascii="Times New Roman" w:hAnsi="Times New Roman"/>
          <w:spacing w:val="-2"/>
          <w:sz w:val="17"/>
        </w:rPr>
        <w:t xml:space="preserve">The National Trust agree and accept that it is responsible for payment of </w:t>
      </w:r>
      <w:proofErr w:type="gramStart"/>
      <w:r w:rsidRPr="006900D9">
        <w:rPr>
          <w:rFonts w:ascii="Times New Roman" w:hAnsi="Times New Roman"/>
          <w:spacing w:val="-2"/>
          <w:sz w:val="17"/>
        </w:rPr>
        <w:t>any and all</w:t>
      </w:r>
      <w:proofErr w:type="gramEnd"/>
      <w:r w:rsidRPr="006900D9">
        <w:rPr>
          <w:rFonts w:ascii="Times New Roman" w:hAnsi="Times New Roman"/>
          <w:spacing w:val="-2"/>
          <w:sz w:val="17"/>
        </w:rPr>
        <w:t xml:space="preserve"> maintenance, repairs, replacement, reinstatement,</w:t>
      </w:r>
      <w:r w:rsidRPr="006900D9">
        <w:rPr>
          <w:rFonts w:ascii="Times New Roman" w:hAnsi="Times New Roman"/>
          <w:sz w:val="17"/>
        </w:rPr>
        <w:t xml:space="preserve"> </w:t>
      </w:r>
      <w:r w:rsidRPr="006900D9">
        <w:rPr>
          <w:rFonts w:ascii="Times New Roman" w:hAnsi="Times New Roman"/>
          <w:spacing w:val="-2"/>
          <w:sz w:val="17"/>
        </w:rPr>
        <w:t>care and management of Ayers House, in order to ensure that the condition of Ayers House is consistent with the ‘2018 Ayers House</w:t>
      </w:r>
      <w:r w:rsidRPr="006900D9">
        <w:rPr>
          <w:rFonts w:ascii="Times New Roman" w:hAnsi="Times New Roman"/>
          <w:sz w:val="17"/>
        </w:rPr>
        <w:t xml:space="preserve"> Conservation Management Plan’ guidelines by DASH Architects and the obligations under the </w:t>
      </w:r>
      <w:r w:rsidRPr="006900D9">
        <w:rPr>
          <w:rFonts w:ascii="Times New Roman" w:hAnsi="Times New Roman"/>
          <w:i/>
          <w:iCs/>
          <w:sz w:val="17"/>
        </w:rPr>
        <w:t>Heritage Places Act 1993</w:t>
      </w:r>
      <w:r w:rsidRPr="006900D9">
        <w:rPr>
          <w:rFonts w:ascii="Times New Roman" w:hAnsi="Times New Roman"/>
          <w:sz w:val="17"/>
        </w:rPr>
        <w:t>.</w:t>
      </w:r>
    </w:p>
    <w:p w14:paraId="7EEF94A2" w14:textId="77777777" w:rsidR="006900D9" w:rsidRPr="006900D9" w:rsidRDefault="006900D9" w:rsidP="006900D9">
      <w:pPr>
        <w:ind w:left="284" w:hanging="284"/>
        <w:rPr>
          <w:rFonts w:ascii="Times New Roman" w:hAnsi="Times New Roman"/>
          <w:b/>
          <w:bCs/>
          <w:sz w:val="17"/>
        </w:rPr>
      </w:pPr>
      <w:r w:rsidRPr="006900D9">
        <w:rPr>
          <w:rFonts w:ascii="Times New Roman" w:hAnsi="Times New Roman"/>
          <w:b/>
          <w:bCs/>
          <w:sz w:val="17"/>
        </w:rPr>
        <w:t>4.</w:t>
      </w:r>
      <w:r w:rsidRPr="006900D9">
        <w:rPr>
          <w:rFonts w:ascii="Times New Roman" w:hAnsi="Times New Roman"/>
          <w:b/>
          <w:bCs/>
          <w:sz w:val="17"/>
        </w:rPr>
        <w:tab/>
        <w:t>Leasing and Licencing</w:t>
      </w:r>
    </w:p>
    <w:p w14:paraId="48261193" w14:textId="77777777" w:rsidR="006900D9" w:rsidRPr="006900D9" w:rsidRDefault="006900D9" w:rsidP="006900D9">
      <w:pPr>
        <w:ind w:left="284"/>
        <w:rPr>
          <w:rFonts w:ascii="Times New Roman" w:hAnsi="Times New Roman"/>
          <w:sz w:val="17"/>
        </w:rPr>
      </w:pPr>
      <w:r w:rsidRPr="006900D9">
        <w:rPr>
          <w:rFonts w:ascii="Times New Roman" w:hAnsi="Times New Roman"/>
          <w:spacing w:val="-2"/>
          <w:sz w:val="17"/>
        </w:rPr>
        <w:t>Subject to the relevant zoning for Ayers House, the National Trust may lease, licence and sublet portions of Ayers House to third parties</w:t>
      </w:r>
      <w:r w:rsidRPr="006900D9">
        <w:rPr>
          <w:rFonts w:ascii="Times New Roman" w:hAnsi="Times New Roman"/>
          <w:sz w:val="17"/>
        </w:rPr>
        <w:t xml:space="preserve"> to generate revenue to support National Trust operations.</w:t>
      </w:r>
    </w:p>
    <w:p w14:paraId="777CFEA7" w14:textId="77777777" w:rsidR="006900D9" w:rsidRPr="006900D9" w:rsidRDefault="006900D9" w:rsidP="006900D9">
      <w:pPr>
        <w:spacing w:after="0"/>
        <w:rPr>
          <w:rFonts w:ascii="Times New Roman" w:eastAsia="Times New Roman" w:hAnsi="Times New Roman"/>
          <w:sz w:val="17"/>
          <w:szCs w:val="17"/>
        </w:rPr>
      </w:pPr>
      <w:r w:rsidRPr="006900D9">
        <w:rPr>
          <w:rFonts w:ascii="Times New Roman" w:eastAsia="Times New Roman" w:hAnsi="Times New Roman"/>
          <w:sz w:val="17"/>
          <w:szCs w:val="17"/>
        </w:rPr>
        <w:t>Dated: 27 June 2024</w:t>
      </w:r>
    </w:p>
    <w:p w14:paraId="11424D19" w14:textId="77777777" w:rsidR="006900D9" w:rsidRPr="006900D9" w:rsidRDefault="006900D9" w:rsidP="006900D9">
      <w:pPr>
        <w:spacing w:after="0"/>
        <w:jc w:val="right"/>
        <w:rPr>
          <w:rFonts w:ascii="Times New Roman" w:eastAsia="Times New Roman" w:hAnsi="Times New Roman"/>
          <w:smallCaps/>
          <w:sz w:val="17"/>
          <w:szCs w:val="20"/>
        </w:rPr>
      </w:pPr>
      <w:r w:rsidRPr="006900D9">
        <w:rPr>
          <w:rFonts w:ascii="Times New Roman" w:eastAsia="Times New Roman" w:hAnsi="Times New Roman"/>
          <w:smallCaps/>
          <w:sz w:val="17"/>
          <w:szCs w:val="20"/>
        </w:rPr>
        <w:t>Hon Susan Close MP</w:t>
      </w:r>
    </w:p>
    <w:p w14:paraId="37947872" w14:textId="77777777" w:rsidR="006900D9" w:rsidRPr="006900D9" w:rsidRDefault="006900D9" w:rsidP="006900D9">
      <w:pPr>
        <w:spacing w:after="0"/>
        <w:jc w:val="right"/>
        <w:rPr>
          <w:rFonts w:ascii="Times New Roman" w:eastAsia="Times New Roman" w:hAnsi="Times New Roman"/>
          <w:sz w:val="17"/>
          <w:szCs w:val="17"/>
        </w:rPr>
      </w:pPr>
      <w:r w:rsidRPr="006900D9">
        <w:rPr>
          <w:rFonts w:ascii="Times New Roman" w:eastAsia="Times New Roman" w:hAnsi="Times New Roman"/>
          <w:sz w:val="17"/>
          <w:szCs w:val="17"/>
        </w:rPr>
        <w:t>Minister for Climate, Environment and Water</w:t>
      </w:r>
    </w:p>
    <w:p w14:paraId="55DD8860" w14:textId="77777777" w:rsidR="006900D9" w:rsidRPr="006900D9" w:rsidRDefault="006900D9" w:rsidP="006900D9">
      <w:pPr>
        <w:pBdr>
          <w:bottom w:val="single" w:sz="4" w:space="1" w:color="auto"/>
        </w:pBdr>
        <w:spacing w:after="0" w:line="52" w:lineRule="exact"/>
        <w:jc w:val="center"/>
        <w:rPr>
          <w:rFonts w:ascii="Times New Roman" w:hAnsi="Times New Roman"/>
          <w:sz w:val="17"/>
        </w:rPr>
      </w:pPr>
    </w:p>
    <w:p w14:paraId="2EC5B859" w14:textId="77777777" w:rsidR="006900D9" w:rsidRPr="006900D9" w:rsidRDefault="006900D9" w:rsidP="006900D9">
      <w:pPr>
        <w:pBdr>
          <w:top w:val="single" w:sz="4" w:space="1" w:color="auto"/>
        </w:pBdr>
        <w:spacing w:before="34" w:after="0" w:line="14" w:lineRule="exact"/>
        <w:jc w:val="center"/>
        <w:rPr>
          <w:rFonts w:ascii="Times New Roman" w:hAnsi="Times New Roman"/>
          <w:sz w:val="17"/>
        </w:rPr>
      </w:pPr>
    </w:p>
    <w:p w14:paraId="723DF044" w14:textId="77777777" w:rsidR="006900D9" w:rsidRPr="006900D9" w:rsidRDefault="006900D9" w:rsidP="006900D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hAnsi="Times New Roman"/>
          <w:sz w:val="17"/>
        </w:rPr>
      </w:pPr>
    </w:p>
    <w:p w14:paraId="735BE115" w14:textId="37D62CB7" w:rsidR="006900D9" w:rsidRDefault="006900D9">
      <w:pPr>
        <w:spacing w:after="0" w:line="240" w:lineRule="auto"/>
        <w:jc w:val="left"/>
        <w:rPr>
          <w:rFonts w:ascii="Times New Roman" w:eastAsia="Times New Roman" w:hAnsi="Times New Roman"/>
          <w:sz w:val="17"/>
          <w:szCs w:val="17"/>
          <w:lang w:val="en-US"/>
        </w:rPr>
      </w:pPr>
      <w:r>
        <w:rPr>
          <w:lang w:val="en-US"/>
        </w:rPr>
        <w:br w:type="page"/>
      </w:r>
    </w:p>
    <w:p w14:paraId="069D1D9F" w14:textId="77777777" w:rsidR="006900D9" w:rsidRPr="006900D9" w:rsidRDefault="006900D9" w:rsidP="00FB3490">
      <w:pPr>
        <w:pStyle w:val="Heading2"/>
      </w:pPr>
      <w:bookmarkStart w:id="2" w:name="_Toc170398381"/>
      <w:r w:rsidRPr="006900D9">
        <w:lastRenderedPageBreak/>
        <w:t>Landscape South Australia Act 2019</w:t>
      </w:r>
      <w:bookmarkEnd w:id="2"/>
    </w:p>
    <w:p w14:paraId="548605F9" w14:textId="77777777" w:rsidR="006900D9" w:rsidRPr="006900D9" w:rsidRDefault="006900D9" w:rsidP="006900D9">
      <w:pPr>
        <w:jc w:val="center"/>
        <w:rPr>
          <w:rFonts w:ascii="Times New Roman" w:hAnsi="Times New Roman"/>
          <w:i/>
          <w:sz w:val="17"/>
          <w:szCs w:val="17"/>
        </w:rPr>
      </w:pPr>
      <w:r w:rsidRPr="006900D9">
        <w:rPr>
          <w:rFonts w:ascii="Times New Roman" w:hAnsi="Times New Roman"/>
          <w:i/>
          <w:sz w:val="17"/>
          <w:szCs w:val="17"/>
        </w:rPr>
        <w:t>Southern Basins and Musgrave Prescribed Wells Areas Water Allocation Plan</w:t>
      </w:r>
    </w:p>
    <w:p w14:paraId="349FF78D" w14:textId="77777777" w:rsidR="006900D9" w:rsidRPr="006900D9" w:rsidRDefault="006900D9" w:rsidP="006900D9">
      <w:pPr>
        <w:rPr>
          <w:rFonts w:ascii="Times New Roman" w:hAnsi="Times New Roman"/>
          <w:sz w:val="17"/>
        </w:rPr>
      </w:pPr>
      <w:r w:rsidRPr="006900D9">
        <w:rPr>
          <w:rFonts w:ascii="Times New Roman" w:hAnsi="Times New Roman"/>
          <w:spacing w:val="-4"/>
          <w:sz w:val="17"/>
        </w:rPr>
        <w:t xml:space="preserve">I, Ben Bruce, delegate for the Minister for Climate, Environment and Water, to whom administration of the </w:t>
      </w:r>
      <w:r w:rsidRPr="006900D9">
        <w:rPr>
          <w:rFonts w:ascii="Times New Roman" w:hAnsi="Times New Roman"/>
          <w:i/>
          <w:iCs/>
          <w:spacing w:val="-4"/>
          <w:sz w:val="17"/>
        </w:rPr>
        <w:t>Landscape South Australia Act 2019</w:t>
      </w:r>
      <w:r w:rsidRPr="006900D9">
        <w:rPr>
          <w:rFonts w:ascii="Times New Roman" w:hAnsi="Times New Roman"/>
          <w:sz w:val="17"/>
        </w:rPr>
        <w:t xml:space="preserve"> </w:t>
      </w:r>
      <w:r w:rsidRPr="006900D9">
        <w:rPr>
          <w:rFonts w:ascii="Times New Roman" w:hAnsi="Times New Roman"/>
          <w:spacing w:val="-2"/>
          <w:sz w:val="17"/>
        </w:rPr>
        <w:t>is committed, hereby give notice for the purposes of the Water Allocation Plan for the Southern Basins and Musgrave Prescribed Wells Areas</w:t>
      </w:r>
      <w:r w:rsidRPr="006900D9">
        <w:rPr>
          <w:rFonts w:ascii="Times New Roman" w:hAnsi="Times New Roman"/>
          <w:sz w:val="17"/>
        </w:rPr>
        <w:t xml:space="preserve"> adopted under Section 56 of the </w:t>
      </w:r>
      <w:r w:rsidRPr="006900D9">
        <w:rPr>
          <w:rFonts w:ascii="Times New Roman" w:hAnsi="Times New Roman"/>
          <w:i/>
          <w:iCs/>
          <w:sz w:val="17"/>
        </w:rPr>
        <w:t>Landscape South Australia Act 2019</w:t>
      </w:r>
      <w:r w:rsidRPr="006900D9">
        <w:rPr>
          <w:rFonts w:ascii="Times New Roman" w:hAnsi="Times New Roman"/>
          <w:sz w:val="17"/>
        </w:rPr>
        <w:t>, of the level of storage, the proportion of water available and the calculated value of an individual unit share of a water access entitlement for the respective Quaternary consumptive pools for the 2024-25 water use year, in addition to the total volume of each consumptive pool as set out below:</w:t>
      </w:r>
    </w:p>
    <w:p w14:paraId="77E8AABF" w14:textId="77777777" w:rsidR="006900D9" w:rsidRPr="006900D9" w:rsidRDefault="006900D9" w:rsidP="006900D9">
      <w:pPr>
        <w:jc w:val="center"/>
        <w:rPr>
          <w:rFonts w:ascii="Times New Roman" w:hAnsi="Times New Roman"/>
          <w:smallCaps/>
          <w:sz w:val="17"/>
          <w:szCs w:val="17"/>
        </w:rPr>
      </w:pPr>
      <w:r w:rsidRPr="006900D9">
        <w:rPr>
          <w:rFonts w:ascii="Times New Roman" w:hAnsi="Times New Roman"/>
          <w:smallCaps/>
          <w:sz w:val="17"/>
          <w:szCs w:val="17"/>
        </w:rPr>
        <w:t>Table 1: Consumptive pools data for Southern Basins and Musgrave Prescribed Wells Areas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8"/>
        <w:gridCol w:w="2553"/>
        <w:gridCol w:w="1418"/>
        <w:gridCol w:w="1559"/>
        <w:gridCol w:w="1276"/>
        <w:gridCol w:w="986"/>
      </w:tblGrid>
      <w:tr w:rsidR="006900D9" w:rsidRPr="006900D9" w14:paraId="1A5D503D" w14:textId="77777777" w:rsidTr="00143ECC">
        <w:trPr>
          <w:tblHeader/>
        </w:trPr>
        <w:tc>
          <w:tcPr>
            <w:tcW w:w="1558" w:type="dxa"/>
            <w:tcBorders>
              <w:top w:val="single" w:sz="4" w:space="0" w:color="auto"/>
              <w:bottom w:val="single" w:sz="4" w:space="0" w:color="auto"/>
            </w:tcBorders>
            <w:vAlign w:val="center"/>
          </w:tcPr>
          <w:p w14:paraId="33EB4903" w14:textId="77777777" w:rsidR="006900D9" w:rsidRPr="006900D9" w:rsidRDefault="006900D9" w:rsidP="006900D9">
            <w:pPr>
              <w:spacing w:before="40" w:after="40"/>
              <w:jc w:val="center"/>
              <w:rPr>
                <w:b/>
                <w:bCs/>
                <w:sz w:val="17"/>
              </w:rPr>
            </w:pPr>
            <w:r w:rsidRPr="006900D9">
              <w:rPr>
                <w:b/>
                <w:bCs/>
                <w:sz w:val="17"/>
              </w:rPr>
              <w:t>PWA</w:t>
            </w:r>
          </w:p>
        </w:tc>
        <w:tc>
          <w:tcPr>
            <w:tcW w:w="2553" w:type="dxa"/>
            <w:tcBorders>
              <w:top w:val="single" w:sz="4" w:space="0" w:color="auto"/>
              <w:bottom w:val="single" w:sz="4" w:space="0" w:color="auto"/>
            </w:tcBorders>
            <w:vAlign w:val="center"/>
          </w:tcPr>
          <w:p w14:paraId="645CDA05" w14:textId="77777777" w:rsidR="006900D9" w:rsidRPr="006900D9" w:rsidRDefault="006900D9" w:rsidP="006900D9">
            <w:pPr>
              <w:spacing w:before="40" w:after="40"/>
              <w:jc w:val="center"/>
              <w:rPr>
                <w:b/>
                <w:bCs/>
                <w:sz w:val="17"/>
              </w:rPr>
            </w:pPr>
            <w:r w:rsidRPr="006900D9">
              <w:rPr>
                <w:b/>
                <w:bCs/>
                <w:sz w:val="17"/>
              </w:rPr>
              <w:t>Consumptive Pool</w:t>
            </w:r>
          </w:p>
        </w:tc>
        <w:tc>
          <w:tcPr>
            <w:tcW w:w="1418" w:type="dxa"/>
            <w:tcBorders>
              <w:top w:val="single" w:sz="4" w:space="0" w:color="auto"/>
              <w:bottom w:val="single" w:sz="4" w:space="0" w:color="auto"/>
            </w:tcBorders>
            <w:vAlign w:val="center"/>
          </w:tcPr>
          <w:p w14:paraId="5924DB2A" w14:textId="77777777" w:rsidR="006900D9" w:rsidRPr="006900D9" w:rsidRDefault="006900D9" w:rsidP="006900D9">
            <w:pPr>
              <w:spacing w:before="40" w:after="40"/>
              <w:jc w:val="center"/>
              <w:rPr>
                <w:b/>
                <w:bCs/>
                <w:sz w:val="17"/>
              </w:rPr>
            </w:pPr>
            <w:r w:rsidRPr="006900D9">
              <w:rPr>
                <w:b/>
                <w:bCs/>
                <w:sz w:val="17"/>
              </w:rPr>
              <w:t>Level of Storage (%)</w:t>
            </w:r>
          </w:p>
        </w:tc>
        <w:tc>
          <w:tcPr>
            <w:tcW w:w="1559" w:type="dxa"/>
            <w:tcBorders>
              <w:top w:val="single" w:sz="4" w:space="0" w:color="auto"/>
              <w:bottom w:val="single" w:sz="4" w:space="0" w:color="auto"/>
            </w:tcBorders>
            <w:vAlign w:val="center"/>
          </w:tcPr>
          <w:p w14:paraId="75F8C2EE" w14:textId="77777777" w:rsidR="006900D9" w:rsidRPr="006900D9" w:rsidRDefault="006900D9" w:rsidP="006900D9">
            <w:pPr>
              <w:spacing w:before="40" w:after="40"/>
              <w:jc w:val="center"/>
              <w:rPr>
                <w:b/>
                <w:bCs/>
                <w:sz w:val="17"/>
              </w:rPr>
            </w:pPr>
            <w:r w:rsidRPr="006900D9">
              <w:rPr>
                <w:b/>
                <w:bCs/>
                <w:sz w:val="17"/>
              </w:rPr>
              <w:t>Proportion of water available (%)</w:t>
            </w:r>
          </w:p>
        </w:tc>
        <w:tc>
          <w:tcPr>
            <w:tcW w:w="1276" w:type="dxa"/>
            <w:tcBorders>
              <w:top w:val="single" w:sz="4" w:space="0" w:color="auto"/>
              <w:bottom w:val="single" w:sz="4" w:space="0" w:color="auto"/>
            </w:tcBorders>
            <w:vAlign w:val="center"/>
          </w:tcPr>
          <w:p w14:paraId="635B1B25" w14:textId="77777777" w:rsidR="006900D9" w:rsidRPr="006900D9" w:rsidRDefault="006900D9" w:rsidP="006900D9">
            <w:pPr>
              <w:spacing w:before="40" w:after="40"/>
              <w:jc w:val="center"/>
              <w:rPr>
                <w:b/>
                <w:bCs/>
                <w:sz w:val="17"/>
              </w:rPr>
            </w:pPr>
            <w:r w:rsidRPr="006900D9">
              <w:rPr>
                <w:b/>
                <w:bCs/>
                <w:sz w:val="17"/>
              </w:rPr>
              <w:t>Value of Share</w:t>
            </w:r>
          </w:p>
        </w:tc>
        <w:tc>
          <w:tcPr>
            <w:tcW w:w="986" w:type="dxa"/>
            <w:tcBorders>
              <w:top w:val="single" w:sz="4" w:space="0" w:color="auto"/>
              <w:bottom w:val="single" w:sz="4" w:space="0" w:color="auto"/>
            </w:tcBorders>
            <w:vAlign w:val="center"/>
          </w:tcPr>
          <w:p w14:paraId="392D4FDB" w14:textId="77777777" w:rsidR="006900D9" w:rsidRPr="006900D9" w:rsidRDefault="006900D9" w:rsidP="006900D9">
            <w:pPr>
              <w:spacing w:before="40" w:after="40"/>
              <w:jc w:val="center"/>
              <w:rPr>
                <w:b/>
                <w:bCs/>
                <w:sz w:val="17"/>
              </w:rPr>
            </w:pPr>
            <w:r w:rsidRPr="006900D9">
              <w:rPr>
                <w:b/>
                <w:bCs/>
                <w:sz w:val="17"/>
              </w:rPr>
              <w:t xml:space="preserve">Volume of Consumptive </w:t>
            </w:r>
            <w:r w:rsidRPr="006900D9">
              <w:rPr>
                <w:b/>
                <w:bCs/>
                <w:sz w:val="17"/>
              </w:rPr>
              <w:br/>
              <w:t>Pool (</w:t>
            </w:r>
            <w:proofErr w:type="spellStart"/>
            <w:r w:rsidRPr="006900D9">
              <w:rPr>
                <w:b/>
                <w:bCs/>
                <w:sz w:val="17"/>
              </w:rPr>
              <w:t>kL</w:t>
            </w:r>
            <w:proofErr w:type="spellEnd"/>
            <w:r w:rsidRPr="006900D9">
              <w:rPr>
                <w:b/>
                <w:bCs/>
                <w:sz w:val="17"/>
              </w:rPr>
              <w:t>)</w:t>
            </w:r>
          </w:p>
        </w:tc>
      </w:tr>
      <w:tr w:rsidR="006900D9" w:rsidRPr="006900D9" w14:paraId="63BA758C" w14:textId="77777777" w:rsidTr="00143ECC">
        <w:trPr>
          <w:tblHeader/>
        </w:trPr>
        <w:tc>
          <w:tcPr>
            <w:tcW w:w="1558" w:type="dxa"/>
            <w:tcBorders>
              <w:top w:val="single" w:sz="4" w:space="0" w:color="auto"/>
            </w:tcBorders>
          </w:tcPr>
          <w:p w14:paraId="08DBF92C" w14:textId="77777777" w:rsidR="006900D9" w:rsidRPr="006900D9" w:rsidRDefault="006900D9" w:rsidP="006900D9">
            <w:pPr>
              <w:spacing w:after="0" w:line="40" w:lineRule="exact"/>
              <w:jc w:val="center"/>
              <w:rPr>
                <w:b/>
                <w:bCs/>
                <w:sz w:val="17"/>
              </w:rPr>
            </w:pPr>
          </w:p>
        </w:tc>
        <w:tc>
          <w:tcPr>
            <w:tcW w:w="2553" w:type="dxa"/>
            <w:tcBorders>
              <w:top w:val="single" w:sz="4" w:space="0" w:color="auto"/>
            </w:tcBorders>
          </w:tcPr>
          <w:p w14:paraId="79F2CB9F" w14:textId="77777777" w:rsidR="006900D9" w:rsidRPr="006900D9" w:rsidRDefault="006900D9" w:rsidP="006900D9">
            <w:pPr>
              <w:spacing w:after="0" w:line="40" w:lineRule="exact"/>
              <w:jc w:val="center"/>
              <w:rPr>
                <w:b/>
                <w:bCs/>
                <w:sz w:val="17"/>
              </w:rPr>
            </w:pPr>
          </w:p>
        </w:tc>
        <w:tc>
          <w:tcPr>
            <w:tcW w:w="1418" w:type="dxa"/>
            <w:tcBorders>
              <w:top w:val="single" w:sz="4" w:space="0" w:color="auto"/>
            </w:tcBorders>
          </w:tcPr>
          <w:p w14:paraId="727A8D44" w14:textId="77777777" w:rsidR="006900D9" w:rsidRPr="006900D9" w:rsidRDefault="006900D9" w:rsidP="006900D9">
            <w:pPr>
              <w:spacing w:after="0" w:line="40" w:lineRule="exact"/>
              <w:jc w:val="right"/>
              <w:rPr>
                <w:b/>
                <w:bCs/>
                <w:sz w:val="17"/>
              </w:rPr>
            </w:pPr>
          </w:p>
        </w:tc>
        <w:tc>
          <w:tcPr>
            <w:tcW w:w="1559" w:type="dxa"/>
            <w:tcBorders>
              <w:top w:val="single" w:sz="4" w:space="0" w:color="auto"/>
            </w:tcBorders>
          </w:tcPr>
          <w:p w14:paraId="628A694E" w14:textId="77777777" w:rsidR="006900D9" w:rsidRPr="006900D9" w:rsidRDefault="006900D9" w:rsidP="006900D9">
            <w:pPr>
              <w:spacing w:after="0" w:line="40" w:lineRule="exact"/>
              <w:jc w:val="right"/>
              <w:rPr>
                <w:b/>
                <w:bCs/>
                <w:sz w:val="17"/>
              </w:rPr>
            </w:pPr>
          </w:p>
        </w:tc>
        <w:tc>
          <w:tcPr>
            <w:tcW w:w="1276" w:type="dxa"/>
            <w:tcBorders>
              <w:top w:val="single" w:sz="4" w:space="0" w:color="auto"/>
            </w:tcBorders>
          </w:tcPr>
          <w:p w14:paraId="72F6BC0F" w14:textId="77777777" w:rsidR="006900D9" w:rsidRPr="006900D9" w:rsidRDefault="006900D9" w:rsidP="006900D9">
            <w:pPr>
              <w:spacing w:after="0" w:line="40" w:lineRule="exact"/>
              <w:jc w:val="right"/>
              <w:rPr>
                <w:b/>
                <w:bCs/>
                <w:sz w:val="17"/>
              </w:rPr>
            </w:pPr>
          </w:p>
        </w:tc>
        <w:tc>
          <w:tcPr>
            <w:tcW w:w="986" w:type="dxa"/>
            <w:tcBorders>
              <w:top w:val="single" w:sz="4" w:space="0" w:color="auto"/>
            </w:tcBorders>
          </w:tcPr>
          <w:p w14:paraId="7E998CC6" w14:textId="77777777" w:rsidR="006900D9" w:rsidRPr="006900D9" w:rsidRDefault="006900D9" w:rsidP="006900D9">
            <w:pPr>
              <w:spacing w:after="0" w:line="40" w:lineRule="exact"/>
              <w:jc w:val="right"/>
              <w:rPr>
                <w:b/>
                <w:bCs/>
                <w:sz w:val="17"/>
              </w:rPr>
            </w:pPr>
          </w:p>
        </w:tc>
      </w:tr>
      <w:tr w:rsidR="006900D9" w:rsidRPr="006900D9" w14:paraId="53AEFF69" w14:textId="77777777" w:rsidTr="00143ECC">
        <w:tc>
          <w:tcPr>
            <w:tcW w:w="1558" w:type="dxa"/>
            <w:vMerge w:val="restart"/>
            <w:textDirection w:val="btLr"/>
            <w:vAlign w:val="center"/>
          </w:tcPr>
          <w:p w14:paraId="033C722D" w14:textId="77777777" w:rsidR="006900D9" w:rsidRPr="006900D9" w:rsidRDefault="006900D9" w:rsidP="006900D9">
            <w:pPr>
              <w:spacing w:after="0"/>
              <w:ind w:left="113" w:right="113"/>
              <w:jc w:val="center"/>
              <w:rPr>
                <w:sz w:val="17"/>
              </w:rPr>
            </w:pPr>
            <w:r w:rsidRPr="006900D9">
              <w:rPr>
                <w:sz w:val="17"/>
              </w:rPr>
              <w:t>Southern Basins</w:t>
            </w:r>
          </w:p>
        </w:tc>
        <w:tc>
          <w:tcPr>
            <w:tcW w:w="2553" w:type="dxa"/>
          </w:tcPr>
          <w:p w14:paraId="40F4D48E" w14:textId="77777777" w:rsidR="006900D9" w:rsidRPr="006900D9" w:rsidRDefault="006900D9" w:rsidP="006900D9">
            <w:pPr>
              <w:spacing w:after="0"/>
              <w:jc w:val="left"/>
              <w:rPr>
                <w:sz w:val="17"/>
              </w:rPr>
            </w:pPr>
            <w:r w:rsidRPr="006900D9">
              <w:rPr>
                <w:sz w:val="17"/>
              </w:rPr>
              <w:t>Coffin Bay</w:t>
            </w:r>
          </w:p>
        </w:tc>
        <w:tc>
          <w:tcPr>
            <w:tcW w:w="1418" w:type="dxa"/>
          </w:tcPr>
          <w:p w14:paraId="0B8B2BE0" w14:textId="77777777" w:rsidR="006900D9" w:rsidRPr="006900D9" w:rsidRDefault="006900D9" w:rsidP="006900D9">
            <w:pPr>
              <w:spacing w:after="0"/>
              <w:ind w:right="566"/>
              <w:jc w:val="right"/>
              <w:rPr>
                <w:sz w:val="17"/>
              </w:rPr>
            </w:pPr>
            <w:r w:rsidRPr="006900D9">
              <w:rPr>
                <w:sz w:val="17"/>
              </w:rPr>
              <w:t>98.6</w:t>
            </w:r>
          </w:p>
        </w:tc>
        <w:tc>
          <w:tcPr>
            <w:tcW w:w="1559" w:type="dxa"/>
          </w:tcPr>
          <w:p w14:paraId="751EE426" w14:textId="77777777" w:rsidR="006900D9" w:rsidRPr="006900D9" w:rsidRDefault="006900D9" w:rsidP="006900D9">
            <w:pPr>
              <w:spacing w:after="0"/>
              <w:ind w:right="567"/>
              <w:jc w:val="right"/>
              <w:rPr>
                <w:sz w:val="17"/>
              </w:rPr>
            </w:pPr>
            <w:r w:rsidRPr="006900D9">
              <w:rPr>
                <w:sz w:val="17"/>
              </w:rPr>
              <w:t>100.0</w:t>
            </w:r>
          </w:p>
        </w:tc>
        <w:tc>
          <w:tcPr>
            <w:tcW w:w="1276" w:type="dxa"/>
          </w:tcPr>
          <w:p w14:paraId="3D23735A" w14:textId="77777777" w:rsidR="006900D9" w:rsidRPr="006900D9" w:rsidRDefault="006900D9" w:rsidP="006900D9">
            <w:pPr>
              <w:spacing w:after="0"/>
              <w:ind w:right="227"/>
              <w:jc w:val="right"/>
              <w:rPr>
                <w:sz w:val="17"/>
              </w:rPr>
            </w:pPr>
            <w:r w:rsidRPr="006900D9">
              <w:rPr>
                <w:sz w:val="17"/>
              </w:rPr>
              <w:t>1.000</w:t>
            </w:r>
          </w:p>
        </w:tc>
        <w:tc>
          <w:tcPr>
            <w:tcW w:w="986" w:type="dxa"/>
          </w:tcPr>
          <w:p w14:paraId="140D0CC1" w14:textId="77777777" w:rsidR="006900D9" w:rsidRPr="006900D9" w:rsidRDefault="006900D9" w:rsidP="006900D9">
            <w:pPr>
              <w:spacing w:after="0"/>
              <w:ind w:right="227"/>
              <w:jc w:val="right"/>
              <w:rPr>
                <w:sz w:val="17"/>
              </w:rPr>
            </w:pPr>
            <w:r w:rsidRPr="006900D9">
              <w:rPr>
                <w:sz w:val="17"/>
              </w:rPr>
              <w:t>138,170</w:t>
            </w:r>
          </w:p>
        </w:tc>
      </w:tr>
      <w:tr w:rsidR="006900D9" w:rsidRPr="006900D9" w14:paraId="258DDCDF" w14:textId="77777777" w:rsidTr="00143ECC">
        <w:tc>
          <w:tcPr>
            <w:tcW w:w="1558" w:type="dxa"/>
            <w:vMerge/>
          </w:tcPr>
          <w:p w14:paraId="7B893AEE" w14:textId="77777777" w:rsidR="006900D9" w:rsidRPr="006900D9" w:rsidRDefault="006900D9" w:rsidP="006900D9">
            <w:pPr>
              <w:spacing w:after="0"/>
              <w:rPr>
                <w:sz w:val="17"/>
              </w:rPr>
            </w:pPr>
          </w:p>
        </w:tc>
        <w:tc>
          <w:tcPr>
            <w:tcW w:w="2553" w:type="dxa"/>
          </w:tcPr>
          <w:p w14:paraId="5AA6A9DB" w14:textId="77777777" w:rsidR="006900D9" w:rsidRPr="006900D9" w:rsidRDefault="006900D9" w:rsidP="006900D9">
            <w:pPr>
              <w:spacing w:after="0"/>
              <w:jc w:val="left"/>
              <w:rPr>
                <w:sz w:val="17"/>
              </w:rPr>
            </w:pPr>
            <w:proofErr w:type="spellStart"/>
            <w:r w:rsidRPr="006900D9">
              <w:rPr>
                <w:sz w:val="17"/>
              </w:rPr>
              <w:t>Uley</w:t>
            </w:r>
            <w:proofErr w:type="spellEnd"/>
            <w:r w:rsidRPr="006900D9">
              <w:rPr>
                <w:sz w:val="17"/>
              </w:rPr>
              <w:t xml:space="preserve"> Wanilla Public Water Supply</w:t>
            </w:r>
          </w:p>
        </w:tc>
        <w:tc>
          <w:tcPr>
            <w:tcW w:w="1418" w:type="dxa"/>
          </w:tcPr>
          <w:p w14:paraId="46CF17E4" w14:textId="77777777" w:rsidR="006900D9" w:rsidRPr="006900D9" w:rsidRDefault="006900D9" w:rsidP="006900D9">
            <w:pPr>
              <w:spacing w:after="0"/>
              <w:ind w:right="566"/>
              <w:jc w:val="right"/>
              <w:rPr>
                <w:sz w:val="17"/>
              </w:rPr>
            </w:pPr>
            <w:r w:rsidRPr="006900D9">
              <w:rPr>
                <w:sz w:val="17"/>
              </w:rPr>
              <w:t>72.14</w:t>
            </w:r>
          </w:p>
        </w:tc>
        <w:tc>
          <w:tcPr>
            <w:tcW w:w="1559" w:type="dxa"/>
          </w:tcPr>
          <w:p w14:paraId="11D45DCC" w14:textId="77777777" w:rsidR="006900D9" w:rsidRPr="006900D9" w:rsidRDefault="006900D9" w:rsidP="006900D9">
            <w:pPr>
              <w:spacing w:after="0"/>
              <w:ind w:right="567"/>
              <w:jc w:val="right"/>
              <w:rPr>
                <w:sz w:val="17"/>
              </w:rPr>
            </w:pPr>
            <w:r w:rsidRPr="006900D9">
              <w:rPr>
                <w:sz w:val="17"/>
              </w:rPr>
              <w:t>21.66</w:t>
            </w:r>
          </w:p>
        </w:tc>
        <w:tc>
          <w:tcPr>
            <w:tcW w:w="1276" w:type="dxa"/>
          </w:tcPr>
          <w:p w14:paraId="1B1F1807" w14:textId="77777777" w:rsidR="006900D9" w:rsidRPr="006900D9" w:rsidRDefault="006900D9" w:rsidP="006900D9">
            <w:pPr>
              <w:spacing w:after="0"/>
              <w:ind w:right="227"/>
              <w:jc w:val="right"/>
              <w:rPr>
                <w:sz w:val="17"/>
              </w:rPr>
            </w:pPr>
            <w:r w:rsidRPr="006900D9">
              <w:rPr>
                <w:sz w:val="17"/>
              </w:rPr>
              <w:t>0.216564833</w:t>
            </w:r>
          </w:p>
        </w:tc>
        <w:tc>
          <w:tcPr>
            <w:tcW w:w="986" w:type="dxa"/>
          </w:tcPr>
          <w:p w14:paraId="12E991DF" w14:textId="77777777" w:rsidR="006900D9" w:rsidRPr="006900D9" w:rsidRDefault="006900D9" w:rsidP="006900D9">
            <w:pPr>
              <w:spacing w:after="0"/>
              <w:ind w:right="227"/>
              <w:jc w:val="right"/>
              <w:rPr>
                <w:sz w:val="17"/>
              </w:rPr>
            </w:pPr>
            <w:r w:rsidRPr="006900D9">
              <w:rPr>
                <w:sz w:val="17"/>
              </w:rPr>
              <w:t>56,400</w:t>
            </w:r>
          </w:p>
        </w:tc>
      </w:tr>
      <w:tr w:rsidR="006900D9" w:rsidRPr="006900D9" w14:paraId="7A1227E4" w14:textId="77777777" w:rsidTr="00143ECC">
        <w:tc>
          <w:tcPr>
            <w:tcW w:w="1558" w:type="dxa"/>
            <w:vMerge/>
          </w:tcPr>
          <w:p w14:paraId="4E5F2E14" w14:textId="77777777" w:rsidR="006900D9" w:rsidRPr="006900D9" w:rsidRDefault="006900D9" w:rsidP="006900D9">
            <w:pPr>
              <w:spacing w:after="0"/>
              <w:rPr>
                <w:sz w:val="17"/>
              </w:rPr>
            </w:pPr>
          </w:p>
        </w:tc>
        <w:tc>
          <w:tcPr>
            <w:tcW w:w="2553" w:type="dxa"/>
          </w:tcPr>
          <w:p w14:paraId="347791A7" w14:textId="77777777" w:rsidR="006900D9" w:rsidRPr="006900D9" w:rsidRDefault="006900D9" w:rsidP="006900D9">
            <w:pPr>
              <w:spacing w:after="0"/>
              <w:jc w:val="left"/>
              <w:rPr>
                <w:sz w:val="17"/>
              </w:rPr>
            </w:pPr>
            <w:proofErr w:type="spellStart"/>
            <w:r w:rsidRPr="006900D9">
              <w:rPr>
                <w:sz w:val="17"/>
              </w:rPr>
              <w:t>Uley</w:t>
            </w:r>
            <w:proofErr w:type="spellEnd"/>
            <w:r w:rsidRPr="006900D9">
              <w:rPr>
                <w:sz w:val="17"/>
              </w:rPr>
              <w:t xml:space="preserve"> North</w:t>
            </w:r>
          </w:p>
        </w:tc>
        <w:tc>
          <w:tcPr>
            <w:tcW w:w="1418" w:type="dxa"/>
          </w:tcPr>
          <w:p w14:paraId="6A1B8C15" w14:textId="77777777" w:rsidR="006900D9" w:rsidRPr="006900D9" w:rsidRDefault="006900D9" w:rsidP="006900D9">
            <w:pPr>
              <w:spacing w:after="0"/>
              <w:ind w:right="566"/>
              <w:jc w:val="right"/>
              <w:rPr>
                <w:sz w:val="17"/>
              </w:rPr>
            </w:pPr>
            <w:r w:rsidRPr="006900D9">
              <w:rPr>
                <w:sz w:val="17"/>
              </w:rPr>
              <w:t>82.4</w:t>
            </w:r>
          </w:p>
        </w:tc>
        <w:tc>
          <w:tcPr>
            <w:tcW w:w="1559" w:type="dxa"/>
          </w:tcPr>
          <w:p w14:paraId="3DD9E85B" w14:textId="77777777" w:rsidR="006900D9" w:rsidRPr="006900D9" w:rsidRDefault="006900D9" w:rsidP="006900D9">
            <w:pPr>
              <w:spacing w:after="0"/>
              <w:ind w:right="567"/>
              <w:jc w:val="right"/>
              <w:rPr>
                <w:sz w:val="17"/>
              </w:rPr>
            </w:pPr>
            <w:r w:rsidRPr="006900D9">
              <w:rPr>
                <w:sz w:val="17"/>
              </w:rPr>
              <w:t>9.6</w:t>
            </w:r>
          </w:p>
        </w:tc>
        <w:tc>
          <w:tcPr>
            <w:tcW w:w="1276" w:type="dxa"/>
          </w:tcPr>
          <w:p w14:paraId="6BB3C605" w14:textId="77777777" w:rsidR="006900D9" w:rsidRPr="006900D9" w:rsidRDefault="006900D9" w:rsidP="006900D9">
            <w:pPr>
              <w:spacing w:after="0"/>
              <w:ind w:right="227"/>
              <w:jc w:val="right"/>
              <w:rPr>
                <w:sz w:val="17"/>
              </w:rPr>
            </w:pPr>
            <w:r w:rsidRPr="006900D9">
              <w:rPr>
                <w:sz w:val="17"/>
              </w:rPr>
              <w:t>0.096</w:t>
            </w:r>
          </w:p>
        </w:tc>
        <w:tc>
          <w:tcPr>
            <w:tcW w:w="986" w:type="dxa"/>
          </w:tcPr>
          <w:p w14:paraId="6AC09B49" w14:textId="77777777" w:rsidR="006900D9" w:rsidRPr="006900D9" w:rsidRDefault="006900D9" w:rsidP="006900D9">
            <w:pPr>
              <w:spacing w:after="0"/>
              <w:ind w:right="227"/>
              <w:jc w:val="right"/>
              <w:rPr>
                <w:sz w:val="17"/>
              </w:rPr>
            </w:pPr>
            <w:r w:rsidRPr="006900D9">
              <w:rPr>
                <w:sz w:val="17"/>
              </w:rPr>
              <w:t>78 361</w:t>
            </w:r>
          </w:p>
        </w:tc>
      </w:tr>
      <w:tr w:rsidR="006900D9" w:rsidRPr="006900D9" w14:paraId="3F20B109" w14:textId="77777777" w:rsidTr="00143ECC">
        <w:tc>
          <w:tcPr>
            <w:tcW w:w="1558" w:type="dxa"/>
            <w:vMerge/>
          </w:tcPr>
          <w:p w14:paraId="25915702" w14:textId="77777777" w:rsidR="006900D9" w:rsidRPr="006900D9" w:rsidRDefault="006900D9" w:rsidP="006900D9">
            <w:pPr>
              <w:spacing w:after="0"/>
              <w:rPr>
                <w:sz w:val="17"/>
              </w:rPr>
            </w:pPr>
          </w:p>
        </w:tc>
        <w:tc>
          <w:tcPr>
            <w:tcW w:w="2553" w:type="dxa"/>
          </w:tcPr>
          <w:p w14:paraId="53C3A0E5" w14:textId="77777777" w:rsidR="006900D9" w:rsidRPr="006900D9" w:rsidRDefault="006900D9" w:rsidP="006900D9">
            <w:pPr>
              <w:spacing w:after="0"/>
              <w:jc w:val="left"/>
              <w:rPr>
                <w:sz w:val="17"/>
              </w:rPr>
            </w:pPr>
            <w:proofErr w:type="spellStart"/>
            <w:r w:rsidRPr="006900D9">
              <w:rPr>
                <w:sz w:val="17"/>
              </w:rPr>
              <w:t>Uley</w:t>
            </w:r>
            <w:proofErr w:type="spellEnd"/>
            <w:r w:rsidRPr="006900D9">
              <w:rPr>
                <w:sz w:val="17"/>
              </w:rPr>
              <w:t xml:space="preserve"> South Public Water Supply</w:t>
            </w:r>
          </w:p>
        </w:tc>
        <w:tc>
          <w:tcPr>
            <w:tcW w:w="1418" w:type="dxa"/>
          </w:tcPr>
          <w:p w14:paraId="130061BD" w14:textId="77777777" w:rsidR="006900D9" w:rsidRPr="006900D9" w:rsidRDefault="006900D9" w:rsidP="006900D9">
            <w:pPr>
              <w:spacing w:after="0"/>
              <w:ind w:right="566"/>
              <w:jc w:val="right"/>
              <w:rPr>
                <w:sz w:val="17"/>
              </w:rPr>
            </w:pPr>
            <w:r w:rsidRPr="006900D9">
              <w:rPr>
                <w:sz w:val="17"/>
              </w:rPr>
              <w:t>80.07</w:t>
            </w:r>
          </w:p>
        </w:tc>
        <w:tc>
          <w:tcPr>
            <w:tcW w:w="1559" w:type="dxa"/>
          </w:tcPr>
          <w:p w14:paraId="10B23C65" w14:textId="77777777" w:rsidR="006900D9" w:rsidRPr="006900D9" w:rsidRDefault="006900D9" w:rsidP="006900D9">
            <w:pPr>
              <w:spacing w:after="0"/>
              <w:ind w:right="567"/>
              <w:jc w:val="right"/>
              <w:rPr>
                <w:sz w:val="17"/>
              </w:rPr>
            </w:pPr>
            <w:r w:rsidRPr="006900D9">
              <w:rPr>
                <w:sz w:val="17"/>
              </w:rPr>
              <w:t>82.57</w:t>
            </w:r>
          </w:p>
        </w:tc>
        <w:tc>
          <w:tcPr>
            <w:tcW w:w="1276" w:type="dxa"/>
          </w:tcPr>
          <w:p w14:paraId="20C3B307" w14:textId="77777777" w:rsidR="006900D9" w:rsidRPr="006900D9" w:rsidRDefault="006900D9" w:rsidP="006900D9">
            <w:pPr>
              <w:spacing w:after="0"/>
              <w:ind w:right="227"/>
              <w:jc w:val="right"/>
              <w:rPr>
                <w:sz w:val="17"/>
              </w:rPr>
            </w:pPr>
            <w:r w:rsidRPr="006900D9">
              <w:rPr>
                <w:sz w:val="17"/>
              </w:rPr>
              <w:t>0.825749834</w:t>
            </w:r>
          </w:p>
        </w:tc>
        <w:tc>
          <w:tcPr>
            <w:tcW w:w="986" w:type="dxa"/>
          </w:tcPr>
          <w:p w14:paraId="0EB7E033" w14:textId="77777777" w:rsidR="006900D9" w:rsidRPr="006900D9" w:rsidRDefault="006900D9" w:rsidP="006900D9">
            <w:pPr>
              <w:spacing w:after="0"/>
              <w:ind w:right="227"/>
              <w:jc w:val="right"/>
              <w:rPr>
                <w:sz w:val="17"/>
              </w:rPr>
            </w:pPr>
            <w:r w:rsidRPr="006900D9">
              <w:rPr>
                <w:sz w:val="17"/>
              </w:rPr>
              <w:t>6,008,140</w:t>
            </w:r>
          </w:p>
        </w:tc>
      </w:tr>
      <w:tr w:rsidR="006900D9" w:rsidRPr="006900D9" w14:paraId="0535C2A5" w14:textId="77777777" w:rsidTr="00143ECC">
        <w:tc>
          <w:tcPr>
            <w:tcW w:w="1558" w:type="dxa"/>
            <w:vMerge/>
          </w:tcPr>
          <w:p w14:paraId="64347C0F" w14:textId="77777777" w:rsidR="006900D9" w:rsidRPr="006900D9" w:rsidRDefault="006900D9" w:rsidP="006900D9">
            <w:pPr>
              <w:spacing w:after="0"/>
              <w:rPr>
                <w:sz w:val="17"/>
              </w:rPr>
            </w:pPr>
          </w:p>
        </w:tc>
        <w:tc>
          <w:tcPr>
            <w:tcW w:w="2553" w:type="dxa"/>
          </w:tcPr>
          <w:p w14:paraId="4C884AD4" w14:textId="77777777" w:rsidR="006900D9" w:rsidRPr="006900D9" w:rsidRDefault="006900D9" w:rsidP="006900D9">
            <w:pPr>
              <w:spacing w:after="0"/>
              <w:jc w:val="left"/>
              <w:rPr>
                <w:sz w:val="17"/>
              </w:rPr>
            </w:pPr>
            <w:r w:rsidRPr="006900D9">
              <w:rPr>
                <w:sz w:val="17"/>
              </w:rPr>
              <w:t>Lincoln South Public Water Supply</w:t>
            </w:r>
          </w:p>
        </w:tc>
        <w:tc>
          <w:tcPr>
            <w:tcW w:w="1418" w:type="dxa"/>
          </w:tcPr>
          <w:p w14:paraId="23AB78C4" w14:textId="77777777" w:rsidR="006900D9" w:rsidRPr="006900D9" w:rsidRDefault="006900D9" w:rsidP="006900D9">
            <w:pPr>
              <w:spacing w:after="0"/>
              <w:ind w:right="566"/>
              <w:jc w:val="right"/>
              <w:rPr>
                <w:sz w:val="17"/>
              </w:rPr>
            </w:pPr>
            <w:r w:rsidRPr="006900D9">
              <w:rPr>
                <w:sz w:val="17"/>
              </w:rPr>
              <w:t>93.33</w:t>
            </w:r>
          </w:p>
        </w:tc>
        <w:tc>
          <w:tcPr>
            <w:tcW w:w="1559" w:type="dxa"/>
          </w:tcPr>
          <w:p w14:paraId="0444B134" w14:textId="77777777" w:rsidR="006900D9" w:rsidRPr="006900D9" w:rsidRDefault="006900D9" w:rsidP="006900D9">
            <w:pPr>
              <w:spacing w:after="0"/>
              <w:ind w:right="567"/>
              <w:jc w:val="right"/>
              <w:rPr>
                <w:sz w:val="17"/>
              </w:rPr>
            </w:pPr>
            <w:r w:rsidRPr="006900D9">
              <w:rPr>
                <w:sz w:val="17"/>
              </w:rPr>
              <w:t>32.31</w:t>
            </w:r>
          </w:p>
        </w:tc>
        <w:tc>
          <w:tcPr>
            <w:tcW w:w="1276" w:type="dxa"/>
          </w:tcPr>
          <w:p w14:paraId="5A4EBBA1" w14:textId="77777777" w:rsidR="006900D9" w:rsidRPr="006900D9" w:rsidRDefault="006900D9" w:rsidP="006900D9">
            <w:pPr>
              <w:spacing w:after="0"/>
              <w:ind w:right="227"/>
              <w:jc w:val="right"/>
              <w:rPr>
                <w:sz w:val="17"/>
              </w:rPr>
            </w:pPr>
            <w:r w:rsidRPr="006900D9">
              <w:rPr>
                <w:sz w:val="17"/>
              </w:rPr>
              <w:t>0.32307660</w:t>
            </w:r>
          </w:p>
        </w:tc>
        <w:tc>
          <w:tcPr>
            <w:tcW w:w="986" w:type="dxa"/>
          </w:tcPr>
          <w:p w14:paraId="198101FB" w14:textId="77777777" w:rsidR="006900D9" w:rsidRPr="006900D9" w:rsidRDefault="006900D9" w:rsidP="006900D9">
            <w:pPr>
              <w:spacing w:after="0"/>
              <w:ind w:right="227"/>
              <w:jc w:val="right"/>
              <w:rPr>
                <w:sz w:val="17"/>
              </w:rPr>
            </w:pPr>
            <w:r w:rsidRPr="006900D9">
              <w:rPr>
                <w:sz w:val="17"/>
              </w:rPr>
              <w:t>597,712</w:t>
            </w:r>
          </w:p>
        </w:tc>
      </w:tr>
      <w:tr w:rsidR="006900D9" w:rsidRPr="006900D9" w14:paraId="5D348D1B" w14:textId="77777777" w:rsidTr="00143ECC">
        <w:tc>
          <w:tcPr>
            <w:tcW w:w="1558" w:type="dxa"/>
            <w:vMerge/>
          </w:tcPr>
          <w:p w14:paraId="7A78D9DA" w14:textId="77777777" w:rsidR="006900D9" w:rsidRPr="006900D9" w:rsidRDefault="006900D9" w:rsidP="006900D9">
            <w:pPr>
              <w:spacing w:after="0"/>
              <w:rPr>
                <w:sz w:val="17"/>
              </w:rPr>
            </w:pPr>
          </w:p>
        </w:tc>
        <w:tc>
          <w:tcPr>
            <w:tcW w:w="2553" w:type="dxa"/>
          </w:tcPr>
          <w:p w14:paraId="094A7CF4" w14:textId="77777777" w:rsidR="006900D9" w:rsidRPr="006900D9" w:rsidRDefault="006900D9" w:rsidP="006900D9">
            <w:pPr>
              <w:spacing w:after="0"/>
              <w:jc w:val="left"/>
              <w:rPr>
                <w:sz w:val="17"/>
              </w:rPr>
            </w:pPr>
            <w:r w:rsidRPr="006900D9">
              <w:rPr>
                <w:sz w:val="17"/>
              </w:rPr>
              <w:t>Lincoln North</w:t>
            </w:r>
          </w:p>
        </w:tc>
        <w:tc>
          <w:tcPr>
            <w:tcW w:w="1418" w:type="dxa"/>
          </w:tcPr>
          <w:p w14:paraId="09A860C1" w14:textId="77777777" w:rsidR="006900D9" w:rsidRPr="006900D9" w:rsidRDefault="006900D9" w:rsidP="006900D9">
            <w:pPr>
              <w:spacing w:after="0"/>
              <w:ind w:right="566"/>
              <w:jc w:val="right"/>
              <w:rPr>
                <w:sz w:val="17"/>
              </w:rPr>
            </w:pPr>
          </w:p>
        </w:tc>
        <w:tc>
          <w:tcPr>
            <w:tcW w:w="1559" w:type="dxa"/>
          </w:tcPr>
          <w:p w14:paraId="1B9483DD" w14:textId="77777777" w:rsidR="006900D9" w:rsidRPr="006900D9" w:rsidRDefault="006900D9" w:rsidP="006900D9">
            <w:pPr>
              <w:spacing w:after="0"/>
              <w:ind w:right="567"/>
              <w:jc w:val="right"/>
              <w:rPr>
                <w:sz w:val="17"/>
              </w:rPr>
            </w:pPr>
          </w:p>
        </w:tc>
        <w:tc>
          <w:tcPr>
            <w:tcW w:w="1276" w:type="dxa"/>
          </w:tcPr>
          <w:p w14:paraId="2B936E28" w14:textId="77777777" w:rsidR="006900D9" w:rsidRPr="006900D9" w:rsidRDefault="006900D9" w:rsidP="006900D9">
            <w:pPr>
              <w:spacing w:after="0"/>
              <w:ind w:right="227"/>
              <w:jc w:val="right"/>
              <w:rPr>
                <w:sz w:val="17"/>
              </w:rPr>
            </w:pPr>
          </w:p>
        </w:tc>
        <w:tc>
          <w:tcPr>
            <w:tcW w:w="986" w:type="dxa"/>
          </w:tcPr>
          <w:p w14:paraId="51F5C933" w14:textId="77777777" w:rsidR="006900D9" w:rsidRPr="006900D9" w:rsidRDefault="006900D9" w:rsidP="006900D9">
            <w:pPr>
              <w:spacing w:after="0"/>
              <w:ind w:right="227"/>
              <w:jc w:val="right"/>
              <w:rPr>
                <w:sz w:val="17"/>
              </w:rPr>
            </w:pPr>
            <w:r w:rsidRPr="006900D9">
              <w:rPr>
                <w:sz w:val="17"/>
              </w:rPr>
              <w:t>173,190</w:t>
            </w:r>
          </w:p>
        </w:tc>
      </w:tr>
      <w:tr w:rsidR="006900D9" w:rsidRPr="006900D9" w14:paraId="0EBEC620" w14:textId="77777777" w:rsidTr="00143ECC">
        <w:tc>
          <w:tcPr>
            <w:tcW w:w="1558" w:type="dxa"/>
            <w:vMerge/>
          </w:tcPr>
          <w:p w14:paraId="44162E02" w14:textId="77777777" w:rsidR="006900D9" w:rsidRPr="006900D9" w:rsidRDefault="006900D9" w:rsidP="006900D9">
            <w:pPr>
              <w:spacing w:after="0"/>
              <w:rPr>
                <w:sz w:val="17"/>
              </w:rPr>
            </w:pPr>
          </w:p>
        </w:tc>
        <w:tc>
          <w:tcPr>
            <w:tcW w:w="2553" w:type="dxa"/>
          </w:tcPr>
          <w:p w14:paraId="21EFDD78" w14:textId="77777777" w:rsidR="006900D9" w:rsidRPr="006900D9" w:rsidRDefault="006900D9" w:rsidP="006900D9">
            <w:pPr>
              <w:spacing w:after="0"/>
              <w:jc w:val="left"/>
              <w:rPr>
                <w:sz w:val="17"/>
              </w:rPr>
            </w:pPr>
            <w:r w:rsidRPr="006900D9">
              <w:rPr>
                <w:sz w:val="17"/>
              </w:rPr>
              <w:t>Port Lincoln Golf Club</w:t>
            </w:r>
          </w:p>
        </w:tc>
        <w:tc>
          <w:tcPr>
            <w:tcW w:w="1418" w:type="dxa"/>
          </w:tcPr>
          <w:p w14:paraId="0A0FF6CD" w14:textId="77777777" w:rsidR="006900D9" w:rsidRPr="006900D9" w:rsidRDefault="006900D9" w:rsidP="006900D9">
            <w:pPr>
              <w:spacing w:after="0"/>
              <w:ind w:right="566"/>
              <w:jc w:val="right"/>
              <w:rPr>
                <w:sz w:val="17"/>
              </w:rPr>
            </w:pPr>
          </w:p>
        </w:tc>
        <w:tc>
          <w:tcPr>
            <w:tcW w:w="1559" w:type="dxa"/>
          </w:tcPr>
          <w:p w14:paraId="217BBE69" w14:textId="77777777" w:rsidR="006900D9" w:rsidRPr="006900D9" w:rsidRDefault="006900D9" w:rsidP="006900D9">
            <w:pPr>
              <w:spacing w:after="0"/>
              <w:ind w:right="567"/>
              <w:jc w:val="right"/>
              <w:rPr>
                <w:sz w:val="17"/>
              </w:rPr>
            </w:pPr>
          </w:p>
        </w:tc>
        <w:tc>
          <w:tcPr>
            <w:tcW w:w="1276" w:type="dxa"/>
          </w:tcPr>
          <w:p w14:paraId="234494DE" w14:textId="77777777" w:rsidR="006900D9" w:rsidRPr="006900D9" w:rsidRDefault="006900D9" w:rsidP="006900D9">
            <w:pPr>
              <w:spacing w:after="0"/>
              <w:ind w:right="227"/>
              <w:jc w:val="right"/>
              <w:rPr>
                <w:sz w:val="17"/>
              </w:rPr>
            </w:pPr>
          </w:p>
        </w:tc>
        <w:tc>
          <w:tcPr>
            <w:tcW w:w="986" w:type="dxa"/>
          </w:tcPr>
          <w:p w14:paraId="190FD082" w14:textId="77777777" w:rsidR="006900D9" w:rsidRPr="006900D9" w:rsidRDefault="006900D9" w:rsidP="006900D9">
            <w:pPr>
              <w:spacing w:after="0"/>
              <w:ind w:right="227"/>
              <w:jc w:val="right"/>
              <w:rPr>
                <w:sz w:val="17"/>
              </w:rPr>
            </w:pPr>
            <w:r w:rsidRPr="006900D9">
              <w:rPr>
                <w:sz w:val="17"/>
              </w:rPr>
              <w:t>7,000</w:t>
            </w:r>
          </w:p>
        </w:tc>
      </w:tr>
      <w:tr w:rsidR="006900D9" w:rsidRPr="006900D9" w14:paraId="217F3D90" w14:textId="77777777" w:rsidTr="00143ECC">
        <w:tc>
          <w:tcPr>
            <w:tcW w:w="1558" w:type="dxa"/>
            <w:vMerge/>
          </w:tcPr>
          <w:p w14:paraId="47C36442" w14:textId="77777777" w:rsidR="006900D9" w:rsidRPr="006900D9" w:rsidRDefault="006900D9" w:rsidP="006900D9">
            <w:pPr>
              <w:spacing w:after="0"/>
              <w:rPr>
                <w:sz w:val="17"/>
              </w:rPr>
            </w:pPr>
          </w:p>
        </w:tc>
        <w:tc>
          <w:tcPr>
            <w:tcW w:w="2553" w:type="dxa"/>
          </w:tcPr>
          <w:p w14:paraId="2DEA1F61" w14:textId="77777777" w:rsidR="006900D9" w:rsidRPr="006900D9" w:rsidRDefault="006900D9" w:rsidP="006900D9">
            <w:pPr>
              <w:spacing w:after="0"/>
              <w:jc w:val="left"/>
              <w:rPr>
                <w:sz w:val="17"/>
              </w:rPr>
            </w:pPr>
            <w:r w:rsidRPr="006900D9">
              <w:rPr>
                <w:sz w:val="17"/>
              </w:rPr>
              <w:t>Southern Basins Unsaturated</w:t>
            </w:r>
          </w:p>
        </w:tc>
        <w:tc>
          <w:tcPr>
            <w:tcW w:w="1418" w:type="dxa"/>
          </w:tcPr>
          <w:p w14:paraId="09C29931" w14:textId="77777777" w:rsidR="006900D9" w:rsidRPr="006900D9" w:rsidRDefault="006900D9" w:rsidP="006900D9">
            <w:pPr>
              <w:spacing w:after="0"/>
              <w:ind w:right="566"/>
              <w:jc w:val="right"/>
              <w:rPr>
                <w:sz w:val="17"/>
              </w:rPr>
            </w:pPr>
          </w:p>
        </w:tc>
        <w:tc>
          <w:tcPr>
            <w:tcW w:w="1559" w:type="dxa"/>
          </w:tcPr>
          <w:p w14:paraId="097BB52F" w14:textId="77777777" w:rsidR="006900D9" w:rsidRPr="006900D9" w:rsidRDefault="006900D9" w:rsidP="006900D9">
            <w:pPr>
              <w:spacing w:after="0"/>
              <w:ind w:right="567"/>
              <w:jc w:val="right"/>
              <w:rPr>
                <w:sz w:val="17"/>
              </w:rPr>
            </w:pPr>
          </w:p>
        </w:tc>
        <w:tc>
          <w:tcPr>
            <w:tcW w:w="1276" w:type="dxa"/>
          </w:tcPr>
          <w:p w14:paraId="69E29161" w14:textId="77777777" w:rsidR="006900D9" w:rsidRPr="006900D9" w:rsidRDefault="006900D9" w:rsidP="006900D9">
            <w:pPr>
              <w:spacing w:after="0"/>
              <w:ind w:right="227"/>
              <w:jc w:val="right"/>
              <w:rPr>
                <w:sz w:val="17"/>
              </w:rPr>
            </w:pPr>
          </w:p>
        </w:tc>
        <w:tc>
          <w:tcPr>
            <w:tcW w:w="986" w:type="dxa"/>
          </w:tcPr>
          <w:p w14:paraId="33F0371E" w14:textId="77777777" w:rsidR="006900D9" w:rsidRPr="006900D9" w:rsidRDefault="006900D9" w:rsidP="006900D9">
            <w:pPr>
              <w:spacing w:after="0"/>
              <w:ind w:right="227"/>
              <w:jc w:val="right"/>
              <w:rPr>
                <w:sz w:val="17"/>
              </w:rPr>
            </w:pPr>
            <w:r w:rsidRPr="006900D9">
              <w:rPr>
                <w:sz w:val="17"/>
              </w:rPr>
              <w:t>6,960</w:t>
            </w:r>
          </w:p>
        </w:tc>
      </w:tr>
      <w:tr w:rsidR="006900D9" w:rsidRPr="006900D9" w14:paraId="3D996DAC" w14:textId="77777777" w:rsidTr="00143ECC">
        <w:tc>
          <w:tcPr>
            <w:tcW w:w="1558" w:type="dxa"/>
            <w:vMerge/>
          </w:tcPr>
          <w:p w14:paraId="2969719D" w14:textId="77777777" w:rsidR="006900D9" w:rsidRPr="006900D9" w:rsidRDefault="006900D9" w:rsidP="006900D9">
            <w:pPr>
              <w:spacing w:after="0"/>
              <w:rPr>
                <w:sz w:val="17"/>
              </w:rPr>
            </w:pPr>
          </w:p>
        </w:tc>
        <w:tc>
          <w:tcPr>
            <w:tcW w:w="2553" w:type="dxa"/>
          </w:tcPr>
          <w:p w14:paraId="4D3865A2" w14:textId="77777777" w:rsidR="006900D9" w:rsidRPr="006900D9" w:rsidRDefault="006900D9" w:rsidP="006900D9">
            <w:pPr>
              <w:spacing w:after="0"/>
              <w:jc w:val="left"/>
              <w:rPr>
                <w:sz w:val="17"/>
              </w:rPr>
            </w:pPr>
            <w:r w:rsidRPr="006900D9">
              <w:rPr>
                <w:sz w:val="17"/>
              </w:rPr>
              <w:t>Tertiary</w:t>
            </w:r>
          </w:p>
        </w:tc>
        <w:tc>
          <w:tcPr>
            <w:tcW w:w="1418" w:type="dxa"/>
          </w:tcPr>
          <w:p w14:paraId="079FCA47" w14:textId="77777777" w:rsidR="006900D9" w:rsidRPr="006900D9" w:rsidRDefault="006900D9" w:rsidP="006900D9">
            <w:pPr>
              <w:spacing w:after="0"/>
              <w:ind w:right="566"/>
              <w:jc w:val="right"/>
              <w:rPr>
                <w:sz w:val="17"/>
              </w:rPr>
            </w:pPr>
          </w:p>
        </w:tc>
        <w:tc>
          <w:tcPr>
            <w:tcW w:w="1559" w:type="dxa"/>
          </w:tcPr>
          <w:p w14:paraId="181FB1C7" w14:textId="77777777" w:rsidR="006900D9" w:rsidRPr="006900D9" w:rsidRDefault="006900D9" w:rsidP="006900D9">
            <w:pPr>
              <w:spacing w:after="0"/>
              <w:ind w:right="567"/>
              <w:jc w:val="right"/>
              <w:rPr>
                <w:sz w:val="17"/>
              </w:rPr>
            </w:pPr>
          </w:p>
        </w:tc>
        <w:tc>
          <w:tcPr>
            <w:tcW w:w="1276" w:type="dxa"/>
          </w:tcPr>
          <w:p w14:paraId="12F3EAAD" w14:textId="77777777" w:rsidR="006900D9" w:rsidRPr="006900D9" w:rsidRDefault="006900D9" w:rsidP="006900D9">
            <w:pPr>
              <w:spacing w:after="0"/>
              <w:ind w:right="227"/>
              <w:jc w:val="right"/>
              <w:rPr>
                <w:sz w:val="17"/>
              </w:rPr>
            </w:pPr>
          </w:p>
        </w:tc>
        <w:tc>
          <w:tcPr>
            <w:tcW w:w="986" w:type="dxa"/>
          </w:tcPr>
          <w:p w14:paraId="327E97FC" w14:textId="77777777" w:rsidR="006900D9" w:rsidRPr="006900D9" w:rsidRDefault="006900D9" w:rsidP="006900D9">
            <w:pPr>
              <w:spacing w:after="0"/>
              <w:ind w:right="227"/>
              <w:jc w:val="right"/>
              <w:rPr>
                <w:sz w:val="17"/>
              </w:rPr>
            </w:pPr>
            <w:r w:rsidRPr="006900D9">
              <w:rPr>
                <w:sz w:val="17"/>
              </w:rPr>
              <w:t>29,140</w:t>
            </w:r>
          </w:p>
        </w:tc>
      </w:tr>
      <w:tr w:rsidR="006900D9" w:rsidRPr="006900D9" w14:paraId="626EE264" w14:textId="77777777" w:rsidTr="00143ECC">
        <w:tc>
          <w:tcPr>
            <w:tcW w:w="1558" w:type="dxa"/>
            <w:vMerge/>
            <w:tcBorders>
              <w:bottom w:val="single" w:sz="4" w:space="0" w:color="auto"/>
            </w:tcBorders>
          </w:tcPr>
          <w:p w14:paraId="42113221" w14:textId="77777777" w:rsidR="006900D9" w:rsidRPr="006900D9" w:rsidRDefault="006900D9" w:rsidP="006900D9">
            <w:pPr>
              <w:rPr>
                <w:sz w:val="17"/>
              </w:rPr>
            </w:pPr>
          </w:p>
        </w:tc>
        <w:tc>
          <w:tcPr>
            <w:tcW w:w="2553" w:type="dxa"/>
            <w:tcBorders>
              <w:bottom w:val="single" w:sz="4" w:space="0" w:color="auto"/>
            </w:tcBorders>
          </w:tcPr>
          <w:p w14:paraId="28BD033E" w14:textId="77777777" w:rsidR="006900D9" w:rsidRPr="006900D9" w:rsidRDefault="006900D9" w:rsidP="006900D9">
            <w:pPr>
              <w:jc w:val="left"/>
              <w:rPr>
                <w:sz w:val="17"/>
              </w:rPr>
            </w:pPr>
            <w:r w:rsidRPr="006900D9">
              <w:rPr>
                <w:sz w:val="17"/>
              </w:rPr>
              <w:t>Basement</w:t>
            </w:r>
          </w:p>
        </w:tc>
        <w:tc>
          <w:tcPr>
            <w:tcW w:w="1418" w:type="dxa"/>
            <w:tcBorders>
              <w:bottom w:val="single" w:sz="4" w:space="0" w:color="auto"/>
            </w:tcBorders>
          </w:tcPr>
          <w:p w14:paraId="76322089" w14:textId="77777777" w:rsidR="006900D9" w:rsidRPr="006900D9" w:rsidRDefault="006900D9" w:rsidP="006900D9">
            <w:pPr>
              <w:ind w:right="566"/>
              <w:jc w:val="right"/>
              <w:rPr>
                <w:sz w:val="17"/>
              </w:rPr>
            </w:pPr>
          </w:p>
        </w:tc>
        <w:tc>
          <w:tcPr>
            <w:tcW w:w="1559" w:type="dxa"/>
            <w:tcBorders>
              <w:bottom w:val="single" w:sz="4" w:space="0" w:color="auto"/>
            </w:tcBorders>
          </w:tcPr>
          <w:p w14:paraId="7C171EC1" w14:textId="77777777" w:rsidR="006900D9" w:rsidRPr="006900D9" w:rsidRDefault="006900D9" w:rsidP="006900D9">
            <w:pPr>
              <w:ind w:right="567"/>
              <w:jc w:val="right"/>
              <w:rPr>
                <w:sz w:val="17"/>
              </w:rPr>
            </w:pPr>
          </w:p>
        </w:tc>
        <w:tc>
          <w:tcPr>
            <w:tcW w:w="1276" w:type="dxa"/>
            <w:tcBorders>
              <w:bottom w:val="single" w:sz="4" w:space="0" w:color="auto"/>
            </w:tcBorders>
          </w:tcPr>
          <w:p w14:paraId="1E03BD0A" w14:textId="77777777" w:rsidR="006900D9" w:rsidRPr="006900D9" w:rsidRDefault="006900D9" w:rsidP="006900D9">
            <w:pPr>
              <w:ind w:right="227"/>
              <w:jc w:val="right"/>
              <w:rPr>
                <w:sz w:val="17"/>
              </w:rPr>
            </w:pPr>
          </w:p>
        </w:tc>
        <w:tc>
          <w:tcPr>
            <w:tcW w:w="986" w:type="dxa"/>
            <w:tcBorders>
              <w:bottom w:val="single" w:sz="4" w:space="0" w:color="auto"/>
            </w:tcBorders>
          </w:tcPr>
          <w:p w14:paraId="1077E3E8" w14:textId="77777777" w:rsidR="006900D9" w:rsidRPr="006900D9" w:rsidRDefault="006900D9" w:rsidP="006900D9">
            <w:pPr>
              <w:ind w:right="227"/>
              <w:jc w:val="right"/>
              <w:rPr>
                <w:sz w:val="17"/>
              </w:rPr>
            </w:pPr>
            <w:r w:rsidRPr="006900D9">
              <w:rPr>
                <w:sz w:val="17"/>
              </w:rPr>
              <w:t>483,518</w:t>
            </w:r>
          </w:p>
        </w:tc>
      </w:tr>
    </w:tbl>
    <w:p w14:paraId="52F00F7D" w14:textId="77777777" w:rsidR="006900D9" w:rsidRPr="006900D9" w:rsidRDefault="006900D9" w:rsidP="006900D9">
      <w:pPr>
        <w:rPr>
          <w:rFonts w:ascii="Times New Roman" w:hAnsi="Times New Roman"/>
          <w:sz w:val="1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58"/>
        <w:gridCol w:w="2553"/>
        <w:gridCol w:w="1418"/>
        <w:gridCol w:w="1559"/>
        <w:gridCol w:w="1276"/>
        <w:gridCol w:w="986"/>
      </w:tblGrid>
      <w:tr w:rsidR="006900D9" w:rsidRPr="006900D9" w14:paraId="3AD47FCA" w14:textId="77777777" w:rsidTr="00143ECC">
        <w:trPr>
          <w:tblHeader/>
        </w:trPr>
        <w:tc>
          <w:tcPr>
            <w:tcW w:w="1558" w:type="dxa"/>
            <w:tcBorders>
              <w:top w:val="single" w:sz="4" w:space="0" w:color="auto"/>
              <w:bottom w:val="single" w:sz="4" w:space="0" w:color="auto"/>
            </w:tcBorders>
            <w:vAlign w:val="center"/>
          </w:tcPr>
          <w:p w14:paraId="5E8EFD3C" w14:textId="77777777" w:rsidR="006900D9" w:rsidRPr="006900D9" w:rsidRDefault="006900D9" w:rsidP="006900D9">
            <w:pPr>
              <w:spacing w:before="40" w:after="40"/>
              <w:jc w:val="center"/>
              <w:rPr>
                <w:b/>
                <w:bCs/>
                <w:sz w:val="17"/>
              </w:rPr>
            </w:pPr>
            <w:r w:rsidRPr="006900D9">
              <w:rPr>
                <w:b/>
                <w:bCs/>
                <w:sz w:val="17"/>
              </w:rPr>
              <w:t>PWA</w:t>
            </w:r>
          </w:p>
        </w:tc>
        <w:tc>
          <w:tcPr>
            <w:tcW w:w="2553" w:type="dxa"/>
            <w:tcBorders>
              <w:top w:val="single" w:sz="4" w:space="0" w:color="auto"/>
              <w:bottom w:val="single" w:sz="4" w:space="0" w:color="auto"/>
            </w:tcBorders>
            <w:vAlign w:val="center"/>
          </w:tcPr>
          <w:p w14:paraId="2E95C3EF" w14:textId="77777777" w:rsidR="006900D9" w:rsidRPr="006900D9" w:rsidRDefault="006900D9" w:rsidP="006900D9">
            <w:pPr>
              <w:spacing w:before="40" w:after="40"/>
              <w:jc w:val="center"/>
              <w:rPr>
                <w:b/>
                <w:bCs/>
                <w:sz w:val="17"/>
              </w:rPr>
            </w:pPr>
            <w:r w:rsidRPr="006900D9">
              <w:rPr>
                <w:b/>
                <w:bCs/>
                <w:sz w:val="17"/>
              </w:rPr>
              <w:t>Consumptive Pool</w:t>
            </w:r>
          </w:p>
        </w:tc>
        <w:tc>
          <w:tcPr>
            <w:tcW w:w="1418" w:type="dxa"/>
            <w:tcBorders>
              <w:top w:val="single" w:sz="4" w:space="0" w:color="auto"/>
              <w:bottom w:val="single" w:sz="4" w:space="0" w:color="auto"/>
            </w:tcBorders>
            <w:vAlign w:val="center"/>
          </w:tcPr>
          <w:p w14:paraId="428A7932" w14:textId="77777777" w:rsidR="006900D9" w:rsidRPr="006900D9" w:rsidRDefault="006900D9" w:rsidP="006900D9">
            <w:pPr>
              <w:spacing w:before="40" w:after="40"/>
              <w:jc w:val="center"/>
              <w:rPr>
                <w:b/>
                <w:bCs/>
                <w:sz w:val="17"/>
              </w:rPr>
            </w:pPr>
            <w:r w:rsidRPr="006900D9">
              <w:rPr>
                <w:b/>
                <w:bCs/>
                <w:sz w:val="17"/>
              </w:rPr>
              <w:t>Level of Storage (%)</w:t>
            </w:r>
          </w:p>
        </w:tc>
        <w:tc>
          <w:tcPr>
            <w:tcW w:w="1559" w:type="dxa"/>
            <w:tcBorders>
              <w:top w:val="single" w:sz="4" w:space="0" w:color="auto"/>
              <w:bottom w:val="single" w:sz="4" w:space="0" w:color="auto"/>
            </w:tcBorders>
            <w:vAlign w:val="center"/>
          </w:tcPr>
          <w:p w14:paraId="5558570B" w14:textId="77777777" w:rsidR="006900D9" w:rsidRPr="006900D9" w:rsidRDefault="006900D9" w:rsidP="006900D9">
            <w:pPr>
              <w:spacing w:before="40" w:after="40"/>
              <w:jc w:val="center"/>
              <w:rPr>
                <w:b/>
                <w:bCs/>
                <w:sz w:val="17"/>
              </w:rPr>
            </w:pPr>
            <w:r w:rsidRPr="006900D9">
              <w:rPr>
                <w:b/>
                <w:bCs/>
                <w:sz w:val="17"/>
              </w:rPr>
              <w:t>Proportion of water available (%)</w:t>
            </w:r>
          </w:p>
        </w:tc>
        <w:tc>
          <w:tcPr>
            <w:tcW w:w="1276" w:type="dxa"/>
            <w:tcBorders>
              <w:top w:val="single" w:sz="4" w:space="0" w:color="auto"/>
              <w:bottom w:val="single" w:sz="4" w:space="0" w:color="auto"/>
            </w:tcBorders>
            <w:vAlign w:val="center"/>
          </w:tcPr>
          <w:p w14:paraId="39101FB5" w14:textId="77777777" w:rsidR="006900D9" w:rsidRPr="006900D9" w:rsidRDefault="006900D9" w:rsidP="006900D9">
            <w:pPr>
              <w:spacing w:before="40" w:after="40"/>
              <w:jc w:val="center"/>
              <w:rPr>
                <w:b/>
                <w:bCs/>
                <w:sz w:val="17"/>
              </w:rPr>
            </w:pPr>
            <w:r w:rsidRPr="006900D9">
              <w:rPr>
                <w:b/>
                <w:bCs/>
                <w:sz w:val="17"/>
              </w:rPr>
              <w:t>Value of Share</w:t>
            </w:r>
          </w:p>
        </w:tc>
        <w:tc>
          <w:tcPr>
            <w:tcW w:w="986" w:type="dxa"/>
            <w:tcBorders>
              <w:top w:val="single" w:sz="4" w:space="0" w:color="auto"/>
              <w:bottom w:val="single" w:sz="4" w:space="0" w:color="auto"/>
            </w:tcBorders>
            <w:vAlign w:val="center"/>
          </w:tcPr>
          <w:p w14:paraId="3A9D2D02" w14:textId="77777777" w:rsidR="006900D9" w:rsidRPr="006900D9" w:rsidRDefault="006900D9" w:rsidP="006900D9">
            <w:pPr>
              <w:spacing w:before="40" w:after="40"/>
              <w:jc w:val="center"/>
              <w:rPr>
                <w:b/>
                <w:bCs/>
                <w:sz w:val="17"/>
              </w:rPr>
            </w:pPr>
            <w:r w:rsidRPr="006900D9">
              <w:rPr>
                <w:b/>
                <w:bCs/>
                <w:sz w:val="17"/>
              </w:rPr>
              <w:t xml:space="preserve">Volume of Consumptive </w:t>
            </w:r>
            <w:r w:rsidRPr="006900D9">
              <w:rPr>
                <w:b/>
                <w:bCs/>
                <w:sz w:val="17"/>
              </w:rPr>
              <w:br/>
              <w:t>Pool (</w:t>
            </w:r>
            <w:proofErr w:type="spellStart"/>
            <w:r w:rsidRPr="006900D9">
              <w:rPr>
                <w:b/>
                <w:bCs/>
                <w:sz w:val="17"/>
              </w:rPr>
              <w:t>kL</w:t>
            </w:r>
            <w:proofErr w:type="spellEnd"/>
            <w:r w:rsidRPr="006900D9">
              <w:rPr>
                <w:b/>
                <w:bCs/>
                <w:sz w:val="17"/>
              </w:rPr>
              <w:t>)</w:t>
            </w:r>
          </w:p>
        </w:tc>
      </w:tr>
      <w:tr w:rsidR="006900D9" w:rsidRPr="006900D9" w14:paraId="7FF83DD9" w14:textId="77777777" w:rsidTr="00143ECC">
        <w:trPr>
          <w:tblHeader/>
        </w:trPr>
        <w:tc>
          <w:tcPr>
            <w:tcW w:w="1558" w:type="dxa"/>
            <w:tcBorders>
              <w:top w:val="single" w:sz="4" w:space="0" w:color="auto"/>
            </w:tcBorders>
          </w:tcPr>
          <w:p w14:paraId="05374EF7" w14:textId="77777777" w:rsidR="006900D9" w:rsidRPr="006900D9" w:rsidRDefault="006900D9" w:rsidP="006900D9">
            <w:pPr>
              <w:spacing w:after="0" w:line="40" w:lineRule="exact"/>
              <w:rPr>
                <w:sz w:val="17"/>
              </w:rPr>
            </w:pPr>
          </w:p>
        </w:tc>
        <w:tc>
          <w:tcPr>
            <w:tcW w:w="2553" w:type="dxa"/>
            <w:tcBorders>
              <w:top w:val="single" w:sz="4" w:space="0" w:color="auto"/>
            </w:tcBorders>
          </w:tcPr>
          <w:p w14:paraId="35DD0065" w14:textId="77777777" w:rsidR="006900D9" w:rsidRPr="006900D9" w:rsidRDefault="006900D9" w:rsidP="006900D9">
            <w:pPr>
              <w:spacing w:after="0" w:line="40" w:lineRule="exact"/>
              <w:jc w:val="left"/>
              <w:rPr>
                <w:sz w:val="17"/>
              </w:rPr>
            </w:pPr>
          </w:p>
        </w:tc>
        <w:tc>
          <w:tcPr>
            <w:tcW w:w="1418" w:type="dxa"/>
            <w:tcBorders>
              <w:top w:val="single" w:sz="4" w:space="0" w:color="auto"/>
            </w:tcBorders>
          </w:tcPr>
          <w:p w14:paraId="7A64F20A" w14:textId="77777777" w:rsidR="006900D9" w:rsidRPr="006900D9" w:rsidRDefault="006900D9" w:rsidP="006900D9">
            <w:pPr>
              <w:spacing w:after="0" w:line="40" w:lineRule="exact"/>
              <w:jc w:val="right"/>
              <w:rPr>
                <w:sz w:val="17"/>
              </w:rPr>
            </w:pPr>
          </w:p>
        </w:tc>
        <w:tc>
          <w:tcPr>
            <w:tcW w:w="1559" w:type="dxa"/>
            <w:tcBorders>
              <w:top w:val="single" w:sz="4" w:space="0" w:color="auto"/>
            </w:tcBorders>
          </w:tcPr>
          <w:p w14:paraId="0DA65130" w14:textId="77777777" w:rsidR="006900D9" w:rsidRPr="006900D9" w:rsidRDefault="006900D9" w:rsidP="006900D9">
            <w:pPr>
              <w:spacing w:after="0" w:line="40" w:lineRule="exact"/>
              <w:jc w:val="right"/>
              <w:rPr>
                <w:sz w:val="17"/>
              </w:rPr>
            </w:pPr>
          </w:p>
        </w:tc>
        <w:tc>
          <w:tcPr>
            <w:tcW w:w="1276" w:type="dxa"/>
            <w:tcBorders>
              <w:top w:val="single" w:sz="4" w:space="0" w:color="auto"/>
            </w:tcBorders>
          </w:tcPr>
          <w:p w14:paraId="4085531D" w14:textId="77777777" w:rsidR="006900D9" w:rsidRPr="006900D9" w:rsidRDefault="006900D9" w:rsidP="006900D9">
            <w:pPr>
              <w:spacing w:after="0" w:line="40" w:lineRule="exact"/>
              <w:jc w:val="right"/>
              <w:rPr>
                <w:sz w:val="17"/>
              </w:rPr>
            </w:pPr>
          </w:p>
        </w:tc>
        <w:tc>
          <w:tcPr>
            <w:tcW w:w="986" w:type="dxa"/>
            <w:tcBorders>
              <w:top w:val="single" w:sz="4" w:space="0" w:color="auto"/>
            </w:tcBorders>
          </w:tcPr>
          <w:p w14:paraId="55D24D9C" w14:textId="77777777" w:rsidR="006900D9" w:rsidRPr="006900D9" w:rsidRDefault="006900D9" w:rsidP="006900D9">
            <w:pPr>
              <w:spacing w:after="0" w:line="40" w:lineRule="exact"/>
              <w:jc w:val="right"/>
              <w:rPr>
                <w:sz w:val="17"/>
              </w:rPr>
            </w:pPr>
          </w:p>
        </w:tc>
      </w:tr>
      <w:tr w:rsidR="006900D9" w:rsidRPr="006900D9" w14:paraId="2E124A1E" w14:textId="77777777" w:rsidTr="00143ECC">
        <w:tc>
          <w:tcPr>
            <w:tcW w:w="1558" w:type="dxa"/>
            <w:vMerge w:val="restart"/>
            <w:textDirection w:val="btLr"/>
            <w:vAlign w:val="center"/>
          </w:tcPr>
          <w:p w14:paraId="7169A869" w14:textId="77777777" w:rsidR="006900D9" w:rsidRPr="006900D9" w:rsidRDefault="006900D9" w:rsidP="006900D9">
            <w:pPr>
              <w:spacing w:after="0"/>
              <w:ind w:left="113" w:right="113"/>
              <w:jc w:val="center"/>
              <w:rPr>
                <w:sz w:val="17"/>
              </w:rPr>
            </w:pPr>
            <w:r w:rsidRPr="006900D9">
              <w:rPr>
                <w:sz w:val="17"/>
              </w:rPr>
              <w:t>Musgrave</w:t>
            </w:r>
          </w:p>
        </w:tc>
        <w:tc>
          <w:tcPr>
            <w:tcW w:w="2553" w:type="dxa"/>
          </w:tcPr>
          <w:p w14:paraId="7D6ECAA3" w14:textId="77777777" w:rsidR="006900D9" w:rsidRPr="006900D9" w:rsidRDefault="006900D9" w:rsidP="006900D9">
            <w:pPr>
              <w:spacing w:after="0"/>
              <w:jc w:val="left"/>
              <w:rPr>
                <w:sz w:val="17"/>
              </w:rPr>
            </w:pPr>
            <w:r w:rsidRPr="006900D9">
              <w:rPr>
                <w:sz w:val="17"/>
              </w:rPr>
              <w:t>Polda</w:t>
            </w:r>
          </w:p>
        </w:tc>
        <w:tc>
          <w:tcPr>
            <w:tcW w:w="1418" w:type="dxa"/>
          </w:tcPr>
          <w:p w14:paraId="1E60D138" w14:textId="77777777" w:rsidR="006900D9" w:rsidRPr="006900D9" w:rsidRDefault="006900D9" w:rsidP="006900D9">
            <w:pPr>
              <w:spacing w:after="0"/>
              <w:ind w:right="566"/>
              <w:jc w:val="right"/>
              <w:rPr>
                <w:sz w:val="17"/>
              </w:rPr>
            </w:pPr>
            <w:r w:rsidRPr="006900D9">
              <w:rPr>
                <w:sz w:val="17"/>
              </w:rPr>
              <w:t>54.4</w:t>
            </w:r>
          </w:p>
        </w:tc>
        <w:tc>
          <w:tcPr>
            <w:tcW w:w="1559" w:type="dxa"/>
          </w:tcPr>
          <w:p w14:paraId="03470A85" w14:textId="77777777" w:rsidR="006900D9" w:rsidRPr="006900D9" w:rsidRDefault="006900D9" w:rsidP="006900D9">
            <w:pPr>
              <w:spacing w:after="0"/>
              <w:ind w:right="567"/>
              <w:jc w:val="right"/>
              <w:rPr>
                <w:sz w:val="17"/>
              </w:rPr>
            </w:pPr>
            <w:r w:rsidRPr="006900D9">
              <w:rPr>
                <w:sz w:val="17"/>
              </w:rPr>
              <w:t>0.0</w:t>
            </w:r>
          </w:p>
        </w:tc>
        <w:tc>
          <w:tcPr>
            <w:tcW w:w="1276" w:type="dxa"/>
          </w:tcPr>
          <w:p w14:paraId="576B3422" w14:textId="77777777" w:rsidR="006900D9" w:rsidRPr="006900D9" w:rsidRDefault="006900D9" w:rsidP="006900D9">
            <w:pPr>
              <w:spacing w:after="0"/>
              <w:ind w:right="227"/>
              <w:jc w:val="right"/>
              <w:rPr>
                <w:sz w:val="17"/>
              </w:rPr>
            </w:pPr>
            <w:r w:rsidRPr="006900D9">
              <w:rPr>
                <w:sz w:val="17"/>
              </w:rPr>
              <w:t>0.000</w:t>
            </w:r>
          </w:p>
        </w:tc>
        <w:tc>
          <w:tcPr>
            <w:tcW w:w="986" w:type="dxa"/>
          </w:tcPr>
          <w:p w14:paraId="46BBCF73" w14:textId="77777777" w:rsidR="006900D9" w:rsidRPr="006900D9" w:rsidRDefault="006900D9" w:rsidP="006900D9">
            <w:pPr>
              <w:spacing w:after="0"/>
              <w:ind w:right="227"/>
              <w:jc w:val="right"/>
              <w:rPr>
                <w:sz w:val="17"/>
              </w:rPr>
            </w:pPr>
            <w:r w:rsidRPr="006900D9">
              <w:rPr>
                <w:sz w:val="17"/>
              </w:rPr>
              <w:t>34,730</w:t>
            </w:r>
          </w:p>
        </w:tc>
      </w:tr>
      <w:tr w:rsidR="006900D9" w:rsidRPr="006900D9" w14:paraId="401266D4" w14:textId="77777777" w:rsidTr="00143ECC">
        <w:tc>
          <w:tcPr>
            <w:tcW w:w="1558" w:type="dxa"/>
            <w:vMerge/>
          </w:tcPr>
          <w:p w14:paraId="0EB2247D" w14:textId="77777777" w:rsidR="006900D9" w:rsidRPr="006900D9" w:rsidRDefault="006900D9" w:rsidP="006900D9">
            <w:pPr>
              <w:spacing w:after="0"/>
              <w:rPr>
                <w:sz w:val="17"/>
              </w:rPr>
            </w:pPr>
          </w:p>
        </w:tc>
        <w:tc>
          <w:tcPr>
            <w:tcW w:w="2553" w:type="dxa"/>
          </w:tcPr>
          <w:p w14:paraId="632E7CBD" w14:textId="77777777" w:rsidR="006900D9" w:rsidRPr="006900D9" w:rsidRDefault="006900D9" w:rsidP="006900D9">
            <w:pPr>
              <w:spacing w:after="0"/>
              <w:jc w:val="left"/>
              <w:rPr>
                <w:sz w:val="17"/>
              </w:rPr>
            </w:pPr>
            <w:r w:rsidRPr="006900D9">
              <w:rPr>
                <w:sz w:val="17"/>
              </w:rPr>
              <w:t>Bramfield</w:t>
            </w:r>
          </w:p>
        </w:tc>
        <w:tc>
          <w:tcPr>
            <w:tcW w:w="1418" w:type="dxa"/>
          </w:tcPr>
          <w:p w14:paraId="09745ABF" w14:textId="77777777" w:rsidR="006900D9" w:rsidRPr="006900D9" w:rsidRDefault="006900D9" w:rsidP="006900D9">
            <w:pPr>
              <w:spacing w:after="0"/>
              <w:ind w:right="566"/>
              <w:jc w:val="right"/>
              <w:rPr>
                <w:sz w:val="17"/>
              </w:rPr>
            </w:pPr>
            <w:r w:rsidRPr="006900D9">
              <w:rPr>
                <w:sz w:val="17"/>
              </w:rPr>
              <w:t>75.4</w:t>
            </w:r>
          </w:p>
        </w:tc>
        <w:tc>
          <w:tcPr>
            <w:tcW w:w="1559" w:type="dxa"/>
          </w:tcPr>
          <w:p w14:paraId="4FC9FD12" w14:textId="77777777" w:rsidR="006900D9" w:rsidRPr="006900D9" w:rsidRDefault="006900D9" w:rsidP="006900D9">
            <w:pPr>
              <w:spacing w:after="0"/>
              <w:ind w:right="567"/>
              <w:jc w:val="right"/>
              <w:rPr>
                <w:sz w:val="17"/>
              </w:rPr>
            </w:pPr>
            <w:r w:rsidRPr="006900D9">
              <w:rPr>
                <w:sz w:val="17"/>
              </w:rPr>
              <w:t>39.9</w:t>
            </w:r>
          </w:p>
        </w:tc>
        <w:tc>
          <w:tcPr>
            <w:tcW w:w="1276" w:type="dxa"/>
          </w:tcPr>
          <w:p w14:paraId="12FE7169" w14:textId="77777777" w:rsidR="006900D9" w:rsidRPr="006900D9" w:rsidRDefault="006900D9" w:rsidP="006900D9">
            <w:pPr>
              <w:spacing w:after="0"/>
              <w:ind w:right="227"/>
              <w:jc w:val="right"/>
              <w:rPr>
                <w:sz w:val="17"/>
              </w:rPr>
            </w:pPr>
            <w:r w:rsidRPr="006900D9">
              <w:rPr>
                <w:sz w:val="17"/>
              </w:rPr>
              <w:t>0.399</w:t>
            </w:r>
          </w:p>
        </w:tc>
        <w:tc>
          <w:tcPr>
            <w:tcW w:w="986" w:type="dxa"/>
          </w:tcPr>
          <w:p w14:paraId="465182C4" w14:textId="77777777" w:rsidR="006900D9" w:rsidRPr="006900D9" w:rsidRDefault="006900D9" w:rsidP="006900D9">
            <w:pPr>
              <w:spacing w:after="0"/>
              <w:ind w:right="227"/>
              <w:jc w:val="right"/>
              <w:rPr>
                <w:sz w:val="17"/>
              </w:rPr>
            </w:pPr>
            <w:r w:rsidRPr="006900D9">
              <w:rPr>
                <w:sz w:val="17"/>
              </w:rPr>
              <w:t>654,183</w:t>
            </w:r>
          </w:p>
        </w:tc>
      </w:tr>
      <w:tr w:rsidR="006900D9" w:rsidRPr="006900D9" w14:paraId="4A78E7D8" w14:textId="77777777" w:rsidTr="00143ECC">
        <w:tc>
          <w:tcPr>
            <w:tcW w:w="1558" w:type="dxa"/>
            <w:vMerge/>
          </w:tcPr>
          <w:p w14:paraId="1CFFB3C0" w14:textId="77777777" w:rsidR="006900D9" w:rsidRPr="006900D9" w:rsidRDefault="006900D9" w:rsidP="006900D9">
            <w:pPr>
              <w:spacing w:after="0"/>
              <w:rPr>
                <w:sz w:val="17"/>
              </w:rPr>
            </w:pPr>
          </w:p>
        </w:tc>
        <w:tc>
          <w:tcPr>
            <w:tcW w:w="2553" w:type="dxa"/>
          </w:tcPr>
          <w:p w14:paraId="189F9356" w14:textId="77777777" w:rsidR="006900D9" w:rsidRPr="006900D9" w:rsidRDefault="006900D9" w:rsidP="006900D9">
            <w:pPr>
              <w:spacing w:after="0"/>
              <w:jc w:val="left"/>
              <w:rPr>
                <w:sz w:val="17"/>
              </w:rPr>
            </w:pPr>
            <w:r w:rsidRPr="006900D9">
              <w:rPr>
                <w:sz w:val="17"/>
              </w:rPr>
              <w:t>Sheringa</w:t>
            </w:r>
          </w:p>
        </w:tc>
        <w:tc>
          <w:tcPr>
            <w:tcW w:w="1418" w:type="dxa"/>
          </w:tcPr>
          <w:p w14:paraId="3CE401C4" w14:textId="77777777" w:rsidR="006900D9" w:rsidRPr="006900D9" w:rsidRDefault="006900D9" w:rsidP="006900D9">
            <w:pPr>
              <w:spacing w:after="0"/>
              <w:ind w:right="566"/>
              <w:jc w:val="right"/>
              <w:rPr>
                <w:sz w:val="17"/>
              </w:rPr>
            </w:pPr>
            <w:r w:rsidRPr="006900D9">
              <w:rPr>
                <w:sz w:val="17"/>
              </w:rPr>
              <w:t>81.6</w:t>
            </w:r>
          </w:p>
        </w:tc>
        <w:tc>
          <w:tcPr>
            <w:tcW w:w="1559" w:type="dxa"/>
          </w:tcPr>
          <w:p w14:paraId="12248689" w14:textId="77777777" w:rsidR="006900D9" w:rsidRPr="006900D9" w:rsidRDefault="006900D9" w:rsidP="006900D9">
            <w:pPr>
              <w:spacing w:after="0"/>
              <w:ind w:right="567"/>
              <w:jc w:val="right"/>
              <w:rPr>
                <w:sz w:val="17"/>
              </w:rPr>
            </w:pPr>
            <w:r w:rsidRPr="006900D9">
              <w:rPr>
                <w:sz w:val="17"/>
              </w:rPr>
              <w:t>57.5</w:t>
            </w:r>
          </w:p>
        </w:tc>
        <w:tc>
          <w:tcPr>
            <w:tcW w:w="1276" w:type="dxa"/>
          </w:tcPr>
          <w:p w14:paraId="1E49F071" w14:textId="77777777" w:rsidR="006900D9" w:rsidRPr="006900D9" w:rsidRDefault="006900D9" w:rsidP="006900D9">
            <w:pPr>
              <w:spacing w:after="0"/>
              <w:ind w:right="227"/>
              <w:jc w:val="right"/>
              <w:rPr>
                <w:sz w:val="17"/>
              </w:rPr>
            </w:pPr>
            <w:r w:rsidRPr="006900D9">
              <w:rPr>
                <w:sz w:val="17"/>
              </w:rPr>
              <w:t>0.575</w:t>
            </w:r>
          </w:p>
        </w:tc>
        <w:tc>
          <w:tcPr>
            <w:tcW w:w="986" w:type="dxa"/>
          </w:tcPr>
          <w:p w14:paraId="1599DB25" w14:textId="77777777" w:rsidR="006900D9" w:rsidRPr="006900D9" w:rsidRDefault="006900D9" w:rsidP="006900D9">
            <w:pPr>
              <w:spacing w:after="0"/>
              <w:ind w:right="227"/>
              <w:jc w:val="right"/>
              <w:rPr>
                <w:sz w:val="17"/>
              </w:rPr>
            </w:pPr>
            <w:r w:rsidRPr="006900D9">
              <w:rPr>
                <w:sz w:val="17"/>
              </w:rPr>
              <w:t>862,212</w:t>
            </w:r>
          </w:p>
        </w:tc>
      </w:tr>
      <w:tr w:rsidR="006900D9" w:rsidRPr="006900D9" w14:paraId="49144E14" w14:textId="77777777" w:rsidTr="00143ECC">
        <w:tc>
          <w:tcPr>
            <w:tcW w:w="1558" w:type="dxa"/>
            <w:vMerge/>
          </w:tcPr>
          <w:p w14:paraId="1B63154C" w14:textId="77777777" w:rsidR="006900D9" w:rsidRPr="006900D9" w:rsidRDefault="006900D9" w:rsidP="006900D9">
            <w:pPr>
              <w:spacing w:after="0"/>
              <w:rPr>
                <w:sz w:val="17"/>
              </w:rPr>
            </w:pPr>
          </w:p>
        </w:tc>
        <w:tc>
          <w:tcPr>
            <w:tcW w:w="2553" w:type="dxa"/>
          </w:tcPr>
          <w:p w14:paraId="4334D78E" w14:textId="77777777" w:rsidR="006900D9" w:rsidRPr="006900D9" w:rsidRDefault="006900D9" w:rsidP="006900D9">
            <w:pPr>
              <w:spacing w:after="0"/>
              <w:jc w:val="left"/>
              <w:rPr>
                <w:sz w:val="17"/>
              </w:rPr>
            </w:pPr>
            <w:r w:rsidRPr="006900D9">
              <w:rPr>
                <w:sz w:val="17"/>
              </w:rPr>
              <w:t>Aquaculture Elliston</w:t>
            </w:r>
          </w:p>
        </w:tc>
        <w:tc>
          <w:tcPr>
            <w:tcW w:w="1418" w:type="dxa"/>
          </w:tcPr>
          <w:p w14:paraId="5D3E3F59" w14:textId="77777777" w:rsidR="006900D9" w:rsidRPr="006900D9" w:rsidRDefault="006900D9" w:rsidP="006900D9">
            <w:pPr>
              <w:spacing w:after="0"/>
              <w:ind w:right="566"/>
              <w:jc w:val="right"/>
              <w:rPr>
                <w:sz w:val="17"/>
              </w:rPr>
            </w:pPr>
          </w:p>
        </w:tc>
        <w:tc>
          <w:tcPr>
            <w:tcW w:w="1559" w:type="dxa"/>
          </w:tcPr>
          <w:p w14:paraId="38110E3A" w14:textId="77777777" w:rsidR="006900D9" w:rsidRPr="006900D9" w:rsidRDefault="006900D9" w:rsidP="006900D9">
            <w:pPr>
              <w:spacing w:after="0"/>
              <w:ind w:right="567"/>
              <w:jc w:val="right"/>
              <w:rPr>
                <w:sz w:val="17"/>
              </w:rPr>
            </w:pPr>
          </w:p>
        </w:tc>
        <w:tc>
          <w:tcPr>
            <w:tcW w:w="1276" w:type="dxa"/>
          </w:tcPr>
          <w:p w14:paraId="015B9932" w14:textId="77777777" w:rsidR="006900D9" w:rsidRPr="006900D9" w:rsidRDefault="006900D9" w:rsidP="006900D9">
            <w:pPr>
              <w:spacing w:after="0"/>
              <w:ind w:right="227"/>
              <w:jc w:val="right"/>
              <w:rPr>
                <w:sz w:val="17"/>
              </w:rPr>
            </w:pPr>
          </w:p>
        </w:tc>
        <w:tc>
          <w:tcPr>
            <w:tcW w:w="986" w:type="dxa"/>
          </w:tcPr>
          <w:p w14:paraId="3210C9A3" w14:textId="77777777" w:rsidR="006900D9" w:rsidRPr="006900D9" w:rsidRDefault="006900D9" w:rsidP="006900D9">
            <w:pPr>
              <w:spacing w:after="0"/>
              <w:ind w:right="227"/>
              <w:jc w:val="right"/>
              <w:rPr>
                <w:sz w:val="17"/>
              </w:rPr>
            </w:pPr>
            <w:r w:rsidRPr="006900D9">
              <w:rPr>
                <w:sz w:val="17"/>
              </w:rPr>
              <w:t>10,000</w:t>
            </w:r>
          </w:p>
        </w:tc>
      </w:tr>
      <w:tr w:rsidR="006900D9" w:rsidRPr="006900D9" w14:paraId="196E064C" w14:textId="77777777" w:rsidTr="00143ECC">
        <w:tc>
          <w:tcPr>
            <w:tcW w:w="1558" w:type="dxa"/>
            <w:vMerge/>
          </w:tcPr>
          <w:p w14:paraId="2B042EC5" w14:textId="77777777" w:rsidR="006900D9" w:rsidRPr="006900D9" w:rsidRDefault="006900D9" w:rsidP="006900D9">
            <w:pPr>
              <w:spacing w:after="0"/>
              <w:rPr>
                <w:sz w:val="17"/>
              </w:rPr>
            </w:pPr>
          </w:p>
        </w:tc>
        <w:tc>
          <w:tcPr>
            <w:tcW w:w="2553" w:type="dxa"/>
          </w:tcPr>
          <w:p w14:paraId="5A830119" w14:textId="77777777" w:rsidR="006900D9" w:rsidRPr="006900D9" w:rsidRDefault="006900D9" w:rsidP="006900D9">
            <w:pPr>
              <w:spacing w:after="0"/>
              <w:jc w:val="left"/>
              <w:rPr>
                <w:sz w:val="17"/>
              </w:rPr>
            </w:pPr>
            <w:r w:rsidRPr="006900D9">
              <w:rPr>
                <w:sz w:val="17"/>
              </w:rPr>
              <w:t>Musgrave Unsaturated</w:t>
            </w:r>
          </w:p>
        </w:tc>
        <w:tc>
          <w:tcPr>
            <w:tcW w:w="1418" w:type="dxa"/>
          </w:tcPr>
          <w:p w14:paraId="6ECE0B7F" w14:textId="77777777" w:rsidR="006900D9" w:rsidRPr="006900D9" w:rsidRDefault="006900D9" w:rsidP="006900D9">
            <w:pPr>
              <w:spacing w:after="0"/>
              <w:ind w:right="566"/>
              <w:jc w:val="right"/>
              <w:rPr>
                <w:sz w:val="17"/>
              </w:rPr>
            </w:pPr>
          </w:p>
        </w:tc>
        <w:tc>
          <w:tcPr>
            <w:tcW w:w="1559" w:type="dxa"/>
          </w:tcPr>
          <w:p w14:paraId="719C0B28" w14:textId="77777777" w:rsidR="006900D9" w:rsidRPr="006900D9" w:rsidRDefault="006900D9" w:rsidP="006900D9">
            <w:pPr>
              <w:spacing w:after="0"/>
              <w:ind w:right="567"/>
              <w:jc w:val="right"/>
              <w:rPr>
                <w:sz w:val="17"/>
              </w:rPr>
            </w:pPr>
          </w:p>
        </w:tc>
        <w:tc>
          <w:tcPr>
            <w:tcW w:w="1276" w:type="dxa"/>
          </w:tcPr>
          <w:p w14:paraId="0A64FFD6" w14:textId="77777777" w:rsidR="006900D9" w:rsidRPr="006900D9" w:rsidRDefault="006900D9" w:rsidP="006900D9">
            <w:pPr>
              <w:spacing w:after="0"/>
              <w:ind w:right="227"/>
              <w:jc w:val="right"/>
              <w:rPr>
                <w:sz w:val="17"/>
              </w:rPr>
            </w:pPr>
          </w:p>
        </w:tc>
        <w:tc>
          <w:tcPr>
            <w:tcW w:w="986" w:type="dxa"/>
          </w:tcPr>
          <w:p w14:paraId="5FB7636C" w14:textId="77777777" w:rsidR="006900D9" w:rsidRPr="006900D9" w:rsidRDefault="006900D9" w:rsidP="006900D9">
            <w:pPr>
              <w:spacing w:after="0"/>
              <w:ind w:right="227"/>
              <w:jc w:val="right"/>
              <w:rPr>
                <w:sz w:val="17"/>
              </w:rPr>
            </w:pPr>
            <w:r w:rsidRPr="006900D9">
              <w:rPr>
                <w:sz w:val="17"/>
              </w:rPr>
              <w:t>10,600</w:t>
            </w:r>
          </w:p>
        </w:tc>
      </w:tr>
      <w:tr w:rsidR="006900D9" w:rsidRPr="006900D9" w14:paraId="4C911C95" w14:textId="77777777" w:rsidTr="00143ECC">
        <w:tc>
          <w:tcPr>
            <w:tcW w:w="1558" w:type="dxa"/>
            <w:vMerge/>
          </w:tcPr>
          <w:p w14:paraId="2CF43FD7" w14:textId="77777777" w:rsidR="006900D9" w:rsidRPr="006900D9" w:rsidRDefault="006900D9" w:rsidP="006900D9">
            <w:pPr>
              <w:spacing w:after="0"/>
              <w:rPr>
                <w:sz w:val="17"/>
              </w:rPr>
            </w:pPr>
          </w:p>
        </w:tc>
        <w:tc>
          <w:tcPr>
            <w:tcW w:w="2553" w:type="dxa"/>
          </w:tcPr>
          <w:p w14:paraId="3141F7B8" w14:textId="77777777" w:rsidR="006900D9" w:rsidRPr="006900D9" w:rsidRDefault="006900D9" w:rsidP="006900D9">
            <w:pPr>
              <w:spacing w:after="0"/>
              <w:jc w:val="left"/>
              <w:rPr>
                <w:sz w:val="17"/>
              </w:rPr>
            </w:pPr>
            <w:r w:rsidRPr="006900D9">
              <w:rPr>
                <w:sz w:val="17"/>
              </w:rPr>
              <w:t>Tertiary</w:t>
            </w:r>
          </w:p>
        </w:tc>
        <w:tc>
          <w:tcPr>
            <w:tcW w:w="1418" w:type="dxa"/>
          </w:tcPr>
          <w:p w14:paraId="4AC914CD" w14:textId="77777777" w:rsidR="006900D9" w:rsidRPr="006900D9" w:rsidRDefault="006900D9" w:rsidP="006900D9">
            <w:pPr>
              <w:spacing w:after="0"/>
              <w:ind w:right="566"/>
              <w:jc w:val="right"/>
              <w:rPr>
                <w:sz w:val="17"/>
              </w:rPr>
            </w:pPr>
          </w:p>
        </w:tc>
        <w:tc>
          <w:tcPr>
            <w:tcW w:w="1559" w:type="dxa"/>
          </w:tcPr>
          <w:p w14:paraId="1F2FD6D7" w14:textId="77777777" w:rsidR="006900D9" w:rsidRPr="006900D9" w:rsidRDefault="006900D9" w:rsidP="006900D9">
            <w:pPr>
              <w:spacing w:after="0"/>
              <w:ind w:right="567"/>
              <w:jc w:val="right"/>
              <w:rPr>
                <w:sz w:val="17"/>
              </w:rPr>
            </w:pPr>
          </w:p>
        </w:tc>
        <w:tc>
          <w:tcPr>
            <w:tcW w:w="1276" w:type="dxa"/>
          </w:tcPr>
          <w:p w14:paraId="0951ABD5" w14:textId="77777777" w:rsidR="006900D9" w:rsidRPr="006900D9" w:rsidRDefault="006900D9" w:rsidP="006900D9">
            <w:pPr>
              <w:spacing w:after="0"/>
              <w:ind w:right="227"/>
              <w:jc w:val="right"/>
              <w:rPr>
                <w:sz w:val="17"/>
              </w:rPr>
            </w:pPr>
          </w:p>
        </w:tc>
        <w:tc>
          <w:tcPr>
            <w:tcW w:w="986" w:type="dxa"/>
          </w:tcPr>
          <w:p w14:paraId="1D39C6EC" w14:textId="77777777" w:rsidR="006900D9" w:rsidRPr="006900D9" w:rsidRDefault="006900D9" w:rsidP="006900D9">
            <w:pPr>
              <w:spacing w:after="0"/>
              <w:ind w:right="227"/>
              <w:jc w:val="right"/>
              <w:rPr>
                <w:sz w:val="17"/>
              </w:rPr>
            </w:pPr>
            <w:r w:rsidRPr="006900D9">
              <w:rPr>
                <w:sz w:val="17"/>
              </w:rPr>
              <w:t>68,390</w:t>
            </w:r>
          </w:p>
        </w:tc>
      </w:tr>
      <w:tr w:rsidR="006900D9" w:rsidRPr="006900D9" w14:paraId="18386810" w14:textId="77777777" w:rsidTr="00143ECC">
        <w:tc>
          <w:tcPr>
            <w:tcW w:w="1558" w:type="dxa"/>
            <w:vMerge/>
            <w:tcBorders>
              <w:bottom w:val="single" w:sz="4" w:space="0" w:color="auto"/>
            </w:tcBorders>
          </w:tcPr>
          <w:p w14:paraId="76025997" w14:textId="77777777" w:rsidR="006900D9" w:rsidRPr="006900D9" w:rsidRDefault="006900D9" w:rsidP="006900D9">
            <w:pPr>
              <w:rPr>
                <w:sz w:val="17"/>
              </w:rPr>
            </w:pPr>
          </w:p>
        </w:tc>
        <w:tc>
          <w:tcPr>
            <w:tcW w:w="2553" w:type="dxa"/>
            <w:tcBorders>
              <w:bottom w:val="single" w:sz="4" w:space="0" w:color="auto"/>
            </w:tcBorders>
          </w:tcPr>
          <w:p w14:paraId="5333F169" w14:textId="77777777" w:rsidR="006900D9" w:rsidRPr="006900D9" w:rsidRDefault="006900D9" w:rsidP="006900D9">
            <w:pPr>
              <w:jc w:val="left"/>
              <w:rPr>
                <w:sz w:val="17"/>
              </w:rPr>
            </w:pPr>
            <w:r w:rsidRPr="006900D9">
              <w:rPr>
                <w:sz w:val="17"/>
              </w:rPr>
              <w:t>Basement</w:t>
            </w:r>
          </w:p>
        </w:tc>
        <w:tc>
          <w:tcPr>
            <w:tcW w:w="1418" w:type="dxa"/>
            <w:tcBorders>
              <w:bottom w:val="single" w:sz="4" w:space="0" w:color="auto"/>
            </w:tcBorders>
          </w:tcPr>
          <w:p w14:paraId="0AC13738" w14:textId="77777777" w:rsidR="006900D9" w:rsidRPr="006900D9" w:rsidRDefault="006900D9" w:rsidP="006900D9">
            <w:pPr>
              <w:ind w:right="566"/>
              <w:jc w:val="right"/>
              <w:rPr>
                <w:sz w:val="17"/>
              </w:rPr>
            </w:pPr>
          </w:p>
        </w:tc>
        <w:tc>
          <w:tcPr>
            <w:tcW w:w="1559" w:type="dxa"/>
            <w:tcBorders>
              <w:bottom w:val="single" w:sz="4" w:space="0" w:color="auto"/>
            </w:tcBorders>
          </w:tcPr>
          <w:p w14:paraId="31700C4D" w14:textId="77777777" w:rsidR="006900D9" w:rsidRPr="006900D9" w:rsidRDefault="006900D9" w:rsidP="006900D9">
            <w:pPr>
              <w:ind w:right="567"/>
              <w:jc w:val="right"/>
              <w:rPr>
                <w:sz w:val="17"/>
              </w:rPr>
            </w:pPr>
          </w:p>
        </w:tc>
        <w:tc>
          <w:tcPr>
            <w:tcW w:w="1276" w:type="dxa"/>
            <w:tcBorders>
              <w:bottom w:val="single" w:sz="4" w:space="0" w:color="auto"/>
            </w:tcBorders>
          </w:tcPr>
          <w:p w14:paraId="3294BF37" w14:textId="77777777" w:rsidR="006900D9" w:rsidRPr="006900D9" w:rsidRDefault="006900D9" w:rsidP="006900D9">
            <w:pPr>
              <w:ind w:right="227"/>
              <w:jc w:val="right"/>
              <w:rPr>
                <w:sz w:val="17"/>
              </w:rPr>
            </w:pPr>
          </w:p>
        </w:tc>
        <w:tc>
          <w:tcPr>
            <w:tcW w:w="986" w:type="dxa"/>
            <w:tcBorders>
              <w:bottom w:val="single" w:sz="4" w:space="0" w:color="auto"/>
            </w:tcBorders>
          </w:tcPr>
          <w:p w14:paraId="0F786146" w14:textId="77777777" w:rsidR="006900D9" w:rsidRPr="006900D9" w:rsidRDefault="006900D9" w:rsidP="006900D9">
            <w:pPr>
              <w:ind w:right="227"/>
              <w:jc w:val="right"/>
              <w:rPr>
                <w:sz w:val="17"/>
              </w:rPr>
            </w:pPr>
            <w:r w:rsidRPr="006900D9">
              <w:rPr>
                <w:sz w:val="17"/>
              </w:rPr>
              <w:t>67,270</w:t>
            </w:r>
          </w:p>
        </w:tc>
      </w:tr>
      <w:tr w:rsidR="006900D9" w:rsidRPr="006900D9" w14:paraId="044DB9D8" w14:textId="77777777" w:rsidTr="00143ECC">
        <w:tc>
          <w:tcPr>
            <w:tcW w:w="1558" w:type="dxa"/>
            <w:tcBorders>
              <w:top w:val="single" w:sz="4" w:space="0" w:color="auto"/>
            </w:tcBorders>
          </w:tcPr>
          <w:p w14:paraId="46FCF90A" w14:textId="77777777" w:rsidR="006900D9" w:rsidRPr="006900D9" w:rsidRDefault="006900D9" w:rsidP="006900D9">
            <w:pPr>
              <w:spacing w:after="0" w:line="80" w:lineRule="exact"/>
              <w:rPr>
                <w:sz w:val="17"/>
              </w:rPr>
            </w:pPr>
          </w:p>
        </w:tc>
        <w:tc>
          <w:tcPr>
            <w:tcW w:w="2553" w:type="dxa"/>
            <w:tcBorders>
              <w:top w:val="single" w:sz="4" w:space="0" w:color="auto"/>
            </w:tcBorders>
          </w:tcPr>
          <w:p w14:paraId="71EADC8E" w14:textId="77777777" w:rsidR="006900D9" w:rsidRPr="006900D9" w:rsidRDefault="006900D9" w:rsidP="006900D9">
            <w:pPr>
              <w:spacing w:after="0" w:line="80" w:lineRule="exact"/>
              <w:rPr>
                <w:sz w:val="17"/>
              </w:rPr>
            </w:pPr>
          </w:p>
        </w:tc>
        <w:tc>
          <w:tcPr>
            <w:tcW w:w="1418" w:type="dxa"/>
            <w:tcBorders>
              <w:top w:val="single" w:sz="4" w:space="0" w:color="auto"/>
            </w:tcBorders>
          </w:tcPr>
          <w:p w14:paraId="5A1C3150" w14:textId="77777777" w:rsidR="006900D9" w:rsidRPr="006900D9" w:rsidRDefault="006900D9" w:rsidP="006900D9">
            <w:pPr>
              <w:spacing w:after="0" w:line="80" w:lineRule="exact"/>
              <w:rPr>
                <w:sz w:val="17"/>
              </w:rPr>
            </w:pPr>
          </w:p>
        </w:tc>
        <w:tc>
          <w:tcPr>
            <w:tcW w:w="1559" w:type="dxa"/>
            <w:tcBorders>
              <w:top w:val="single" w:sz="4" w:space="0" w:color="auto"/>
            </w:tcBorders>
          </w:tcPr>
          <w:p w14:paraId="069CC27A" w14:textId="77777777" w:rsidR="006900D9" w:rsidRPr="006900D9" w:rsidRDefault="006900D9" w:rsidP="006900D9">
            <w:pPr>
              <w:spacing w:after="0" w:line="80" w:lineRule="exact"/>
              <w:rPr>
                <w:sz w:val="17"/>
              </w:rPr>
            </w:pPr>
          </w:p>
        </w:tc>
        <w:tc>
          <w:tcPr>
            <w:tcW w:w="1276" w:type="dxa"/>
            <w:tcBorders>
              <w:top w:val="single" w:sz="4" w:space="0" w:color="auto"/>
            </w:tcBorders>
          </w:tcPr>
          <w:p w14:paraId="46DD71D3" w14:textId="77777777" w:rsidR="006900D9" w:rsidRPr="006900D9" w:rsidRDefault="006900D9" w:rsidP="006900D9">
            <w:pPr>
              <w:spacing w:after="0" w:line="80" w:lineRule="exact"/>
              <w:rPr>
                <w:sz w:val="17"/>
              </w:rPr>
            </w:pPr>
          </w:p>
        </w:tc>
        <w:tc>
          <w:tcPr>
            <w:tcW w:w="986" w:type="dxa"/>
            <w:tcBorders>
              <w:top w:val="single" w:sz="4" w:space="0" w:color="auto"/>
            </w:tcBorders>
          </w:tcPr>
          <w:p w14:paraId="38648BA3" w14:textId="77777777" w:rsidR="006900D9" w:rsidRPr="006900D9" w:rsidRDefault="006900D9" w:rsidP="006900D9">
            <w:pPr>
              <w:spacing w:after="0" w:line="80" w:lineRule="exact"/>
              <w:rPr>
                <w:sz w:val="17"/>
              </w:rPr>
            </w:pPr>
          </w:p>
        </w:tc>
      </w:tr>
    </w:tbl>
    <w:p w14:paraId="34DF4DD7" w14:textId="77777777" w:rsidR="006900D9" w:rsidRPr="006900D9" w:rsidRDefault="006900D9" w:rsidP="006900D9">
      <w:pPr>
        <w:spacing w:after="0"/>
        <w:rPr>
          <w:rFonts w:ascii="Times New Roman" w:eastAsia="Times New Roman" w:hAnsi="Times New Roman"/>
          <w:sz w:val="17"/>
          <w:szCs w:val="17"/>
        </w:rPr>
      </w:pPr>
      <w:r w:rsidRPr="006900D9">
        <w:rPr>
          <w:rFonts w:ascii="Times New Roman" w:eastAsia="Times New Roman" w:hAnsi="Times New Roman"/>
          <w:sz w:val="17"/>
          <w:szCs w:val="17"/>
        </w:rPr>
        <w:t>Dated: 27 June 2024</w:t>
      </w:r>
    </w:p>
    <w:p w14:paraId="75B9F7AF" w14:textId="77777777" w:rsidR="006900D9" w:rsidRPr="006900D9" w:rsidRDefault="006900D9" w:rsidP="006900D9">
      <w:pPr>
        <w:spacing w:after="0"/>
        <w:jc w:val="right"/>
        <w:rPr>
          <w:rFonts w:ascii="Times New Roman" w:eastAsia="Times New Roman" w:hAnsi="Times New Roman"/>
          <w:smallCaps/>
          <w:sz w:val="17"/>
          <w:szCs w:val="20"/>
        </w:rPr>
      </w:pPr>
      <w:r w:rsidRPr="006900D9">
        <w:rPr>
          <w:rFonts w:ascii="Times New Roman" w:eastAsia="Times New Roman" w:hAnsi="Times New Roman"/>
          <w:smallCaps/>
          <w:sz w:val="17"/>
          <w:szCs w:val="20"/>
        </w:rPr>
        <w:t>Ben Bruce</w:t>
      </w:r>
    </w:p>
    <w:p w14:paraId="7A5FF8D2" w14:textId="77777777" w:rsidR="006900D9" w:rsidRPr="006900D9" w:rsidRDefault="006900D9" w:rsidP="006900D9">
      <w:pPr>
        <w:spacing w:after="0"/>
        <w:jc w:val="right"/>
        <w:rPr>
          <w:rFonts w:ascii="Times New Roman" w:eastAsia="Times New Roman" w:hAnsi="Times New Roman"/>
          <w:sz w:val="17"/>
          <w:szCs w:val="17"/>
        </w:rPr>
      </w:pPr>
      <w:r w:rsidRPr="006900D9">
        <w:rPr>
          <w:rFonts w:ascii="Times New Roman" w:eastAsia="Times New Roman" w:hAnsi="Times New Roman"/>
          <w:sz w:val="17"/>
          <w:szCs w:val="17"/>
        </w:rPr>
        <w:t>Chief Executive</w:t>
      </w:r>
    </w:p>
    <w:p w14:paraId="4ED9810E" w14:textId="77777777" w:rsidR="006900D9" w:rsidRPr="006900D9" w:rsidRDefault="006900D9" w:rsidP="006900D9">
      <w:pPr>
        <w:spacing w:after="0"/>
        <w:jc w:val="right"/>
        <w:rPr>
          <w:rFonts w:ascii="Times New Roman" w:eastAsia="Times New Roman" w:hAnsi="Times New Roman"/>
          <w:sz w:val="17"/>
          <w:szCs w:val="17"/>
        </w:rPr>
      </w:pPr>
      <w:r w:rsidRPr="006900D9">
        <w:rPr>
          <w:rFonts w:ascii="Times New Roman" w:eastAsia="Times New Roman" w:hAnsi="Times New Roman"/>
          <w:sz w:val="17"/>
          <w:szCs w:val="17"/>
        </w:rPr>
        <w:t>Department for Environment and Water</w:t>
      </w:r>
    </w:p>
    <w:p w14:paraId="0938DE2A" w14:textId="77777777" w:rsidR="006900D9" w:rsidRPr="006900D9" w:rsidRDefault="006900D9" w:rsidP="006900D9">
      <w:pPr>
        <w:pBdr>
          <w:bottom w:val="single" w:sz="4" w:space="1" w:color="auto"/>
        </w:pBdr>
        <w:spacing w:after="0" w:line="52" w:lineRule="exact"/>
        <w:jc w:val="center"/>
        <w:rPr>
          <w:rFonts w:ascii="Times New Roman" w:eastAsia="Times New Roman" w:hAnsi="Times New Roman"/>
          <w:sz w:val="17"/>
          <w:szCs w:val="17"/>
        </w:rPr>
      </w:pPr>
    </w:p>
    <w:p w14:paraId="65AFB032" w14:textId="77777777" w:rsidR="006900D9" w:rsidRPr="006900D9" w:rsidRDefault="006900D9" w:rsidP="006900D9">
      <w:pPr>
        <w:pBdr>
          <w:top w:val="single" w:sz="4" w:space="1" w:color="auto"/>
        </w:pBdr>
        <w:spacing w:before="34" w:after="0" w:line="14" w:lineRule="exact"/>
        <w:jc w:val="center"/>
        <w:rPr>
          <w:rFonts w:ascii="Times New Roman" w:eastAsia="Times New Roman" w:hAnsi="Times New Roman"/>
          <w:sz w:val="17"/>
          <w:szCs w:val="17"/>
        </w:rPr>
      </w:pPr>
    </w:p>
    <w:p w14:paraId="20075E2F" w14:textId="77777777" w:rsidR="006900D9" w:rsidRPr="006900D9" w:rsidRDefault="006900D9" w:rsidP="006900D9">
      <w:pPr>
        <w:pStyle w:val="Galley"/>
        <w:spacing w:after="0"/>
      </w:pPr>
    </w:p>
    <w:p w14:paraId="7722B2F9" w14:textId="77777777" w:rsidR="006900D9" w:rsidRPr="006900D9" w:rsidRDefault="006900D9" w:rsidP="00FB3490">
      <w:pPr>
        <w:pStyle w:val="Heading2"/>
      </w:pPr>
      <w:bookmarkStart w:id="3" w:name="_Toc170398382"/>
      <w:r w:rsidRPr="006900D9">
        <w:t>Water Industry Act 2012</w:t>
      </w:r>
      <w:bookmarkEnd w:id="3"/>
    </w:p>
    <w:p w14:paraId="0938E635" w14:textId="77777777" w:rsidR="006900D9" w:rsidRPr="006900D9" w:rsidRDefault="006900D9" w:rsidP="006900D9">
      <w:pPr>
        <w:jc w:val="center"/>
        <w:rPr>
          <w:rFonts w:ascii="Times New Roman" w:hAnsi="Times New Roman"/>
          <w:i/>
          <w:sz w:val="17"/>
          <w:szCs w:val="17"/>
        </w:rPr>
      </w:pPr>
      <w:r w:rsidRPr="006900D9">
        <w:rPr>
          <w:rFonts w:ascii="Times New Roman" w:hAnsi="Times New Roman"/>
          <w:i/>
          <w:sz w:val="17"/>
          <w:szCs w:val="17"/>
        </w:rPr>
        <w:t xml:space="preserve">Extension of </w:t>
      </w:r>
      <w:proofErr w:type="gramStart"/>
      <w:r w:rsidRPr="006900D9">
        <w:rPr>
          <w:rFonts w:ascii="Times New Roman" w:hAnsi="Times New Roman"/>
          <w:i/>
          <w:sz w:val="17"/>
          <w:szCs w:val="17"/>
        </w:rPr>
        <w:t>Third Party</w:t>
      </w:r>
      <w:proofErr w:type="gramEnd"/>
      <w:r w:rsidRPr="006900D9">
        <w:rPr>
          <w:rFonts w:ascii="Times New Roman" w:hAnsi="Times New Roman"/>
          <w:i/>
          <w:sz w:val="17"/>
          <w:szCs w:val="17"/>
        </w:rPr>
        <w:t xml:space="preserve"> Access Regime</w:t>
      </w:r>
    </w:p>
    <w:p w14:paraId="66E43A85" w14:textId="77777777" w:rsidR="006900D9" w:rsidRPr="006900D9" w:rsidRDefault="006900D9" w:rsidP="006900D9">
      <w:pPr>
        <w:rPr>
          <w:rFonts w:ascii="Times New Roman" w:hAnsi="Times New Roman"/>
          <w:sz w:val="17"/>
        </w:rPr>
      </w:pPr>
      <w:r w:rsidRPr="006900D9">
        <w:rPr>
          <w:rFonts w:ascii="Times New Roman" w:hAnsi="Times New Roman"/>
          <w:sz w:val="17"/>
        </w:rPr>
        <w:t xml:space="preserve">I, Susan Close, Minister for Climate, Environment and Water, to whom administration of the </w:t>
      </w:r>
      <w:r w:rsidRPr="006900D9">
        <w:rPr>
          <w:rFonts w:ascii="Times New Roman" w:hAnsi="Times New Roman"/>
          <w:i/>
          <w:iCs/>
          <w:sz w:val="17"/>
        </w:rPr>
        <w:t>Water Industry Act 2012</w:t>
      </w:r>
      <w:r w:rsidRPr="006900D9">
        <w:rPr>
          <w:rFonts w:ascii="Times New Roman" w:hAnsi="Times New Roman"/>
          <w:sz w:val="17"/>
        </w:rPr>
        <w:t xml:space="preserve"> is committed, hereby give notice that, in accordance with Section 86</w:t>
      </w:r>
      <w:proofErr w:type="gramStart"/>
      <w:r w:rsidRPr="006900D9">
        <w:rPr>
          <w:rFonts w:ascii="Times New Roman" w:hAnsi="Times New Roman"/>
          <w:sz w:val="17"/>
        </w:rPr>
        <w:t>ZR(</w:t>
      </w:r>
      <w:proofErr w:type="gramEnd"/>
      <w:r w:rsidRPr="006900D9">
        <w:rPr>
          <w:rFonts w:ascii="Times New Roman" w:hAnsi="Times New Roman"/>
          <w:sz w:val="17"/>
        </w:rPr>
        <w:t xml:space="preserve">1) of the </w:t>
      </w:r>
      <w:r w:rsidRPr="006900D9">
        <w:rPr>
          <w:rFonts w:ascii="Times New Roman" w:hAnsi="Times New Roman"/>
          <w:i/>
          <w:iCs/>
          <w:sz w:val="17"/>
        </w:rPr>
        <w:t>Water Industry Act 2012</w:t>
      </w:r>
      <w:r w:rsidRPr="006900D9">
        <w:rPr>
          <w:rFonts w:ascii="Times New Roman" w:hAnsi="Times New Roman"/>
          <w:sz w:val="17"/>
        </w:rPr>
        <w:t xml:space="preserve">, the third party access regime has been reviewed during the last year of its prescribed operation (2024). The designated regulator, the Essential Services Commission of South Australia (ESCOSA), has conducted this review, the findings of which recommend an extension of Part 9A of the </w:t>
      </w:r>
      <w:r w:rsidRPr="006900D9">
        <w:rPr>
          <w:rFonts w:ascii="Times New Roman" w:hAnsi="Times New Roman"/>
          <w:i/>
          <w:iCs/>
          <w:sz w:val="17"/>
        </w:rPr>
        <w:t>Water Industry Act 2012</w:t>
      </w:r>
      <w:r w:rsidRPr="006900D9">
        <w:rPr>
          <w:rFonts w:ascii="Times New Roman" w:hAnsi="Times New Roman"/>
          <w:sz w:val="17"/>
        </w:rPr>
        <w:t xml:space="preserve"> under the provisions of Section 86ZR(6)(a) from 1 July 2024 for a further five years.</w:t>
      </w:r>
    </w:p>
    <w:p w14:paraId="5CA5F427" w14:textId="77777777" w:rsidR="006900D9" w:rsidRPr="006900D9" w:rsidRDefault="006900D9" w:rsidP="006900D9">
      <w:pPr>
        <w:spacing w:after="0"/>
        <w:rPr>
          <w:rFonts w:ascii="Times New Roman" w:eastAsia="Times New Roman" w:hAnsi="Times New Roman"/>
          <w:sz w:val="17"/>
          <w:szCs w:val="17"/>
        </w:rPr>
      </w:pPr>
      <w:r w:rsidRPr="006900D9">
        <w:rPr>
          <w:rFonts w:ascii="Times New Roman" w:eastAsia="Times New Roman" w:hAnsi="Times New Roman"/>
          <w:sz w:val="17"/>
          <w:szCs w:val="17"/>
        </w:rPr>
        <w:t>Dated: 27 June 2024</w:t>
      </w:r>
    </w:p>
    <w:p w14:paraId="65947553" w14:textId="77777777" w:rsidR="006900D9" w:rsidRPr="006900D9" w:rsidRDefault="006900D9" w:rsidP="006900D9">
      <w:pPr>
        <w:spacing w:after="0"/>
        <w:jc w:val="right"/>
        <w:rPr>
          <w:rFonts w:ascii="Times New Roman" w:eastAsia="Times New Roman" w:hAnsi="Times New Roman"/>
          <w:smallCaps/>
          <w:sz w:val="17"/>
          <w:szCs w:val="20"/>
        </w:rPr>
      </w:pPr>
      <w:r w:rsidRPr="006900D9">
        <w:rPr>
          <w:rFonts w:ascii="Times New Roman" w:eastAsia="Times New Roman" w:hAnsi="Times New Roman"/>
          <w:smallCaps/>
          <w:sz w:val="17"/>
          <w:szCs w:val="20"/>
        </w:rPr>
        <w:t>Susan Close MP</w:t>
      </w:r>
    </w:p>
    <w:p w14:paraId="0B65E658" w14:textId="77777777" w:rsidR="006900D9" w:rsidRPr="006900D9" w:rsidRDefault="006900D9" w:rsidP="006900D9">
      <w:pPr>
        <w:spacing w:after="0"/>
        <w:jc w:val="right"/>
        <w:rPr>
          <w:rFonts w:ascii="Times New Roman" w:eastAsia="Times New Roman" w:hAnsi="Times New Roman"/>
          <w:sz w:val="17"/>
          <w:szCs w:val="17"/>
        </w:rPr>
      </w:pPr>
      <w:r w:rsidRPr="006900D9">
        <w:rPr>
          <w:rFonts w:ascii="Times New Roman" w:eastAsia="Times New Roman" w:hAnsi="Times New Roman"/>
          <w:sz w:val="17"/>
          <w:szCs w:val="17"/>
        </w:rPr>
        <w:t>Minister for Climate, Environment and Water</w:t>
      </w:r>
    </w:p>
    <w:p w14:paraId="5F4274BD" w14:textId="77777777" w:rsidR="006900D9" w:rsidRPr="006900D9" w:rsidRDefault="006900D9" w:rsidP="006900D9">
      <w:pPr>
        <w:pBdr>
          <w:bottom w:val="single" w:sz="4" w:space="1" w:color="auto"/>
        </w:pBdr>
        <w:spacing w:after="0" w:line="52" w:lineRule="exact"/>
        <w:jc w:val="center"/>
        <w:rPr>
          <w:rFonts w:ascii="Times New Roman" w:eastAsia="Times New Roman" w:hAnsi="Times New Roman"/>
          <w:sz w:val="17"/>
          <w:szCs w:val="17"/>
        </w:rPr>
      </w:pPr>
    </w:p>
    <w:p w14:paraId="13856E66" w14:textId="77777777" w:rsidR="006900D9" w:rsidRPr="006900D9" w:rsidRDefault="006900D9" w:rsidP="006900D9">
      <w:pPr>
        <w:pBdr>
          <w:top w:val="single" w:sz="4" w:space="1" w:color="auto"/>
        </w:pBdr>
        <w:spacing w:before="34" w:after="0" w:line="14" w:lineRule="exact"/>
        <w:jc w:val="center"/>
        <w:rPr>
          <w:rFonts w:ascii="Times New Roman" w:eastAsia="Times New Roman" w:hAnsi="Times New Roman"/>
          <w:sz w:val="17"/>
          <w:szCs w:val="17"/>
        </w:rPr>
      </w:pPr>
    </w:p>
    <w:p w14:paraId="00E8FC93" w14:textId="77777777" w:rsidR="006900D9" w:rsidRPr="006900D9" w:rsidRDefault="006900D9" w:rsidP="006900D9">
      <w:pPr>
        <w:rPr>
          <w:rFonts w:ascii="Times New Roman" w:eastAsia="Times New Roman" w:hAnsi="Times New Roman"/>
          <w:sz w:val="17"/>
          <w:szCs w:val="17"/>
        </w:rPr>
      </w:pPr>
    </w:p>
    <w:p w14:paraId="2E7E3176" w14:textId="77777777" w:rsidR="00F337C8" w:rsidRDefault="00F337C8" w:rsidP="00F337C8">
      <w:pPr>
        <w:pStyle w:val="GG-body"/>
        <w:rPr>
          <w:lang w:val="en-US"/>
        </w:rPr>
      </w:pPr>
    </w:p>
    <w:p w14:paraId="26D6CDC7" w14:textId="77777777" w:rsidR="00F337C8" w:rsidRDefault="00F337C8" w:rsidP="00F337C8">
      <w:pPr>
        <w:pStyle w:val="GG-body"/>
        <w:rPr>
          <w:lang w:val="en-US"/>
        </w:rPr>
      </w:pPr>
    </w:p>
    <w:p w14:paraId="19A11B8B" w14:textId="05C31560" w:rsidR="00D0446B" w:rsidRDefault="00D0446B" w:rsidP="00F337C8">
      <w:pPr>
        <w:pStyle w:val="GG-body"/>
      </w:pPr>
    </w:p>
    <w:p w14:paraId="54AA6B94" w14:textId="77777777" w:rsidR="00F337C8" w:rsidRDefault="00F337C8" w:rsidP="00F337C8">
      <w:pPr>
        <w:pStyle w:val="GG-body"/>
      </w:pPr>
    </w:p>
    <w:p w14:paraId="13FCB891" w14:textId="77777777" w:rsidR="000319CC" w:rsidRDefault="000319CC" w:rsidP="00F337C8">
      <w:pPr>
        <w:pStyle w:val="GG-body"/>
      </w:pPr>
    </w:p>
    <w:p w14:paraId="229CDBC7" w14:textId="77777777" w:rsidR="000319CC" w:rsidRDefault="000319CC" w:rsidP="00F337C8">
      <w:pPr>
        <w:pStyle w:val="GG-body"/>
      </w:pPr>
    </w:p>
    <w:p w14:paraId="2D170E5D" w14:textId="77777777" w:rsidR="000319CC" w:rsidRDefault="000319CC" w:rsidP="00F337C8">
      <w:pPr>
        <w:pStyle w:val="GG-body"/>
      </w:pPr>
    </w:p>
    <w:p w14:paraId="4A8221AE" w14:textId="77777777" w:rsidR="000319CC" w:rsidRDefault="000319CC" w:rsidP="00F337C8">
      <w:pPr>
        <w:pStyle w:val="GG-body"/>
      </w:pPr>
    </w:p>
    <w:p w14:paraId="6F06DC1E" w14:textId="77777777" w:rsidR="000319CC" w:rsidRDefault="000319CC" w:rsidP="00F337C8">
      <w:pPr>
        <w:pStyle w:val="GG-body"/>
      </w:pPr>
    </w:p>
    <w:p w14:paraId="28EDDC91" w14:textId="77777777" w:rsidR="00F337C8" w:rsidRDefault="00F337C8" w:rsidP="00F337C8">
      <w:pPr>
        <w:pStyle w:val="GG-body"/>
      </w:pPr>
    </w:p>
    <w:p w14:paraId="5052FC0C" w14:textId="77777777" w:rsidR="000319CC" w:rsidRDefault="000319CC" w:rsidP="00F337C8">
      <w:pPr>
        <w:pStyle w:val="GG-body"/>
      </w:pPr>
    </w:p>
    <w:p w14:paraId="48336B4F" w14:textId="77777777" w:rsidR="00F337C8" w:rsidRDefault="00F337C8" w:rsidP="00F337C8">
      <w:pPr>
        <w:pStyle w:val="GG-body"/>
      </w:pPr>
    </w:p>
    <w:p w14:paraId="77A89E39" w14:textId="77777777" w:rsidR="0028270F" w:rsidRDefault="0028270F" w:rsidP="0028270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 xml:space="preserve">All instruments appearing in this gazette are to be considered official, and obeyed as </w:t>
      </w:r>
      <w:proofErr w:type="gramStart"/>
      <w:r>
        <w:rPr>
          <w:rFonts w:ascii="Times New Roman" w:eastAsia="Times New Roman" w:hAnsi="Times New Roman"/>
          <w:b/>
          <w:color w:val="000000"/>
          <w:sz w:val="20"/>
          <w:szCs w:val="20"/>
          <w:lang w:eastAsia="en-AU"/>
        </w:rPr>
        <w:t>such</w:t>
      </w:r>
      <w:proofErr w:type="gramEnd"/>
    </w:p>
    <w:p w14:paraId="1ACAD976" w14:textId="77777777" w:rsidR="0028270F" w:rsidRDefault="0028270F" w:rsidP="0028270F">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730534F1" w14:textId="77777777" w:rsidR="0028270F" w:rsidRDefault="0028270F" w:rsidP="0028270F">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w:t>
      </w:r>
      <w:r w:rsidR="0065287D">
        <w:rPr>
          <w:rFonts w:ascii="Times New Roman" w:hAnsi="Times New Roman"/>
          <w:smallCaps/>
          <w:sz w:val="17"/>
          <w:szCs w:val="17"/>
        </w:rPr>
        <w:t>T. Foresto</w:t>
      </w:r>
      <w:r>
        <w:rPr>
          <w:rFonts w:ascii="Times New Roman" w:hAnsi="Times New Roman"/>
          <w:sz w:val="17"/>
          <w:szCs w:val="17"/>
        </w:rPr>
        <w:t>, Government Printer, South Australia</w:t>
      </w:r>
    </w:p>
    <w:p w14:paraId="29CD00C8" w14:textId="77777777" w:rsidR="0028270F" w:rsidRDefault="0028270F" w:rsidP="0028270F">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7C87C991" w14:textId="75376C99" w:rsidR="00F337C8" w:rsidRPr="000319CC" w:rsidRDefault="0028270F" w:rsidP="000319CC">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18" w:history="1">
        <w:r w:rsidRPr="00132111">
          <w:rPr>
            <w:rStyle w:val="Hyperlink"/>
            <w:rFonts w:ascii="Times New Roman" w:hAnsi="Times New Roman"/>
            <w:sz w:val="17"/>
            <w:szCs w:val="17"/>
          </w:rPr>
          <w:t>www.governmentgazette.sa.gov.au</w:t>
        </w:r>
      </w:hyperlink>
    </w:p>
    <w:sectPr w:rsidR="00F337C8" w:rsidRPr="000319CC" w:rsidSect="00F46B7F">
      <w:headerReference w:type="even" r:id="rId19"/>
      <w:headerReference w:type="default" r:id="rId20"/>
      <w:footerReference w:type="default" r:id="rId21"/>
      <w:pgSz w:w="11906" w:h="16838"/>
      <w:pgMar w:top="1674" w:right="1256" w:bottom="1134" w:left="1290" w:header="1134" w:footer="934" w:gutter="0"/>
      <w:pgNumType w:start="201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D9C55" w14:textId="77777777" w:rsidR="0071050E" w:rsidRDefault="0071050E" w:rsidP="00777F88">
      <w:pPr>
        <w:spacing w:after="0" w:line="240" w:lineRule="auto"/>
      </w:pPr>
      <w:r>
        <w:separator/>
      </w:r>
    </w:p>
  </w:endnote>
  <w:endnote w:type="continuationSeparator" w:id="0">
    <w:p w14:paraId="743648C9" w14:textId="77777777" w:rsidR="0071050E" w:rsidRDefault="0071050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F14F9" w14:textId="77777777"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A0F462" w14:textId="77777777" w:rsidR="00C82209" w:rsidRDefault="00C82209" w:rsidP="00C8220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t xml:space="preserve">All instruments appearing in this gazette are to be considered official, and obeyed as </w:t>
    </w:r>
    <w:proofErr w:type="gramStart"/>
    <w:r>
      <w:rPr>
        <w:rFonts w:ascii="Times New Roman" w:eastAsia="Times New Roman" w:hAnsi="Times New Roman"/>
        <w:b/>
        <w:color w:val="000000"/>
        <w:sz w:val="20"/>
        <w:szCs w:val="20"/>
        <w:lang w:eastAsia="en-AU"/>
      </w:rPr>
      <w:t>such</w:t>
    </w:r>
    <w:proofErr w:type="gramEnd"/>
  </w:p>
  <w:p w14:paraId="25CC4D23" w14:textId="77777777" w:rsidR="00C82209" w:rsidRDefault="00C82209" w:rsidP="00C82209">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29B80305" w14:textId="77777777" w:rsidR="00C82209" w:rsidRDefault="00C82209" w:rsidP="00C82209">
    <w:pPr>
      <w:spacing w:before="180" w:after="0"/>
      <w:jc w:val="center"/>
      <w:rPr>
        <w:rFonts w:ascii="Times New Roman" w:hAnsi="Times New Roman"/>
        <w:sz w:val="17"/>
        <w:szCs w:val="17"/>
      </w:rPr>
    </w:pPr>
    <w:r>
      <w:rPr>
        <w:rFonts w:ascii="Times New Roman" w:hAnsi="Times New Roman"/>
        <w:sz w:val="17"/>
        <w:szCs w:val="17"/>
      </w:rPr>
      <w:t xml:space="preserve">Printed and published weekly by authority of </w:t>
    </w:r>
    <w:r w:rsidR="00CA3FD7" w:rsidRPr="00CA3FD7">
      <w:rPr>
        <w:rFonts w:ascii="Times New Roman" w:hAnsi="Times New Roman"/>
        <w:smallCaps/>
        <w:sz w:val="17"/>
        <w:szCs w:val="17"/>
      </w:rPr>
      <w:t>T. Foresto</w:t>
    </w:r>
    <w:r>
      <w:rPr>
        <w:rFonts w:ascii="Times New Roman" w:hAnsi="Times New Roman"/>
        <w:sz w:val="17"/>
        <w:szCs w:val="17"/>
      </w:rPr>
      <w:t>, Government Printer, South Australia</w:t>
    </w:r>
  </w:p>
  <w:p w14:paraId="13589F5A" w14:textId="77777777" w:rsidR="00C82209" w:rsidRDefault="00C82209" w:rsidP="00C82209">
    <w:pPr>
      <w:spacing w:after="0"/>
      <w:jc w:val="center"/>
      <w:rPr>
        <w:rFonts w:ascii="Times New Roman" w:hAnsi="Times New Roman"/>
        <w:sz w:val="17"/>
        <w:szCs w:val="17"/>
      </w:rPr>
    </w:pPr>
    <w:r>
      <w:rPr>
        <w:rFonts w:ascii="Times New Roman" w:hAnsi="Times New Roman"/>
        <w:sz w:val="17"/>
        <w:szCs w:val="17"/>
      </w:rPr>
      <w:t>$8.55 per issue (plus postage), $430.00 per annual subscription—GST inclusive</w:t>
    </w:r>
  </w:p>
  <w:p w14:paraId="49E5EC94" w14:textId="77777777" w:rsidR="00C82209" w:rsidRDefault="00C82209" w:rsidP="00C82209">
    <w:pPr>
      <w:jc w:val="center"/>
      <w:rPr>
        <w:rFonts w:ascii="Times New Roman" w:eastAsia="Times New Roman" w:hAnsi="Times New Roman"/>
        <w:sz w:val="17"/>
        <w:szCs w:val="17"/>
      </w:rPr>
    </w:pPr>
    <w:r>
      <w:rPr>
        <w:rFonts w:ascii="Times New Roman" w:hAnsi="Times New Roman"/>
        <w:sz w:val="17"/>
        <w:szCs w:val="17"/>
      </w:rPr>
      <w:t xml:space="preserve">Online publications: </w:t>
    </w:r>
    <w:hyperlink r:id="rId1" w:history="1">
      <w:r w:rsidRPr="00870E1F">
        <w:rPr>
          <w:rStyle w:val="Hyperlink"/>
          <w:rFonts w:ascii="Times New Roman" w:hAnsi="Times New Roman"/>
          <w:sz w:val="17"/>
          <w:szCs w:val="17"/>
        </w:rPr>
        <w:t>www.governmentgazette.sa.gov.au</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CEC3E9" w14:textId="77777777"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E3008" w14:textId="77777777"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public Acts appearing in this gazette are to be considered official, and obeyed as </w:t>
    </w:r>
    <w:proofErr w:type="gramStart"/>
    <w:r w:rsidRPr="00144772">
      <w:rPr>
        <w:rFonts w:ascii="Times New Roman" w:eastAsia="Times New Roman" w:hAnsi="Times New Roman"/>
        <w:b/>
        <w:color w:val="000000"/>
        <w:sz w:val="20"/>
        <w:szCs w:val="20"/>
        <w:lang w:eastAsia="en-AU"/>
      </w:rPr>
      <w:t>such</w:t>
    </w:r>
    <w:proofErr w:type="gramEnd"/>
  </w:p>
  <w:p w14:paraId="1F65606D" w14:textId="77777777"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0F30EDF2" w14:textId="77777777"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14:paraId="6325272B" w14:textId="77777777"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14:paraId="235C76B0" w14:textId="77777777"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A266E" w14:textId="77777777"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8F402D" w14:textId="77777777" w:rsidR="0071050E" w:rsidRDefault="0071050E" w:rsidP="00777F88">
      <w:pPr>
        <w:spacing w:after="0" w:line="240" w:lineRule="auto"/>
      </w:pPr>
      <w:r>
        <w:separator/>
      </w:r>
    </w:p>
  </w:footnote>
  <w:footnote w:type="continuationSeparator" w:id="0">
    <w:p w14:paraId="4164A7A7" w14:textId="77777777" w:rsidR="0071050E" w:rsidRDefault="0071050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9EB55" w14:textId="77777777" w:rsidR="001B7138" w:rsidRPr="0034074D" w:rsidRDefault="00F13DC8" w:rsidP="0034074D">
    <w:pPr>
      <w:pStyle w:val="Header"/>
      <w:tabs>
        <w:tab w:val="clear" w:pos="9026"/>
        <w:tab w:val="right" w:pos="9360"/>
      </w:tabs>
      <w:spacing w:line="170" w:lineRule="exact"/>
      <w:rPr>
        <w:rFonts w:ascii="Times New Roman" w:hAnsi="Times New Roman"/>
        <w:sz w:val="20"/>
        <w:szCs w:val="20"/>
      </w:rPr>
    </w:pPr>
    <w:r>
      <w:rPr>
        <w:rFonts w:ascii="Times New Roman" w:hAnsi="Times New Roman"/>
        <w:noProof/>
        <w:sz w:val="20"/>
        <w:szCs w:val="20"/>
      </w:rPr>
      <mc:AlternateContent>
        <mc:Choice Requires="wps">
          <w:drawing>
            <wp:anchor distT="0" distB="0" distL="114300" distR="114300" simplePos="1" relativeHeight="251661312" behindDoc="0" locked="0" layoutInCell="0" allowOverlap="1" wp14:anchorId="200C688A" wp14:editId="17133959">
              <wp:simplePos x="0" y="190500"/>
              <wp:positionH relativeFrom="page">
                <wp:posOffset>0</wp:posOffset>
              </wp:positionH>
              <wp:positionV relativeFrom="page">
                <wp:posOffset>190500</wp:posOffset>
              </wp:positionV>
              <wp:extent cx="7560310" cy="252095"/>
              <wp:effectExtent l="0" t="0" r="0" b="14605"/>
              <wp:wrapNone/>
              <wp:docPr id="4" name="MSIPCM47244164a677296d6d6007d7" descr="{&quot;HashCode&quot;:1178062039,&quot;Height&quot;:841.0,&quot;Width&quot;:595.0,&quot;Placement&quot;:&quot;Head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92ECC8"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200C688A" id="_x0000_t202" coordsize="21600,21600" o:spt="202" path="m,l,21600r21600,l21600,xe">
              <v:stroke joinstyle="miter"/>
              <v:path gradientshapeok="t" o:connecttype="rect"/>
            </v:shapetype>
            <v:shape id="MSIPCM47244164a677296d6d6007d7" o:spid="_x0000_s1026" type="#_x0000_t202" alt="{&quot;HashCode&quot;:1178062039,&quot;Height&quot;:841.0,&quot;Width&quot;:595.0,&quot;Placement&quot;:&quot;Header&quot;,&quot;Index&quot;:&quot;OddAndEven&quot;,&quot;Section&quot;:1,&quot;Top&quot;:0.0,&quot;Left&quot;:0.0}" style="position:absolute;left:0;text-align:left;margin-left:0;margin-top:15pt;width:595.3pt;height:19.8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" o:allowincell="f" filled="f" stroked="f" strokeweight=".5pt">
              <v:textbox inset=",0,,0">
                <w:txbxContent>
                  <w:p w14:paraId="1492ECC8"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r w:rsidR="001B7138" w:rsidRPr="0034074D">
      <w:rPr>
        <w:rFonts w:ascii="Times New Roman" w:hAnsi="Times New Roman"/>
        <w:sz w:val="20"/>
        <w:szCs w:val="20"/>
      </w:rPr>
      <w:t>2</w:t>
    </w:r>
    <w:r w:rsidR="001B7138" w:rsidRPr="0034074D">
      <w:rPr>
        <w:rFonts w:ascii="Times New Roman" w:hAnsi="Times New Roman"/>
        <w:sz w:val="20"/>
        <w:szCs w:val="20"/>
      </w:rPr>
      <w:tab/>
      <w:t>THE SOUTH AUSTRALIAN GOVERNMENT GAZETTE</w:t>
    </w:r>
    <w:r w:rsidR="001B7138" w:rsidRPr="0034074D">
      <w:rPr>
        <w:rFonts w:ascii="Times New Roman" w:hAnsi="Times New Roman"/>
        <w:sz w:val="20"/>
        <w:szCs w:val="20"/>
      </w:rPr>
      <w:tab/>
    </w:r>
    <w:r w:rsidR="001B7138">
      <w:rPr>
        <w:rFonts w:ascii="Times New Roman" w:hAnsi="Times New Roman"/>
        <w:sz w:val="20"/>
        <w:szCs w:val="20"/>
      </w:rPr>
      <w:t>22 March</w:t>
    </w:r>
    <w:r w:rsidR="001B7138" w:rsidRPr="0034074D">
      <w:rPr>
        <w:rFonts w:ascii="Times New Roman" w:hAnsi="Times New Roman"/>
        <w:sz w:val="20"/>
        <w:szCs w:val="20"/>
      </w:rPr>
      <w:t xml:space="preserve"> 2017</w:t>
    </w:r>
  </w:p>
  <w:p w14:paraId="025604C8" w14:textId="77777777"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39022B86" w14:textId="77777777"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5D7F4" w14:textId="77777777" w:rsidR="001B7138"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59264" behindDoc="0" locked="0" layoutInCell="0" allowOverlap="1" wp14:anchorId="578BBC2F" wp14:editId="26BF4166">
              <wp:simplePos x="0" y="190500"/>
              <wp:positionH relativeFrom="page">
                <wp:posOffset>0</wp:posOffset>
              </wp:positionH>
              <wp:positionV relativeFrom="page">
                <wp:posOffset>190500</wp:posOffset>
              </wp:positionV>
              <wp:extent cx="7560310" cy="252095"/>
              <wp:effectExtent l="0" t="0" r="0" b="14605"/>
              <wp:wrapNone/>
              <wp:docPr id="2" name="MSIPCM9d2d4ea98b7c2381503395d4" descr="{&quot;HashCode&quot;:117806203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535950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78BBC2F" id="_x0000_t202" coordsize="21600,21600" o:spt="202" path="m,l,21600r21600,l21600,xe">
              <v:stroke joinstyle="miter"/>
              <v:path gradientshapeok="t" o:connecttype="rect"/>
            </v:shapetype>
            <v:shape id="MSIPCM9d2d4ea98b7c2381503395d4" o:spid="_x0000_s1027" type="#_x0000_t202" alt="{&quot;HashCode&quot;:1178062039,&quot;Height&quot;:841.0,&quot;Width&quot;:595.0,&quot;Placement&quot;:&quot;Header&quot;,&quot;Index&quot;:&quot;Primary&quot;,&quot;Section&quot;:1,&quot;Top&quot;:0.0,&quot;Left&quot;:0.0}" style="position:absolute;left:0;text-align:left;margin-left:0;margin-top:15pt;width:595.3pt;height:19.8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" o:allowincell="f" filled="f" stroked="f" strokeweight=".5pt">
              <v:textbox inset=",0,,0">
                <w:txbxContent>
                  <w:p w14:paraId="0535950F"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022966" w14:textId="4647EC20" w:rsidR="006E1DBF" w:rsidRDefault="006E1DBF" w:rsidP="006E1DBF">
    <w:pPr>
      <w:pStyle w:val="Header"/>
      <w:tabs>
        <w:tab w:val="clear" w:pos="4513"/>
        <w:tab w:val="clear" w:pos="9026"/>
        <w:tab w:val="right" w:pos="9356"/>
      </w:tabs>
    </w:pPr>
    <w:r w:rsidRPr="00612978">
      <w:rPr>
        <w:rFonts w:ascii="Times New Roman" w:hAnsi="Times New Roman"/>
        <w:sz w:val="21"/>
        <w:szCs w:val="21"/>
      </w:rPr>
      <w:t>No.</w:t>
    </w:r>
    <w:r w:rsidR="00F46B7F">
      <w:rPr>
        <w:rFonts w:ascii="Times New Roman" w:hAnsi="Times New Roman"/>
        <w:sz w:val="21"/>
        <w:szCs w:val="21"/>
      </w:rPr>
      <w:t xml:space="preserve"> 47</w:t>
    </w:r>
    <w:r w:rsidRPr="00612978">
      <w:rPr>
        <w:rFonts w:ascii="Times New Roman" w:hAnsi="Times New Roman"/>
        <w:sz w:val="21"/>
        <w:szCs w:val="21"/>
      </w:rPr>
      <w:tab/>
    </w:r>
    <w:r>
      <w:rPr>
        <w:rFonts w:ascii="Times New Roman" w:hAnsi="Times New Roman"/>
        <w:sz w:val="21"/>
        <w:szCs w:val="21"/>
      </w:rPr>
      <w:t xml:space="preserve">p. </w:t>
    </w:r>
    <w:r w:rsidR="00F46B7F">
      <w:rPr>
        <w:rFonts w:ascii="Times New Roman" w:hAnsi="Times New Roman"/>
        <w:sz w:val="21"/>
        <w:szCs w:val="21"/>
      </w:rPr>
      <w:t>2013</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87900C" w14:textId="77777777"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14:paraId="48ADC99E" w14:textId="77777777"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14:paraId="4E1C8126" w14:textId="77777777" w:rsidR="009F15D7" w:rsidRPr="0034074D" w:rsidRDefault="009F15D7" w:rsidP="0034074D">
    <w:pPr>
      <w:pStyle w:val="Header"/>
      <w:spacing w:line="170" w:lineRule="exact"/>
      <w:rPr>
        <w:rFonts w:ascii="Times New Roman" w:hAnsi="Times New Roman"/>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4D462A" w14:textId="77777777" w:rsidR="009F15D7" w:rsidRPr="00DA30CF" w:rsidRDefault="00F13DC8" w:rsidP="00DA30CF">
    <w:pPr>
      <w:pStyle w:val="Header"/>
      <w:spacing w:line="170" w:lineRule="exact"/>
      <w:rPr>
        <w:rFonts w:ascii="Times New Roman" w:hAnsi="Times New Roman"/>
        <w:sz w:val="17"/>
        <w:szCs w:val="17"/>
      </w:rPr>
    </w:pPr>
    <w:r>
      <w:rPr>
        <w:rFonts w:ascii="Times New Roman" w:hAnsi="Times New Roman"/>
        <w:noProof/>
        <w:sz w:val="17"/>
        <w:szCs w:val="17"/>
      </w:rPr>
      <mc:AlternateContent>
        <mc:Choice Requires="wps">
          <w:drawing>
            <wp:anchor distT="0" distB="0" distL="114300" distR="114300" simplePos="1" relativeHeight="251662336" behindDoc="0" locked="0" layoutInCell="0" allowOverlap="1" wp14:anchorId="123CB63B" wp14:editId="3E27B68C">
              <wp:simplePos x="0" y="190500"/>
              <wp:positionH relativeFrom="page">
                <wp:posOffset>0</wp:posOffset>
              </wp:positionH>
              <wp:positionV relativeFrom="page">
                <wp:posOffset>190500</wp:posOffset>
              </wp:positionV>
              <wp:extent cx="7560310" cy="252095"/>
              <wp:effectExtent l="0" t="0" r="0" b="14605"/>
              <wp:wrapNone/>
              <wp:docPr id="5" name="MSIPCM17614ca997eb80ea94e349c0" descr="{&quot;HashCode&quot;:1178062039,&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5209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83001A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23CB63B" id="_x0000_t202" coordsize="21600,21600" o:spt="202" path="m,l,21600r21600,l21600,xe">
              <v:stroke joinstyle="miter"/>
              <v:path gradientshapeok="t" o:connecttype="rect"/>
            </v:shapetype>
            <v:shape id="MSIPCM17614ca997eb80ea94e349c0" o:spid="_x0000_s1028" type="#_x0000_t202" alt="{&quot;HashCode&quot;:1178062039,&quot;Height&quot;:841.0,&quot;Width&quot;:595.0,&quot;Placement&quot;:&quot;Header&quot;,&quot;Index&quot;:&quot;Primary&quot;,&quot;Section&quot;:2,&quot;Top&quot;:0.0,&quot;Left&quot;:0.0}" style="position:absolute;left:0;text-align:left;margin-left:0;margin-top:15pt;width:595.3pt;height:19.85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" o:allowincell="f" filled="f" stroked="f" strokeweight=".5pt">
              <v:textbox inset=",0,,0">
                <w:txbxContent>
                  <w:p w14:paraId="783001AE" w14:textId="77777777" w:rsidR="00F13DC8" w:rsidRPr="00F13DC8" w:rsidRDefault="00F13DC8" w:rsidP="00F13DC8">
                    <w:pPr>
                      <w:spacing w:after="0"/>
                      <w:jc w:val="center"/>
                      <w:rPr>
                        <w:rFonts w:ascii="Arial" w:hAnsi="Arial" w:cs="Arial"/>
                        <w:color w:val="A80000"/>
                        <w:sz w:val="24"/>
                      </w:rPr>
                    </w:pPr>
                    <w:r w:rsidRPr="00F13DC8">
                      <w:rPr>
                        <w:rFonts w:ascii="Arial" w:hAnsi="Arial" w:cs="Arial"/>
                        <w:color w:val="A80000"/>
                        <w:sz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BFEB31" w14:textId="336979EF" w:rsidR="00632170" w:rsidRPr="00552C29" w:rsidRDefault="0063217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sidR="00F46B7F">
      <w:rPr>
        <w:rStyle w:val="PageNumber"/>
        <w:rFonts w:ascii="Times New Roman" w:hAnsi="Times New Roman"/>
        <w:sz w:val="21"/>
        <w:szCs w:val="21"/>
      </w:rPr>
      <w:t>47</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004706D0">
      <w:rPr>
        <w:rStyle w:val="PageNumber"/>
        <w:rFonts w:ascii="Times New Roman" w:hAnsi="Times New Roman"/>
        <w:sz w:val="21"/>
        <w:szCs w:val="21"/>
      </w:rPr>
      <w:t>28 June</w:t>
    </w:r>
    <w:r w:rsidRPr="00552C29">
      <w:rPr>
        <w:rStyle w:val="PageNumber"/>
        <w:rFonts w:ascii="Times New Roman" w:hAnsi="Times New Roman"/>
        <w:sz w:val="21"/>
        <w:szCs w:val="21"/>
      </w:rPr>
      <w:t xml:space="preserve"> </w:t>
    </w:r>
    <w:r w:rsidRPr="00552C29">
      <w:rPr>
        <w:rFonts w:ascii="Times New Roman" w:hAnsi="Times New Roman"/>
        <w:sz w:val="21"/>
        <w:szCs w:val="21"/>
      </w:rPr>
      <w:t>20</w:t>
    </w:r>
    <w:r w:rsidR="004706D0">
      <w:rPr>
        <w:rFonts w:ascii="Times New Roman" w:hAnsi="Times New Roman"/>
        <w:sz w:val="21"/>
        <w:szCs w:val="21"/>
      </w:rPr>
      <w:t>24</w:t>
    </w:r>
  </w:p>
  <w:p w14:paraId="78AEAC83"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5B111D" w14:textId="26149340" w:rsidR="00632170" w:rsidRPr="00552C29" w:rsidRDefault="004706D0" w:rsidP="00632170">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28</w:t>
    </w:r>
    <w:r w:rsidR="00632170" w:rsidRPr="00552C29">
      <w:rPr>
        <w:rStyle w:val="PageNumber"/>
        <w:rFonts w:ascii="Times New Roman" w:hAnsi="Times New Roman"/>
        <w:sz w:val="21"/>
        <w:szCs w:val="21"/>
      </w:rPr>
      <w:t xml:space="preserve"> </w:t>
    </w:r>
    <w:r>
      <w:rPr>
        <w:rStyle w:val="PageNumber"/>
        <w:rFonts w:ascii="Times New Roman" w:hAnsi="Times New Roman"/>
        <w:sz w:val="21"/>
        <w:szCs w:val="21"/>
      </w:rPr>
      <w:t>June</w:t>
    </w:r>
    <w:r w:rsidR="00632170" w:rsidRPr="00552C29">
      <w:rPr>
        <w:rStyle w:val="PageNumber"/>
        <w:rFonts w:ascii="Times New Roman" w:hAnsi="Times New Roman"/>
        <w:sz w:val="21"/>
        <w:szCs w:val="21"/>
      </w:rPr>
      <w:t xml:space="preserve"> </w:t>
    </w:r>
    <w:r w:rsidR="00632170" w:rsidRPr="00552C29">
      <w:rPr>
        <w:rFonts w:ascii="Times New Roman" w:hAnsi="Times New Roman"/>
        <w:sz w:val="21"/>
        <w:szCs w:val="21"/>
      </w:rPr>
      <w:t>20</w:t>
    </w:r>
    <w:r>
      <w:rPr>
        <w:rFonts w:ascii="Times New Roman" w:hAnsi="Times New Roman"/>
        <w:sz w:val="21"/>
        <w:szCs w:val="21"/>
      </w:rPr>
      <w:t>24</w:t>
    </w:r>
    <w:r w:rsidR="00632170" w:rsidRPr="00552C29">
      <w:rPr>
        <w:rFonts w:ascii="Times New Roman" w:eastAsia="Times New Roman" w:hAnsi="Times New Roman"/>
        <w:sz w:val="21"/>
        <w:szCs w:val="21"/>
      </w:rPr>
      <w:tab/>
    </w:r>
    <w:r w:rsidR="00632170" w:rsidRPr="00552C29">
      <w:rPr>
        <w:rFonts w:ascii="Times New Roman" w:eastAsia="Times New Roman" w:hAnsi="Times New Roman"/>
        <w:smallCaps/>
        <w:sz w:val="21"/>
        <w:szCs w:val="21"/>
      </w:rPr>
      <w:t>The South Australian Government Gazette</w:t>
    </w:r>
    <w:r w:rsidR="00632170" w:rsidRPr="00552C29">
      <w:rPr>
        <w:rFonts w:ascii="Times New Roman" w:eastAsia="Times New Roman" w:hAnsi="Times New Roman"/>
        <w:sz w:val="21"/>
        <w:szCs w:val="21"/>
      </w:rPr>
      <w:tab/>
    </w:r>
    <w:r w:rsidR="00632170" w:rsidRPr="00552C29">
      <w:rPr>
        <w:rStyle w:val="PageNumber"/>
        <w:rFonts w:ascii="Times New Roman" w:hAnsi="Times New Roman"/>
        <w:sz w:val="21"/>
        <w:szCs w:val="21"/>
      </w:rPr>
      <w:t xml:space="preserve">No. </w:t>
    </w:r>
    <w:r w:rsidR="00F46B7F">
      <w:rPr>
        <w:rStyle w:val="PageNumber"/>
        <w:rFonts w:ascii="Times New Roman" w:hAnsi="Times New Roman"/>
        <w:sz w:val="21"/>
        <w:szCs w:val="21"/>
      </w:rPr>
      <w:t>47</w:t>
    </w:r>
    <w:r w:rsidR="00632170" w:rsidRPr="00552C29">
      <w:rPr>
        <w:rStyle w:val="PageNumber"/>
        <w:rFonts w:ascii="Times New Roman" w:hAnsi="Times New Roman"/>
        <w:sz w:val="21"/>
        <w:szCs w:val="21"/>
      </w:rPr>
      <w:t xml:space="preserve"> p. </w:t>
    </w:r>
    <w:r w:rsidR="00632170" w:rsidRPr="00552C29">
      <w:rPr>
        <w:rStyle w:val="PageNumber"/>
        <w:rFonts w:ascii="Times New Roman" w:hAnsi="Times New Roman"/>
        <w:sz w:val="21"/>
        <w:szCs w:val="21"/>
      </w:rPr>
      <w:fldChar w:fldCharType="begin"/>
    </w:r>
    <w:r w:rsidR="00632170" w:rsidRPr="00552C29">
      <w:rPr>
        <w:rStyle w:val="PageNumber"/>
        <w:rFonts w:ascii="Times New Roman" w:hAnsi="Times New Roman"/>
        <w:sz w:val="21"/>
        <w:szCs w:val="21"/>
      </w:rPr>
      <w:instrText xml:space="preserve"> PAGE </w:instrText>
    </w:r>
    <w:r w:rsidR="00632170" w:rsidRPr="00552C29">
      <w:rPr>
        <w:rStyle w:val="PageNumber"/>
        <w:rFonts w:ascii="Times New Roman" w:hAnsi="Times New Roman"/>
        <w:sz w:val="21"/>
        <w:szCs w:val="21"/>
      </w:rPr>
      <w:fldChar w:fldCharType="separate"/>
    </w:r>
    <w:r w:rsidR="006E1DBF">
      <w:rPr>
        <w:rStyle w:val="PageNumber"/>
        <w:rFonts w:ascii="Times New Roman" w:hAnsi="Times New Roman"/>
        <w:noProof/>
        <w:sz w:val="21"/>
        <w:szCs w:val="21"/>
      </w:rPr>
      <w:t>3</w:t>
    </w:r>
    <w:r w:rsidR="00632170" w:rsidRPr="00552C29">
      <w:rPr>
        <w:rStyle w:val="PageNumber"/>
        <w:rFonts w:ascii="Times New Roman" w:hAnsi="Times New Roman"/>
        <w:sz w:val="21"/>
        <w:szCs w:val="21"/>
      </w:rPr>
      <w:fldChar w:fldCharType="end"/>
    </w:r>
  </w:p>
  <w:p w14:paraId="44AC79F9" w14:textId="77777777" w:rsidR="00632170" w:rsidRPr="00552C29" w:rsidRDefault="00632170" w:rsidP="00632170">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2069188763">
    <w:abstractNumId w:val="1"/>
  </w:num>
  <w:num w:numId="2" w16cid:durableId="2011759198">
    <w:abstractNumId w:val="2"/>
  </w:num>
  <w:num w:numId="3" w16cid:durableId="7349322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50E"/>
    <w:rsid w:val="000100A7"/>
    <w:rsid w:val="0002085F"/>
    <w:rsid w:val="000319CC"/>
    <w:rsid w:val="00050A2F"/>
    <w:rsid w:val="000620AF"/>
    <w:rsid w:val="00063D6D"/>
    <w:rsid w:val="00070E37"/>
    <w:rsid w:val="00071B27"/>
    <w:rsid w:val="00081074"/>
    <w:rsid w:val="000B0640"/>
    <w:rsid w:val="000B3572"/>
    <w:rsid w:val="000D34A3"/>
    <w:rsid w:val="000E2F18"/>
    <w:rsid w:val="000E45A0"/>
    <w:rsid w:val="000E655C"/>
    <w:rsid w:val="000F0B45"/>
    <w:rsid w:val="000F2CEA"/>
    <w:rsid w:val="00111C2E"/>
    <w:rsid w:val="00124474"/>
    <w:rsid w:val="00132111"/>
    <w:rsid w:val="00147592"/>
    <w:rsid w:val="00153708"/>
    <w:rsid w:val="00153834"/>
    <w:rsid w:val="001572AD"/>
    <w:rsid w:val="001576DB"/>
    <w:rsid w:val="00160CDB"/>
    <w:rsid w:val="00180625"/>
    <w:rsid w:val="0019539C"/>
    <w:rsid w:val="00196D44"/>
    <w:rsid w:val="001B7138"/>
    <w:rsid w:val="001C09DA"/>
    <w:rsid w:val="00204C2A"/>
    <w:rsid w:val="00214B74"/>
    <w:rsid w:val="0027531F"/>
    <w:rsid w:val="0028270F"/>
    <w:rsid w:val="0029410F"/>
    <w:rsid w:val="002977EE"/>
    <w:rsid w:val="002A4530"/>
    <w:rsid w:val="002C0489"/>
    <w:rsid w:val="002C2B7C"/>
    <w:rsid w:val="002C2E97"/>
    <w:rsid w:val="002D4754"/>
    <w:rsid w:val="00301E5B"/>
    <w:rsid w:val="0034074D"/>
    <w:rsid w:val="00362C85"/>
    <w:rsid w:val="00372CA3"/>
    <w:rsid w:val="00394729"/>
    <w:rsid w:val="003967FE"/>
    <w:rsid w:val="003D2332"/>
    <w:rsid w:val="003E3565"/>
    <w:rsid w:val="00415C6A"/>
    <w:rsid w:val="00421804"/>
    <w:rsid w:val="0042678B"/>
    <w:rsid w:val="0043387B"/>
    <w:rsid w:val="00435ECE"/>
    <w:rsid w:val="004535E8"/>
    <w:rsid w:val="004706D0"/>
    <w:rsid w:val="004872C1"/>
    <w:rsid w:val="004A133E"/>
    <w:rsid w:val="004A16B7"/>
    <w:rsid w:val="004B1B9B"/>
    <w:rsid w:val="004D22EB"/>
    <w:rsid w:val="004E4BBC"/>
    <w:rsid w:val="004E545F"/>
    <w:rsid w:val="005115D3"/>
    <w:rsid w:val="00531F7A"/>
    <w:rsid w:val="00541253"/>
    <w:rsid w:val="0054338C"/>
    <w:rsid w:val="00555C1B"/>
    <w:rsid w:val="00567B3E"/>
    <w:rsid w:val="00571C05"/>
    <w:rsid w:val="00575614"/>
    <w:rsid w:val="00582BEE"/>
    <w:rsid w:val="005A3A1B"/>
    <w:rsid w:val="005B4E55"/>
    <w:rsid w:val="005B69B3"/>
    <w:rsid w:val="005C6C9D"/>
    <w:rsid w:val="005D24AC"/>
    <w:rsid w:val="005E3033"/>
    <w:rsid w:val="005E7D95"/>
    <w:rsid w:val="005F4618"/>
    <w:rsid w:val="005F5395"/>
    <w:rsid w:val="00612978"/>
    <w:rsid w:val="00632170"/>
    <w:rsid w:val="0065287D"/>
    <w:rsid w:val="00664A55"/>
    <w:rsid w:val="00665367"/>
    <w:rsid w:val="0068145F"/>
    <w:rsid w:val="006900D9"/>
    <w:rsid w:val="00693DF1"/>
    <w:rsid w:val="006B561D"/>
    <w:rsid w:val="006B5B96"/>
    <w:rsid w:val="006C2F10"/>
    <w:rsid w:val="006E0C7D"/>
    <w:rsid w:val="006E1DBF"/>
    <w:rsid w:val="006E60D6"/>
    <w:rsid w:val="006F25C7"/>
    <w:rsid w:val="00703D70"/>
    <w:rsid w:val="007076D8"/>
    <w:rsid w:val="0071050E"/>
    <w:rsid w:val="00720680"/>
    <w:rsid w:val="007529D9"/>
    <w:rsid w:val="00777F88"/>
    <w:rsid w:val="007B3500"/>
    <w:rsid w:val="007C302D"/>
    <w:rsid w:val="007E60AA"/>
    <w:rsid w:val="0080019C"/>
    <w:rsid w:val="008008DD"/>
    <w:rsid w:val="00802490"/>
    <w:rsid w:val="00842BD5"/>
    <w:rsid w:val="00854962"/>
    <w:rsid w:val="00856E06"/>
    <w:rsid w:val="00867EF2"/>
    <w:rsid w:val="00870E1F"/>
    <w:rsid w:val="0087319A"/>
    <w:rsid w:val="00873673"/>
    <w:rsid w:val="008A031C"/>
    <w:rsid w:val="0090148E"/>
    <w:rsid w:val="0090520A"/>
    <w:rsid w:val="00914649"/>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54E7C"/>
    <w:rsid w:val="00A747D0"/>
    <w:rsid w:val="00A773E8"/>
    <w:rsid w:val="00A97608"/>
    <w:rsid w:val="00AC18FD"/>
    <w:rsid w:val="00AC22E7"/>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176CC"/>
    <w:rsid w:val="00C1771C"/>
    <w:rsid w:val="00C30755"/>
    <w:rsid w:val="00C361CD"/>
    <w:rsid w:val="00C67086"/>
    <w:rsid w:val="00C82209"/>
    <w:rsid w:val="00C971BF"/>
    <w:rsid w:val="00CA3FD7"/>
    <w:rsid w:val="00CD460E"/>
    <w:rsid w:val="00D0446B"/>
    <w:rsid w:val="00D14F34"/>
    <w:rsid w:val="00D15B81"/>
    <w:rsid w:val="00D17EAE"/>
    <w:rsid w:val="00D23AB5"/>
    <w:rsid w:val="00D35BBC"/>
    <w:rsid w:val="00D36A59"/>
    <w:rsid w:val="00D83C2C"/>
    <w:rsid w:val="00D949EA"/>
    <w:rsid w:val="00DA30CF"/>
    <w:rsid w:val="00DA6921"/>
    <w:rsid w:val="00DB5A8F"/>
    <w:rsid w:val="00DE347D"/>
    <w:rsid w:val="00DF632D"/>
    <w:rsid w:val="00E02241"/>
    <w:rsid w:val="00E21999"/>
    <w:rsid w:val="00E222C6"/>
    <w:rsid w:val="00E36C01"/>
    <w:rsid w:val="00E4712A"/>
    <w:rsid w:val="00E57D4E"/>
    <w:rsid w:val="00E663DF"/>
    <w:rsid w:val="00E92649"/>
    <w:rsid w:val="00EA0D33"/>
    <w:rsid w:val="00EC2419"/>
    <w:rsid w:val="00ED024C"/>
    <w:rsid w:val="00EE2A33"/>
    <w:rsid w:val="00EE33E9"/>
    <w:rsid w:val="00EE7338"/>
    <w:rsid w:val="00F011AF"/>
    <w:rsid w:val="00F12687"/>
    <w:rsid w:val="00F13DC8"/>
    <w:rsid w:val="00F16F9B"/>
    <w:rsid w:val="00F337C8"/>
    <w:rsid w:val="00F46B7F"/>
    <w:rsid w:val="00F657AB"/>
    <w:rsid w:val="00F8336F"/>
    <w:rsid w:val="00F84DBC"/>
    <w:rsid w:val="00FA01B5"/>
    <w:rsid w:val="00FA3C9F"/>
    <w:rsid w:val="00FB3490"/>
    <w:rsid w:val="00FB374C"/>
    <w:rsid w:val="00FB48A8"/>
    <w:rsid w:val="00FB5F67"/>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12EEDC"/>
  <w15:chartTrackingRefBased/>
  <w15:docId w15:val="{20E62F21-7E3C-482C-9636-7D3DE844F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93DF1"/>
    <w:pPr>
      <w:spacing w:before="0"/>
      <w:outlineLvl w:val="0"/>
    </w:pPr>
  </w:style>
  <w:style w:type="paragraph" w:styleId="Heading2">
    <w:name w:val="heading 2"/>
    <w:basedOn w:val="GG-Title1"/>
    <w:next w:val="Normal"/>
    <w:link w:val="Heading2Char"/>
    <w:uiPriority w:val="9"/>
    <w:unhideWhenUsed/>
    <w:qFormat/>
    <w:rsid w:val="0027531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93DF1"/>
    <w:rPr>
      <w:rFonts w:ascii="Times New Roman" w:hAnsi="Times New Roman"/>
      <w:b/>
      <w:smallCaps/>
      <w:color w:val="000000"/>
      <w:sz w:val="36"/>
      <w:szCs w:val="22"/>
      <w:lang w:eastAsia="en-US"/>
    </w:rPr>
  </w:style>
  <w:style w:type="character" w:customStyle="1" w:styleId="Heading2Char">
    <w:name w:val="Heading 2 Char"/>
    <w:link w:val="Heading2"/>
    <w:uiPriority w:val="9"/>
    <w:rsid w:val="0027531F"/>
    <w:rPr>
      <w:rFonts w:ascii="Times New Roman" w:hAnsi="Times New Roman"/>
      <w: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styleId="TOC1">
    <w:name w:val="toc 1"/>
    <w:next w:val="GG-body"/>
    <w:autoRedefine/>
    <w:uiPriority w:val="39"/>
    <w:unhideWhenUsed/>
    <w:rsid w:val="00531F7A"/>
    <w:pPr>
      <w:spacing w:line="170" w:lineRule="exact"/>
      <w:outlineLvl w:val="0"/>
    </w:pPr>
    <w:rPr>
      <w:rFonts w:ascii="Times New Roman" w:hAnsi="Times New Roman"/>
      <w:b/>
      <w:smallCaps/>
      <w:sz w:val="17"/>
      <w:szCs w:val="22"/>
      <w:lang w:eastAsia="en-US"/>
    </w:rPr>
  </w:style>
  <w:style w:type="paragraph" w:styleId="TOC2">
    <w:name w:val="toc 2"/>
    <w:next w:val="GG-body"/>
    <w:autoRedefine/>
    <w:uiPriority w:val="39"/>
    <w:unhideWhenUsed/>
    <w:rsid w:val="00531F7A"/>
    <w:pPr>
      <w:spacing w:line="170" w:lineRule="exact"/>
      <w:ind w:left="113" w:hanging="113"/>
      <w:outlineLvl w:val="1"/>
    </w:pPr>
    <w:rPr>
      <w:rFonts w:ascii="Times New Roman" w:hAnsi="Times New Roman"/>
      <w:sz w:val="17"/>
      <w:szCs w:val="22"/>
      <w:lang w:eastAsia="en-US"/>
    </w:rPr>
  </w:style>
  <w:style w:type="paragraph" w:styleId="TOC3">
    <w:name w:val="toc 3"/>
    <w:next w:val="GG-body"/>
    <w:autoRedefine/>
    <w:uiPriority w:val="39"/>
    <w:semiHidden/>
    <w:unhideWhenUsed/>
    <w:rsid w:val="00531F7A"/>
    <w:pPr>
      <w:spacing w:line="170" w:lineRule="exact"/>
      <w:ind w:left="226" w:hanging="113"/>
      <w:outlineLvl w:val="2"/>
    </w:pPr>
    <w:rPr>
      <w:rFonts w:ascii="Times New Roman" w:hAnsi="Times New Roman"/>
      <w:sz w:val="17"/>
      <w:szCs w:val="22"/>
      <w:lang w:eastAsia="en-US"/>
    </w:rPr>
  </w:style>
  <w:style w:type="table" w:styleId="TableGrid">
    <w:name w:val="Table Grid"/>
    <w:basedOn w:val="TableNormal"/>
    <w:uiPriority w:val="59"/>
    <w:rsid w:val="006900D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6668533">
      <w:bodyDiv w:val="1"/>
      <w:marLeft w:val="0"/>
      <w:marRight w:val="0"/>
      <w:marTop w:val="0"/>
      <w:marBottom w:val="0"/>
      <w:divBdr>
        <w:top w:val="none" w:sz="0" w:space="0" w:color="auto"/>
        <w:left w:val="none" w:sz="0" w:space="0" w:color="auto"/>
        <w:bottom w:val="none" w:sz="0" w:space="0" w:color="auto"/>
        <w:right w:val="none" w:sz="0" w:space="0" w:color="auto"/>
      </w:divBdr>
    </w:div>
    <w:div w:id="1902212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TEMPLATE_SUPP+CONTENTS_202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EDE938-C234-4D63-B55D-E828319D1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TEMPLATE_SUPP+CONTENTS_2024</Template>
  <TotalTime>5</TotalTime>
  <Pages>3</Pages>
  <Words>1258</Words>
  <Characters>7172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No. ?? - ??day, ?? ??? 202? (pp. ??–??)</vt:lpstr>
    </vt:vector>
  </TitlesOfParts>
  <Company>SA Government</Company>
  <LinksUpToDate>false</LinksUpToDate>
  <CharactersWithSpaces>8414</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47 - Friday, 28 June 2024 (pp. 2013–2015)</dc:title>
  <dc:subject/>
  <dc:creator>Alicia Wheaton</dc:creator>
  <cp:keywords/>
  <cp:lastModifiedBy>Alicia Wheaton</cp:lastModifiedBy>
  <cp:revision>14</cp:revision>
  <cp:lastPrinted>2017-03-20T23:21:00Z</cp:lastPrinted>
  <dcterms:created xsi:type="dcterms:W3CDTF">2024-06-25T04:07:00Z</dcterms:created>
  <dcterms:modified xsi:type="dcterms:W3CDTF">2024-06-27T07:04:00Z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2022-01-06T04:33:20Z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1159c32a-e434-4209-a0a4-b7e54007cf6b</vt:lpwstr>
  </property>
  <property fmtid="{D5CDD505-2E9C-101B-9397-08002B2CF9AE}" pid="8" name="MSIP_Label_77274858-3b1d-4431-8679-d878f40e28fd_ContentBits">
    <vt:lpwstr>1</vt:lpwstr>
  </property>
</Properties>
</file>