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FB6D"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518C071" wp14:editId="319B981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2F2639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7E41770"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463ED44"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89231C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B8C8499" w14:textId="24C4532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01771F">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01771F">
        <w:rPr>
          <w:rFonts w:ascii="Times New Roman" w:hAnsi="Times New Roman"/>
          <w:smallCaps/>
          <w:color w:val="000000"/>
          <w:sz w:val="28"/>
          <w:szCs w:val="26"/>
        </w:rPr>
        <w:t>27 March</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7064A4">
        <w:rPr>
          <w:rFonts w:ascii="Times New Roman" w:hAnsi="Times New Roman"/>
          <w:smallCaps/>
          <w:color w:val="000000"/>
          <w:sz w:val="28"/>
          <w:szCs w:val="26"/>
        </w:rPr>
        <w:t>4</w:t>
      </w:r>
    </w:p>
    <w:p w14:paraId="48C7AB3D" w14:textId="77777777" w:rsidR="008008DD" w:rsidRPr="00612978" w:rsidRDefault="008008DD" w:rsidP="008008DD">
      <w:pPr>
        <w:spacing w:after="0" w:line="240" w:lineRule="exact"/>
        <w:jc w:val="center"/>
        <w:rPr>
          <w:rFonts w:ascii="Times New Roman" w:hAnsi="Times New Roman"/>
          <w:color w:val="000000"/>
          <w:sz w:val="20"/>
        </w:rPr>
      </w:pPr>
    </w:p>
    <w:p w14:paraId="2F010BD8"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6301849"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E2098EA"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13970E2B"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2F3519">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BEB407E" w14:textId="1909E98D" w:rsidR="00B142D0"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2447515" w:history="1">
        <w:r w:rsidR="00B142D0" w:rsidRPr="00C6096A">
          <w:rPr>
            <w:rStyle w:val="Hyperlink"/>
            <w:noProof/>
          </w:rPr>
          <w:t>State Government Instruments</w:t>
        </w:r>
      </w:hyperlink>
    </w:p>
    <w:p w14:paraId="0B16105F" w14:textId="3AECC1E4" w:rsidR="00B142D0" w:rsidRDefault="00B142D0">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2447516" w:history="1">
        <w:r w:rsidRPr="00C6096A">
          <w:rPr>
            <w:rStyle w:val="Hyperlink"/>
            <w:noProof/>
          </w:rPr>
          <w:t>Fisheries Management Act 2007</w:t>
        </w:r>
        <w:r>
          <w:rPr>
            <w:noProof/>
            <w:webHidden/>
          </w:rPr>
          <w:tab/>
        </w:r>
        <w:r>
          <w:rPr>
            <w:noProof/>
            <w:webHidden/>
          </w:rPr>
          <w:fldChar w:fldCharType="begin"/>
        </w:r>
        <w:r>
          <w:rPr>
            <w:noProof/>
            <w:webHidden/>
          </w:rPr>
          <w:instrText xml:space="preserve"> PAGEREF _Toc162447516 \h </w:instrText>
        </w:r>
        <w:r>
          <w:rPr>
            <w:noProof/>
            <w:webHidden/>
          </w:rPr>
        </w:r>
        <w:r>
          <w:rPr>
            <w:noProof/>
            <w:webHidden/>
          </w:rPr>
          <w:fldChar w:fldCharType="separate"/>
        </w:r>
        <w:r w:rsidR="00FC43F0">
          <w:rPr>
            <w:noProof/>
            <w:webHidden/>
          </w:rPr>
          <w:t>504</w:t>
        </w:r>
        <w:r>
          <w:rPr>
            <w:noProof/>
            <w:webHidden/>
          </w:rPr>
          <w:fldChar w:fldCharType="end"/>
        </w:r>
      </w:hyperlink>
    </w:p>
    <w:p w14:paraId="687EC3E2" w14:textId="5825166E" w:rsidR="00B142D0" w:rsidRDefault="00B142D0">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2447517" w:history="1">
        <w:r w:rsidRPr="00C6096A">
          <w:rPr>
            <w:rStyle w:val="Hyperlink"/>
            <w:noProof/>
          </w:rPr>
          <w:t>Livestock Act 1997</w:t>
        </w:r>
        <w:r>
          <w:rPr>
            <w:noProof/>
            <w:webHidden/>
          </w:rPr>
          <w:tab/>
        </w:r>
        <w:r>
          <w:rPr>
            <w:noProof/>
            <w:webHidden/>
          </w:rPr>
          <w:fldChar w:fldCharType="begin"/>
        </w:r>
        <w:r>
          <w:rPr>
            <w:noProof/>
            <w:webHidden/>
          </w:rPr>
          <w:instrText xml:space="preserve"> PAGEREF _Toc162447517 \h </w:instrText>
        </w:r>
        <w:r>
          <w:rPr>
            <w:noProof/>
            <w:webHidden/>
          </w:rPr>
        </w:r>
        <w:r>
          <w:rPr>
            <w:noProof/>
            <w:webHidden/>
          </w:rPr>
          <w:fldChar w:fldCharType="separate"/>
        </w:r>
        <w:r w:rsidR="00FC43F0">
          <w:rPr>
            <w:noProof/>
            <w:webHidden/>
          </w:rPr>
          <w:t>504</w:t>
        </w:r>
        <w:r>
          <w:rPr>
            <w:noProof/>
            <w:webHidden/>
          </w:rPr>
          <w:fldChar w:fldCharType="end"/>
        </w:r>
      </w:hyperlink>
    </w:p>
    <w:p w14:paraId="67F4DF03" w14:textId="622D97DB"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381C71B9"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364394CF" w14:textId="77777777" w:rsidR="00842BD5" w:rsidRDefault="00842BD5" w:rsidP="00FB48A8">
      <w:pPr>
        <w:spacing w:after="0"/>
        <w:rPr>
          <w:rFonts w:ascii="Times New Roman" w:hAnsi="Times New Roman"/>
          <w:smallCaps/>
          <w:sz w:val="17"/>
          <w:szCs w:val="17"/>
        </w:rPr>
      </w:pPr>
    </w:p>
    <w:p w14:paraId="59B0916E" w14:textId="77777777" w:rsidR="00FB48A8" w:rsidRPr="00612978" w:rsidRDefault="00FB48A8" w:rsidP="00FB48A8">
      <w:pPr>
        <w:spacing w:after="0"/>
        <w:rPr>
          <w:rFonts w:ascii="Times New Roman" w:hAnsi="Times New Roman"/>
          <w:smallCaps/>
          <w:sz w:val="17"/>
          <w:szCs w:val="17"/>
        </w:rPr>
        <w:sectPr w:rsidR="00FB48A8" w:rsidRPr="00612978" w:rsidSect="002F3519">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BBCBC26" w14:textId="77777777" w:rsidR="00F337C8" w:rsidRPr="009D1E2E" w:rsidRDefault="00F337C8" w:rsidP="00693DF1">
      <w:pPr>
        <w:pStyle w:val="Heading1"/>
      </w:pPr>
      <w:bookmarkStart w:id="0" w:name="_Toc162447515"/>
      <w:r w:rsidRPr="009D1E2E">
        <w:lastRenderedPageBreak/>
        <w:t>State Government Instruments</w:t>
      </w:r>
      <w:bookmarkEnd w:id="0"/>
    </w:p>
    <w:p w14:paraId="295CCDE0" w14:textId="77777777" w:rsidR="00B142D0" w:rsidRDefault="00B142D0" w:rsidP="00B142D0">
      <w:pPr>
        <w:pStyle w:val="Heading2"/>
      </w:pPr>
      <w:bookmarkStart w:id="1" w:name="_Hlk160100773"/>
      <w:bookmarkStart w:id="2" w:name="_Toc162447516"/>
      <w:bookmarkStart w:id="3" w:name="_Hlk162447679"/>
      <w:r>
        <w:t>Fisheries Management Act 2007</w:t>
      </w:r>
      <w:bookmarkEnd w:id="2"/>
    </w:p>
    <w:p w14:paraId="6852DFDE" w14:textId="1804D6D8" w:rsidR="00B142D0" w:rsidRPr="0072441F" w:rsidRDefault="00B142D0" w:rsidP="00B142D0">
      <w:pPr>
        <w:pStyle w:val="GG-Title2"/>
      </w:pPr>
      <w:r>
        <w:t>Section 79</w:t>
      </w:r>
    </w:p>
    <w:p w14:paraId="0CB2D019" w14:textId="77777777" w:rsidR="002719BB" w:rsidRPr="002719BB" w:rsidRDefault="002719BB" w:rsidP="002719BB">
      <w:pPr>
        <w:pStyle w:val="GG-Title3"/>
        <w:spacing w:after="0"/>
        <w:rPr>
          <w:bCs/>
          <w:iCs/>
        </w:rPr>
      </w:pPr>
      <w:r w:rsidRPr="002719BB">
        <w:rPr>
          <w:bCs/>
          <w:iCs/>
        </w:rPr>
        <w:t xml:space="preserve">Temporary Prohibition on the taking of </w:t>
      </w:r>
      <w:proofErr w:type="gramStart"/>
      <w:r w:rsidRPr="002719BB">
        <w:rPr>
          <w:bCs/>
          <w:iCs/>
        </w:rPr>
        <w:t>Abalone</w:t>
      </w:r>
      <w:proofErr w:type="gramEnd"/>
      <w:r w:rsidRPr="002719BB">
        <w:rPr>
          <w:bCs/>
          <w:iCs/>
        </w:rPr>
        <w:t xml:space="preserve"> </w:t>
      </w:r>
    </w:p>
    <w:p w14:paraId="4E632B27" w14:textId="77777777" w:rsidR="00B142D0" w:rsidRDefault="00B142D0" w:rsidP="00B142D0">
      <w:pPr>
        <w:pStyle w:val="GG-Title3"/>
      </w:pPr>
      <w:r w:rsidRPr="00DA6A01">
        <w:rPr>
          <w:bCs/>
          <w:iCs/>
        </w:rPr>
        <w:t>Specified Waters of SE</w:t>
      </w:r>
      <w:r>
        <w:rPr>
          <w:bCs/>
          <w:iCs/>
        </w:rPr>
        <w:t>—</w:t>
      </w:r>
      <w:proofErr w:type="spellStart"/>
      <w:r w:rsidRPr="00DA6A01">
        <w:rPr>
          <w:bCs/>
          <w:iCs/>
        </w:rPr>
        <w:t>Breaksea</w:t>
      </w:r>
      <w:proofErr w:type="spellEnd"/>
      <w:r w:rsidRPr="00DA6A01">
        <w:rPr>
          <w:bCs/>
          <w:iCs/>
        </w:rPr>
        <w:t xml:space="preserve"> Reef</w:t>
      </w:r>
    </w:p>
    <w:p w14:paraId="4D7B5966" w14:textId="77777777" w:rsidR="00B142D0" w:rsidRDefault="00B142D0" w:rsidP="00B142D0">
      <w:pPr>
        <w:pStyle w:val="GG-body"/>
        <w:rPr>
          <w:smallCaps/>
        </w:rPr>
      </w:pPr>
      <w:r w:rsidRPr="00DA6A01">
        <w:t xml:space="preserve">Pursuant to section 79 of the </w:t>
      </w:r>
      <w:r w:rsidRPr="00DA6A01">
        <w:rPr>
          <w:i/>
          <w:iCs/>
        </w:rPr>
        <w:t xml:space="preserve">Fisheries Management Act 2007, </w:t>
      </w:r>
      <w:r w:rsidRPr="00DA6A01">
        <w:t xml:space="preserve">I Professor Gavin Begg, Executive Director Fisheries and Aquaculture, delegate of the Minister for Primary Industries and Regional Development, hereby declare that it shall be unlawful for any person to engage in the act of, or an act preparatory to or involved in, </w:t>
      </w:r>
      <w:bookmarkStart w:id="4" w:name="_Hlk71106857"/>
      <w:r w:rsidRPr="00DA6A01">
        <w:t xml:space="preserve">the fishing activities </w:t>
      </w:r>
      <w:bookmarkEnd w:id="4"/>
      <w:r w:rsidRPr="00DA6A01">
        <w:t>specified in Schedule 1, within the area described in Schedule 2 during the period specified in Schedule 3</w:t>
      </w:r>
      <w:r>
        <w:t>.</w:t>
      </w:r>
    </w:p>
    <w:p w14:paraId="10217CEB" w14:textId="77777777" w:rsidR="00B142D0" w:rsidRDefault="00B142D0" w:rsidP="00B142D0">
      <w:pPr>
        <w:pStyle w:val="GG-body"/>
        <w:jc w:val="center"/>
        <w:rPr>
          <w:smallCaps/>
        </w:rPr>
      </w:pPr>
      <w:r w:rsidRPr="0018324E">
        <w:rPr>
          <w:smallCaps/>
        </w:rPr>
        <w:t>Schedul</w:t>
      </w:r>
      <w:r>
        <w:rPr>
          <w:smallCaps/>
        </w:rPr>
        <w:t>e 1</w:t>
      </w:r>
    </w:p>
    <w:p w14:paraId="6FC1F532" w14:textId="77777777" w:rsidR="00B142D0" w:rsidRPr="00202F8E" w:rsidRDefault="00B142D0" w:rsidP="00B142D0">
      <w:pPr>
        <w:pStyle w:val="GG-body"/>
      </w:pPr>
      <w:r w:rsidRPr="00DA6A01">
        <w:rPr>
          <w:bCs/>
        </w:rPr>
        <w:t>All fishing activities or acts preparatory to the taking of abalone unless the Executive Director Fisheries and Aquaculture has provided written notice to the contrary</w:t>
      </w:r>
      <w:r>
        <w:rPr>
          <w:lang w:val="en-US"/>
        </w:rPr>
        <w:t>.</w:t>
      </w:r>
    </w:p>
    <w:p w14:paraId="7EE87758" w14:textId="77777777" w:rsidR="00B142D0" w:rsidRPr="0018324E" w:rsidRDefault="00B142D0" w:rsidP="00B142D0">
      <w:pPr>
        <w:pStyle w:val="GG-body"/>
        <w:jc w:val="center"/>
        <w:rPr>
          <w:smallCaps/>
        </w:rPr>
      </w:pPr>
      <w:r w:rsidRPr="0018324E">
        <w:rPr>
          <w:smallCaps/>
        </w:rPr>
        <w:t>Schedule 2</w:t>
      </w:r>
    </w:p>
    <w:p w14:paraId="373778A9" w14:textId="77777777" w:rsidR="00B142D0" w:rsidRPr="0072441F" w:rsidRDefault="00B142D0" w:rsidP="00B142D0">
      <w:pPr>
        <w:pStyle w:val="GG-body"/>
        <w:tabs>
          <w:tab w:val="left" w:pos="5831"/>
        </w:tabs>
        <w:rPr>
          <w:lang w:val="en-GB"/>
        </w:rPr>
      </w:pPr>
      <w:r w:rsidRPr="00DA6A01">
        <w:t xml:space="preserve">The coastal waters of the south east of South Australia surrounding </w:t>
      </w:r>
      <w:proofErr w:type="spellStart"/>
      <w:r w:rsidRPr="00DA6A01">
        <w:t>Breaksea</w:t>
      </w:r>
      <w:proofErr w:type="spellEnd"/>
      <w:r w:rsidRPr="00DA6A01">
        <w:t xml:space="preserve"> Reef contained within and bounded by a line commencing near mean high water springs closest to 140° 46' 12.6518" E 38° 03' 34.0502" S at Pointe Des </w:t>
      </w:r>
      <w:proofErr w:type="spellStart"/>
      <w:r w:rsidRPr="00DA6A01">
        <w:t>Coreux</w:t>
      </w:r>
      <w:proofErr w:type="spellEnd"/>
      <w:r w:rsidRPr="00DA6A01">
        <w:t>, then Southerly to 140° 46' 12.9999" E 38° 07' 22.9999" S, then Westerly to 140° 40' 19.9999" E 38° 07' 22.9999" S, then North westerly to 140° 36' 39.9999" E 38° 06' 29.9999" S, then North easterly to a point at mean high water springs closest to 140° 39' 15.0617" E 38° 03' 11.4201" S then south-easterly along the line of Mean High Water Springs to the point of commencement (GDA2020)</w:t>
      </w:r>
      <w:r>
        <w:rPr>
          <w:lang w:val="en-GB"/>
        </w:rPr>
        <w:t>.</w:t>
      </w:r>
    </w:p>
    <w:p w14:paraId="661CB173" w14:textId="77777777" w:rsidR="00B142D0" w:rsidRPr="0018324E" w:rsidRDefault="00B142D0" w:rsidP="00B142D0">
      <w:pPr>
        <w:pStyle w:val="GG-body"/>
        <w:jc w:val="center"/>
        <w:rPr>
          <w:smallCaps/>
        </w:rPr>
      </w:pPr>
      <w:r w:rsidRPr="0018324E">
        <w:rPr>
          <w:smallCaps/>
        </w:rPr>
        <w:t>Schedule 3</w:t>
      </w:r>
    </w:p>
    <w:p w14:paraId="75D0829C" w14:textId="77777777" w:rsidR="00B142D0" w:rsidRPr="00F562CD" w:rsidRDefault="00B142D0" w:rsidP="00B142D0">
      <w:pPr>
        <w:pStyle w:val="GG-body"/>
        <w:rPr>
          <w:lang w:val="en-GB"/>
        </w:rPr>
      </w:pPr>
      <w:r w:rsidRPr="00DA6A01">
        <w:t>From 28 March 2024 to 27 March 2025</w:t>
      </w:r>
      <w:r w:rsidRPr="00F562CD">
        <w:rPr>
          <w:lang w:val="en-GB"/>
        </w:rPr>
        <w:t xml:space="preserve">. </w:t>
      </w:r>
    </w:p>
    <w:p w14:paraId="5B2F81D9" w14:textId="77777777" w:rsidR="00B142D0" w:rsidRDefault="00B142D0" w:rsidP="00B142D0">
      <w:pPr>
        <w:pStyle w:val="GG-body"/>
      </w:pPr>
      <w:r>
        <w:t>Dated: 27 March 2024</w:t>
      </w:r>
    </w:p>
    <w:p w14:paraId="48954051" w14:textId="77777777" w:rsidR="00B142D0" w:rsidRDefault="00B142D0" w:rsidP="00B142D0">
      <w:pPr>
        <w:pStyle w:val="GG-SName"/>
      </w:pPr>
      <w:r>
        <w:t>Prof Gavin Begg</w:t>
      </w:r>
    </w:p>
    <w:p w14:paraId="20D13F24" w14:textId="77777777" w:rsidR="00B142D0" w:rsidRDefault="00B142D0" w:rsidP="00B142D0">
      <w:pPr>
        <w:pStyle w:val="GG-Signature"/>
      </w:pPr>
      <w:r>
        <w:t>Executive Director</w:t>
      </w:r>
    </w:p>
    <w:p w14:paraId="16700825" w14:textId="77777777" w:rsidR="00B142D0" w:rsidRDefault="00B142D0" w:rsidP="00B142D0">
      <w:pPr>
        <w:pStyle w:val="GG-Signature"/>
      </w:pPr>
      <w:r>
        <w:t>Fisheries and Aquaculture</w:t>
      </w:r>
    </w:p>
    <w:p w14:paraId="62F53287" w14:textId="77777777" w:rsidR="00B142D0" w:rsidRDefault="00B142D0" w:rsidP="00B142D0">
      <w:pPr>
        <w:pStyle w:val="GG-Signature"/>
      </w:pPr>
      <w:r>
        <w:t>Delegate of the Minister for Primary Industries and Regional Development</w:t>
      </w:r>
    </w:p>
    <w:bookmarkEnd w:id="3"/>
    <w:p w14:paraId="73A062FF" w14:textId="77777777" w:rsidR="00B142D0" w:rsidRDefault="00B142D0" w:rsidP="00B142D0">
      <w:pPr>
        <w:pStyle w:val="GG-Signature"/>
        <w:pBdr>
          <w:bottom w:val="single" w:sz="4" w:space="1" w:color="auto"/>
        </w:pBdr>
        <w:spacing w:line="52" w:lineRule="exact"/>
        <w:jc w:val="center"/>
      </w:pPr>
    </w:p>
    <w:p w14:paraId="6B02B770" w14:textId="77777777" w:rsidR="00B142D0" w:rsidRDefault="00B142D0" w:rsidP="00B142D0">
      <w:pPr>
        <w:pStyle w:val="GG-Signature"/>
        <w:pBdr>
          <w:top w:val="single" w:sz="4" w:space="1" w:color="auto"/>
        </w:pBdr>
        <w:spacing w:before="34" w:line="14" w:lineRule="exact"/>
        <w:jc w:val="center"/>
      </w:pPr>
    </w:p>
    <w:p w14:paraId="6244259E" w14:textId="77777777" w:rsidR="00B142D0" w:rsidRPr="00CA6986" w:rsidRDefault="00B142D0" w:rsidP="00B142D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AA2EC46" w14:textId="1C90A2C9" w:rsidR="002F3519" w:rsidRPr="002F3519" w:rsidRDefault="002F3519" w:rsidP="00CC4068">
      <w:pPr>
        <w:pStyle w:val="Heading2"/>
      </w:pPr>
      <w:bookmarkStart w:id="5" w:name="_Toc162447517"/>
      <w:r w:rsidRPr="002F3519">
        <w:t>LIVESTOCK ACT 1997</w:t>
      </w:r>
      <w:bookmarkEnd w:id="5"/>
    </w:p>
    <w:p w14:paraId="574F26C0" w14:textId="58EC3782" w:rsidR="002F3519" w:rsidRPr="00F36435" w:rsidRDefault="00F36435" w:rsidP="00854924">
      <w:pPr>
        <w:pStyle w:val="GG-Title2"/>
      </w:pPr>
      <w:r w:rsidRPr="00F36435">
        <w:t>Section 37</w:t>
      </w:r>
    </w:p>
    <w:p w14:paraId="128E6E31" w14:textId="12EA015F" w:rsidR="002F3519" w:rsidRPr="002F3519" w:rsidRDefault="002F3519" w:rsidP="00F36435">
      <w:pPr>
        <w:pStyle w:val="GG-Title3"/>
      </w:pPr>
      <w:bookmarkStart w:id="6" w:name="_Hlk160358254"/>
      <w:r w:rsidRPr="002F3519">
        <w:t>Requirements for the control of Abalone Herpes Virus-1 (AbHV-1)</w:t>
      </w:r>
      <w:bookmarkEnd w:id="6"/>
    </w:p>
    <w:p w14:paraId="7D260A7D" w14:textId="77777777" w:rsidR="002F3519" w:rsidRPr="002F3519" w:rsidRDefault="002F3519" w:rsidP="00854924">
      <w:pPr>
        <w:pStyle w:val="GG-body"/>
      </w:pPr>
      <w:r w:rsidRPr="002F3519">
        <w:t xml:space="preserve">Pursuant to Section 37 of the </w:t>
      </w:r>
      <w:r w:rsidRPr="002F3519">
        <w:rPr>
          <w:i/>
          <w:iCs/>
        </w:rPr>
        <w:t>Livestock Act 1997</w:t>
      </w:r>
      <w:r w:rsidRPr="002F3519">
        <w:t xml:space="preserve"> and for the purposes of controlling Abalone Herpes Virus-1 (AbHV-1), I Elise Katherine Spark, Chief Inspector of Stock, delegate of the Minister for Primary Industries and Regional Development, hereby require that:</w:t>
      </w:r>
    </w:p>
    <w:p w14:paraId="376D628F" w14:textId="77777777" w:rsidR="002F3519" w:rsidRPr="002F3519" w:rsidRDefault="002F3519" w:rsidP="00F36435">
      <w:pPr>
        <w:pStyle w:val="GG-body"/>
        <w:numPr>
          <w:ilvl w:val="0"/>
          <w:numId w:val="11"/>
        </w:numPr>
        <w:spacing w:after="0"/>
        <w:ind w:left="426" w:hanging="294"/>
      </w:pPr>
      <w:r w:rsidRPr="002F3519">
        <w:t>activities listed in Schedule 1 are prohibited within South Australia, and</w:t>
      </w:r>
    </w:p>
    <w:p w14:paraId="7A6AD93E" w14:textId="77777777" w:rsidR="002F3519" w:rsidRPr="002F3519" w:rsidRDefault="002F3519" w:rsidP="00F36435">
      <w:pPr>
        <w:pStyle w:val="GG-body"/>
        <w:numPr>
          <w:ilvl w:val="0"/>
          <w:numId w:val="11"/>
        </w:numPr>
        <w:ind w:left="426" w:hanging="294"/>
      </w:pPr>
      <w:r w:rsidRPr="002F3519">
        <w:t>activities listed in Schedule 2 Column A are prohibited unless they are undertaken in accordance with requirements in Schedule 2 Column B.</w:t>
      </w:r>
    </w:p>
    <w:bookmarkEnd w:id="1"/>
    <w:p w14:paraId="28CCCEF1" w14:textId="0512DF42" w:rsidR="002F3519" w:rsidRPr="00ED38A6" w:rsidRDefault="00ED38A6" w:rsidP="00ED38A6">
      <w:pPr>
        <w:pStyle w:val="GG-body"/>
        <w:jc w:val="center"/>
        <w:rPr>
          <w:b/>
          <w:bCs/>
          <w:smallCaps/>
        </w:rPr>
      </w:pPr>
      <w:r w:rsidRPr="00ED38A6">
        <w:rPr>
          <w:b/>
          <w:bCs/>
          <w:smallCaps/>
        </w:rPr>
        <w:t>Definitions</w:t>
      </w:r>
    </w:p>
    <w:p w14:paraId="542BBD81" w14:textId="77777777" w:rsidR="002F3519" w:rsidRPr="002F3519" w:rsidRDefault="002F3519" w:rsidP="00854924">
      <w:pPr>
        <w:pStyle w:val="GG-body"/>
      </w:pPr>
      <w:r w:rsidRPr="002F3519">
        <w:t>In this Notice:</w:t>
      </w:r>
    </w:p>
    <w:p w14:paraId="2227F392" w14:textId="77777777" w:rsidR="002F3519" w:rsidRPr="002F3519" w:rsidRDefault="002F3519" w:rsidP="00854924">
      <w:pPr>
        <w:pStyle w:val="GG-body"/>
      </w:pPr>
      <w:bookmarkStart w:id="7" w:name="_Hlk162001975"/>
      <w:r w:rsidRPr="002F3519">
        <w:rPr>
          <w:i/>
          <w:iCs/>
        </w:rPr>
        <w:t xml:space="preserve">biological material </w:t>
      </w:r>
      <w:r w:rsidRPr="002F3519">
        <w:t xml:space="preserve">does not include fish that are lawfully able to be taken under the </w:t>
      </w:r>
      <w:r w:rsidRPr="002F3519">
        <w:rPr>
          <w:i/>
          <w:iCs/>
        </w:rPr>
        <w:t>Fisheries Management Act 2007</w:t>
      </w:r>
      <w:r w:rsidRPr="002F3519">
        <w:t>.</w:t>
      </w:r>
    </w:p>
    <w:p w14:paraId="71B7F390" w14:textId="77777777" w:rsidR="002F3519" w:rsidRPr="002F3519" w:rsidRDefault="002F3519" w:rsidP="00854924">
      <w:pPr>
        <w:pStyle w:val="GG-body"/>
      </w:pPr>
      <w:r w:rsidRPr="002F3519">
        <w:rPr>
          <w:i/>
          <w:iCs/>
        </w:rPr>
        <w:t xml:space="preserve">diving equipment </w:t>
      </w:r>
      <w:r w:rsidRPr="002F3519">
        <w:t xml:space="preserve">includes wetsuits, fins, masks, weight vests and belts, hookah gear and diving accessories, including but not limited to knives, </w:t>
      </w:r>
      <w:proofErr w:type="gramStart"/>
      <w:r w:rsidRPr="002F3519">
        <w:t>bags</w:t>
      </w:r>
      <w:proofErr w:type="gramEnd"/>
      <w:r w:rsidRPr="002F3519">
        <w:t xml:space="preserve"> and nets.</w:t>
      </w:r>
    </w:p>
    <w:p w14:paraId="3907DF1D" w14:textId="77777777" w:rsidR="002F3519" w:rsidRPr="002F3519" w:rsidRDefault="002F3519" w:rsidP="00854924">
      <w:pPr>
        <w:pStyle w:val="GG-body"/>
      </w:pPr>
      <w:r w:rsidRPr="002F3519">
        <w:rPr>
          <w:i/>
          <w:iCs/>
        </w:rPr>
        <w:t xml:space="preserve">fishing equipment </w:t>
      </w:r>
      <w:r w:rsidRPr="002F3519">
        <w:t>includes but is not limited to rods, reels, lines, hooks, sinkers, lures, jigs, bins, baskets, buckets, nets, pots, bags, spearguns and knives.</w:t>
      </w:r>
    </w:p>
    <w:bookmarkEnd w:id="7"/>
    <w:p w14:paraId="7E07227D" w14:textId="77777777" w:rsidR="002F3519" w:rsidRPr="002F3519" w:rsidRDefault="002F3519" w:rsidP="00854924">
      <w:pPr>
        <w:pStyle w:val="GG-body"/>
        <w:rPr>
          <w:i/>
          <w:iCs/>
        </w:rPr>
      </w:pPr>
      <w:r w:rsidRPr="002F3519">
        <w:rPr>
          <w:i/>
          <w:iCs/>
        </w:rPr>
        <w:t xml:space="preserve">marine benthic species </w:t>
      </w:r>
      <w:r w:rsidRPr="002F3519">
        <w:t>includes but is not limited to southern rock lobster, gastropods and macroalgae, but does not include pipis collected in the intertidal zone.</w:t>
      </w:r>
    </w:p>
    <w:p w14:paraId="72C31622" w14:textId="77777777" w:rsidR="002F3519" w:rsidRPr="002F3519" w:rsidRDefault="002F3519" w:rsidP="00854924">
      <w:pPr>
        <w:pStyle w:val="GG-body"/>
      </w:pPr>
      <w:r w:rsidRPr="002F3519">
        <w:rPr>
          <w:i/>
          <w:iCs/>
        </w:rPr>
        <w:t>rock lobster pot</w:t>
      </w:r>
      <w:r w:rsidRPr="002F3519">
        <w:t xml:space="preserve"> has the same meaning as the </w:t>
      </w:r>
      <w:r w:rsidRPr="002F3519">
        <w:rPr>
          <w:i/>
          <w:iCs/>
        </w:rPr>
        <w:t>Fisheries Management (Rock Lobster Fisheries) Regulations 2017</w:t>
      </w:r>
      <w:r w:rsidRPr="002F3519">
        <w:t>.</w:t>
      </w:r>
    </w:p>
    <w:p w14:paraId="413518F4" w14:textId="77777777" w:rsidR="002F3519" w:rsidRPr="002F3519" w:rsidRDefault="002F3519" w:rsidP="00854924">
      <w:pPr>
        <w:pStyle w:val="GG-body"/>
      </w:pPr>
      <w:r w:rsidRPr="002F3519">
        <w:rPr>
          <w:i/>
          <w:iCs/>
        </w:rPr>
        <w:t xml:space="preserve">Southern Zone </w:t>
      </w:r>
      <w:r w:rsidRPr="002F3519">
        <w:t xml:space="preserve">means </w:t>
      </w:r>
      <w:bookmarkStart w:id="8" w:name="_Hlk162013740"/>
      <w:r w:rsidRPr="002F3519">
        <w:t>waters adjacent to South Australia east of the meridian of longitude 139⁰ East and shallower than 30 metres.</w:t>
      </w:r>
      <w:bookmarkEnd w:id="8"/>
    </w:p>
    <w:p w14:paraId="398C8E3A" w14:textId="1D4B2E24" w:rsidR="00F36435" w:rsidRPr="00F36435" w:rsidRDefault="004D4D1C" w:rsidP="00CC4068">
      <w:pPr>
        <w:spacing w:line="259" w:lineRule="auto"/>
        <w:jc w:val="center"/>
        <w:rPr>
          <w:rFonts w:ascii="Times New Roman" w:hAnsi="Times New Roman"/>
          <w:b/>
          <w:bCs/>
          <w:sz w:val="17"/>
          <w:szCs w:val="17"/>
        </w:rPr>
      </w:pPr>
      <w:bookmarkStart w:id="9" w:name="_Hlk160486277"/>
      <w:bookmarkStart w:id="10" w:name="_Hlk160524774"/>
      <w:r w:rsidRPr="004D4D1C">
        <w:rPr>
          <w:rFonts w:ascii="Times New Roman" w:hAnsi="Times New Roman"/>
          <w:b/>
          <w:bCs/>
          <w:smallCaps/>
          <w:sz w:val="17"/>
          <w:szCs w:val="17"/>
        </w:rPr>
        <w:t>Schedule</w:t>
      </w:r>
      <w:r w:rsidRPr="00F36435">
        <w:rPr>
          <w:rFonts w:ascii="Times New Roman" w:hAnsi="Times New Roman"/>
          <w:b/>
          <w:bCs/>
          <w:sz w:val="17"/>
          <w:szCs w:val="17"/>
        </w:rPr>
        <w:t xml:space="preserve"> </w:t>
      </w:r>
      <w:r w:rsidR="00F36435" w:rsidRPr="00F36435">
        <w:rPr>
          <w:rFonts w:ascii="Times New Roman" w:hAnsi="Times New Roman"/>
          <w:b/>
          <w:bCs/>
          <w:sz w:val="17"/>
          <w:szCs w:val="17"/>
        </w:rPr>
        <w:t>1</w:t>
      </w:r>
      <w:r>
        <w:rPr>
          <w:rFonts w:ascii="Times New Roman" w:hAnsi="Times New Roman"/>
          <w:b/>
          <w:bCs/>
          <w:sz w:val="17"/>
          <w:szCs w:val="17"/>
        </w:rPr>
        <w:t>—</w:t>
      </w:r>
      <w:r w:rsidR="00F36435" w:rsidRPr="00F36435">
        <w:rPr>
          <w:rFonts w:ascii="Times New Roman" w:hAnsi="Times New Roman"/>
          <w:b/>
          <w:bCs/>
          <w:sz w:val="17"/>
          <w:szCs w:val="17"/>
        </w:rPr>
        <w:t>Activities prohibited within South Australia</w:t>
      </w:r>
    </w:p>
    <w:p w14:paraId="60391DE9" w14:textId="77777777" w:rsidR="00F36435" w:rsidRPr="00F36435" w:rsidRDefault="00F36435" w:rsidP="004D4D1C">
      <w:pPr>
        <w:pStyle w:val="GG-body"/>
      </w:pPr>
      <w:r w:rsidRPr="00F36435">
        <w:t>Keeping of abalone originating from the Southern Zone in the same holding system (water, tanks or aquaria, equipment) as any other abalone</w:t>
      </w:r>
      <w:bookmarkEnd w:id="9"/>
      <w:r w:rsidRPr="00F36435">
        <w:t>.</w:t>
      </w:r>
    </w:p>
    <w:p w14:paraId="0A3D617E" w14:textId="77777777" w:rsidR="00F36435" w:rsidRPr="00F36435" w:rsidRDefault="00F36435" w:rsidP="004D4D1C">
      <w:pPr>
        <w:pStyle w:val="GG-body"/>
      </w:pPr>
      <w:r w:rsidRPr="00F36435">
        <w:t xml:space="preserve">Keeping of non-abalone marine benthic species (including but not limited to rock lobsters and crabs) originating from the Southern Zone in the same holding system (water, tanks or aquaria, equipment) as abalone. </w:t>
      </w:r>
    </w:p>
    <w:bookmarkEnd w:id="10"/>
    <w:p w14:paraId="611F600A" w14:textId="10A2CF59" w:rsidR="00F36435" w:rsidRPr="00F36435" w:rsidRDefault="004D4D1C" w:rsidP="00CC4068">
      <w:pPr>
        <w:tabs>
          <w:tab w:val="left" w:pos="1703"/>
        </w:tabs>
        <w:spacing w:line="259" w:lineRule="auto"/>
        <w:jc w:val="center"/>
        <w:rPr>
          <w:rFonts w:ascii="Times New Roman" w:hAnsi="Times New Roman"/>
          <w:b/>
          <w:bCs/>
          <w:sz w:val="17"/>
          <w:szCs w:val="17"/>
        </w:rPr>
      </w:pPr>
      <w:r w:rsidRPr="004D4D1C">
        <w:rPr>
          <w:rFonts w:ascii="Times New Roman" w:hAnsi="Times New Roman"/>
          <w:b/>
          <w:bCs/>
          <w:smallCaps/>
          <w:sz w:val="17"/>
          <w:szCs w:val="17"/>
        </w:rPr>
        <w:t>Schedule</w:t>
      </w:r>
      <w:r w:rsidRPr="00F36435">
        <w:rPr>
          <w:rFonts w:ascii="Times New Roman" w:hAnsi="Times New Roman"/>
          <w:b/>
          <w:bCs/>
          <w:sz w:val="17"/>
          <w:szCs w:val="17"/>
        </w:rPr>
        <w:t xml:space="preserve"> </w:t>
      </w:r>
      <w:r w:rsidR="00F36435" w:rsidRPr="00F36435">
        <w:rPr>
          <w:rFonts w:ascii="Times New Roman" w:hAnsi="Times New Roman"/>
          <w:b/>
          <w:bCs/>
          <w:sz w:val="17"/>
          <w:szCs w:val="17"/>
        </w:rPr>
        <w:t>2</w:t>
      </w:r>
      <w:r>
        <w:rPr>
          <w:rFonts w:ascii="Times New Roman" w:hAnsi="Times New Roman"/>
          <w:b/>
          <w:bCs/>
          <w:sz w:val="17"/>
          <w:szCs w:val="17"/>
        </w:rPr>
        <w:t>—</w:t>
      </w:r>
      <w:r w:rsidR="00F36435" w:rsidRPr="00F36435">
        <w:rPr>
          <w:rFonts w:ascii="Times New Roman" w:hAnsi="Times New Roman"/>
          <w:b/>
          <w:bCs/>
          <w:sz w:val="17"/>
          <w:szCs w:val="17"/>
        </w:rPr>
        <w:t>Activities subject to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2"/>
      </w:tblGrid>
      <w:tr w:rsidR="00F36435" w:rsidRPr="00F36435" w14:paraId="05F388D3" w14:textId="77777777" w:rsidTr="0001771F">
        <w:tc>
          <w:tcPr>
            <w:tcW w:w="2499" w:type="pct"/>
            <w:tcBorders>
              <w:top w:val="single" w:sz="4" w:space="0" w:color="auto"/>
            </w:tcBorders>
          </w:tcPr>
          <w:p w14:paraId="0BB4452A" w14:textId="77777777" w:rsidR="00F36435" w:rsidRPr="00F36435" w:rsidRDefault="00F36435" w:rsidP="0001771F">
            <w:pPr>
              <w:spacing w:before="40" w:after="0" w:line="240" w:lineRule="auto"/>
              <w:jc w:val="center"/>
              <w:rPr>
                <w:rFonts w:ascii="Times New Roman" w:hAnsi="Times New Roman"/>
                <w:b/>
                <w:bCs/>
                <w:sz w:val="17"/>
                <w:szCs w:val="17"/>
              </w:rPr>
            </w:pPr>
            <w:r w:rsidRPr="00F36435">
              <w:rPr>
                <w:rFonts w:ascii="Times New Roman" w:hAnsi="Times New Roman"/>
                <w:b/>
                <w:bCs/>
                <w:sz w:val="17"/>
                <w:szCs w:val="17"/>
              </w:rPr>
              <w:t>Column A</w:t>
            </w:r>
          </w:p>
        </w:tc>
        <w:tc>
          <w:tcPr>
            <w:tcW w:w="2501" w:type="pct"/>
            <w:tcBorders>
              <w:top w:val="single" w:sz="4" w:space="0" w:color="auto"/>
            </w:tcBorders>
          </w:tcPr>
          <w:p w14:paraId="1DCE1475" w14:textId="77777777" w:rsidR="00F36435" w:rsidRPr="00F36435" w:rsidRDefault="00F36435" w:rsidP="0001771F">
            <w:pPr>
              <w:spacing w:before="40" w:after="0" w:line="240" w:lineRule="auto"/>
              <w:jc w:val="center"/>
              <w:rPr>
                <w:rFonts w:ascii="Times New Roman" w:hAnsi="Times New Roman"/>
                <w:b/>
                <w:bCs/>
                <w:sz w:val="17"/>
                <w:szCs w:val="17"/>
              </w:rPr>
            </w:pPr>
            <w:r w:rsidRPr="00F36435">
              <w:rPr>
                <w:rFonts w:ascii="Times New Roman" w:hAnsi="Times New Roman"/>
                <w:b/>
                <w:bCs/>
                <w:sz w:val="17"/>
                <w:szCs w:val="17"/>
              </w:rPr>
              <w:t>Column B</w:t>
            </w:r>
          </w:p>
        </w:tc>
      </w:tr>
      <w:tr w:rsidR="00F36435" w:rsidRPr="00F36435" w14:paraId="74F8CB80" w14:textId="77777777" w:rsidTr="0001771F">
        <w:trPr>
          <w:trHeight w:val="198"/>
        </w:trPr>
        <w:tc>
          <w:tcPr>
            <w:tcW w:w="2499" w:type="pct"/>
            <w:tcBorders>
              <w:bottom w:val="single" w:sz="4" w:space="0" w:color="auto"/>
            </w:tcBorders>
          </w:tcPr>
          <w:p w14:paraId="6AD4C298" w14:textId="77777777" w:rsidR="00F36435" w:rsidRPr="00F36435" w:rsidRDefault="00F36435" w:rsidP="0001771F">
            <w:pPr>
              <w:spacing w:after="40" w:line="240" w:lineRule="auto"/>
              <w:jc w:val="center"/>
              <w:rPr>
                <w:rFonts w:ascii="Times New Roman" w:hAnsi="Times New Roman"/>
                <w:b/>
                <w:bCs/>
                <w:sz w:val="17"/>
                <w:szCs w:val="17"/>
              </w:rPr>
            </w:pPr>
            <w:r w:rsidRPr="00F36435">
              <w:rPr>
                <w:rFonts w:ascii="Times New Roman" w:hAnsi="Times New Roman"/>
                <w:b/>
                <w:bCs/>
                <w:sz w:val="17"/>
                <w:szCs w:val="17"/>
              </w:rPr>
              <w:t>Activity</w:t>
            </w:r>
          </w:p>
        </w:tc>
        <w:tc>
          <w:tcPr>
            <w:tcW w:w="2501" w:type="pct"/>
            <w:tcBorders>
              <w:bottom w:val="single" w:sz="4" w:space="0" w:color="auto"/>
            </w:tcBorders>
          </w:tcPr>
          <w:p w14:paraId="7F3A270B" w14:textId="77777777" w:rsidR="00F36435" w:rsidRPr="00F36435" w:rsidRDefault="00F36435" w:rsidP="0001771F">
            <w:pPr>
              <w:spacing w:after="40" w:line="240" w:lineRule="auto"/>
              <w:jc w:val="center"/>
              <w:rPr>
                <w:rFonts w:ascii="Times New Roman" w:hAnsi="Times New Roman"/>
                <w:b/>
                <w:bCs/>
                <w:sz w:val="17"/>
                <w:szCs w:val="17"/>
              </w:rPr>
            </w:pPr>
            <w:r w:rsidRPr="00F36435">
              <w:rPr>
                <w:rFonts w:ascii="Times New Roman" w:hAnsi="Times New Roman"/>
                <w:b/>
                <w:bCs/>
                <w:sz w:val="17"/>
                <w:szCs w:val="17"/>
              </w:rPr>
              <w:t>Requirements</w:t>
            </w:r>
          </w:p>
        </w:tc>
      </w:tr>
      <w:tr w:rsidR="00F36435" w:rsidRPr="00F36435" w14:paraId="4723A3F2" w14:textId="77777777" w:rsidTr="0001771F">
        <w:tc>
          <w:tcPr>
            <w:tcW w:w="2499" w:type="pct"/>
            <w:tcBorders>
              <w:top w:val="single" w:sz="4" w:space="0" w:color="auto"/>
              <w:bottom w:val="single" w:sz="4" w:space="0" w:color="auto"/>
            </w:tcBorders>
          </w:tcPr>
          <w:p w14:paraId="07A3ED1B" w14:textId="77777777" w:rsidR="00F36435" w:rsidRPr="00F36435" w:rsidRDefault="00F36435" w:rsidP="00F36435">
            <w:pPr>
              <w:spacing w:after="0" w:line="240" w:lineRule="auto"/>
              <w:ind w:left="29"/>
              <w:jc w:val="left"/>
              <w:rPr>
                <w:rFonts w:ascii="Times New Roman" w:hAnsi="Times New Roman"/>
                <w:sz w:val="17"/>
                <w:szCs w:val="17"/>
              </w:rPr>
            </w:pPr>
            <w:r w:rsidRPr="00F36435">
              <w:rPr>
                <w:rFonts w:ascii="Times New Roman" w:hAnsi="Times New Roman"/>
                <w:sz w:val="17"/>
                <w:szCs w:val="17"/>
              </w:rPr>
              <w:t xml:space="preserve">Any activity that requires the use of diving equipment, fishing equipment, and anchors that have </w:t>
            </w:r>
            <w:proofErr w:type="gramStart"/>
            <w:r w:rsidRPr="00F36435">
              <w:rPr>
                <w:rFonts w:ascii="Times New Roman" w:hAnsi="Times New Roman"/>
                <w:sz w:val="17"/>
                <w:szCs w:val="17"/>
              </w:rPr>
              <w:t>come into contact with</w:t>
            </w:r>
            <w:proofErr w:type="gramEnd"/>
            <w:r w:rsidRPr="00F36435">
              <w:rPr>
                <w:rFonts w:ascii="Times New Roman" w:hAnsi="Times New Roman"/>
                <w:sz w:val="17"/>
                <w:szCs w:val="17"/>
              </w:rPr>
              <w:t xml:space="preserve"> the marine benthic environment</w:t>
            </w:r>
          </w:p>
        </w:tc>
        <w:tc>
          <w:tcPr>
            <w:tcW w:w="2501" w:type="pct"/>
            <w:tcBorders>
              <w:top w:val="single" w:sz="4" w:space="0" w:color="auto"/>
              <w:bottom w:val="single" w:sz="4" w:space="0" w:color="auto"/>
            </w:tcBorders>
          </w:tcPr>
          <w:p w14:paraId="36CBE52C" w14:textId="77777777" w:rsidR="00F36435" w:rsidRPr="00F36435" w:rsidRDefault="00F36435" w:rsidP="00F36435">
            <w:pPr>
              <w:spacing w:after="0" w:line="240" w:lineRule="auto"/>
              <w:ind w:left="97"/>
              <w:jc w:val="left"/>
              <w:rPr>
                <w:rFonts w:ascii="Times New Roman" w:hAnsi="Times New Roman"/>
                <w:sz w:val="17"/>
                <w:szCs w:val="17"/>
              </w:rPr>
            </w:pPr>
            <w:r w:rsidRPr="00F36435">
              <w:rPr>
                <w:rFonts w:ascii="Times New Roman" w:hAnsi="Times New Roman"/>
                <w:sz w:val="17"/>
                <w:szCs w:val="17"/>
              </w:rPr>
              <w:t xml:space="preserve">All equipment used within the waters of the Southern Zone must be decontaminated in accordance with the “PIRSA Guideline Decontamination requirements for Abalone Viral </w:t>
            </w:r>
            <w:proofErr w:type="spellStart"/>
            <w:r w:rsidRPr="00F36435">
              <w:rPr>
                <w:rFonts w:ascii="Times New Roman" w:hAnsi="Times New Roman"/>
                <w:sz w:val="17"/>
                <w:szCs w:val="17"/>
              </w:rPr>
              <w:t>Ganglioneuritis</w:t>
            </w:r>
            <w:proofErr w:type="spellEnd"/>
            <w:r w:rsidRPr="00F36435">
              <w:rPr>
                <w:rFonts w:ascii="Times New Roman" w:hAnsi="Times New Roman"/>
                <w:sz w:val="17"/>
                <w:szCs w:val="17"/>
              </w:rPr>
              <w:t>” as published on the Department of Primary Industries and Regions website (</w:t>
            </w:r>
            <w:hyperlink r:id="rId18" w:history="1">
              <w:r w:rsidRPr="00F36435">
                <w:rPr>
                  <w:rFonts w:ascii="Times New Roman" w:hAnsi="Times New Roman"/>
                  <w:color w:val="0563C1"/>
                  <w:sz w:val="17"/>
                  <w:szCs w:val="17"/>
                  <w:u w:val="single"/>
                </w:rPr>
                <w:t>https://www.pir.sa.gov.au</w:t>
              </w:r>
            </w:hyperlink>
            <w:r w:rsidRPr="00F36435">
              <w:rPr>
                <w:rFonts w:ascii="Times New Roman" w:hAnsi="Times New Roman"/>
                <w:sz w:val="17"/>
                <w:szCs w:val="17"/>
              </w:rPr>
              <w:t xml:space="preserve">) before entering State waters other than the waters of the Southern Zone. Within the </w:t>
            </w:r>
            <w:proofErr w:type="gramStart"/>
            <w:r w:rsidRPr="00F36435">
              <w:rPr>
                <w:rFonts w:ascii="Times New Roman" w:hAnsi="Times New Roman"/>
                <w:sz w:val="17"/>
                <w:szCs w:val="17"/>
              </w:rPr>
              <w:t>aforementioned Guideline</w:t>
            </w:r>
            <w:proofErr w:type="gramEnd"/>
            <w:r w:rsidRPr="00F36435">
              <w:rPr>
                <w:rFonts w:ascii="Times New Roman" w:hAnsi="Times New Roman"/>
                <w:sz w:val="17"/>
                <w:szCs w:val="17"/>
              </w:rPr>
              <w:t xml:space="preserve">, </w:t>
            </w:r>
            <w:r w:rsidRPr="00F36435">
              <w:rPr>
                <w:rFonts w:ascii="Times New Roman" w:hAnsi="Times New Roman"/>
                <w:i/>
                <w:iCs/>
                <w:sz w:val="17"/>
                <w:szCs w:val="17"/>
              </w:rPr>
              <w:t>biological material</w:t>
            </w:r>
            <w:r w:rsidRPr="00F36435">
              <w:rPr>
                <w:rFonts w:ascii="Times New Roman" w:hAnsi="Times New Roman"/>
                <w:sz w:val="17"/>
                <w:szCs w:val="17"/>
              </w:rPr>
              <w:t xml:space="preserve"> and </w:t>
            </w:r>
            <w:r w:rsidRPr="00F36435">
              <w:rPr>
                <w:rFonts w:ascii="Times New Roman" w:hAnsi="Times New Roman"/>
                <w:i/>
                <w:iCs/>
                <w:sz w:val="17"/>
                <w:szCs w:val="17"/>
              </w:rPr>
              <w:t xml:space="preserve">rock lobster pot </w:t>
            </w:r>
            <w:r w:rsidRPr="00F36435">
              <w:rPr>
                <w:rFonts w:ascii="Times New Roman" w:hAnsi="Times New Roman"/>
                <w:sz w:val="17"/>
                <w:szCs w:val="17"/>
              </w:rPr>
              <w:t>have the meaning defined in this Notice.</w:t>
            </w:r>
          </w:p>
        </w:tc>
      </w:tr>
    </w:tbl>
    <w:p w14:paraId="10925FE8" w14:textId="45F021BE" w:rsidR="00F36435" w:rsidRPr="00F36435" w:rsidRDefault="00F36435" w:rsidP="004D4D1C">
      <w:pPr>
        <w:pStyle w:val="GG-body"/>
        <w:spacing w:before="120"/>
        <w:rPr>
          <w:lang w:val="en-US"/>
        </w:rPr>
      </w:pPr>
      <w:r w:rsidRPr="00F36435">
        <w:rPr>
          <w:rFonts w:eastAsiaTheme="minorHAnsi"/>
        </w:rPr>
        <w:lastRenderedPageBreak/>
        <w:t>This Notice will be in effect from 23:59 on 27 March 2024 and remain in force until 23:59 on 26 March 2025 unless amended or revoked by a subsequent Notice.</w:t>
      </w:r>
    </w:p>
    <w:p w14:paraId="5A75F4C3" w14:textId="77777777" w:rsidR="00F36435" w:rsidRPr="00F36435" w:rsidRDefault="00F36435" w:rsidP="0001771F">
      <w:pPr>
        <w:pStyle w:val="GG-SDated"/>
      </w:pPr>
      <w:r w:rsidRPr="00F36435">
        <w:t xml:space="preserve">Dated: 27 March 2024 </w:t>
      </w:r>
    </w:p>
    <w:p w14:paraId="726DF6D4" w14:textId="77777777" w:rsidR="004D4D1C" w:rsidRDefault="00F36435" w:rsidP="0001771F">
      <w:pPr>
        <w:pStyle w:val="GG-SName"/>
      </w:pPr>
      <w:r w:rsidRPr="00F36435">
        <w:t>Elise Katherine Spark</w:t>
      </w:r>
    </w:p>
    <w:p w14:paraId="12A0BCA2" w14:textId="77777777" w:rsidR="004D4D1C" w:rsidRDefault="00F36435" w:rsidP="0001771F">
      <w:pPr>
        <w:pStyle w:val="GG-Signature"/>
      </w:pPr>
      <w:r w:rsidRPr="00F36435">
        <w:t>Chief Inspector of Stock</w:t>
      </w:r>
    </w:p>
    <w:p w14:paraId="615491F0" w14:textId="2C213FFE" w:rsidR="00F36435" w:rsidRDefault="00F36435" w:rsidP="0001771F">
      <w:pPr>
        <w:pStyle w:val="GG-Signature"/>
      </w:pPr>
      <w:r w:rsidRPr="00F36435">
        <w:t>Delegate of the Minister for Primary Industries and Regional Development</w:t>
      </w:r>
    </w:p>
    <w:p w14:paraId="26CC9C82" w14:textId="77777777" w:rsidR="0001771F" w:rsidRDefault="0001771F" w:rsidP="0001771F">
      <w:pPr>
        <w:pStyle w:val="GG-Signature"/>
        <w:pBdr>
          <w:bottom w:val="single" w:sz="4" w:space="1" w:color="auto"/>
        </w:pBdr>
        <w:spacing w:line="52" w:lineRule="exact"/>
        <w:jc w:val="center"/>
      </w:pPr>
    </w:p>
    <w:p w14:paraId="270BD6BA" w14:textId="77777777" w:rsidR="0001771F" w:rsidRDefault="0001771F" w:rsidP="0001771F">
      <w:pPr>
        <w:pStyle w:val="GG-Signature"/>
        <w:pBdr>
          <w:top w:val="single" w:sz="4" w:space="1" w:color="auto"/>
        </w:pBdr>
        <w:spacing w:before="34" w:line="14" w:lineRule="exact"/>
        <w:jc w:val="center"/>
      </w:pPr>
    </w:p>
    <w:p w14:paraId="20EAF5A5" w14:textId="77777777" w:rsidR="0001771F" w:rsidRPr="00F36435" w:rsidRDefault="0001771F" w:rsidP="0001771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046FA13F" w14:textId="77777777" w:rsidR="00F36435" w:rsidRDefault="00F36435" w:rsidP="004D4D1C">
      <w:pPr>
        <w:pStyle w:val="GG-body"/>
      </w:pPr>
    </w:p>
    <w:p w14:paraId="5C2E5D87" w14:textId="77777777" w:rsidR="0001771F" w:rsidRDefault="0001771F" w:rsidP="004D4D1C">
      <w:pPr>
        <w:pStyle w:val="GG-body"/>
      </w:pPr>
    </w:p>
    <w:p w14:paraId="5F855E64" w14:textId="77777777" w:rsidR="0001771F" w:rsidRDefault="0001771F" w:rsidP="004D4D1C">
      <w:pPr>
        <w:pStyle w:val="GG-body"/>
      </w:pPr>
    </w:p>
    <w:p w14:paraId="2E83CA1F" w14:textId="77777777" w:rsidR="0001771F" w:rsidRDefault="0001771F" w:rsidP="004D4D1C">
      <w:pPr>
        <w:pStyle w:val="GG-body"/>
      </w:pPr>
    </w:p>
    <w:p w14:paraId="06E87436" w14:textId="77777777" w:rsidR="00B142D0" w:rsidRDefault="00B142D0" w:rsidP="004D4D1C">
      <w:pPr>
        <w:pStyle w:val="GG-body"/>
      </w:pPr>
    </w:p>
    <w:p w14:paraId="1ED012EB" w14:textId="77777777" w:rsidR="00B142D0" w:rsidRDefault="00B142D0" w:rsidP="004D4D1C">
      <w:pPr>
        <w:pStyle w:val="GG-body"/>
      </w:pPr>
    </w:p>
    <w:p w14:paraId="56A0077E" w14:textId="77777777" w:rsidR="00B142D0" w:rsidRDefault="00B142D0" w:rsidP="004D4D1C">
      <w:pPr>
        <w:pStyle w:val="GG-body"/>
      </w:pPr>
    </w:p>
    <w:p w14:paraId="0E6019A6" w14:textId="77777777" w:rsidR="00B142D0" w:rsidRDefault="00B142D0" w:rsidP="004D4D1C">
      <w:pPr>
        <w:pStyle w:val="GG-body"/>
      </w:pPr>
    </w:p>
    <w:p w14:paraId="6F57E925" w14:textId="77777777" w:rsidR="00B142D0" w:rsidRDefault="00B142D0" w:rsidP="004D4D1C">
      <w:pPr>
        <w:pStyle w:val="GG-body"/>
      </w:pPr>
    </w:p>
    <w:p w14:paraId="57E305E7" w14:textId="77777777" w:rsidR="00B142D0" w:rsidRDefault="00B142D0" w:rsidP="004D4D1C">
      <w:pPr>
        <w:pStyle w:val="GG-body"/>
      </w:pPr>
    </w:p>
    <w:p w14:paraId="5EABA484" w14:textId="77777777" w:rsidR="00B142D0" w:rsidRDefault="00B142D0" w:rsidP="004D4D1C">
      <w:pPr>
        <w:pStyle w:val="GG-body"/>
      </w:pPr>
    </w:p>
    <w:p w14:paraId="3A80B35A" w14:textId="77777777" w:rsidR="00B142D0" w:rsidRDefault="00B142D0" w:rsidP="004D4D1C">
      <w:pPr>
        <w:pStyle w:val="GG-body"/>
      </w:pPr>
    </w:p>
    <w:p w14:paraId="5DEC13F5" w14:textId="77777777" w:rsidR="00B142D0" w:rsidRDefault="00B142D0" w:rsidP="004D4D1C">
      <w:pPr>
        <w:pStyle w:val="GG-body"/>
      </w:pPr>
    </w:p>
    <w:p w14:paraId="0CB6EDBB" w14:textId="77777777" w:rsidR="00B142D0" w:rsidRDefault="00B142D0" w:rsidP="004D4D1C">
      <w:pPr>
        <w:pStyle w:val="GG-body"/>
      </w:pPr>
    </w:p>
    <w:p w14:paraId="60C00EC3" w14:textId="77777777" w:rsidR="00B142D0" w:rsidRDefault="00B142D0" w:rsidP="004D4D1C">
      <w:pPr>
        <w:pStyle w:val="GG-body"/>
      </w:pPr>
    </w:p>
    <w:p w14:paraId="6DEE4DD8" w14:textId="77777777" w:rsidR="00B142D0" w:rsidRDefault="00B142D0" w:rsidP="004D4D1C">
      <w:pPr>
        <w:pStyle w:val="GG-body"/>
      </w:pPr>
    </w:p>
    <w:p w14:paraId="63FA27BC" w14:textId="77777777" w:rsidR="00B142D0" w:rsidRDefault="00B142D0" w:rsidP="004D4D1C">
      <w:pPr>
        <w:pStyle w:val="GG-body"/>
      </w:pPr>
    </w:p>
    <w:p w14:paraId="5B918987" w14:textId="77777777" w:rsidR="00B142D0" w:rsidRDefault="00B142D0" w:rsidP="004D4D1C">
      <w:pPr>
        <w:pStyle w:val="GG-body"/>
      </w:pPr>
    </w:p>
    <w:p w14:paraId="6D132A97" w14:textId="77777777" w:rsidR="00B142D0" w:rsidRDefault="00B142D0" w:rsidP="004D4D1C">
      <w:pPr>
        <w:pStyle w:val="GG-body"/>
      </w:pPr>
    </w:p>
    <w:p w14:paraId="0F691CF4" w14:textId="77777777" w:rsidR="00B142D0" w:rsidRDefault="00B142D0" w:rsidP="004D4D1C">
      <w:pPr>
        <w:pStyle w:val="GG-body"/>
      </w:pPr>
    </w:p>
    <w:p w14:paraId="66D9D72F" w14:textId="77777777" w:rsidR="00B142D0" w:rsidRDefault="00B142D0" w:rsidP="004D4D1C">
      <w:pPr>
        <w:pStyle w:val="GG-body"/>
      </w:pPr>
    </w:p>
    <w:p w14:paraId="668D1D12" w14:textId="77777777" w:rsidR="00B142D0" w:rsidRDefault="00B142D0" w:rsidP="004D4D1C">
      <w:pPr>
        <w:pStyle w:val="GG-body"/>
      </w:pPr>
    </w:p>
    <w:p w14:paraId="16396AD8" w14:textId="77777777" w:rsidR="00B142D0" w:rsidRDefault="00B142D0" w:rsidP="004D4D1C">
      <w:pPr>
        <w:pStyle w:val="GG-body"/>
      </w:pPr>
    </w:p>
    <w:p w14:paraId="1652C943" w14:textId="77777777" w:rsidR="00B142D0" w:rsidRDefault="00B142D0" w:rsidP="004D4D1C">
      <w:pPr>
        <w:pStyle w:val="GG-body"/>
      </w:pPr>
    </w:p>
    <w:p w14:paraId="71D87B74" w14:textId="77777777" w:rsidR="00B142D0" w:rsidRDefault="00B142D0" w:rsidP="004D4D1C">
      <w:pPr>
        <w:pStyle w:val="GG-body"/>
      </w:pPr>
    </w:p>
    <w:p w14:paraId="705512D3" w14:textId="77777777" w:rsidR="00B142D0" w:rsidRDefault="00B142D0" w:rsidP="004D4D1C">
      <w:pPr>
        <w:pStyle w:val="GG-body"/>
      </w:pPr>
    </w:p>
    <w:p w14:paraId="0659E900" w14:textId="77777777" w:rsidR="00B142D0" w:rsidRDefault="00B142D0" w:rsidP="004D4D1C">
      <w:pPr>
        <w:pStyle w:val="GG-body"/>
      </w:pPr>
    </w:p>
    <w:p w14:paraId="05A3353B" w14:textId="77777777" w:rsidR="00B142D0" w:rsidRDefault="00B142D0" w:rsidP="004D4D1C">
      <w:pPr>
        <w:pStyle w:val="GG-body"/>
      </w:pPr>
    </w:p>
    <w:p w14:paraId="18E470EB" w14:textId="77777777" w:rsidR="00B142D0" w:rsidRDefault="00B142D0" w:rsidP="004D4D1C">
      <w:pPr>
        <w:pStyle w:val="GG-body"/>
      </w:pPr>
    </w:p>
    <w:p w14:paraId="59F2ED4A" w14:textId="77777777" w:rsidR="00B142D0" w:rsidRDefault="00B142D0" w:rsidP="004D4D1C">
      <w:pPr>
        <w:pStyle w:val="GG-body"/>
      </w:pPr>
    </w:p>
    <w:p w14:paraId="4BF93256" w14:textId="77777777" w:rsidR="00B142D0" w:rsidRDefault="00B142D0" w:rsidP="004D4D1C">
      <w:pPr>
        <w:pStyle w:val="GG-body"/>
      </w:pPr>
    </w:p>
    <w:p w14:paraId="3435005D" w14:textId="77777777" w:rsidR="00B142D0" w:rsidRDefault="00B142D0" w:rsidP="004D4D1C">
      <w:pPr>
        <w:pStyle w:val="GG-body"/>
      </w:pPr>
    </w:p>
    <w:p w14:paraId="08BDDA0E" w14:textId="77777777" w:rsidR="00B142D0" w:rsidRDefault="00B142D0" w:rsidP="004D4D1C">
      <w:pPr>
        <w:pStyle w:val="GG-body"/>
      </w:pPr>
    </w:p>
    <w:p w14:paraId="50481AEA" w14:textId="77777777" w:rsidR="00B142D0" w:rsidRDefault="00B142D0" w:rsidP="004D4D1C">
      <w:pPr>
        <w:pStyle w:val="GG-body"/>
      </w:pPr>
    </w:p>
    <w:p w14:paraId="410BCEEB" w14:textId="77777777" w:rsidR="00B142D0" w:rsidRDefault="00B142D0" w:rsidP="004D4D1C">
      <w:pPr>
        <w:pStyle w:val="GG-body"/>
      </w:pPr>
    </w:p>
    <w:p w14:paraId="401D8F07" w14:textId="77777777" w:rsidR="00B142D0" w:rsidRDefault="00B142D0" w:rsidP="004D4D1C">
      <w:pPr>
        <w:pStyle w:val="GG-body"/>
      </w:pPr>
    </w:p>
    <w:p w14:paraId="5FF1D3D5" w14:textId="77777777" w:rsidR="00B142D0" w:rsidRDefault="00B142D0" w:rsidP="004D4D1C">
      <w:pPr>
        <w:pStyle w:val="GG-body"/>
      </w:pPr>
    </w:p>
    <w:p w14:paraId="6F0D9A88" w14:textId="77777777" w:rsidR="00B142D0" w:rsidRDefault="00B142D0" w:rsidP="004D4D1C">
      <w:pPr>
        <w:pStyle w:val="GG-body"/>
      </w:pPr>
    </w:p>
    <w:p w14:paraId="0C7D7FD6" w14:textId="77777777" w:rsidR="00B142D0" w:rsidRDefault="00B142D0" w:rsidP="004D4D1C">
      <w:pPr>
        <w:pStyle w:val="GG-body"/>
      </w:pPr>
    </w:p>
    <w:p w14:paraId="53AF175D" w14:textId="77777777" w:rsidR="00B142D0" w:rsidRDefault="00B142D0" w:rsidP="004D4D1C">
      <w:pPr>
        <w:pStyle w:val="GG-body"/>
      </w:pPr>
    </w:p>
    <w:p w14:paraId="0F1B488E" w14:textId="77777777" w:rsidR="0001771F" w:rsidRDefault="0001771F" w:rsidP="004D4D1C">
      <w:pPr>
        <w:pStyle w:val="GG-body"/>
      </w:pPr>
    </w:p>
    <w:p w14:paraId="3A037112" w14:textId="77777777" w:rsidR="0001771F" w:rsidRDefault="0001771F" w:rsidP="004D4D1C">
      <w:pPr>
        <w:pStyle w:val="GG-body"/>
      </w:pPr>
    </w:p>
    <w:p w14:paraId="257326DC" w14:textId="77777777" w:rsidR="0001771F" w:rsidRDefault="0001771F" w:rsidP="004D4D1C">
      <w:pPr>
        <w:pStyle w:val="GG-body"/>
      </w:pPr>
    </w:p>
    <w:p w14:paraId="7BD27178" w14:textId="77777777" w:rsidR="00F146D8" w:rsidRDefault="00F146D8" w:rsidP="00F337C8">
      <w:pPr>
        <w:pStyle w:val="GG-body"/>
      </w:pPr>
    </w:p>
    <w:p w14:paraId="5357F90F" w14:textId="77777777" w:rsidR="00F337C8" w:rsidRDefault="00F337C8" w:rsidP="00F337C8">
      <w:pPr>
        <w:pStyle w:val="GG-body"/>
      </w:pPr>
    </w:p>
    <w:p w14:paraId="70FAA703"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5AE613E0"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79566E5"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4F3836" w:rsidRPr="00645A8A">
        <w:rPr>
          <w:rFonts w:ascii="Times New Roman" w:hAnsi="Times New Roman"/>
          <w:smallCaps/>
          <w:sz w:val="17"/>
          <w:szCs w:val="17"/>
        </w:rPr>
        <w:t>T. Foresto</w:t>
      </w:r>
      <w:r w:rsidRPr="004D22EB">
        <w:rPr>
          <w:rFonts w:ascii="Times New Roman" w:hAnsi="Times New Roman"/>
          <w:sz w:val="17"/>
          <w:szCs w:val="17"/>
        </w:rPr>
        <w:t>, Government Printer, South Australia</w:t>
      </w:r>
    </w:p>
    <w:p w14:paraId="499935F5"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15B7DEE2"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9" w:history="1">
        <w:r w:rsidRPr="004D22EB">
          <w:rPr>
            <w:rFonts w:ascii="Times New Roman" w:hAnsi="Times New Roman"/>
            <w:color w:val="0000FF"/>
            <w:sz w:val="17"/>
            <w:szCs w:val="17"/>
            <w:u w:val="single"/>
          </w:rPr>
          <w:t>www.governmentgazette.sa.gov.au</w:t>
        </w:r>
      </w:hyperlink>
    </w:p>
    <w:p w14:paraId="49EE46A3"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01771F">
      <w:headerReference w:type="even" r:id="rId20"/>
      <w:headerReference w:type="default" r:id="rId21"/>
      <w:footerReference w:type="default" r:id="rId22"/>
      <w:pgSz w:w="11906" w:h="16838"/>
      <w:pgMar w:top="1674" w:right="1256" w:bottom="1134" w:left="1290" w:header="1134" w:footer="934" w:gutter="0"/>
      <w:pgNumType w:start="50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C59B" w14:textId="77777777" w:rsidR="002F3519" w:rsidRDefault="002F3519" w:rsidP="00777F88">
      <w:pPr>
        <w:spacing w:after="0" w:line="240" w:lineRule="auto"/>
      </w:pPr>
      <w:r>
        <w:separator/>
      </w:r>
    </w:p>
  </w:endnote>
  <w:endnote w:type="continuationSeparator" w:id="0">
    <w:p w14:paraId="67E3152D" w14:textId="77777777" w:rsidR="002F3519" w:rsidRDefault="002F351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D348"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0476"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7CD6F882"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E0884AB"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104493" w:rsidRPr="00104493">
      <w:rPr>
        <w:rFonts w:ascii="Times New Roman" w:hAnsi="Times New Roman"/>
        <w:smallCaps/>
        <w:sz w:val="17"/>
        <w:szCs w:val="17"/>
      </w:rPr>
      <w:t>T. Foresto</w:t>
    </w:r>
    <w:r w:rsidRPr="004D22EB">
      <w:rPr>
        <w:rFonts w:ascii="Times New Roman" w:hAnsi="Times New Roman"/>
        <w:sz w:val="17"/>
        <w:szCs w:val="17"/>
      </w:rPr>
      <w:t>, Government Printer, South Australia</w:t>
    </w:r>
  </w:p>
  <w:p w14:paraId="07D66E43"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4850C786"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B196"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B68C"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6298D0E7"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B93290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799B5BA"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5EDD85A6"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14F3"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53B2" w14:textId="77777777" w:rsidR="002F3519" w:rsidRDefault="002F3519" w:rsidP="00777F88">
      <w:pPr>
        <w:spacing w:after="0" w:line="240" w:lineRule="auto"/>
      </w:pPr>
      <w:r>
        <w:separator/>
      </w:r>
    </w:p>
  </w:footnote>
  <w:footnote w:type="continuationSeparator" w:id="0">
    <w:p w14:paraId="646D94BE" w14:textId="77777777" w:rsidR="002F3519" w:rsidRDefault="002F351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F66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8A1EAEC" wp14:editId="46BE26C4">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659C9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A1EAEC"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6659C9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DF40405"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54B008B"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EAEA"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7E20E8A" wp14:editId="065475BD">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70B7C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E20E8A"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770B7C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82A0" w14:textId="5B87FDC8"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01771F">
      <w:rPr>
        <w:rFonts w:ascii="Times New Roman" w:hAnsi="Times New Roman"/>
        <w:sz w:val="21"/>
        <w:szCs w:val="21"/>
      </w:rPr>
      <w:t>20</w:t>
    </w:r>
    <w:r w:rsidRPr="00612978">
      <w:rPr>
        <w:rFonts w:ascii="Times New Roman" w:hAnsi="Times New Roman"/>
        <w:sz w:val="21"/>
        <w:szCs w:val="21"/>
      </w:rPr>
      <w:tab/>
    </w:r>
    <w:r>
      <w:rPr>
        <w:rFonts w:ascii="Times New Roman" w:hAnsi="Times New Roman"/>
        <w:sz w:val="21"/>
        <w:szCs w:val="21"/>
      </w:rPr>
      <w:t xml:space="preserve">p. </w:t>
    </w:r>
    <w:r w:rsidR="0001771F">
      <w:rPr>
        <w:rFonts w:ascii="Times New Roman" w:hAnsi="Times New Roman"/>
        <w:sz w:val="21"/>
        <w:szCs w:val="21"/>
      </w:rPr>
      <w:t>503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D23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30E56C0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C6D755F"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D05B"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1359093" wp14:editId="2EF84B18">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3F55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1359093"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53F552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519C9" w14:textId="69EE03E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CC4068">
      <w:rPr>
        <w:rStyle w:val="PageNumber"/>
        <w:rFonts w:ascii="Times New Roman" w:hAnsi="Times New Roman"/>
        <w:sz w:val="21"/>
        <w:szCs w:val="21"/>
      </w:rPr>
      <w:t>20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CC4068">
      <w:rPr>
        <w:rStyle w:val="PageNumber"/>
        <w:rFonts w:ascii="Times New Roman" w:hAnsi="Times New Roman"/>
        <w:sz w:val="21"/>
        <w:szCs w:val="21"/>
      </w:rPr>
      <w:t>27 March</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D476EC">
      <w:rPr>
        <w:rFonts w:ascii="Times New Roman" w:hAnsi="Times New Roman"/>
        <w:sz w:val="21"/>
        <w:szCs w:val="21"/>
      </w:rPr>
      <w:t>4</w:t>
    </w:r>
  </w:p>
  <w:p w14:paraId="65AB0FF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6F8C" w14:textId="09188FF7" w:rsidR="00632170" w:rsidRPr="00552C29" w:rsidRDefault="0001771F"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27 March</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476EC">
      <w:rPr>
        <w:rFonts w:ascii="Times New Roman" w:hAnsi="Times New Roman"/>
        <w:sz w:val="21"/>
        <w:szCs w:val="21"/>
      </w:rPr>
      <w:t>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0E0526A7"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14E426A7"/>
    <w:multiLevelType w:val="hybridMultilevel"/>
    <w:tmpl w:val="3E2A1D9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8" w15:restartNumberingAfterBreak="0">
    <w:nsid w:val="6C5F3CC6"/>
    <w:multiLevelType w:val="hybridMultilevel"/>
    <w:tmpl w:val="6F3CA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34169255">
    <w:abstractNumId w:val="6"/>
  </w:num>
  <w:num w:numId="2" w16cid:durableId="592053928">
    <w:abstractNumId w:val="9"/>
  </w:num>
  <w:num w:numId="3" w16cid:durableId="867183007">
    <w:abstractNumId w:val="5"/>
  </w:num>
  <w:num w:numId="4" w16cid:durableId="17516556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4"/>
  </w:num>
  <w:num w:numId="6" w16cid:durableId="825245078">
    <w:abstractNumId w:val="7"/>
  </w:num>
  <w:num w:numId="7" w16cid:durableId="2083260921">
    <w:abstractNumId w:val="0"/>
  </w:num>
  <w:num w:numId="8" w16cid:durableId="1815831071">
    <w:abstractNumId w:val="2"/>
  </w:num>
  <w:num w:numId="9" w16cid:durableId="1285423984">
    <w:abstractNumId w:val="3"/>
  </w:num>
  <w:num w:numId="10" w16cid:durableId="2019575392">
    <w:abstractNumId w:val="1"/>
  </w:num>
  <w:num w:numId="11" w16cid:durableId="936979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519"/>
    <w:rsid w:val="000100A7"/>
    <w:rsid w:val="0001771F"/>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04493"/>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19BB"/>
    <w:rsid w:val="0027531F"/>
    <w:rsid w:val="0029410F"/>
    <w:rsid w:val="002977EE"/>
    <w:rsid w:val="002A4530"/>
    <w:rsid w:val="002C2B7C"/>
    <w:rsid w:val="002C2E97"/>
    <w:rsid w:val="002D4754"/>
    <w:rsid w:val="002F3519"/>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B3F59"/>
    <w:rsid w:val="004D22EB"/>
    <w:rsid w:val="004D4D1C"/>
    <w:rsid w:val="004E4BBC"/>
    <w:rsid w:val="004E545F"/>
    <w:rsid w:val="004F3836"/>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064A4"/>
    <w:rsid w:val="00720680"/>
    <w:rsid w:val="007529D9"/>
    <w:rsid w:val="00777F88"/>
    <w:rsid w:val="007C302D"/>
    <w:rsid w:val="007E60AA"/>
    <w:rsid w:val="0080019C"/>
    <w:rsid w:val="008008DD"/>
    <w:rsid w:val="00802490"/>
    <w:rsid w:val="00842BD5"/>
    <w:rsid w:val="00854924"/>
    <w:rsid w:val="00854962"/>
    <w:rsid w:val="00856E06"/>
    <w:rsid w:val="00867EF2"/>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04FD"/>
    <w:rsid w:val="00AC18FD"/>
    <w:rsid w:val="00AF68F7"/>
    <w:rsid w:val="00B07083"/>
    <w:rsid w:val="00B142D0"/>
    <w:rsid w:val="00B152A8"/>
    <w:rsid w:val="00B22E26"/>
    <w:rsid w:val="00B53F6A"/>
    <w:rsid w:val="00B67220"/>
    <w:rsid w:val="00B8243A"/>
    <w:rsid w:val="00BC4D92"/>
    <w:rsid w:val="00BE137F"/>
    <w:rsid w:val="00BE59CC"/>
    <w:rsid w:val="00BF1895"/>
    <w:rsid w:val="00BF6670"/>
    <w:rsid w:val="00C00001"/>
    <w:rsid w:val="00C032B2"/>
    <w:rsid w:val="00C44FE2"/>
    <w:rsid w:val="00C67086"/>
    <w:rsid w:val="00C971BF"/>
    <w:rsid w:val="00CC4068"/>
    <w:rsid w:val="00CD460E"/>
    <w:rsid w:val="00D0446B"/>
    <w:rsid w:val="00D14F34"/>
    <w:rsid w:val="00D15B81"/>
    <w:rsid w:val="00D23AB5"/>
    <w:rsid w:val="00D35BBC"/>
    <w:rsid w:val="00D476EC"/>
    <w:rsid w:val="00D83C2C"/>
    <w:rsid w:val="00DA30CF"/>
    <w:rsid w:val="00DA6921"/>
    <w:rsid w:val="00DB5A8F"/>
    <w:rsid w:val="00DE347D"/>
    <w:rsid w:val="00DF632D"/>
    <w:rsid w:val="00E01D7A"/>
    <w:rsid w:val="00E02241"/>
    <w:rsid w:val="00E21999"/>
    <w:rsid w:val="00E222C6"/>
    <w:rsid w:val="00E36C01"/>
    <w:rsid w:val="00E4712A"/>
    <w:rsid w:val="00E57D4E"/>
    <w:rsid w:val="00E663DF"/>
    <w:rsid w:val="00E66D99"/>
    <w:rsid w:val="00E92649"/>
    <w:rsid w:val="00E92BCA"/>
    <w:rsid w:val="00EA0D33"/>
    <w:rsid w:val="00EA64A7"/>
    <w:rsid w:val="00EC2419"/>
    <w:rsid w:val="00ED024C"/>
    <w:rsid w:val="00ED38A6"/>
    <w:rsid w:val="00EE2A33"/>
    <w:rsid w:val="00EE7338"/>
    <w:rsid w:val="00F011AF"/>
    <w:rsid w:val="00F07BDC"/>
    <w:rsid w:val="00F12687"/>
    <w:rsid w:val="00F13DC8"/>
    <w:rsid w:val="00F146D8"/>
    <w:rsid w:val="00F16F9B"/>
    <w:rsid w:val="00F337C8"/>
    <w:rsid w:val="00F36435"/>
    <w:rsid w:val="00F657AB"/>
    <w:rsid w:val="00F8336F"/>
    <w:rsid w:val="00F84DBC"/>
    <w:rsid w:val="00FA01B5"/>
    <w:rsid w:val="00FB374C"/>
    <w:rsid w:val="00FB48A8"/>
    <w:rsid w:val="00FB5F67"/>
    <w:rsid w:val="00FC43F0"/>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E0640"/>
  <w15:chartTrackingRefBased/>
  <w15:docId w15:val="{A82AD292-0FBF-4097-B726-FAAC42E3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39"/>
    <w:rsid w:val="00F3643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pir.sa.gov.au"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TEMPLATE_SUPP+CONTENTS_2024</Template>
  <TotalTime>56</TotalTime>
  <Pages>3</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 20 - Wednesday, 27 March 2024 (pp. 503–505)</vt:lpstr>
    </vt:vector>
  </TitlesOfParts>
  <Company>SA Government</Company>
  <LinksUpToDate>false</LinksUpToDate>
  <CharactersWithSpaces>5366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20 - Wednesday, 27 March 2024 (pp. 503–505)</dc:title>
  <dc:subject/>
  <dc:creator>Anthony Butler</dc:creator>
  <cp:keywords/>
  <cp:lastModifiedBy>Anthony Butler</cp:lastModifiedBy>
  <cp:revision>3</cp:revision>
  <cp:lastPrinted>2024-03-27T05:38:00Z</cp:lastPrinted>
  <dcterms:created xsi:type="dcterms:W3CDTF">2024-03-27T00:24:00Z</dcterms:created>
  <dcterms:modified xsi:type="dcterms:W3CDTF">2024-03-27T05:38:00Z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